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B51" w:rsidRDefault="002F50D7" w:rsidP="002F50D7">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B4C65CE25EA4BFE84B21EF5C13A789C" style="width:450.7pt;height:499.3pt">
            <v:imagedata r:id="rId8" o:title=""/>
          </v:shape>
        </w:pict>
      </w:r>
      <w:bookmarkEnd w:id="1"/>
    </w:p>
    <w:bookmarkEnd w:id="0"/>
    <w:p w:rsidR="00BB0B51" w:rsidRDefault="00BB0B51">
      <w:pPr>
        <w:rPr>
          <w:noProof/>
        </w:rPr>
        <w:sectPr w:rsidR="00BB0B51" w:rsidSect="002F50D7">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7" w:h="16839"/>
          <w:pgMar w:top="1134" w:right="1417" w:bottom="1134" w:left="1417" w:header="709" w:footer="709" w:gutter="0"/>
          <w:pgNumType w:start="1"/>
          <w:cols w:space="720"/>
          <w:docGrid w:linePitch="360"/>
        </w:sectPr>
      </w:pPr>
    </w:p>
    <w:p w:rsidR="00BB0B51" w:rsidRDefault="00AA53B1">
      <w:pPr>
        <w:pStyle w:val="SectionTitleFramed"/>
        <w:framePr w:wrap="notBeside"/>
        <w:rPr>
          <w:noProof/>
        </w:rPr>
      </w:pPr>
      <w:r>
        <w:rPr>
          <w:noProof/>
        </w:rPr>
        <w:lastRenderedPageBreak/>
        <w:t>Contents</w:t>
      </w:r>
    </w:p>
    <w:p w:rsidR="00BB0B51" w:rsidRDefault="00AA53B1">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_Toc474773034 \* MERGEFORMAT </w:instrText>
      </w:r>
      <w:r>
        <w:rPr>
          <w:noProof/>
          <w:webHidden/>
        </w:rPr>
      </w:r>
      <w:r>
        <w:rPr>
          <w:noProof/>
          <w:webHidden/>
        </w:rPr>
        <w:fldChar w:fldCharType="separate"/>
      </w:r>
      <w:r>
        <w:rPr>
          <w:noProof/>
          <w:webHidden/>
        </w:rPr>
        <w:t>1</w:t>
      </w:r>
      <w:r>
        <w:rPr>
          <w:noProof/>
          <w:webHidden/>
        </w:rPr>
        <w:fldChar w:fldCharType="end"/>
      </w:r>
    </w:p>
    <w:p w:rsidR="00BB0B51" w:rsidRDefault="00AA53B1">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_Toc474773035 \* MERGEFORMAT </w:instrText>
      </w:r>
      <w:r>
        <w:rPr>
          <w:noProof/>
          <w:webHidden/>
        </w:rPr>
      </w:r>
      <w:r>
        <w:rPr>
          <w:noProof/>
          <w:webHidden/>
        </w:rPr>
        <w:fldChar w:fldCharType="separate"/>
      </w:r>
      <w:r>
        <w:rPr>
          <w:noProof/>
          <w:webHidden/>
        </w:rPr>
        <w:t>4</w:t>
      </w:r>
      <w:r>
        <w:rPr>
          <w:noProof/>
          <w:webHidden/>
        </w:rPr>
        <w:fldChar w:fldCharType="end"/>
      </w:r>
    </w:p>
    <w:p w:rsidR="00BB0B51" w:rsidRDefault="00AA53B1">
      <w:pPr>
        <w:pStyle w:val="TOC2"/>
        <w:rPr>
          <w:rFonts w:eastAsiaTheme="minorEastAsia"/>
          <w:noProof/>
        </w:rPr>
      </w:pPr>
      <w:r>
        <w:rPr>
          <w:noProof/>
        </w:rPr>
        <w:t>2.</w:t>
      </w:r>
      <w:r>
        <w:rPr>
          <w:rFonts w:eastAsiaTheme="minorEastAsia"/>
          <w:noProof/>
        </w:rPr>
        <w:tab/>
      </w:r>
      <w:r>
        <w:rPr>
          <w:noProof/>
        </w:rPr>
        <w:t>Progress with country-specific recommendatio</w:t>
      </w:r>
      <w:r>
        <w:rPr>
          <w:noProof/>
        </w:rPr>
        <w:t>ns</w:t>
      </w:r>
      <w:r>
        <w:rPr>
          <w:noProof/>
          <w:webHidden/>
        </w:rPr>
        <w:tab/>
      </w:r>
      <w:r>
        <w:rPr>
          <w:noProof/>
          <w:webHidden/>
        </w:rPr>
        <w:fldChar w:fldCharType="begin"/>
      </w:r>
      <w:r>
        <w:rPr>
          <w:noProof/>
          <w:webHidden/>
        </w:rPr>
        <w:instrText xml:space="preserve"> PAGEREF \h _Toc474773036 \* MERGEFORMAT </w:instrText>
      </w:r>
      <w:r>
        <w:rPr>
          <w:noProof/>
          <w:webHidden/>
        </w:rPr>
      </w:r>
      <w:r>
        <w:rPr>
          <w:noProof/>
          <w:webHidden/>
        </w:rPr>
        <w:fldChar w:fldCharType="separate"/>
      </w:r>
      <w:r>
        <w:rPr>
          <w:noProof/>
          <w:webHidden/>
        </w:rPr>
        <w:t>11</w:t>
      </w:r>
      <w:r>
        <w:rPr>
          <w:noProof/>
          <w:webHidden/>
        </w:rPr>
        <w:fldChar w:fldCharType="end"/>
      </w:r>
    </w:p>
    <w:p w:rsidR="00BB0B51" w:rsidRDefault="00AA53B1">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_Toc474773037 \* MERGEFORMAT </w:instrText>
      </w:r>
      <w:r>
        <w:rPr>
          <w:noProof/>
          <w:webHidden/>
        </w:rPr>
      </w:r>
      <w:r>
        <w:rPr>
          <w:noProof/>
          <w:webHidden/>
        </w:rPr>
        <w:fldChar w:fldCharType="separate"/>
      </w:r>
      <w:r>
        <w:rPr>
          <w:noProof/>
          <w:webHidden/>
        </w:rPr>
        <w:t>15</w:t>
      </w:r>
      <w:r>
        <w:rPr>
          <w:noProof/>
          <w:webHidden/>
        </w:rPr>
        <w:fldChar w:fldCharType="end"/>
      </w:r>
    </w:p>
    <w:p w:rsidR="00BB0B51" w:rsidRDefault="00AA53B1">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_Toc474773038 \* MERGEFORMAT </w:instrText>
      </w:r>
      <w:r>
        <w:rPr>
          <w:noProof/>
          <w:webHidden/>
        </w:rPr>
      </w:r>
      <w:r>
        <w:rPr>
          <w:noProof/>
          <w:webHidden/>
        </w:rPr>
        <w:fldChar w:fldCharType="separate"/>
      </w:r>
      <w:r>
        <w:rPr>
          <w:noProof/>
          <w:webHidden/>
        </w:rPr>
        <w:t>21</w:t>
      </w:r>
      <w:r>
        <w:rPr>
          <w:noProof/>
          <w:webHidden/>
        </w:rPr>
        <w:fldChar w:fldCharType="end"/>
      </w:r>
    </w:p>
    <w:p w:rsidR="00BB0B51" w:rsidRDefault="00AA53B1">
      <w:pPr>
        <w:pStyle w:val="TOC3"/>
        <w:rPr>
          <w:rFonts w:eastAsiaTheme="minorEastAsia"/>
          <w:noProof/>
        </w:rPr>
      </w:pPr>
      <w:r>
        <w:rPr>
          <w:noProof/>
        </w:rPr>
        <w:t>4.1.</w:t>
      </w:r>
      <w:r>
        <w:rPr>
          <w:rFonts w:eastAsiaTheme="minorEastAsia"/>
          <w:noProof/>
        </w:rPr>
        <w:tab/>
      </w:r>
      <w:r>
        <w:rPr>
          <w:noProof/>
        </w:rPr>
        <w:t>Public finances and taxation</w:t>
      </w:r>
      <w:r>
        <w:rPr>
          <w:noProof/>
          <w:webHidden/>
        </w:rPr>
        <w:tab/>
      </w:r>
      <w:r>
        <w:rPr>
          <w:noProof/>
          <w:webHidden/>
        </w:rPr>
        <w:fldChar w:fldCharType="begin"/>
      </w:r>
      <w:r>
        <w:rPr>
          <w:noProof/>
          <w:webHidden/>
        </w:rPr>
        <w:instrText xml:space="preserve"> PAGEREF \h _Toc474773039 \* MERGEFORMAT </w:instrText>
      </w:r>
      <w:r>
        <w:rPr>
          <w:noProof/>
          <w:webHidden/>
        </w:rPr>
      </w:r>
      <w:r>
        <w:rPr>
          <w:noProof/>
          <w:webHidden/>
        </w:rPr>
        <w:fldChar w:fldCharType="separate"/>
      </w:r>
      <w:r>
        <w:rPr>
          <w:noProof/>
          <w:webHidden/>
        </w:rPr>
        <w:t>27</w:t>
      </w:r>
      <w:r>
        <w:rPr>
          <w:noProof/>
          <w:webHidden/>
        </w:rPr>
        <w:fldChar w:fldCharType="end"/>
      </w:r>
      <w:r>
        <w:rPr>
          <w:noProof/>
          <w:webHidden/>
        </w:rPr>
        <w:t>1</w:t>
      </w:r>
    </w:p>
    <w:p w:rsidR="00BB0B51" w:rsidRDefault="00AA53B1">
      <w:pPr>
        <w:pStyle w:val="TOC3"/>
        <w:rPr>
          <w:rFonts w:eastAsiaTheme="minorEastAsia"/>
          <w:noProof/>
        </w:rPr>
      </w:pPr>
      <w:r>
        <w:rPr>
          <w:noProof/>
        </w:rPr>
        <w:t>4.2.</w:t>
      </w:r>
      <w:r>
        <w:rPr>
          <w:rFonts w:eastAsiaTheme="minorEastAsia"/>
          <w:noProof/>
        </w:rPr>
        <w:tab/>
      </w:r>
      <w:r>
        <w:rPr>
          <w:noProof/>
        </w:rPr>
        <w:t>Financial sector and indebtedness</w:t>
      </w:r>
      <w:r>
        <w:rPr>
          <w:noProof/>
          <w:webHidden/>
        </w:rPr>
        <w:tab/>
      </w:r>
      <w:r>
        <w:rPr>
          <w:noProof/>
          <w:webHidden/>
        </w:rPr>
        <w:fldChar w:fldCharType="begin"/>
      </w:r>
      <w:r>
        <w:rPr>
          <w:noProof/>
          <w:webHidden/>
        </w:rPr>
        <w:instrText xml:space="preserve"> PAGERE</w:instrText>
      </w:r>
      <w:r>
        <w:rPr>
          <w:noProof/>
          <w:webHidden/>
        </w:rPr>
        <w:instrText xml:space="preserve">F \h _Toc474773039 \* MERGEFORMAT </w:instrText>
      </w:r>
      <w:r>
        <w:rPr>
          <w:noProof/>
          <w:webHidden/>
        </w:rPr>
      </w:r>
      <w:r>
        <w:rPr>
          <w:noProof/>
          <w:webHidden/>
        </w:rPr>
        <w:fldChar w:fldCharType="separate"/>
      </w:r>
      <w:r>
        <w:rPr>
          <w:noProof/>
          <w:webHidden/>
        </w:rPr>
        <w:t>27</w:t>
      </w:r>
      <w:r>
        <w:rPr>
          <w:noProof/>
          <w:webHidden/>
        </w:rPr>
        <w:fldChar w:fldCharType="end"/>
      </w:r>
    </w:p>
    <w:p w:rsidR="00BB0B51" w:rsidRDefault="00AA53B1">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_Toc474773040 \* MERGEFORMAT </w:instrText>
      </w:r>
      <w:r>
        <w:rPr>
          <w:noProof/>
          <w:webHidden/>
        </w:rPr>
      </w:r>
      <w:r>
        <w:rPr>
          <w:noProof/>
          <w:webHidden/>
        </w:rPr>
        <w:fldChar w:fldCharType="separate"/>
      </w:r>
      <w:r>
        <w:rPr>
          <w:noProof/>
          <w:webHidden/>
        </w:rPr>
        <w:t>33</w:t>
      </w:r>
      <w:r>
        <w:rPr>
          <w:noProof/>
          <w:webHidden/>
        </w:rPr>
        <w:fldChar w:fldCharType="end"/>
      </w:r>
    </w:p>
    <w:p w:rsidR="00BB0B51" w:rsidRDefault="00AA53B1">
      <w:pPr>
        <w:pStyle w:val="TOC3"/>
        <w:rPr>
          <w:rFonts w:eastAsiaTheme="minorEastAsia"/>
          <w:noProof/>
        </w:rPr>
      </w:pPr>
      <w:r>
        <w:rPr>
          <w:noProof/>
        </w:rPr>
        <w:t>4.4.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 \h _Toc474773041 \* MERGEFORMAT </w:instrText>
      </w:r>
      <w:r>
        <w:rPr>
          <w:noProof/>
          <w:webHidden/>
        </w:rPr>
      </w:r>
      <w:r>
        <w:rPr>
          <w:noProof/>
          <w:webHidden/>
        </w:rPr>
        <w:fldChar w:fldCharType="separate"/>
      </w:r>
      <w:r>
        <w:rPr>
          <w:noProof/>
          <w:webHidden/>
        </w:rPr>
        <w:t>40</w:t>
      </w:r>
      <w:r>
        <w:rPr>
          <w:noProof/>
          <w:webHidden/>
        </w:rPr>
        <w:fldChar w:fldCharType="end"/>
      </w:r>
    </w:p>
    <w:p w:rsidR="00BB0B51" w:rsidRDefault="00AA53B1">
      <w:pPr>
        <w:pStyle w:val="TOC3"/>
        <w:rPr>
          <w:rFonts w:eastAsiaTheme="minorEastAsia"/>
          <w:noProof/>
        </w:rPr>
      </w:pPr>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_Toc474773042 \* MERGEFORMAT </w:instrText>
      </w:r>
      <w:r>
        <w:rPr>
          <w:noProof/>
          <w:webHidden/>
        </w:rPr>
      </w:r>
      <w:r>
        <w:rPr>
          <w:noProof/>
          <w:webHidden/>
        </w:rPr>
        <w:fldChar w:fldCharType="separate"/>
      </w:r>
      <w:r>
        <w:rPr>
          <w:noProof/>
          <w:webHidden/>
        </w:rPr>
        <w:t>46</w:t>
      </w:r>
      <w:r>
        <w:rPr>
          <w:noProof/>
          <w:webHidden/>
        </w:rPr>
        <w:fldChar w:fldCharType="end"/>
      </w:r>
    </w:p>
    <w:p w:rsidR="00BB0B51" w:rsidRDefault="00AA53B1">
      <w:pPr>
        <w:pStyle w:val="TOC3"/>
        <w:rPr>
          <w:rFonts w:eastAsiaTheme="minorEastAsia"/>
          <w:noProof/>
        </w:rPr>
      </w:pPr>
      <w:r>
        <w:rPr>
          <w:noProof/>
        </w:rPr>
        <w:t>4.6.</w:t>
      </w:r>
      <w:r>
        <w:rPr>
          <w:rFonts w:eastAsiaTheme="minorEastAsia"/>
          <w:noProof/>
        </w:rPr>
        <w:tab/>
      </w:r>
      <w:r>
        <w:rPr>
          <w:noProof/>
        </w:rPr>
        <w:t>Public administration</w:t>
      </w:r>
      <w:r>
        <w:rPr>
          <w:noProof/>
          <w:webHidden/>
        </w:rPr>
        <w:tab/>
      </w:r>
      <w:r>
        <w:rPr>
          <w:noProof/>
          <w:webHidden/>
        </w:rPr>
        <w:fldChar w:fldCharType="begin"/>
      </w:r>
      <w:r>
        <w:rPr>
          <w:noProof/>
          <w:webHidden/>
        </w:rPr>
        <w:instrText xml:space="preserve"> PAGEREF \h _Toc474773043 \* MERGEFORMAT </w:instrText>
      </w:r>
      <w:r>
        <w:rPr>
          <w:noProof/>
          <w:webHidden/>
        </w:rPr>
      </w:r>
      <w:r>
        <w:rPr>
          <w:noProof/>
          <w:webHidden/>
        </w:rPr>
        <w:fldChar w:fldCharType="separate"/>
      </w:r>
      <w:r>
        <w:rPr>
          <w:noProof/>
          <w:webHidden/>
        </w:rPr>
        <w:t>51</w:t>
      </w:r>
      <w:r>
        <w:rPr>
          <w:noProof/>
          <w:webHidden/>
        </w:rPr>
        <w:fldChar w:fldCharType="end"/>
      </w:r>
    </w:p>
    <w:p w:rsidR="00BB0B51" w:rsidRDefault="00AA53B1">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_Toc474773044 \* MERGEFORMAT </w:instrText>
      </w:r>
      <w:r>
        <w:rPr>
          <w:noProof/>
          <w:webHidden/>
        </w:rPr>
      </w:r>
      <w:r>
        <w:rPr>
          <w:noProof/>
          <w:webHidden/>
        </w:rPr>
        <w:fldChar w:fldCharType="separate"/>
      </w:r>
      <w:r>
        <w:rPr>
          <w:noProof/>
          <w:webHidden/>
        </w:rPr>
        <w:t>55</w:t>
      </w:r>
      <w:r>
        <w:rPr>
          <w:noProof/>
          <w:webHidden/>
        </w:rPr>
        <w:fldChar w:fldCharType="end"/>
      </w:r>
    </w:p>
    <w:p w:rsidR="00BB0B51" w:rsidRDefault="00AA53B1">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_Toc474773045 \* MERGEFORMAT </w:instrText>
      </w:r>
      <w:r>
        <w:rPr>
          <w:noProof/>
          <w:webHidden/>
        </w:rPr>
      </w:r>
      <w:r>
        <w:rPr>
          <w:noProof/>
          <w:webHidden/>
        </w:rPr>
        <w:fldChar w:fldCharType="separate"/>
      </w:r>
      <w:r>
        <w:rPr>
          <w:noProof/>
          <w:webHidden/>
        </w:rPr>
        <w:t>63</w:t>
      </w:r>
      <w:r>
        <w:rPr>
          <w:noProof/>
          <w:webHidden/>
        </w:rPr>
        <w:fldChar w:fldCharType="end"/>
      </w:r>
    </w:p>
    <w:p w:rsidR="00BB0B51" w:rsidRDefault="00AA53B1">
      <w:pPr>
        <w:pStyle w:val="TOC2"/>
        <w:rPr>
          <w:rFonts w:eastAsiaTheme="minorEastAsia"/>
          <w:noProof/>
        </w:rPr>
      </w:pPr>
      <w:r>
        <w:rPr>
          <w:noProof/>
        </w:rPr>
        <w:t>C.</w:t>
      </w:r>
      <w:r>
        <w:rPr>
          <w:rFonts w:eastAsiaTheme="minorEastAsia"/>
          <w:noProof/>
        </w:rPr>
        <w:tab/>
      </w:r>
      <w:r>
        <w:rPr>
          <w:noProof/>
        </w:rPr>
        <w:t>Standard tab</w:t>
      </w:r>
      <w:r>
        <w:rPr>
          <w:noProof/>
        </w:rPr>
        <w:t>les</w:t>
      </w:r>
      <w:r>
        <w:rPr>
          <w:noProof/>
          <w:webHidden/>
        </w:rPr>
        <w:tab/>
      </w:r>
      <w:r>
        <w:rPr>
          <w:noProof/>
          <w:webHidden/>
        </w:rPr>
        <w:fldChar w:fldCharType="begin"/>
      </w:r>
      <w:r>
        <w:rPr>
          <w:noProof/>
          <w:webHidden/>
        </w:rPr>
        <w:instrText xml:space="preserve"> PAGEREF \h _Toc474773046 \* MERGEFORMAT </w:instrText>
      </w:r>
      <w:r>
        <w:rPr>
          <w:noProof/>
          <w:webHidden/>
        </w:rPr>
      </w:r>
      <w:r>
        <w:rPr>
          <w:noProof/>
          <w:webHidden/>
        </w:rPr>
        <w:fldChar w:fldCharType="separate"/>
      </w:r>
      <w:r>
        <w:rPr>
          <w:noProof/>
          <w:webHidden/>
        </w:rPr>
        <w:t>64</w:t>
      </w:r>
      <w:r>
        <w:rPr>
          <w:noProof/>
          <w:webHidden/>
        </w:rPr>
        <w:fldChar w:fldCharType="end"/>
      </w:r>
    </w:p>
    <w:p w:rsidR="00BB0B51" w:rsidRDefault="00AA53B1">
      <w:pPr>
        <w:pStyle w:val="TOC7"/>
        <w:rPr>
          <w:rFonts w:eastAsiaTheme="minorEastAsia"/>
          <w:noProof/>
        </w:rPr>
      </w:pPr>
      <w:r>
        <w:rPr>
          <w:noProof/>
        </w:rPr>
        <w:t>References</w:t>
      </w:r>
      <w:r>
        <w:rPr>
          <w:noProof/>
          <w:webHidden/>
        </w:rPr>
        <w:tab/>
      </w:r>
      <w:r>
        <w:rPr>
          <w:noProof/>
          <w:webHidden/>
        </w:rPr>
        <w:fldChar w:fldCharType="begin"/>
      </w:r>
      <w:r>
        <w:rPr>
          <w:noProof/>
          <w:webHidden/>
        </w:rPr>
        <w:instrText xml:space="preserve"> PAGEREF \h _Toc474773047 \* MERGEFORMAT </w:instrText>
      </w:r>
      <w:r>
        <w:rPr>
          <w:noProof/>
          <w:webHidden/>
        </w:rPr>
      </w:r>
      <w:r>
        <w:rPr>
          <w:noProof/>
          <w:webHidden/>
        </w:rPr>
        <w:fldChar w:fldCharType="separate"/>
      </w:r>
      <w:r>
        <w:rPr>
          <w:noProof/>
          <w:webHidden/>
        </w:rPr>
        <w:t>69</w:t>
      </w:r>
      <w:r>
        <w:rPr>
          <w:noProof/>
          <w:webHidden/>
        </w:rPr>
        <w:fldChar w:fldCharType="end"/>
      </w:r>
    </w:p>
    <w:p w:rsidR="00BB0B51" w:rsidRDefault="00AA53B1">
      <w:pPr>
        <w:pStyle w:val="HEADINGTOC"/>
        <w:rPr>
          <w:noProof/>
        </w:rPr>
      </w:pPr>
      <w:r>
        <w:rPr>
          <w:noProof/>
        </w:rPr>
        <w:t>LIST OF Tables</w:t>
      </w:r>
    </w:p>
    <w:p w:rsidR="00BB0B51" w:rsidRDefault="00AA53B1">
      <w:pPr>
        <w:pStyle w:val="TOC5"/>
        <w:rPr>
          <w:rFonts w:eastAsiaTheme="minorEastAsia"/>
          <w:noProof/>
        </w:rPr>
      </w:pPr>
      <w:r>
        <w:rPr>
          <w:noProof/>
        </w:rPr>
        <w:t>1.1.</w:t>
      </w:r>
      <w:r>
        <w:rPr>
          <w:rFonts w:eastAsiaTheme="minorEastAsia"/>
          <w:noProof/>
        </w:rPr>
        <w:tab/>
      </w:r>
      <w:r>
        <w:rPr>
          <w:noProof/>
        </w:rPr>
        <w:t>Key economic, financial and social indicators - Portugal</w:t>
      </w:r>
      <w:r>
        <w:rPr>
          <w:noProof/>
          <w:webHidden/>
        </w:rPr>
        <w:tab/>
        <w:t>10</w:t>
      </w:r>
    </w:p>
    <w:p w:rsidR="00BB0B51" w:rsidRDefault="00AA53B1">
      <w:pPr>
        <w:pStyle w:val="TOC5"/>
        <w:rPr>
          <w:rFonts w:eastAsiaTheme="minorEastAsia"/>
          <w:noProof/>
        </w:rPr>
      </w:pPr>
      <w:r>
        <w:rPr>
          <w:noProof/>
        </w:rPr>
        <w:t>2.1.</w:t>
      </w:r>
      <w:r>
        <w:rPr>
          <w:rFonts w:eastAsiaTheme="minorEastAsia"/>
          <w:noProof/>
        </w:rPr>
        <w:tab/>
      </w:r>
      <w:r>
        <w:rPr>
          <w:noProof/>
        </w:rPr>
        <w:t>Summary table on 2016 CSR assessment</w:t>
      </w:r>
      <w:r>
        <w:rPr>
          <w:noProof/>
          <w:webHidden/>
        </w:rPr>
        <w:tab/>
      </w:r>
      <w:r>
        <w:rPr>
          <w:noProof/>
          <w:webHidden/>
        </w:rPr>
        <w:fldChar w:fldCharType="begin"/>
      </w:r>
      <w:r>
        <w:rPr>
          <w:noProof/>
          <w:webHidden/>
        </w:rPr>
        <w:instrText xml:space="preserve"> PAGEREF \h _Toc474773049 \* MERGEFORMAT </w:instrText>
      </w:r>
      <w:r>
        <w:rPr>
          <w:noProof/>
          <w:webHidden/>
        </w:rPr>
      </w:r>
      <w:r>
        <w:rPr>
          <w:noProof/>
          <w:webHidden/>
        </w:rPr>
        <w:fldChar w:fldCharType="separate"/>
      </w:r>
      <w:r>
        <w:rPr>
          <w:noProof/>
          <w:webHidden/>
        </w:rPr>
        <w:t>13</w:t>
      </w:r>
      <w:r>
        <w:rPr>
          <w:noProof/>
          <w:webHidden/>
        </w:rPr>
        <w:fldChar w:fldCharType="end"/>
      </w:r>
    </w:p>
    <w:p w:rsidR="00BB0B51" w:rsidRDefault="00AA53B1">
      <w:pPr>
        <w:pStyle w:val="TOC5"/>
        <w:rPr>
          <w:rFonts w:eastAsiaTheme="minorEastAsia"/>
          <w:noProof/>
        </w:rPr>
      </w:pPr>
      <w:r>
        <w:rPr>
          <w:noProof/>
        </w:rPr>
        <w:t>3.1.</w:t>
      </w:r>
      <w:r>
        <w:rPr>
          <w:rFonts w:eastAsiaTheme="minorEastAsia"/>
          <w:noProof/>
        </w:rPr>
        <w:tab/>
      </w:r>
      <w:r>
        <w:rPr>
          <w:noProof/>
        </w:rPr>
        <w:t>MIP assessment matrix - Portugal 201</w:t>
      </w:r>
      <w:r>
        <w:rPr>
          <w:noProof/>
        </w:rPr>
        <w:t>7</w:t>
      </w:r>
      <w:r>
        <w:rPr>
          <w:noProof/>
          <w:webHidden/>
        </w:rPr>
        <w:tab/>
      </w:r>
      <w:r>
        <w:rPr>
          <w:noProof/>
          <w:webHidden/>
        </w:rPr>
        <w:fldChar w:fldCharType="begin"/>
      </w:r>
      <w:r>
        <w:rPr>
          <w:noProof/>
          <w:webHidden/>
        </w:rPr>
        <w:instrText xml:space="preserve"> PAGEREF \h _Toc474773050 \* MERGEFORMAT </w:instrText>
      </w:r>
      <w:r>
        <w:rPr>
          <w:noProof/>
          <w:webHidden/>
        </w:rPr>
      </w:r>
      <w:r>
        <w:rPr>
          <w:noProof/>
          <w:webHidden/>
        </w:rPr>
        <w:fldChar w:fldCharType="separate"/>
      </w:r>
      <w:r>
        <w:rPr>
          <w:noProof/>
          <w:webHidden/>
        </w:rPr>
        <w:t>19</w:t>
      </w:r>
      <w:r>
        <w:rPr>
          <w:noProof/>
          <w:webHidden/>
        </w:rPr>
        <w:fldChar w:fldCharType="end"/>
      </w:r>
    </w:p>
    <w:p w:rsidR="00BB0B51" w:rsidRDefault="00AA53B1">
      <w:pPr>
        <w:pStyle w:val="TOC5"/>
        <w:rPr>
          <w:rFonts w:eastAsiaTheme="minorEastAsia"/>
          <w:noProof/>
        </w:rPr>
      </w:pPr>
      <w:r>
        <w:rPr>
          <w:noProof/>
        </w:rPr>
        <w:t>B.1.</w:t>
      </w:r>
      <w:r>
        <w:rPr>
          <w:rFonts w:eastAsiaTheme="minorEastAsia"/>
          <w:noProof/>
        </w:rPr>
        <w:tab/>
      </w:r>
      <w:r>
        <w:rPr>
          <w:noProof/>
        </w:rPr>
        <w:t>The MIP Scoreboard for Portugal</w:t>
      </w:r>
      <w:r>
        <w:rPr>
          <w:noProof/>
          <w:webHidden/>
        </w:rPr>
        <w:tab/>
      </w:r>
      <w:r>
        <w:rPr>
          <w:noProof/>
          <w:webHidden/>
        </w:rPr>
        <w:fldChar w:fldCharType="begin"/>
      </w:r>
      <w:r>
        <w:rPr>
          <w:noProof/>
          <w:webHidden/>
        </w:rPr>
        <w:instrText xml:space="preserve"> PAGEREF \h _Toc474773051 \* MERGEFORMAT </w:instrText>
      </w:r>
      <w:r>
        <w:rPr>
          <w:noProof/>
          <w:webHidden/>
        </w:rPr>
      </w:r>
      <w:r>
        <w:rPr>
          <w:noProof/>
          <w:webHidden/>
        </w:rPr>
        <w:fldChar w:fldCharType="separate"/>
      </w:r>
      <w:r>
        <w:rPr>
          <w:noProof/>
          <w:webHidden/>
        </w:rPr>
        <w:t>63</w:t>
      </w:r>
      <w:r>
        <w:rPr>
          <w:noProof/>
          <w:webHidden/>
        </w:rPr>
        <w:fldChar w:fldCharType="end"/>
      </w:r>
    </w:p>
    <w:p w:rsidR="00BB0B51" w:rsidRDefault="00AA53B1">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_Toc474773052 \* MERGEFORMAT </w:instrText>
      </w:r>
      <w:r>
        <w:rPr>
          <w:noProof/>
          <w:webHidden/>
        </w:rPr>
      </w:r>
      <w:r>
        <w:rPr>
          <w:noProof/>
          <w:webHidden/>
        </w:rPr>
        <w:fldChar w:fldCharType="separate"/>
      </w:r>
      <w:r>
        <w:rPr>
          <w:noProof/>
          <w:webHidden/>
        </w:rPr>
        <w:t>64</w:t>
      </w:r>
      <w:r>
        <w:rPr>
          <w:noProof/>
          <w:webHidden/>
        </w:rPr>
        <w:fldChar w:fldCharType="end"/>
      </w:r>
    </w:p>
    <w:p w:rsidR="00BB0B51" w:rsidRDefault="00AA53B1">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Pr>
          <w:noProof/>
          <w:webHidden/>
        </w:rPr>
        <w:fldChar w:fldCharType="begin"/>
      </w:r>
      <w:r>
        <w:rPr>
          <w:noProof/>
          <w:webHidden/>
        </w:rPr>
        <w:instrText xml:space="preserve"> PAGER</w:instrText>
      </w:r>
      <w:r>
        <w:rPr>
          <w:noProof/>
          <w:webHidden/>
        </w:rPr>
        <w:instrText xml:space="preserve">EF \h _Toc474773053 \* MERGEFORMAT </w:instrText>
      </w:r>
      <w:r>
        <w:rPr>
          <w:noProof/>
          <w:webHidden/>
        </w:rPr>
      </w:r>
      <w:r>
        <w:rPr>
          <w:noProof/>
          <w:webHidden/>
        </w:rPr>
        <w:fldChar w:fldCharType="separate"/>
      </w:r>
      <w:r>
        <w:rPr>
          <w:noProof/>
          <w:webHidden/>
        </w:rPr>
        <w:t>65</w:t>
      </w:r>
      <w:r>
        <w:rPr>
          <w:noProof/>
          <w:webHidden/>
        </w:rPr>
        <w:fldChar w:fldCharType="end"/>
      </w:r>
    </w:p>
    <w:p w:rsidR="00BB0B51" w:rsidRDefault="00AA53B1">
      <w:pPr>
        <w:pStyle w:val="TOC5"/>
        <w:rPr>
          <w:rFonts w:eastAsiaTheme="minorEastAsia"/>
          <w:noProof/>
        </w:rPr>
      </w:pPr>
      <w:r>
        <w:rPr>
          <w:noProof/>
        </w:rPr>
        <w:t>C.3.</w:t>
      </w:r>
      <w:r>
        <w:rPr>
          <w:rFonts w:eastAsiaTheme="minorEastAsia"/>
          <w:noProof/>
        </w:rPr>
        <w:tab/>
      </w:r>
      <w:r>
        <w:rPr>
          <w:noProof/>
        </w:rPr>
        <w:t>Expenditure on social protection benefits (% of GDP)</w:t>
      </w:r>
      <w:r>
        <w:rPr>
          <w:noProof/>
          <w:webHidden/>
        </w:rPr>
        <w:tab/>
      </w:r>
      <w:r>
        <w:rPr>
          <w:noProof/>
          <w:webHidden/>
        </w:rPr>
        <w:fldChar w:fldCharType="begin"/>
      </w:r>
      <w:r>
        <w:rPr>
          <w:noProof/>
          <w:webHidden/>
        </w:rPr>
        <w:instrText xml:space="preserve"> PAGEREF \h _Toc474773054 \* MERGEFORMAT </w:instrText>
      </w:r>
      <w:r>
        <w:rPr>
          <w:noProof/>
          <w:webHidden/>
        </w:rPr>
      </w:r>
      <w:r>
        <w:rPr>
          <w:noProof/>
          <w:webHidden/>
        </w:rPr>
        <w:fldChar w:fldCharType="separate"/>
      </w:r>
      <w:r>
        <w:rPr>
          <w:noProof/>
          <w:webHidden/>
        </w:rPr>
        <w:t>66</w:t>
      </w:r>
      <w:r>
        <w:rPr>
          <w:noProof/>
          <w:webHidden/>
        </w:rPr>
        <w:fldChar w:fldCharType="end"/>
      </w:r>
    </w:p>
    <w:p w:rsidR="00BB0B51" w:rsidRDefault="00AA53B1">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\h _Toc474773055 \* MERGEFORMAT </w:instrText>
      </w:r>
      <w:r>
        <w:rPr>
          <w:noProof/>
          <w:webHidden/>
        </w:rPr>
      </w:r>
      <w:r>
        <w:rPr>
          <w:noProof/>
          <w:webHidden/>
        </w:rPr>
        <w:fldChar w:fldCharType="separate"/>
      </w:r>
      <w:r>
        <w:rPr>
          <w:noProof/>
          <w:webHidden/>
        </w:rPr>
        <w:t>67</w:t>
      </w:r>
      <w:r>
        <w:rPr>
          <w:noProof/>
          <w:webHidden/>
        </w:rPr>
        <w:fldChar w:fldCharType="end"/>
      </w:r>
    </w:p>
    <w:p w:rsidR="00BB0B51" w:rsidRDefault="00AA53B1">
      <w:pPr>
        <w:pStyle w:val="TOC5"/>
        <w:spacing w:after="120"/>
        <w:rPr>
          <w:rFonts w:eastAsiaTheme="minorEastAsia"/>
          <w:noProof/>
        </w:rPr>
      </w:pPr>
      <w:r>
        <w:rPr>
          <w:noProof/>
        </w:rPr>
        <w:t>C.5.</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\h _Toc474773056 \* MERGEFORMAT </w:instrText>
      </w:r>
      <w:r>
        <w:rPr>
          <w:noProof/>
          <w:webHidden/>
        </w:rPr>
      </w:r>
      <w:r>
        <w:rPr>
          <w:noProof/>
          <w:webHidden/>
        </w:rPr>
        <w:fldChar w:fldCharType="separate"/>
      </w:r>
      <w:r>
        <w:rPr>
          <w:noProof/>
          <w:webHidden/>
        </w:rPr>
        <w:t>68</w:t>
      </w:r>
      <w:r>
        <w:rPr>
          <w:noProof/>
          <w:webHidden/>
        </w:rPr>
        <w:fldChar w:fldCharType="end"/>
      </w:r>
    </w:p>
    <w:p w:rsidR="00BB0B51" w:rsidRDefault="00AA53B1">
      <w:pPr>
        <w:pStyle w:val="HEADINGTOC"/>
        <w:rPr>
          <w:noProof/>
        </w:rPr>
      </w:pPr>
      <w:r>
        <w:rPr>
          <w:noProof/>
        </w:rPr>
        <w:t>LIST OF Graphs</w:t>
      </w:r>
    </w:p>
    <w:p w:rsidR="00BB0B51" w:rsidRDefault="00AA53B1">
      <w:pPr>
        <w:pStyle w:val="TOC5"/>
        <w:rPr>
          <w:rFonts w:eastAsiaTheme="minorEastAsia"/>
          <w:noProof/>
        </w:rPr>
      </w:pPr>
      <w:r>
        <w:rPr>
          <w:noProof/>
        </w:rPr>
        <w:t>1.1.</w:t>
      </w:r>
      <w:r>
        <w:rPr>
          <w:rFonts w:eastAsiaTheme="minorEastAsia"/>
          <w:noProof/>
        </w:rPr>
        <w:tab/>
      </w:r>
      <w:r>
        <w:rPr>
          <w:noProof/>
        </w:rPr>
        <w:t>Real GDP growth and its components</w:t>
      </w:r>
      <w:r>
        <w:rPr>
          <w:noProof/>
          <w:webHidden/>
        </w:rPr>
        <w:tab/>
      </w:r>
      <w:r>
        <w:rPr>
          <w:noProof/>
          <w:webHidden/>
        </w:rPr>
        <w:fldChar w:fldCharType="begin"/>
      </w:r>
      <w:r>
        <w:rPr>
          <w:noProof/>
          <w:webHidden/>
        </w:rPr>
        <w:instrText xml:space="preserve"> PAGEREF \h _Toc474773057 \* MERGEFORMAT </w:instrText>
      </w:r>
      <w:r>
        <w:rPr>
          <w:noProof/>
          <w:webHidden/>
        </w:rPr>
      </w:r>
      <w:r>
        <w:rPr>
          <w:noProof/>
          <w:webHidden/>
        </w:rPr>
        <w:fldChar w:fldCharType="separate"/>
      </w:r>
      <w:r>
        <w:rPr>
          <w:noProof/>
          <w:webHidden/>
        </w:rPr>
        <w:t>4</w:t>
      </w:r>
      <w:r>
        <w:rPr>
          <w:noProof/>
          <w:webHidden/>
        </w:rPr>
        <w:fldChar w:fldCharType="end"/>
      </w:r>
    </w:p>
    <w:p w:rsidR="00BB0B51" w:rsidRDefault="00AA53B1">
      <w:pPr>
        <w:pStyle w:val="TOC5"/>
        <w:rPr>
          <w:rFonts w:eastAsiaTheme="minorEastAsia"/>
          <w:noProof/>
        </w:rPr>
      </w:pPr>
      <w:r>
        <w:rPr>
          <w:noProof/>
        </w:rPr>
        <w:t>1.2.</w:t>
      </w:r>
      <w:r>
        <w:rPr>
          <w:rFonts w:eastAsiaTheme="minorEastAsia"/>
          <w:noProof/>
        </w:rPr>
        <w:tab/>
      </w:r>
      <w:r>
        <w:rPr>
          <w:noProof/>
        </w:rPr>
        <w:t>Activity, employment and unemployment rates (quarterly)</w:t>
      </w:r>
      <w:r>
        <w:rPr>
          <w:noProof/>
          <w:webHidden/>
        </w:rPr>
        <w:tab/>
      </w:r>
      <w:r>
        <w:rPr>
          <w:noProof/>
          <w:webHidden/>
        </w:rPr>
        <w:fldChar w:fldCharType="begin"/>
      </w:r>
      <w:r>
        <w:rPr>
          <w:noProof/>
          <w:webHidden/>
        </w:rPr>
        <w:instrText xml:space="preserve"> PAGEREF \h _Toc474773058 \* MERGEFORMAT </w:instrText>
      </w:r>
      <w:r>
        <w:rPr>
          <w:noProof/>
          <w:webHidden/>
        </w:rPr>
      </w:r>
      <w:r>
        <w:rPr>
          <w:noProof/>
          <w:webHidden/>
        </w:rPr>
        <w:fldChar w:fldCharType="separate"/>
      </w:r>
      <w:r>
        <w:rPr>
          <w:noProof/>
          <w:webHidden/>
        </w:rPr>
        <w:t>5</w:t>
      </w:r>
      <w:r>
        <w:rPr>
          <w:noProof/>
          <w:webHidden/>
        </w:rPr>
        <w:fldChar w:fldCharType="end"/>
      </w:r>
    </w:p>
    <w:p w:rsidR="00BB0B51" w:rsidRDefault="00AA53B1">
      <w:pPr>
        <w:pStyle w:val="TOC5"/>
        <w:rPr>
          <w:rFonts w:eastAsiaTheme="minorEastAsia"/>
          <w:noProof/>
        </w:rPr>
      </w:pPr>
      <w:r>
        <w:rPr>
          <w:noProof/>
        </w:rPr>
        <w:t>1.3.</w:t>
      </w:r>
      <w:r>
        <w:rPr>
          <w:rFonts w:eastAsiaTheme="minorEastAsia"/>
          <w:noProof/>
        </w:rPr>
        <w:tab/>
      </w:r>
      <w:r>
        <w:rPr>
          <w:noProof/>
        </w:rPr>
        <w:t xml:space="preserve">Employment by </w:t>
      </w:r>
      <w:r>
        <w:rPr>
          <w:noProof/>
        </w:rPr>
        <w:t>type (permanent, temporary, self</w:t>
      </w:r>
      <w:r>
        <w:rPr>
          <w:noProof/>
        </w:rPr>
        <w:noBreakHyphen/>
        <w:t>employed), year</w:t>
      </w:r>
      <w:r>
        <w:rPr>
          <w:noProof/>
        </w:rPr>
        <w:noBreakHyphen/>
        <w:t>on</w:t>
      </w:r>
      <w:r>
        <w:rPr>
          <w:noProof/>
        </w:rPr>
        <w:noBreakHyphen/>
        <w:t>year changes</w:t>
      </w:r>
      <w:r>
        <w:rPr>
          <w:noProof/>
          <w:webHidden/>
        </w:rPr>
        <w:tab/>
      </w:r>
      <w:r>
        <w:rPr>
          <w:noProof/>
          <w:webHidden/>
        </w:rPr>
        <w:fldChar w:fldCharType="begin"/>
      </w:r>
      <w:r>
        <w:rPr>
          <w:noProof/>
          <w:webHidden/>
        </w:rPr>
        <w:instrText xml:space="preserve"> PAGEREF \h _Toc474773059 \* MERGEFORMAT </w:instrText>
      </w:r>
      <w:r>
        <w:rPr>
          <w:noProof/>
          <w:webHidden/>
        </w:rPr>
      </w:r>
      <w:r>
        <w:rPr>
          <w:noProof/>
          <w:webHidden/>
        </w:rPr>
        <w:fldChar w:fldCharType="separate"/>
      </w:r>
      <w:r>
        <w:rPr>
          <w:noProof/>
          <w:webHidden/>
        </w:rPr>
        <w:t>5</w:t>
      </w:r>
      <w:r>
        <w:rPr>
          <w:noProof/>
          <w:webHidden/>
        </w:rPr>
        <w:fldChar w:fldCharType="end"/>
      </w:r>
    </w:p>
    <w:p w:rsidR="00BB0B51" w:rsidRDefault="00AA53B1">
      <w:pPr>
        <w:pStyle w:val="TOC5"/>
        <w:rPr>
          <w:rFonts w:eastAsiaTheme="minorEastAsia"/>
          <w:noProof/>
        </w:rPr>
      </w:pPr>
      <w:r>
        <w:rPr>
          <w:noProof/>
        </w:rPr>
        <w:lastRenderedPageBreak/>
        <w:t>1.4.</w:t>
      </w:r>
      <w:r>
        <w:rPr>
          <w:rFonts w:eastAsiaTheme="minorEastAsia"/>
          <w:noProof/>
        </w:rPr>
        <w:tab/>
      </w:r>
      <w:r>
        <w:rPr>
          <w:noProof/>
        </w:rPr>
        <w:t>Inequality of income distribution (S80/S20 income quintile share ratio)</w:t>
      </w:r>
      <w:r>
        <w:rPr>
          <w:noProof/>
          <w:webHidden/>
        </w:rPr>
        <w:tab/>
      </w:r>
      <w:r>
        <w:rPr>
          <w:noProof/>
          <w:webHidden/>
        </w:rPr>
        <w:fldChar w:fldCharType="begin"/>
      </w:r>
      <w:r>
        <w:rPr>
          <w:noProof/>
          <w:webHidden/>
        </w:rPr>
        <w:instrText xml:space="preserve"> PAG</w:instrText>
      </w:r>
      <w:r>
        <w:rPr>
          <w:noProof/>
          <w:webHidden/>
        </w:rPr>
        <w:instrText xml:space="preserve">EREF \h _Toc474773060 \* MERGEFORMAT </w:instrText>
      </w:r>
      <w:r>
        <w:rPr>
          <w:noProof/>
          <w:webHidden/>
        </w:rPr>
      </w:r>
      <w:r>
        <w:rPr>
          <w:noProof/>
          <w:webHidden/>
        </w:rPr>
        <w:fldChar w:fldCharType="separate"/>
      </w:r>
      <w:r>
        <w:rPr>
          <w:noProof/>
          <w:webHidden/>
        </w:rPr>
        <w:t>6</w:t>
      </w:r>
      <w:r>
        <w:rPr>
          <w:noProof/>
          <w:webHidden/>
        </w:rPr>
        <w:fldChar w:fldCharType="end"/>
      </w:r>
    </w:p>
    <w:p w:rsidR="00BB0B51" w:rsidRDefault="00AA53B1">
      <w:pPr>
        <w:pStyle w:val="TOC5"/>
        <w:rPr>
          <w:rFonts w:eastAsiaTheme="minorEastAsia"/>
          <w:noProof/>
        </w:rPr>
      </w:pPr>
      <w:r>
        <w:rPr>
          <w:noProof/>
        </w:rPr>
        <w:t>1.5.</w:t>
      </w:r>
      <w:r>
        <w:rPr>
          <w:rFonts w:eastAsiaTheme="minorEastAsia"/>
          <w:noProof/>
        </w:rPr>
        <w:tab/>
      </w:r>
      <w:r>
        <w:rPr>
          <w:noProof/>
        </w:rPr>
        <w:t>NIIP and Current Account evolution</w:t>
      </w:r>
      <w:r>
        <w:rPr>
          <w:noProof/>
          <w:webHidden/>
        </w:rPr>
        <w:tab/>
      </w:r>
      <w:r>
        <w:rPr>
          <w:noProof/>
          <w:webHidden/>
        </w:rPr>
        <w:fldChar w:fldCharType="begin"/>
      </w:r>
      <w:r>
        <w:rPr>
          <w:noProof/>
          <w:webHidden/>
        </w:rPr>
        <w:instrText xml:space="preserve"> PAGEREF \h _Toc474773061 \* MERGEFORMAT </w:instrText>
      </w:r>
      <w:r>
        <w:rPr>
          <w:noProof/>
          <w:webHidden/>
        </w:rPr>
      </w:r>
      <w:r>
        <w:rPr>
          <w:noProof/>
          <w:webHidden/>
        </w:rPr>
        <w:fldChar w:fldCharType="separate"/>
      </w:r>
      <w:r>
        <w:rPr>
          <w:noProof/>
          <w:webHidden/>
        </w:rPr>
        <w:t>6</w:t>
      </w:r>
      <w:r>
        <w:rPr>
          <w:noProof/>
          <w:webHidden/>
        </w:rPr>
        <w:fldChar w:fldCharType="end"/>
      </w:r>
    </w:p>
    <w:p w:rsidR="00BB0B51" w:rsidRDefault="00AA53B1">
      <w:pPr>
        <w:pStyle w:val="TOC5"/>
        <w:rPr>
          <w:rFonts w:eastAsiaTheme="minorEastAsia"/>
          <w:noProof/>
        </w:rPr>
      </w:pPr>
      <w:r>
        <w:rPr>
          <w:noProof/>
        </w:rPr>
        <w:t>1.6.</w:t>
      </w:r>
      <w:r>
        <w:rPr>
          <w:rFonts w:eastAsiaTheme="minorEastAsia"/>
          <w:noProof/>
        </w:rPr>
        <w:tab/>
      </w:r>
      <w:r>
        <w:rPr>
          <w:noProof/>
        </w:rPr>
        <w:t>Revealed Comparative Advantage Index (goods)</w:t>
      </w:r>
      <w:r>
        <w:rPr>
          <w:noProof/>
          <w:webHidden/>
        </w:rPr>
        <w:tab/>
      </w:r>
      <w:r>
        <w:rPr>
          <w:noProof/>
          <w:webHidden/>
        </w:rPr>
        <w:fldChar w:fldCharType="begin"/>
      </w:r>
      <w:r>
        <w:rPr>
          <w:noProof/>
          <w:webHidden/>
        </w:rPr>
        <w:instrText xml:space="preserve"> PAGEREF \h _Toc474773062 \* MERGEFORMAT </w:instrText>
      </w:r>
      <w:r>
        <w:rPr>
          <w:noProof/>
          <w:webHidden/>
        </w:rPr>
      </w:r>
      <w:r>
        <w:rPr>
          <w:noProof/>
          <w:webHidden/>
        </w:rPr>
        <w:fldChar w:fldCharType="separate"/>
      </w:r>
      <w:r>
        <w:rPr>
          <w:noProof/>
          <w:webHidden/>
        </w:rPr>
        <w:t>7</w:t>
      </w:r>
      <w:r>
        <w:rPr>
          <w:noProof/>
          <w:webHidden/>
        </w:rPr>
        <w:fldChar w:fldCharType="end"/>
      </w:r>
    </w:p>
    <w:p w:rsidR="00BB0B51" w:rsidRDefault="00AA53B1">
      <w:pPr>
        <w:pStyle w:val="TOC5"/>
        <w:rPr>
          <w:rFonts w:eastAsiaTheme="minorEastAsia"/>
          <w:noProof/>
        </w:rPr>
      </w:pPr>
      <w:r>
        <w:rPr>
          <w:noProof/>
        </w:rPr>
        <w:t>1.7.</w:t>
      </w:r>
      <w:r>
        <w:rPr>
          <w:rFonts w:eastAsiaTheme="minorEastAsia"/>
          <w:noProof/>
        </w:rPr>
        <w:tab/>
      </w:r>
      <w:r>
        <w:rPr>
          <w:noProof/>
        </w:rPr>
        <w:t>Nominal ULC, index 2001Q1=100</w:t>
      </w:r>
      <w:r>
        <w:rPr>
          <w:noProof/>
          <w:webHidden/>
        </w:rPr>
        <w:tab/>
      </w:r>
      <w:r>
        <w:rPr>
          <w:noProof/>
          <w:webHidden/>
        </w:rPr>
        <w:fldChar w:fldCharType="begin"/>
      </w:r>
      <w:r>
        <w:rPr>
          <w:noProof/>
          <w:webHidden/>
        </w:rPr>
        <w:instrText xml:space="preserve"> PAGEREF \h _Toc474773063 \* MERGEFORMAT </w:instrText>
      </w:r>
      <w:r>
        <w:rPr>
          <w:noProof/>
          <w:webHidden/>
        </w:rPr>
      </w:r>
      <w:r>
        <w:rPr>
          <w:noProof/>
          <w:webHidden/>
        </w:rPr>
        <w:fldChar w:fldCharType="separate"/>
      </w:r>
      <w:r>
        <w:rPr>
          <w:noProof/>
          <w:webHidden/>
        </w:rPr>
        <w:t>7</w:t>
      </w:r>
      <w:r>
        <w:rPr>
          <w:noProof/>
          <w:webHidden/>
        </w:rPr>
        <w:fldChar w:fldCharType="end"/>
      </w:r>
    </w:p>
    <w:p w:rsidR="00BB0B51" w:rsidRDefault="00AA53B1">
      <w:pPr>
        <w:pStyle w:val="TOC5"/>
        <w:rPr>
          <w:rFonts w:eastAsiaTheme="minorEastAsia"/>
          <w:noProof/>
        </w:rPr>
      </w:pPr>
      <w:r>
        <w:rPr>
          <w:noProof/>
        </w:rPr>
        <w:t>1.8.</w:t>
      </w:r>
      <w:r>
        <w:rPr>
          <w:rFonts w:eastAsiaTheme="minorEastAsia"/>
          <w:noProof/>
        </w:rPr>
        <w:tab/>
      </w:r>
      <w:r>
        <w:rPr>
          <w:noProof/>
        </w:rPr>
        <w:t>Wage growth consistent with constant external competitiveness and actual wage growth</w:t>
      </w:r>
      <w:r>
        <w:rPr>
          <w:noProof/>
          <w:webHidden/>
        </w:rPr>
        <w:tab/>
      </w:r>
      <w:r>
        <w:rPr>
          <w:noProof/>
          <w:webHidden/>
        </w:rPr>
        <w:fldChar w:fldCharType="begin"/>
      </w:r>
      <w:r>
        <w:rPr>
          <w:noProof/>
          <w:webHidden/>
        </w:rPr>
        <w:instrText xml:space="preserve"> PAGEREF \h _Toc474773064 \* MERGEFORMAT </w:instrText>
      </w:r>
      <w:r>
        <w:rPr>
          <w:noProof/>
          <w:webHidden/>
        </w:rPr>
      </w:r>
      <w:r>
        <w:rPr>
          <w:noProof/>
          <w:webHidden/>
        </w:rPr>
        <w:fldChar w:fldCharType="separate"/>
      </w:r>
      <w:r>
        <w:rPr>
          <w:noProof/>
          <w:webHidden/>
        </w:rPr>
        <w:t>8</w:t>
      </w:r>
      <w:r>
        <w:rPr>
          <w:noProof/>
          <w:webHidden/>
        </w:rPr>
        <w:fldChar w:fldCharType="end"/>
      </w:r>
    </w:p>
    <w:p w:rsidR="00BB0B51" w:rsidRDefault="00AA53B1">
      <w:pPr>
        <w:pStyle w:val="TOC5"/>
        <w:rPr>
          <w:rFonts w:eastAsiaTheme="minorEastAsia"/>
          <w:noProof/>
        </w:rPr>
      </w:pPr>
      <w:r>
        <w:rPr>
          <w:noProof/>
        </w:rPr>
        <w:t>1.9.</w:t>
      </w:r>
      <w:r>
        <w:rPr>
          <w:rFonts w:eastAsiaTheme="minorEastAsia"/>
          <w:noProof/>
        </w:rPr>
        <w:tab/>
      </w:r>
      <w:r>
        <w:rPr>
          <w:noProof/>
        </w:rPr>
        <w:t>Productivity decomposition in the overall economy</w:t>
      </w:r>
      <w:r>
        <w:rPr>
          <w:noProof/>
          <w:webHidden/>
        </w:rPr>
        <w:tab/>
      </w:r>
      <w:r>
        <w:rPr>
          <w:noProof/>
          <w:webHidden/>
        </w:rPr>
        <w:fldChar w:fldCharType="begin"/>
      </w:r>
      <w:r>
        <w:rPr>
          <w:noProof/>
          <w:webHidden/>
        </w:rPr>
        <w:instrText xml:space="preserve"> PAGEREF \h _Toc474773065 \* MERGEFORMAT </w:instrText>
      </w:r>
      <w:r>
        <w:rPr>
          <w:noProof/>
          <w:webHidden/>
        </w:rPr>
      </w:r>
      <w:r>
        <w:rPr>
          <w:noProof/>
          <w:webHidden/>
        </w:rPr>
        <w:fldChar w:fldCharType="separate"/>
      </w:r>
      <w:r>
        <w:rPr>
          <w:noProof/>
          <w:webHidden/>
        </w:rPr>
        <w:t>8</w:t>
      </w:r>
      <w:r>
        <w:rPr>
          <w:noProof/>
          <w:webHidden/>
        </w:rPr>
        <w:fldChar w:fldCharType="end"/>
      </w:r>
    </w:p>
    <w:p w:rsidR="00BB0B51" w:rsidRDefault="00AA53B1">
      <w:pPr>
        <w:pStyle w:val="TOC5"/>
        <w:rPr>
          <w:rFonts w:eastAsiaTheme="minorEastAsia"/>
          <w:noProof/>
        </w:rPr>
      </w:pPr>
      <w:r>
        <w:rPr>
          <w:noProof/>
        </w:rPr>
        <w:t>1.10.</w:t>
      </w:r>
      <w:r>
        <w:rPr>
          <w:rFonts w:eastAsiaTheme="minorEastAsia"/>
          <w:noProof/>
        </w:rPr>
        <w:tab/>
      </w:r>
      <w:r>
        <w:rPr>
          <w:noProof/>
        </w:rPr>
        <w:t>Potential growth and its components</w:t>
      </w:r>
      <w:r>
        <w:rPr>
          <w:noProof/>
          <w:webHidden/>
        </w:rPr>
        <w:tab/>
      </w:r>
      <w:r>
        <w:rPr>
          <w:noProof/>
          <w:webHidden/>
        </w:rPr>
        <w:fldChar w:fldCharType="begin"/>
      </w:r>
      <w:r>
        <w:rPr>
          <w:noProof/>
          <w:webHidden/>
        </w:rPr>
        <w:instrText xml:space="preserve"> PAGEREF \h _Toc474773066 \* MERGEFORMA</w:instrText>
      </w:r>
      <w:r>
        <w:rPr>
          <w:noProof/>
          <w:webHidden/>
        </w:rPr>
        <w:instrText xml:space="preserve">T </w:instrText>
      </w:r>
      <w:r>
        <w:rPr>
          <w:noProof/>
          <w:webHidden/>
        </w:rPr>
      </w:r>
      <w:r>
        <w:rPr>
          <w:noProof/>
          <w:webHidden/>
        </w:rPr>
        <w:fldChar w:fldCharType="separate"/>
      </w:r>
      <w:r>
        <w:rPr>
          <w:noProof/>
          <w:webHidden/>
        </w:rPr>
        <w:t>9</w:t>
      </w:r>
      <w:r>
        <w:rPr>
          <w:noProof/>
          <w:webHidden/>
        </w:rPr>
        <w:fldChar w:fldCharType="end"/>
      </w:r>
    </w:p>
    <w:p w:rsidR="00BB0B51" w:rsidRDefault="00AA53B1">
      <w:pPr>
        <w:pStyle w:val="TOC5"/>
        <w:rPr>
          <w:rFonts w:eastAsiaTheme="minorEastAsia"/>
          <w:noProof/>
        </w:rPr>
      </w:pPr>
      <w:r>
        <w:rPr>
          <w:noProof/>
        </w:rPr>
        <w:t>3.1.</w:t>
      </w:r>
      <w:r>
        <w:rPr>
          <w:rFonts w:eastAsiaTheme="minorEastAsia"/>
          <w:noProof/>
        </w:rPr>
        <w:tab/>
      </w:r>
      <w:r>
        <w:rPr>
          <w:noProof/>
        </w:rPr>
        <w:t>Banking sector situation and domestic debt levels</w:t>
      </w:r>
      <w:r>
        <w:rPr>
          <w:noProof/>
          <w:webHidden/>
        </w:rPr>
        <w:tab/>
      </w:r>
      <w:r>
        <w:rPr>
          <w:noProof/>
          <w:webHidden/>
        </w:rPr>
        <w:fldChar w:fldCharType="begin"/>
      </w:r>
      <w:r>
        <w:rPr>
          <w:noProof/>
          <w:webHidden/>
        </w:rPr>
        <w:instrText xml:space="preserve"> PAGEREF \h _Toc474773067 \* MERGEFORMAT </w:instrText>
      </w:r>
      <w:r>
        <w:rPr>
          <w:noProof/>
          <w:webHidden/>
        </w:rPr>
      </w:r>
      <w:r>
        <w:rPr>
          <w:noProof/>
          <w:webHidden/>
        </w:rPr>
        <w:fldChar w:fldCharType="separate"/>
      </w:r>
      <w:r>
        <w:rPr>
          <w:noProof/>
          <w:webHidden/>
        </w:rPr>
        <w:t>16</w:t>
      </w:r>
      <w:r>
        <w:rPr>
          <w:noProof/>
          <w:webHidden/>
        </w:rPr>
        <w:fldChar w:fldCharType="end"/>
      </w:r>
    </w:p>
    <w:p w:rsidR="00BB0B51" w:rsidRDefault="00AA53B1">
      <w:pPr>
        <w:pStyle w:val="TOC5"/>
        <w:rPr>
          <w:rFonts w:eastAsiaTheme="minorEastAsia"/>
          <w:noProof/>
        </w:rPr>
      </w:pPr>
      <w:r>
        <w:rPr>
          <w:noProof/>
        </w:rPr>
        <w:t>4.1.1.</w:t>
      </w:r>
      <w:r>
        <w:rPr>
          <w:rFonts w:eastAsiaTheme="minorEastAsia"/>
          <w:noProof/>
        </w:rPr>
        <w:tab/>
      </w:r>
      <w:r>
        <w:rPr>
          <w:noProof/>
        </w:rPr>
        <w:t xml:space="preserve">Combined </w:t>
      </w:r>
      <w:r>
        <w:rPr>
          <w:noProof/>
        </w:rPr>
        <w:t>interest rate and GDP growth shock (chart to be updated)</w:t>
      </w:r>
      <w:r>
        <w:rPr>
          <w:noProof/>
          <w:webHidden/>
        </w:rPr>
        <w:tab/>
      </w:r>
      <w:r>
        <w:rPr>
          <w:noProof/>
          <w:webHidden/>
        </w:rPr>
        <w:fldChar w:fldCharType="begin"/>
      </w:r>
      <w:r>
        <w:rPr>
          <w:noProof/>
          <w:webHidden/>
        </w:rPr>
        <w:instrText xml:space="preserve"> PAGEREF \h _Toc474773068 \* MERGEFORMAT </w:instrText>
      </w:r>
      <w:r>
        <w:rPr>
          <w:noProof/>
          <w:webHidden/>
        </w:rPr>
      </w:r>
      <w:r>
        <w:rPr>
          <w:noProof/>
          <w:webHidden/>
        </w:rPr>
        <w:fldChar w:fldCharType="separate"/>
      </w:r>
      <w:r>
        <w:rPr>
          <w:noProof/>
          <w:webHidden/>
        </w:rPr>
        <w:t>21</w:t>
      </w:r>
      <w:r>
        <w:rPr>
          <w:noProof/>
          <w:webHidden/>
        </w:rPr>
        <w:fldChar w:fldCharType="end"/>
      </w:r>
    </w:p>
    <w:p w:rsidR="00BB0B51" w:rsidRDefault="00AA53B1">
      <w:pPr>
        <w:pStyle w:val="TOC5"/>
        <w:rPr>
          <w:rFonts w:eastAsiaTheme="minorEastAsia"/>
          <w:noProof/>
        </w:rPr>
      </w:pPr>
      <w:r>
        <w:rPr>
          <w:noProof/>
        </w:rPr>
        <w:t>4.1.2.</w:t>
      </w:r>
      <w:r>
        <w:rPr>
          <w:rFonts w:eastAsiaTheme="minorEastAsia"/>
          <w:noProof/>
        </w:rPr>
        <w:tab/>
      </w:r>
      <w:r>
        <w:rPr>
          <w:noProof/>
        </w:rPr>
        <w:t>Fiscal consolidation</w:t>
      </w:r>
      <w:r>
        <w:rPr>
          <w:noProof/>
          <w:webHidden/>
        </w:rPr>
        <w:tab/>
      </w:r>
      <w:r>
        <w:rPr>
          <w:noProof/>
          <w:webHidden/>
        </w:rPr>
        <w:fldChar w:fldCharType="begin"/>
      </w:r>
      <w:r>
        <w:rPr>
          <w:noProof/>
          <w:webHidden/>
        </w:rPr>
        <w:instrText xml:space="preserve"> PAGEREF \h _Toc474773069 \* MERGEFORMAT </w:instrText>
      </w:r>
      <w:r>
        <w:rPr>
          <w:noProof/>
          <w:webHidden/>
        </w:rPr>
      </w:r>
      <w:r>
        <w:rPr>
          <w:noProof/>
          <w:webHidden/>
        </w:rPr>
        <w:fldChar w:fldCharType="separate"/>
      </w:r>
      <w:r>
        <w:rPr>
          <w:noProof/>
          <w:webHidden/>
        </w:rPr>
        <w:t>22</w:t>
      </w:r>
      <w:r>
        <w:rPr>
          <w:noProof/>
          <w:webHidden/>
        </w:rPr>
        <w:fldChar w:fldCharType="end"/>
      </w:r>
    </w:p>
    <w:p w:rsidR="00BB0B51" w:rsidRDefault="00AA53B1">
      <w:pPr>
        <w:pStyle w:val="TOC5"/>
        <w:rPr>
          <w:rFonts w:eastAsiaTheme="minorEastAsia"/>
          <w:noProof/>
        </w:rPr>
      </w:pPr>
      <w:r>
        <w:rPr>
          <w:noProof/>
        </w:rPr>
        <w:t>4.2.1.</w:t>
      </w:r>
      <w:r>
        <w:rPr>
          <w:rFonts w:eastAsiaTheme="minorEastAsia"/>
          <w:noProof/>
        </w:rPr>
        <w:tab/>
      </w:r>
      <w:r>
        <w:rPr>
          <w:noProof/>
        </w:rPr>
        <w:t>Debt breakdown by sector in 2002</w:t>
      </w:r>
      <w:r>
        <w:rPr>
          <w:noProof/>
        </w:rPr>
        <w:noBreakHyphen/>
        <w:t>2016</w:t>
      </w:r>
      <w:r>
        <w:rPr>
          <w:noProof/>
          <w:webHidden/>
        </w:rPr>
        <w:tab/>
      </w:r>
      <w:r>
        <w:rPr>
          <w:noProof/>
          <w:webHidden/>
        </w:rPr>
        <w:fldChar w:fldCharType="begin"/>
      </w:r>
      <w:r>
        <w:rPr>
          <w:noProof/>
          <w:webHidden/>
        </w:rPr>
        <w:instrText xml:space="preserve"> PAGEREF \h _Toc474773070 \* MERGEFORMAT </w:instrText>
      </w:r>
      <w:r>
        <w:rPr>
          <w:noProof/>
          <w:webHidden/>
        </w:rPr>
      </w:r>
      <w:r>
        <w:rPr>
          <w:noProof/>
          <w:webHidden/>
        </w:rPr>
        <w:fldChar w:fldCharType="separate"/>
      </w:r>
      <w:r>
        <w:rPr>
          <w:noProof/>
          <w:webHidden/>
        </w:rPr>
        <w:t>30</w:t>
      </w:r>
      <w:r>
        <w:rPr>
          <w:noProof/>
          <w:webHidden/>
        </w:rPr>
        <w:fldChar w:fldCharType="end"/>
      </w:r>
    </w:p>
    <w:p w:rsidR="00BB0B51" w:rsidRDefault="00AA53B1">
      <w:pPr>
        <w:pStyle w:val="TOC5"/>
        <w:rPr>
          <w:rFonts w:eastAsiaTheme="minorEastAsia"/>
          <w:noProof/>
        </w:rPr>
      </w:pPr>
      <w:r>
        <w:rPr>
          <w:noProof/>
        </w:rPr>
        <w:t>4.2.2.</w:t>
      </w:r>
      <w:r>
        <w:rPr>
          <w:rFonts w:eastAsiaTheme="minorEastAsia"/>
          <w:noProof/>
        </w:rPr>
        <w:tab/>
      </w:r>
      <w:r>
        <w:rPr>
          <w:noProof/>
        </w:rPr>
        <w:t>Breakdown of year</w:t>
      </w:r>
      <w:r>
        <w:rPr>
          <w:noProof/>
        </w:rPr>
        <w:noBreakHyphen/>
        <w:t>on</w:t>
      </w:r>
      <w:r>
        <w:rPr>
          <w:noProof/>
        </w:rPr>
        <w:noBreakHyphen/>
        <w:t>year changes in debt</w:t>
      </w:r>
      <w:r>
        <w:rPr>
          <w:noProof/>
        </w:rPr>
        <w:noBreakHyphen/>
        <w:t>to</w:t>
      </w:r>
      <w:r>
        <w:rPr>
          <w:noProof/>
        </w:rPr>
        <w:noBreakHyphen/>
        <w:t>GDP ratios, NFCs</w:t>
      </w:r>
      <w:r>
        <w:rPr>
          <w:noProof/>
          <w:webHidden/>
        </w:rPr>
        <w:tab/>
      </w:r>
      <w:r>
        <w:rPr>
          <w:noProof/>
          <w:webHidden/>
        </w:rPr>
        <w:fldChar w:fldCharType="begin"/>
      </w:r>
      <w:r>
        <w:rPr>
          <w:noProof/>
          <w:webHidden/>
        </w:rPr>
        <w:instrText xml:space="preserve"> PAGEREF \h _Toc474773071 \* MERGEFORMAT </w:instrText>
      </w:r>
      <w:r>
        <w:rPr>
          <w:noProof/>
          <w:webHidden/>
        </w:rPr>
      </w:r>
      <w:r>
        <w:rPr>
          <w:noProof/>
          <w:webHidden/>
        </w:rPr>
        <w:fldChar w:fldCharType="separate"/>
      </w:r>
      <w:r>
        <w:rPr>
          <w:noProof/>
          <w:webHidden/>
        </w:rPr>
        <w:t>30</w:t>
      </w:r>
      <w:r>
        <w:rPr>
          <w:noProof/>
          <w:webHidden/>
        </w:rPr>
        <w:fldChar w:fldCharType="end"/>
      </w:r>
    </w:p>
    <w:p w:rsidR="00BB0B51" w:rsidRDefault="00AA53B1">
      <w:pPr>
        <w:pStyle w:val="TOC5"/>
        <w:rPr>
          <w:rFonts w:eastAsiaTheme="minorEastAsia"/>
          <w:noProof/>
        </w:rPr>
      </w:pPr>
      <w:r>
        <w:rPr>
          <w:noProof/>
        </w:rPr>
        <w:t>4.2.3.</w:t>
      </w:r>
      <w:r>
        <w:rPr>
          <w:rFonts w:eastAsiaTheme="minorEastAsia"/>
          <w:noProof/>
        </w:rPr>
        <w:tab/>
      </w:r>
      <w:r>
        <w:rPr>
          <w:noProof/>
        </w:rPr>
        <w:t>Brea</w:t>
      </w:r>
      <w:r>
        <w:rPr>
          <w:noProof/>
        </w:rPr>
        <w:t>kdown of year</w:t>
      </w:r>
      <w:r>
        <w:rPr>
          <w:noProof/>
        </w:rPr>
        <w:noBreakHyphen/>
        <w:t>on</w:t>
      </w:r>
      <w:r>
        <w:rPr>
          <w:noProof/>
        </w:rPr>
        <w:noBreakHyphen/>
        <w:t>year changes in debt</w:t>
      </w:r>
      <w:r>
        <w:rPr>
          <w:noProof/>
        </w:rPr>
        <w:noBreakHyphen/>
        <w:t>to</w:t>
      </w:r>
      <w:r>
        <w:rPr>
          <w:noProof/>
        </w:rPr>
        <w:noBreakHyphen/>
        <w:t>GDP ratios, households</w:t>
      </w:r>
      <w:r>
        <w:rPr>
          <w:noProof/>
          <w:webHidden/>
        </w:rPr>
        <w:tab/>
      </w:r>
      <w:r>
        <w:rPr>
          <w:noProof/>
          <w:webHidden/>
        </w:rPr>
        <w:fldChar w:fldCharType="begin"/>
      </w:r>
      <w:r>
        <w:rPr>
          <w:noProof/>
          <w:webHidden/>
        </w:rPr>
        <w:instrText xml:space="preserve"> PAGEREF \h _Toc474773072 \* MERGEFORMAT </w:instrText>
      </w:r>
      <w:r>
        <w:rPr>
          <w:noProof/>
          <w:webHidden/>
        </w:rPr>
      </w:r>
      <w:r>
        <w:rPr>
          <w:noProof/>
          <w:webHidden/>
        </w:rPr>
        <w:fldChar w:fldCharType="separate"/>
      </w:r>
      <w:r>
        <w:rPr>
          <w:noProof/>
          <w:webHidden/>
        </w:rPr>
        <w:t>31</w:t>
      </w:r>
      <w:r>
        <w:rPr>
          <w:noProof/>
          <w:webHidden/>
        </w:rPr>
        <w:fldChar w:fldCharType="end"/>
      </w:r>
    </w:p>
    <w:p w:rsidR="00BB0B51" w:rsidRDefault="00AA53B1">
      <w:pPr>
        <w:pStyle w:val="TOC5"/>
        <w:rPr>
          <w:rFonts w:eastAsiaTheme="minorEastAsia"/>
          <w:noProof/>
        </w:rPr>
      </w:pPr>
      <w:r>
        <w:rPr>
          <w:noProof/>
        </w:rPr>
        <w:t>4.2.4.</w:t>
      </w:r>
      <w:r>
        <w:rPr>
          <w:rFonts w:eastAsiaTheme="minorEastAsia"/>
          <w:noProof/>
        </w:rPr>
        <w:tab/>
      </w:r>
      <w:r>
        <w:rPr>
          <w:noProof/>
        </w:rPr>
        <w:t>Breakdown of Portugal's Net International Investment Position (NIIP)</w:t>
      </w:r>
      <w:r>
        <w:rPr>
          <w:noProof/>
          <w:webHidden/>
        </w:rPr>
        <w:tab/>
      </w:r>
      <w:r>
        <w:rPr>
          <w:noProof/>
          <w:webHidden/>
        </w:rPr>
        <w:fldChar w:fldCharType="begin"/>
      </w:r>
      <w:r>
        <w:rPr>
          <w:noProof/>
          <w:webHidden/>
        </w:rPr>
        <w:instrText xml:space="preserve"> PAGE</w:instrText>
      </w:r>
      <w:r>
        <w:rPr>
          <w:noProof/>
          <w:webHidden/>
        </w:rPr>
        <w:instrText xml:space="preserve">REF \h _Toc474773073 \* MERGEFORMAT </w:instrText>
      </w:r>
      <w:r>
        <w:rPr>
          <w:noProof/>
          <w:webHidden/>
        </w:rPr>
      </w:r>
      <w:r>
        <w:rPr>
          <w:noProof/>
          <w:webHidden/>
        </w:rPr>
        <w:fldChar w:fldCharType="separate"/>
      </w:r>
      <w:r>
        <w:rPr>
          <w:noProof/>
          <w:webHidden/>
        </w:rPr>
        <w:t>31</w:t>
      </w:r>
      <w:r>
        <w:rPr>
          <w:noProof/>
          <w:webHidden/>
        </w:rPr>
        <w:fldChar w:fldCharType="end"/>
      </w:r>
    </w:p>
    <w:p w:rsidR="00BB0B51" w:rsidRDefault="00AA53B1">
      <w:pPr>
        <w:pStyle w:val="TOC5"/>
        <w:rPr>
          <w:rFonts w:eastAsiaTheme="minorEastAsia"/>
          <w:noProof/>
        </w:rPr>
      </w:pPr>
      <w:r>
        <w:rPr>
          <w:noProof/>
        </w:rPr>
        <w:t>4.2.5.</w:t>
      </w:r>
      <w:r>
        <w:rPr>
          <w:rFonts w:eastAsiaTheme="minorEastAsia"/>
          <w:noProof/>
        </w:rPr>
        <w:tab/>
      </w:r>
      <w:r>
        <w:rPr>
          <w:noProof/>
        </w:rPr>
        <w:t>Current account financing</w:t>
      </w:r>
      <w:r>
        <w:rPr>
          <w:noProof/>
          <w:webHidden/>
        </w:rPr>
        <w:tab/>
      </w:r>
      <w:r>
        <w:rPr>
          <w:noProof/>
          <w:webHidden/>
        </w:rPr>
        <w:fldChar w:fldCharType="begin"/>
      </w:r>
      <w:r>
        <w:rPr>
          <w:noProof/>
          <w:webHidden/>
        </w:rPr>
        <w:instrText xml:space="preserve"> PAGEREF \h _Toc474773074 \* MERGEFORMAT </w:instrText>
      </w:r>
      <w:r>
        <w:rPr>
          <w:noProof/>
          <w:webHidden/>
        </w:rPr>
      </w:r>
      <w:r>
        <w:rPr>
          <w:noProof/>
          <w:webHidden/>
        </w:rPr>
        <w:fldChar w:fldCharType="separate"/>
      </w:r>
      <w:r>
        <w:rPr>
          <w:noProof/>
          <w:webHidden/>
        </w:rPr>
        <w:t>32</w:t>
      </w:r>
      <w:r>
        <w:rPr>
          <w:noProof/>
          <w:webHidden/>
        </w:rPr>
        <w:fldChar w:fldCharType="end"/>
      </w:r>
    </w:p>
    <w:p w:rsidR="00BB0B51" w:rsidRDefault="00AA53B1">
      <w:pPr>
        <w:pStyle w:val="TOC5"/>
        <w:rPr>
          <w:rFonts w:eastAsiaTheme="minorEastAsia"/>
          <w:noProof/>
        </w:rPr>
      </w:pPr>
      <w:r>
        <w:rPr>
          <w:noProof/>
        </w:rPr>
        <w:t>4.2.6</w:t>
      </w:r>
      <w:r>
        <w:rPr>
          <w:noProof/>
        </w:rPr>
        <w:t>.</w:t>
      </w:r>
      <w:r>
        <w:rPr>
          <w:rFonts w:eastAsiaTheme="minorEastAsia"/>
          <w:noProof/>
        </w:rPr>
        <w:tab/>
      </w:r>
      <w:r>
        <w:rPr>
          <w:noProof/>
        </w:rPr>
        <w:t>NIIP sensitivity to macroeconomic shocks</w:t>
      </w:r>
      <w:r>
        <w:rPr>
          <w:noProof/>
          <w:webHidden/>
        </w:rPr>
        <w:tab/>
      </w:r>
      <w:r>
        <w:rPr>
          <w:noProof/>
          <w:webHidden/>
        </w:rPr>
        <w:fldChar w:fldCharType="begin"/>
      </w:r>
      <w:r>
        <w:rPr>
          <w:noProof/>
          <w:webHidden/>
        </w:rPr>
        <w:instrText xml:space="preserve"> PAGEREF \h _Toc474773075 \* MERGEFORMAT </w:instrText>
      </w:r>
      <w:r>
        <w:rPr>
          <w:noProof/>
          <w:webHidden/>
        </w:rPr>
      </w:r>
      <w:r>
        <w:rPr>
          <w:noProof/>
          <w:webHidden/>
        </w:rPr>
        <w:fldChar w:fldCharType="separate"/>
      </w:r>
      <w:r>
        <w:rPr>
          <w:noProof/>
          <w:webHidden/>
        </w:rPr>
        <w:t>32</w:t>
      </w:r>
      <w:r>
        <w:rPr>
          <w:noProof/>
          <w:webHidden/>
        </w:rPr>
        <w:fldChar w:fldCharType="end"/>
      </w:r>
    </w:p>
    <w:p w:rsidR="00BB0B51" w:rsidRDefault="00AA53B1">
      <w:pPr>
        <w:pStyle w:val="TOC5"/>
        <w:rPr>
          <w:rFonts w:eastAsiaTheme="minorEastAsia"/>
          <w:noProof/>
        </w:rPr>
      </w:pPr>
      <w:r>
        <w:rPr>
          <w:noProof/>
        </w:rPr>
        <w:t>4.3.1.</w:t>
      </w:r>
      <w:r>
        <w:rPr>
          <w:rFonts w:eastAsiaTheme="minorEastAsia"/>
          <w:noProof/>
        </w:rPr>
        <w:tab/>
      </w:r>
      <w:r>
        <w:rPr>
          <w:noProof/>
        </w:rPr>
        <w:t>Unemployment by duration</w:t>
      </w:r>
      <w:r>
        <w:rPr>
          <w:noProof/>
          <w:webHidden/>
        </w:rPr>
        <w:tab/>
      </w:r>
      <w:r>
        <w:rPr>
          <w:noProof/>
          <w:webHidden/>
        </w:rPr>
        <w:fldChar w:fldCharType="begin"/>
      </w:r>
      <w:r>
        <w:rPr>
          <w:noProof/>
          <w:webHidden/>
        </w:rPr>
        <w:instrText xml:space="preserve"> PAGEREF \h _Toc474773076 \* MERGEFORMAT </w:instrText>
      </w:r>
      <w:r>
        <w:rPr>
          <w:noProof/>
          <w:webHidden/>
        </w:rPr>
      </w:r>
      <w:r>
        <w:rPr>
          <w:noProof/>
          <w:webHidden/>
        </w:rPr>
        <w:fldChar w:fldCharType="separate"/>
      </w:r>
      <w:r>
        <w:rPr>
          <w:noProof/>
          <w:webHidden/>
        </w:rPr>
        <w:t>33</w:t>
      </w:r>
      <w:r>
        <w:rPr>
          <w:noProof/>
          <w:webHidden/>
        </w:rPr>
        <w:fldChar w:fldCharType="end"/>
      </w:r>
    </w:p>
    <w:p w:rsidR="00BB0B51" w:rsidRDefault="00AA53B1">
      <w:pPr>
        <w:pStyle w:val="TOC5"/>
        <w:rPr>
          <w:rFonts w:eastAsiaTheme="minorEastAsia"/>
          <w:noProof/>
        </w:rPr>
      </w:pPr>
      <w:r>
        <w:rPr>
          <w:noProof/>
        </w:rPr>
        <w:t>4.3.2.</w:t>
      </w:r>
      <w:r>
        <w:rPr>
          <w:rFonts w:eastAsiaTheme="minorEastAsia"/>
          <w:noProof/>
        </w:rPr>
        <w:tab/>
      </w:r>
      <w:r>
        <w:rPr>
          <w:noProof/>
        </w:rPr>
        <w:t>Main social indicators</w:t>
      </w:r>
      <w:r>
        <w:rPr>
          <w:noProof/>
          <w:webHidden/>
        </w:rPr>
        <w:tab/>
      </w:r>
      <w:r>
        <w:rPr>
          <w:noProof/>
          <w:webHidden/>
        </w:rPr>
        <w:fldChar w:fldCharType="begin"/>
      </w:r>
      <w:r>
        <w:rPr>
          <w:noProof/>
          <w:webHidden/>
        </w:rPr>
        <w:instrText xml:space="preserve"> PAGEREF \h _Toc474773077 \* MERGEFORMAT </w:instrText>
      </w:r>
      <w:r>
        <w:rPr>
          <w:noProof/>
          <w:webHidden/>
        </w:rPr>
      </w:r>
      <w:r>
        <w:rPr>
          <w:noProof/>
          <w:webHidden/>
        </w:rPr>
        <w:fldChar w:fldCharType="separate"/>
      </w:r>
      <w:r>
        <w:rPr>
          <w:noProof/>
          <w:webHidden/>
        </w:rPr>
        <w:t>35</w:t>
      </w:r>
      <w:r>
        <w:rPr>
          <w:noProof/>
          <w:webHidden/>
        </w:rPr>
        <w:fldChar w:fldCharType="end"/>
      </w:r>
    </w:p>
    <w:p w:rsidR="00BB0B51" w:rsidRDefault="00AA53B1">
      <w:pPr>
        <w:pStyle w:val="TOC5"/>
        <w:rPr>
          <w:rFonts w:eastAsiaTheme="minorEastAsia"/>
          <w:noProof/>
        </w:rPr>
      </w:pPr>
      <w:r>
        <w:rPr>
          <w:noProof/>
        </w:rPr>
        <w:t>4.4.1.</w:t>
      </w:r>
      <w:r>
        <w:rPr>
          <w:rFonts w:eastAsiaTheme="minorEastAsia"/>
          <w:noProof/>
        </w:rPr>
        <w:tab/>
      </w:r>
      <w:r>
        <w:rPr>
          <w:noProof/>
        </w:rPr>
        <w:t>Investment productivity</w:t>
      </w:r>
      <w:r>
        <w:rPr>
          <w:noProof/>
          <w:webHidden/>
        </w:rPr>
        <w:tab/>
      </w:r>
      <w:r>
        <w:rPr>
          <w:noProof/>
          <w:webHidden/>
        </w:rPr>
        <w:fldChar w:fldCharType="begin"/>
      </w:r>
      <w:r>
        <w:rPr>
          <w:noProof/>
          <w:webHidden/>
        </w:rPr>
        <w:instrText xml:space="preserve"> PAGEREF \h _Toc474773078 \* MERGEFORMAT </w:instrText>
      </w:r>
      <w:r>
        <w:rPr>
          <w:noProof/>
          <w:webHidden/>
        </w:rPr>
      </w:r>
      <w:r>
        <w:rPr>
          <w:noProof/>
          <w:webHidden/>
        </w:rPr>
        <w:fldChar w:fldCharType="separate"/>
      </w:r>
      <w:r>
        <w:rPr>
          <w:noProof/>
          <w:webHidden/>
        </w:rPr>
        <w:t>40</w:t>
      </w:r>
      <w:r>
        <w:rPr>
          <w:noProof/>
          <w:webHidden/>
        </w:rPr>
        <w:fldChar w:fldCharType="end"/>
      </w:r>
    </w:p>
    <w:p w:rsidR="00BB0B51" w:rsidRDefault="00AA53B1">
      <w:pPr>
        <w:pStyle w:val="TOC5"/>
        <w:rPr>
          <w:rFonts w:eastAsiaTheme="minorEastAsia"/>
          <w:noProof/>
        </w:rPr>
      </w:pPr>
      <w:r>
        <w:rPr>
          <w:noProof/>
        </w:rPr>
        <w:t>4.4.2.</w:t>
      </w:r>
      <w:r>
        <w:rPr>
          <w:rFonts w:eastAsiaTheme="minorEastAsia"/>
          <w:noProof/>
        </w:rPr>
        <w:tab/>
      </w:r>
      <w:r>
        <w:rPr>
          <w:noProof/>
        </w:rPr>
        <w:t>Investment and its components</w:t>
      </w:r>
      <w:r>
        <w:rPr>
          <w:noProof/>
          <w:webHidden/>
        </w:rPr>
        <w:tab/>
      </w:r>
      <w:r>
        <w:rPr>
          <w:noProof/>
          <w:webHidden/>
        </w:rPr>
        <w:fldChar w:fldCharType="begin"/>
      </w:r>
      <w:r>
        <w:rPr>
          <w:noProof/>
          <w:webHidden/>
        </w:rPr>
        <w:instrText xml:space="preserve"> PAGEREF \h </w:instrText>
      </w:r>
      <w:r>
        <w:rPr>
          <w:noProof/>
          <w:webHidden/>
        </w:rPr>
        <w:instrText xml:space="preserve">_Toc474773079 \* MERGEFORMAT </w:instrText>
      </w:r>
      <w:r>
        <w:rPr>
          <w:noProof/>
          <w:webHidden/>
        </w:rPr>
      </w:r>
      <w:r>
        <w:rPr>
          <w:noProof/>
          <w:webHidden/>
        </w:rPr>
        <w:fldChar w:fldCharType="separate"/>
      </w:r>
      <w:r>
        <w:rPr>
          <w:noProof/>
          <w:webHidden/>
        </w:rPr>
        <w:t>40</w:t>
      </w:r>
      <w:r>
        <w:rPr>
          <w:noProof/>
          <w:webHidden/>
        </w:rPr>
        <w:fldChar w:fldCharType="end"/>
      </w:r>
    </w:p>
    <w:p w:rsidR="00BB0B51" w:rsidRDefault="00AA53B1">
      <w:pPr>
        <w:pStyle w:val="TOC5"/>
        <w:rPr>
          <w:rFonts w:eastAsiaTheme="minorEastAsia"/>
          <w:noProof/>
        </w:rPr>
      </w:pPr>
      <w:r>
        <w:rPr>
          <w:noProof/>
        </w:rPr>
        <w:t>4.4.3.</w:t>
      </w:r>
      <w:r>
        <w:rPr>
          <w:rFonts w:eastAsiaTheme="minorEastAsia"/>
          <w:noProof/>
        </w:rPr>
        <w:tab/>
      </w:r>
      <w:r>
        <w:rPr>
          <w:noProof/>
        </w:rPr>
        <w:t>Private and public investments</w:t>
      </w:r>
      <w:r>
        <w:rPr>
          <w:noProof/>
          <w:webHidden/>
        </w:rPr>
        <w:tab/>
      </w:r>
      <w:r>
        <w:rPr>
          <w:noProof/>
          <w:webHidden/>
        </w:rPr>
        <w:fldChar w:fldCharType="begin"/>
      </w:r>
      <w:r>
        <w:rPr>
          <w:noProof/>
          <w:webHidden/>
        </w:rPr>
        <w:instrText xml:space="preserve"> PAGEREF \h _Toc474773080 \* MERGEFORMAT </w:instrText>
      </w:r>
      <w:r>
        <w:rPr>
          <w:noProof/>
          <w:webHidden/>
        </w:rPr>
      </w:r>
      <w:r>
        <w:rPr>
          <w:noProof/>
          <w:webHidden/>
        </w:rPr>
        <w:fldChar w:fldCharType="separate"/>
      </w:r>
      <w:r>
        <w:rPr>
          <w:noProof/>
          <w:webHidden/>
        </w:rPr>
        <w:t>41</w:t>
      </w:r>
      <w:r>
        <w:rPr>
          <w:noProof/>
          <w:webHidden/>
        </w:rPr>
        <w:fldChar w:fldCharType="end"/>
      </w:r>
    </w:p>
    <w:p w:rsidR="00BB0B51" w:rsidRDefault="00AA53B1">
      <w:pPr>
        <w:pStyle w:val="TOC5"/>
        <w:rPr>
          <w:rFonts w:eastAsiaTheme="minorEastAsia"/>
          <w:noProof/>
        </w:rPr>
      </w:pPr>
      <w:r>
        <w:rPr>
          <w:noProof/>
        </w:rPr>
        <w:t>4.4.4.</w:t>
      </w:r>
      <w:r>
        <w:rPr>
          <w:rFonts w:eastAsiaTheme="minorEastAsia"/>
          <w:noProof/>
        </w:rPr>
        <w:tab/>
      </w:r>
      <w:r>
        <w:rPr>
          <w:noProof/>
        </w:rPr>
        <w:t>Most problematic factors for doing business</w:t>
      </w:r>
      <w:r>
        <w:rPr>
          <w:noProof/>
          <w:webHidden/>
        </w:rPr>
        <w:tab/>
      </w:r>
      <w:r>
        <w:rPr>
          <w:noProof/>
          <w:webHidden/>
        </w:rPr>
        <w:fldChar w:fldCharType="begin"/>
      </w:r>
      <w:r>
        <w:rPr>
          <w:noProof/>
          <w:webHidden/>
        </w:rPr>
        <w:instrText xml:space="preserve"> PAGEREF \h _Toc474773081 \* MERGEFORMAT </w:instrText>
      </w:r>
      <w:r>
        <w:rPr>
          <w:noProof/>
          <w:webHidden/>
        </w:rPr>
      </w:r>
      <w:r>
        <w:rPr>
          <w:noProof/>
          <w:webHidden/>
        </w:rPr>
        <w:fldChar w:fldCharType="separate"/>
      </w:r>
      <w:r>
        <w:rPr>
          <w:noProof/>
          <w:webHidden/>
        </w:rPr>
        <w:t>42</w:t>
      </w:r>
      <w:r>
        <w:rPr>
          <w:noProof/>
          <w:webHidden/>
        </w:rPr>
        <w:fldChar w:fldCharType="end"/>
      </w:r>
    </w:p>
    <w:p w:rsidR="00BB0B51" w:rsidRDefault="00AA53B1">
      <w:pPr>
        <w:pStyle w:val="TOC5"/>
        <w:rPr>
          <w:rFonts w:eastAsiaTheme="minorEastAsia"/>
          <w:noProof/>
        </w:rPr>
      </w:pPr>
      <w:r>
        <w:rPr>
          <w:noProof/>
        </w:rPr>
        <w:t>4.4.5.</w:t>
      </w:r>
      <w:r>
        <w:rPr>
          <w:rFonts w:eastAsiaTheme="minorEastAsia"/>
          <w:noProof/>
        </w:rPr>
        <w:tab/>
      </w:r>
      <w:r>
        <w:rPr>
          <w:noProof/>
        </w:rPr>
        <w:t>World Economic Forum's 2016</w:t>
      </w:r>
      <w:r>
        <w:rPr>
          <w:noProof/>
        </w:rPr>
        <w:noBreakHyphen/>
        <w:t>2017 Global Competitiveness Report, Portugal</w:t>
      </w:r>
      <w:r>
        <w:rPr>
          <w:noProof/>
          <w:webHidden/>
        </w:rPr>
        <w:tab/>
      </w:r>
      <w:r>
        <w:rPr>
          <w:noProof/>
          <w:webHidden/>
        </w:rPr>
        <w:fldChar w:fldCharType="begin"/>
      </w:r>
      <w:r>
        <w:rPr>
          <w:noProof/>
          <w:webHidden/>
        </w:rPr>
        <w:instrText xml:space="preserve"> PAGEREF \h _Toc47477</w:instrText>
      </w:r>
      <w:r>
        <w:rPr>
          <w:noProof/>
          <w:webHidden/>
        </w:rPr>
        <w:instrText xml:space="preserve">3082 \* MERGEFORMAT </w:instrText>
      </w:r>
      <w:r>
        <w:rPr>
          <w:noProof/>
          <w:webHidden/>
        </w:rPr>
      </w:r>
      <w:r>
        <w:rPr>
          <w:noProof/>
          <w:webHidden/>
        </w:rPr>
        <w:fldChar w:fldCharType="separate"/>
      </w:r>
      <w:r>
        <w:rPr>
          <w:noProof/>
          <w:webHidden/>
        </w:rPr>
        <w:t>42</w:t>
      </w:r>
      <w:r>
        <w:rPr>
          <w:noProof/>
          <w:webHidden/>
        </w:rPr>
        <w:fldChar w:fldCharType="end"/>
      </w:r>
    </w:p>
    <w:p w:rsidR="00BB0B51" w:rsidRDefault="00AA53B1">
      <w:pPr>
        <w:pStyle w:val="TOC5"/>
        <w:rPr>
          <w:rFonts w:eastAsiaTheme="minorEastAsia"/>
          <w:noProof/>
        </w:rPr>
      </w:pPr>
      <w:r>
        <w:rPr>
          <w:noProof/>
        </w:rPr>
        <w:t>4.4.6.</w:t>
      </w:r>
      <w:r>
        <w:rPr>
          <w:rFonts w:eastAsiaTheme="minorEastAsia"/>
          <w:noProof/>
        </w:rPr>
        <w:tab/>
      </w:r>
      <w:r>
        <w:rPr>
          <w:noProof/>
        </w:rPr>
        <w:t>Foreign direct investment</w:t>
      </w:r>
      <w:r>
        <w:rPr>
          <w:noProof/>
          <w:webHidden/>
        </w:rPr>
        <w:tab/>
      </w:r>
      <w:r>
        <w:rPr>
          <w:noProof/>
          <w:webHidden/>
        </w:rPr>
        <w:fldChar w:fldCharType="begin"/>
      </w:r>
      <w:r>
        <w:rPr>
          <w:noProof/>
          <w:webHidden/>
        </w:rPr>
        <w:instrText xml:space="preserve"> PAGEREF \h _Toc474773083 \* MERGEFORMAT </w:instrText>
      </w:r>
      <w:r>
        <w:rPr>
          <w:noProof/>
          <w:webHidden/>
        </w:rPr>
      </w:r>
      <w:r>
        <w:rPr>
          <w:noProof/>
          <w:webHidden/>
        </w:rPr>
        <w:fldChar w:fldCharType="separate"/>
      </w:r>
      <w:r>
        <w:rPr>
          <w:noProof/>
          <w:webHidden/>
        </w:rPr>
        <w:t>42</w:t>
      </w:r>
      <w:r>
        <w:rPr>
          <w:noProof/>
          <w:webHidden/>
        </w:rPr>
        <w:fldChar w:fldCharType="end"/>
      </w:r>
    </w:p>
    <w:p w:rsidR="00BB0B51" w:rsidRDefault="00AA53B1">
      <w:pPr>
        <w:pStyle w:val="TOC5"/>
        <w:rPr>
          <w:rFonts w:eastAsiaTheme="minorEastAsia"/>
          <w:noProof/>
        </w:rPr>
      </w:pPr>
      <w:r>
        <w:rPr>
          <w:noProof/>
        </w:rPr>
        <w:t>4.4.7.</w:t>
      </w:r>
      <w:r>
        <w:rPr>
          <w:rFonts w:eastAsiaTheme="minorEastAsia"/>
          <w:noProof/>
        </w:rPr>
        <w:tab/>
      </w:r>
      <w:r>
        <w:rPr>
          <w:noProof/>
        </w:rPr>
        <w:t>Component contributions to change in CA balance 2007</w:t>
      </w:r>
      <w:r>
        <w:rPr>
          <w:noProof/>
        </w:rPr>
        <w:noBreakHyphen/>
        <w:t>2015</w:t>
      </w:r>
      <w:r>
        <w:rPr>
          <w:noProof/>
          <w:webHidden/>
        </w:rPr>
        <w:tab/>
      </w:r>
      <w:r>
        <w:rPr>
          <w:noProof/>
          <w:webHidden/>
        </w:rPr>
        <w:fldChar w:fldCharType="begin"/>
      </w:r>
      <w:r>
        <w:rPr>
          <w:noProof/>
          <w:webHidden/>
        </w:rPr>
        <w:instrText xml:space="preserve"> PAGEREF \h _Toc474773084 \* MERGEFORMAT </w:instrText>
      </w:r>
      <w:r>
        <w:rPr>
          <w:noProof/>
          <w:webHidden/>
        </w:rPr>
      </w:r>
      <w:r>
        <w:rPr>
          <w:noProof/>
          <w:webHidden/>
        </w:rPr>
        <w:fldChar w:fldCharType="separate"/>
      </w:r>
      <w:r>
        <w:rPr>
          <w:noProof/>
          <w:webHidden/>
        </w:rPr>
        <w:t>43</w:t>
      </w:r>
      <w:r>
        <w:rPr>
          <w:noProof/>
          <w:webHidden/>
        </w:rPr>
        <w:fldChar w:fldCharType="end"/>
      </w:r>
    </w:p>
    <w:p w:rsidR="00BB0B51" w:rsidRDefault="00AA53B1">
      <w:pPr>
        <w:pStyle w:val="TOC5"/>
        <w:rPr>
          <w:rFonts w:eastAsiaTheme="minorEastAsia"/>
          <w:noProof/>
        </w:rPr>
      </w:pPr>
      <w:r>
        <w:rPr>
          <w:noProof/>
        </w:rPr>
        <w:t>4.4.8.</w:t>
      </w:r>
      <w:r>
        <w:rPr>
          <w:rFonts w:eastAsiaTheme="minorEastAsia"/>
          <w:noProof/>
        </w:rPr>
        <w:tab/>
      </w:r>
      <w:r>
        <w:rPr>
          <w:noProof/>
        </w:rPr>
        <w:t xml:space="preserve">Nominal </w:t>
      </w:r>
      <w:r>
        <w:rPr>
          <w:noProof/>
        </w:rPr>
        <w:t>unit wage costs by sector</w:t>
      </w:r>
      <w:r>
        <w:rPr>
          <w:noProof/>
          <w:webHidden/>
        </w:rPr>
        <w:tab/>
      </w:r>
      <w:r>
        <w:rPr>
          <w:noProof/>
          <w:webHidden/>
        </w:rPr>
        <w:fldChar w:fldCharType="begin"/>
      </w:r>
      <w:r>
        <w:rPr>
          <w:noProof/>
          <w:webHidden/>
        </w:rPr>
        <w:instrText xml:space="preserve"> PAGEREF \h _Toc474773085 \* MERGEFORMAT </w:instrText>
      </w:r>
      <w:r>
        <w:rPr>
          <w:noProof/>
          <w:webHidden/>
        </w:rPr>
      </w:r>
      <w:r>
        <w:rPr>
          <w:noProof/>
          <w:webHidden/>
        </w:rPr>
        <w:fldChar w:fldCharType="separate"/>
      </w:r>
      <w:r>
        <w:rPr>
          <w:noProof/>
          <w:webHidden/>
        </w:rPr>
        <w:t>44</w:t>
      </w:r>
      <w:r>
        <w:rPr>
          <w:noProof/>
          <w:webHidden/>
        </w:rPr>
        <w:fldChar w:fldCharType="end"/>
      </w:r>
    </w:p>
    <w:p w:rsidR="00BB0B51" w:rsidRDefault="00AA53B1">
      <w:pPr>
        <w:pStyle w:val="TOC5"/>
        <w:rPr>
          <w:rFonts w:eastAsiaTheme="minorEastAsia"/>
          <w:noProof/>
        </w:rPr>
      </w:pPr>
      <w:r>
        <w:rPr>
          <w:noProof/>
        </w:rPr>
        <w:t>4.4.9.</w:t>
      </w:r>
      <w:r>
        <w:rPr>
          <w:rFonts w:eastAsiaTheme="minorEastAsia"/>
          <w:noProof/>
        </w:rPr>
        <w:tab/>
      </w:r>
      <w:r>
        <w:rPr>
          <w:noProof/>
        </w:rPr>
        <w:t>Average Quality Rank in the 5 biggest exporting manufacturing sectors</w:t>
      </w:r>
      <w:r>
        <w:rPr>
          <w:noProof/>
          <w:webHidden/>
        </w:rPr>
        <w:tab/>
      </w:r>
      <w:r>
        <w:rPr>
          <w:noProof/>
          <w:webHidden/>
        </w:rPr>
        <w:fldChar w:fldCharType="begin"/>
      </w:r>
      <w:r>
        <w:rPr>
          <w:noProof/>
          <w:webHidden/>
        </w:rPr>
        <w:instrText xml:space="preserve"> PAGEREF \h _Toc474773086 \* MERGEFORMAT </w:instrText>
      </w:r>
      <w:r>
        <w:rPr>
          <w:noProof/>
          <w:webHidden/>
        </w:rPr>
      </w:r>
      <w:r>
        <w:rPr>
          <w:noProof/>
          <w:webHidden/>
        </w:rPr>
        <w:fldChar w:fldCharType="separate"/>
      </w:r>
      <w:r>
        <w:rPr>
          <w:noProof/>
          <w:webHidden/>
        </w:rPr>
        <w:t>44</w:t>
      </w:r>
      <w:r>
        <w:rPr>
          <w:noProof/>
          <w:webHidden/>
        </w:rPr>
        <w:fldChar w:fldCharType="end"/>
      </w:r>
    </w:p>
    <w:p w:rsidR="00BB0B51" w:rsidRDefault="00AA53B1">
      <w:pPr>
        <w:pStyle w:val="TOC5"/>
        <w:rPr>
          <w:rFonts w:eastAsiaTheme="minorEastAsia"/>
          <w:noProof/>
        </w:rPr>
      </w:pPr>
      <w:r>
        <w:rPr>
          <w:noProof/>
        </w:rPr>
        <w:t>4.4.10.</w:t>
      </w:r>
      <w:r>
        <w:rPr>
          <w:rFonts w:eastAsiaTheme="minorEastAsia"/>
          <w:noProof/>
        </w:rPr>
        <w:tab/>
      </w:r>
      <w:r>
        <w:rPr>
          <w:noProof/>
        </w:rPr>
        <w:t>Dynamism and Competitiveness of Exports (goods) on top</w:t>
      </w:r>
      <w:r>
        <w:rPr>
          <w:noProof/>
        </w:rPr>
        <w:noBreakHyphen/>
        <w:t>10 sector destinations (2013</w:t>
      </w:r>
      <w:r>
        <w:rPr>
          <w:noProof/>
        </w:rPr>
        <w:noBreakHyphen/>
        <w:t>2015)</w:t>
      </w:r>
      <w:r>
        <w:rPr>
          <w:noProof/>
          <w:webHidden/>
        </w:rPr>
        <w:tab/>
      </w:r>
      <w:r>
        <w:rPr>
          <w:noProof/>
          <w:webHidden/>
        </w:rPr>
        <w:fldChar w:fldCharType="begin"/>
      </w:r>
      <w:r>
        <w:rPr>
          <w:noProof/>
          <w:webHidden/>
        </w:rPr>
        <w:instrText xml:space="preserve"> PAGEREF \h _Toc474773087 \* MERGEFORMAT </w:instrText>
      </w:r>
      <w:r>
        <w:rPr>
          <w:noProof/>
          <w:webHidden/>
        </w:rPr>
      </w:r>
      <w:r>
        <w:rPr>
          <w:noProof/>
          <w:webHidden/>
        </w:rPr>
        <w:fldChar w:fldCharType="separate"/>
      </w:r>
      <w:r>
        <w:rPr>
          <w:noProof/>
          <w:webHidden/>
        </w:rPr>
        <w:t>44</w:t>
      </w:r>
      <w:r>
        <w:rPr>
          <w:noProof/>
          <w:webHidden/>
        </w:rPr>
        <w:fldChar w:fldCharType="end"/>
      </w:r>
    </w:p>
    <w:p w:rsidR="00BB0B51" w:rsidRDefault="00AA53B1">
      <w:pPr>
        <w:pStyle w:val="TOC5"/>
        <w:rPr>
          <w:rFonts w:eastAsiaTheme="minorEastAsia"/>
          <w:noProof/>
        </w:rPr>
      </w:pPr>
      <w:r>
        <w:rPr>
          <w:noProof/>
        </w:rPr>
        <w:t>4.5.1.</w:t>
      </w:r>
      <w:r>
        <w:rPr>
          <w:rFonts w:eastAsiaTheme="minorEastAsia"/>
          <w:noProof/>
        </w:rPr>
        <w:tab/>
      </w:r>
      <w:r>
        <w:rPr>
          <w:noProof/>
        </w:rPr>
        <w:t>Restrictiveness indicator, 2016, Portugal and the EU</w:t>
      </w:r>
      <w:r>
        <w:rPr>
          <w:noProof/>
          <w:webHidden/>
        </w:rPr>
        <w:tab/>
      </w:r>
      <w:r>
        <w:rPr>
          <w:noProof/>
          <w:webHidden/>
        </w:rPr>
        <w:fldChar w:fldCharType="begin"/>
      </w:r>
      <w:r>
        <w:rPr>
          <w:noProof/>
          <w:webHidden/>
        </w:rPr>
        <w:instrText xml:space="preserve"> PAGEREF \h _Toc474773088 \* MERGEFORMAT </w:instrText>
      </w:r>
      <w:r>
        <w:rPr>
          <w:noProof/>
          <w:webHidden/>
        </w:rPr>
      </w:r>
      <w:r>
        <w:rPr>
          <w:noProof/>
          <w:webHidden/>
        </w:rPr>
        <w:fldChar w:fldCharType="separate"/>
      </w:r>
      <w:r>
        <w:rPr>
          <w:noProof/>
          <w:webHidden/>
        </w:rPr>
        <w:t>48</w:t>
      </w:r>
      <w:r>
        <w:rPr>
          <w:noProof/>
          <w:webHidden/>
        </w:rPr>
        <w:fldChar w:fldCharType="end"/>
      </w:r>
    </w:p>
    <w:p w:rsidR="00BB0B51" w:rsidRDefault="00AA53B1">
      <w:pPr>
        <w:pStyle w:val="TOC5"/>
        <w:rPr>
          <w:rFonts w:eastAsiaTheme="minorEastAsia"/>
          <w:noProof/>
        </w:rPr>
      </w:pPr>
      <w:r>
        <w:rPr>
          <w:noProof/>
        </w:rPr>
        <w:t>4.5.2.</w:t>
      </w:r>
      <w:r>
        <w:rPr>
          <w:rFonts w:eastAsiaTheme="minorEastAsia"/>
          <w:noProof/>
        </w:rPr>
        <w:tab/>
      </w:r>
      <w:r>
        <w:rPr>
          <w:noProof/>
        </w:rPr>
        <w:t>Shares for selected countries of total EU maritime tra</w:t>
      </w:r>
      <w:r>
        <w:rPr>
          <w:noProof/>
        </w:rPr>
        <w:t>nsport of goods, 2014</w:t>
      </w:r>
      <w:r>
        <w:rPr>
          <w:noProof/>
          <w:webHidden/>
        </w:rPr>
        <w:tab/>
      </w:r>
      <w:r>
        <w:rPr>
          <w:noProof/>
          <w:webHidden/>
        </w:rPr>
        <w:fldChar w:fldCharType="begin"/>
      </w:r>
      <w:r>
        <w:rPr>
          <w:noProof/>
          <w:webHidden/>
        </w:rPr>
        <w:instrText xml:space="preserve"> PAGEREF \h _Toc474773089 \* MERGEFORMAT </w:instrText>
      </w:r>
      <w:r>
        <w:rPr>
          <w:noProof/>
          <w:webHidden/>
        </w:rPr>
      </w:r>
      <w:r>
        <w:rPr>
          <w:noProof/>
          <w:webHidden/>
        </w:rPr>
        <w:fldChar w:fldCharType="separate"/>
      </w:r>
      <w:r>
        <w:rPr>
          <w:noProof/>
          <w:webHidden/>
        </w:rPr>
        <w:t>50</w:t>
      </w:r>
      <w:r>
        <w:rPr>
          <w:noProof/>
          <w:webHidden/>
        </w:rPr>
        <w:fldChar w:fldCharType="end"/>
      </w:r>
    </w:p>
    <w:p w:rsidR="00BB0B51" w:rsidRDefault="00AA53B1">
      <w:pPr>
        <w:pStyle w:val="TOC5"/>
        <w:rPr>
          <w:rFonts w:eastAsiaTheme="minorEastAsia"/>
          <w:noProof/>
        </w:rPr>
      </w:pPr>
      <w:r>
        <w:rPr>
          <w:noProof/>
        </w:rPr>
        <w:t>4.5.3.</w:t>
      </w:r>
      <w:r>
        <w:rPr>
          <w:rFonts w:eastAsiaTheme="minorEastAsia"/>
          <w:noProof/>
        </w:rPr>
        <w:tab/>
      </w:r>
      <w:r>
        <w:rPr>
          <w:noProof/>
        </w:rPr>
        <w:t>Wage</w:t>
      </w:r>
      <w:r>
        <w:rPr>
          <w:noProof/>
        </w:rPr>
        <w:noBreakHyphen/>
        <w:t>adjusted labour productivity of the ports sector</w:t>
      </w:r>
      <w:r>
        <w:rPr>
          <w:noProof/>
          <w:webHidden/>
        </w:rPr>
        <w:tab/>
      </w:r>
      <w:r>
        <w:rPr>
          <w:noProof/>
          <w:webHidden/>
        </w:rPr>
        <w:fldChar w:fldCharType="begin"/>
      </w:r>
      <w:r>
        <w:rPr>
          <w:noProof/>
          <w:webHidden/>
        </w:rPr>
        <w:instrText xml:space="preserve"> PAGEREF \h _Toc474773090 \* MERGEFORMAT </w:instrText>
      </w:r>
      <w:r>
        <w:rPr>
          <w:noProof/>
          <w:webHidden/>
        </w:rPr>
      </w:r>
      <w:r>
        <w:rPr>
          <w:noProof/>
          <w:webHidden/>
        </w:rPr>
        <w:fldChar w:fldCharType="separate"/>
      </w:r>
      <w:r>
        <w:rPr>
          <w:noProof/>
          <w:webHidden/>
        </w:rPr>
        <w:t>50</w:t>
      </w:r>
      <w:r>
        <w:rPr>
          <w:noProof/>
          <w:webHidden/>
        </w:rPr>
        <w:fldChar w:fldCharType="end"/>
      </w:r>
    </w:p>
    <w:p w:rsidR="00BB0B51" w:rsidRDefault="00BB0B51">
      <w:pPr>
        <w:rPr>
          <w:noProof/>
        </w:rPr>
      </w:pPr>
    </w:p>
    <w:p w:rsidR="00BB0B51" w:rsidRDefault="00AA53B1">
      <w:pPr>
        <w:pStyle w:val="HEADINGTOC"/>
        <w:rPr>
          <w:noProof/>
        </w:rPr>
      </w:pPr>
      <w:r>
        <w:rPr>
          <w:noProof/>
        </w:rPr>
        <w:t>LIST OF Boxes</w:t>
      </w:r>
    </w:p>
    <w:p w:rsidR="00BB0B51" w:rsidRDefault="00AA53B1">
      <w:pPr>
        <w:pStyle w:val="TOC5"/>
        <w:rPr>
          <w:rFonts w:eastAsiaTheme="minorEastAsia"/>
          <w:noProof/>
        </w:rPr>
      </w:pPr>
      <w:r>
        <w:rPr>
          <w:noProof/>
        </w:rPr>
        <w:t>2.1.</w:t>
      </w:r>
      <w:r>
        <w:rPr>
          <w:rFonts w:eastAsiaTheme="minorEastAsia"/>
          <w:noProof/>
        </w:rPr>
        <w:tab/>
      </w:r>
      <w:r>
        <w:rPr>
          <w:noProof/>
        </w:rPr>
        <w:t>Contribution of the EU budget to structural change in Portugal</w:t>
      </w:r>
      <w:r>
        <w:rPr>
          <w:noProof/>
          <w:webHidden/>
        </w:rPr>
        <w:tab/>
      </w:r>
      <w:r>
        <w:rPr>
          <w:noProof/>
          <w:webHidden/>
        </w:rPr>
        <w:fldChar w:fldCharType="begin"/>
      </w:r>
      <w:r>
        <w:rPr>
          <w:noProof/>
          <w:webHidden/>
        </w:rPr>
        <w:instrText xml:space="preserve"> PAGEREF \h _Toc474773091 \* MERGEFORMAT </w:instrText>
      </w:r>
      <w:r>
        <w:rPr>
          <w:noProof/>
          <w:webHidden/>
        </w:rPr>
      </w:r>
      <w:r>
        <w:rPr>
          <w:noProof/>
          <w:webHidden/>
        </w:rPr>
        <w:fldChar w:fldCharType="separate"/>
      </w:r>
      <w:r>
        <w:rPr>
          <w:noProof/>
          <w:webHidden/>
        </w:rPr>
        <w:t>14</w:t>
      </w:r>
      <w:r>
        <w:rPr>
          <w:noProof/>
          <w:webHidden/>
        </w:rPr>
        <w:fldChar w:fldCharType="end"/>
      </w:r>
    </w:p>
    <w:p w:rsidR="00BB0B51" w:rsidRDefault="00AA53B1">
      <w:pPr>
        <w:pStyle w:val="TOC5"/>
        <w:rPr>
          <w:rFonts w:eastAsiaTheme="minorEastAsia"/>
          <w:noProof/>
        </w:rPr>
      </w:pPr>
      <w:r>
        <w:rPr>
          <w:noProof/>
        </w:rPr>
        <w:t>4.4.1.</w:t>
      </w:r>
      <w:r>
        <w:rPr>
          <w:rFonts w:eastAsiaTheme="minorEastAsia"/>
          <w:noProof/>
        </w:rPr>
        <w:tab/>
      </w:r>
      <w:r>
        <w:rPr>
          <w:noProof/>
        </w:rPr>
        <w:t>Investment Box</w:t>
      </w:r>
      <w:r>
        <w:rPr>
          <w:noProof/>
          <w:webHidden/>
        </w:rPr>
        <w:tab/>
      </w:r>
      <w:r>
        <w:rPr>
          <w:noProof/>
          <w:webHidden/>
        </w:rPr>
        <w:fldChar w:fldCharType="begin"/>
      </w:r>
      <w:r>
        <w:rPr>
          <w:noProof/>
          <w:webHidden/>
        </w:rPr>
        <w:instrText xml:space="preserve"> PAGEREF \h _Toc474773092 \* MERGEFORMAT </w:instrText>
      </w:r>
      <w:r>
        <w:rPr>
          <w:noProof/>
          <w:webHidden/>
        </w:rPr>
      </w:r>
      <w:r>
        <w:rPr>
          <w:noProof/>
          <w:webHidden/>
        </w:rPr>
        <w:fldChar w:fldCharType="separate"/>
      </w:r>
      <w:r>
        <w:rPr>
          <w:noProof/>
          <w:webHidden/>
        </w:rPr>
        <w:t>44</w:t>
      </w:r>
      <w:r>
        <w:rPr>
          <w:noProof/>
          <w:webHidden/>
        </w:rPr>
        <w:fldChar w:fldCharType="end"/>
      </w:r>
      <w:r>
        <w:rPr>
          <w:noProof/>
          <w:webHidden/>
        </w:rPr>
        <w:t>5</w:t>
      </w:r>
    </w:p>
    <w:p w:rsidR="00BB0B51" w:rsidRDefault="00AA53B1">
      <w:pPr>
        <w:pStyle w:val="TOC5"/>
        <w:rPr>
          <w:rFonts w:eastAsiaTheme="minorEastAsia"/>
          <w:noProof/>
        </w:rPr>
      </w:pPr>
      <w:r>
        <w:rPr>
          <w:noProof/>
        </w:rPr>
        <w:t>4.6.1.</w:t>
      </w:r>
      <w:r>
        <w:rPr>
          <w:rFonts w:eastAsiaTheme="minorEastAsia"/>
          <w:noProof/>
        </w:rPr>
        <w:tab/>
      </w:r>
      <w:r>
        <w:rPr>
          <w:noProof/>
        </w:rPr>
        <w:t>Selected highlights</w:t>
      </w:r>
      <w:r>
        <w:rPr>
          <w:noProof/>
          <w:webHidden/>
        </w:rPr>
        <w:tab/>
      </w:r>
      <w:r>
        <w:rPr>
          <w:noProof/>
          <w:webHidden/>
        </w:rPr>
        <w:fldChar w:fldCharType="begin"/>
      </w:r>
      <w:r>
        <w:rPr>
          <w:noProof/>
          <w:webHidden/>
        </w:rPr>
        <w:instrText xml:space="preserve"> PAGEREF \h _Toc474773093 \* MERGEFORMAT </w:instrText>
      </w:r>
      <w:r>
        <w:rPr>
          <w:noProof/>
          <w:webHidden/>
        </w:rPr>
      </w:r>
      <w:r>
        <w:rPr>
          <w:noProof/>
          <w:webHidden/>
        </w:rPr>
        <w:fldChar w:fldCharType="separate"/>
      </w:r>
      <w:r>
        <w:rPr>
          <w:noProof/>
          <w:webHidden/>
        </w:rPr>
        <w:t>54</w:t>
      </w:r>
      <w:r>
        <w:rPr>
          <w:noProof/>
          <w:webHidden/>
        </w:rPr>
        <w:fldChar w:fldCharType="end"/>
      </w:r>
    </w:p>
    <w:p w:rsidR="00BB0B51" w:rsidRDefault="00BB0B51">
      <w:pPr>
        <w:rPr>
          <w:noProof/>
        </w:rPr>
      </w:pPr>
    </w:p>
    <w:p w:rsidR="00BB0B51" w:rsidRDefault="00BB0B51">
      <w:pPr>
        <w:rPr>
          <w:noProof/>
        </w:rPr>
        <w:sectPr w:rsidR="00BB0B51">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BB0B51" w:rsidRDefault="00AA53B1">
      <w:pPr>
        <w:pStyle w:val="SectionTitleFramed1"/>
        <w:framePr w:wrap="notBeside"/>
        <w:rPr>
          <w:noProof/>
        </w:rPr>
      </w:pPr>
      <w:bookmarkStart w:id="2" w:name="_Toc474773034"/>
      <w:bookmarkEnd w:id="2"/>
      <w:r>
        <w:rPr>
          <w:noProof/>
        </w:rPr>
        <w:t>Executive summary</w:t>
      </w:r>
    </w:p>
    <w:p w:rsidR="00BB0B51" w:rsidRDefault="00AA53B1">
      <w:pPr>
        <w:rPr>
          <w:noProof/>
        </w:rPr>
      </w:pPr>
      <w:r>
        <w:rPr>
          <w:noProof/>
        </w:rPr>
        <w:t xml:space="preserve">This report assesses Portugal's economy in the light of the Commission's Annual Growth Survey published on 16 November 2016. In the survey the Commission calls on EU Member States to </w:t>
      </w:r>
      <w:r>
        <w:rPr>
          <w:noProof/>
        </w:rPr>
        <w:t>redouble their efforts on the three elements of the virtuous triangle of economic policy – boosting investment, pursuing structural reforms and ensuring responsible fiscal policies. In so doing, Member States should put the focus on enhancing social fairne</w:t>
      </w:r>
      <w:r>
        <w:rPr>
          <w:noProof/>
        </w:rPr>
        <w:t>ss in order to deliver more inclusive growth. At the same time, the Commission published the Alert Mechanism Report (AMR) that initiated the sixth round of the macroeconomic imbalance procedure. The in</w:t>
      </w:r>
      <w:r>
        <w:rPr>
          <w:noProof/>
        </w:rPr>
        <w:noBreakHyphen/>
        <w:t>depth review, which the 2017 AMR concluded should be u</w:t>
      </w:r>
      <w:r>
        <w:rPr>
          <w:noProof/>
        </w:rPr>
        <w:t>ndertaken for the Portuguese economy, is presented in this report.</w:t>
      </w:r>
    </w:p>
    <w:p w:rsidR="00BB0B51" w:rsidRDefault="00AA53B1">
      <w:pPr>
        <w:rPr>
          <w:noProof/>
        </w:rPr>
      </w:pPr>
      <w:r>
        <w:rPr>
          <w:b/>
          <w:noProof/>
        </w:rPr>
        <w:t>While the Portuguese economy has continued to recover for the fourth consecutive year, it remains vulnerable to shocks.</w:t>
      </w:r>
      <w:r>
        <w:rPr>
          <w:noProof/>
        </w:rPr>
        <w:t xml:space="preserve"> Growth in domestic demand is still fuelled by strong private consumpt</w:t>
      </w:r>
      <w:r>
        <w:rPr>
          <w:noProof/>
        </w:rPr>
        <w:t>ion. The conditions for investment remain challenging and continue to drag on growth. However, investment is expected to recover in the medium</w:t>
      </w:r>
      <w:r>
        <w:rPr>
          <w:noProof/>
        </w:rPr>
        <w:noBreakHyphen/>
        <w:t>term with the support from EU funds. This will help rebalance the economy by increasing the share of the tradable</w:t>
      </w:r>
      <w:r>
        <w:rPr>
          <w:noProof/>
        </w:rPr>
        <w:t xml:space="preserve"> sectors. </w:t>
      </w:r>
    </w:p>
    <w:p w:rsidR="00BB0B51" w:rsidRDefault="00AA53B1">
      <w:pPr>
        <w:rPr>
          <w:noProof/>
        </w:rPr>
      </w:pPr>
      <w:r>
        <w:rPr>
          <w:b/>
          <w:noProof/>
        </w:rPr>
        <w:t>Recently, there has been a large increase in the contribution made by net external trade, possibly driven by temporary causes</w:t>
      </w:r>
      <w:r>
        <w:rPr>
          <w:noProof/>
        </w:rPr>
        <w:t>. A steady increase in the terms of trade has helped improve the trade balance of goods. Yet, unit labour costs have ris</w:t>
      </w:r>
      <w:r>
        <w:rPr>
          <w:noProof/>
        </w:rPr>
        <w:t>en recently putting pressure on competitiveness. Improvements in terms of trade are expected to fade out while robust domestic demand will contribute to boosting imports and weakening the trade balance. Price pressures are expected to re</w:t>
      </w:r>
      <w:r>
        <w:rPr>
          <w:noProof/>
        </w:rPr>
        <w:noBreakHyphen/>
        <w:t>emerge again, main</w:t>
      </w:r>
      <w:r>
        <w:rPr>
          <w:noProof/>
        </w:rPr>
        <w:t xml:space="preserve">ly owing to higher oil prices. Employment is set to improve further, albeit more slowly, becoming more aligned with GDP growth. Taken together, real GDP is forecast to have decelerated slightly in 2016 before picking up again in 2017 and 2018. Uncertainty </w:t>
      </w:r>
      <w:r>
        <w:rPr>
          <w:noProof/>
        </w:rPr>
        <w:t xml:space="preserve">about investment, the banking sector and the implementation of structural reforms pose some downside risks to the sustainable recovery. </w:t>
      </w:r>
    </w:p>
    <w:p w:rsidR="00BB0B51" w:rsidRDefault="00AA53B1">
      <w:pPr>
        <w:rPr>
          <w:noProof/>
        </w:rPr>
      </w:pPr>
      <w:r>
        <w:rPr>
          <w:b/>
          <w:noProof/>
        </w:rPr>
        <w:t>Public finances are expected to improve, while the fiscal outlook remains subject to downside risks</w:t>
      </w:r>
      <w:r>
        <w:rPr>
          <w:noProof/>
        </w:rPr>
        <w:t>. The headline defic</w:t>
      </w:r>
      <w:r>
        <w:rPr>
          <w:noProof/>
        </w:rPr>
        <w:t>it is projected to decrease further to 2.0 % of GDP in 2017, mainly as a result of the moderate economic recovery and good financing conditions. However, uncertainty about the macroeconomic outlook, the potential impact on the deficit of banking support me</w:t>
      </w:r>
      <w:r>
        <w:rPr>
          <w:noProof/>
        </w:rPr>
        <w:t>asures and possible spending slippages pose risks. Following a steep increase during the economic crisis, public debt has stabilised at around 130.0 % of GDP since 2013</w:t>
      </w:r>
      <w:r>
        <w:rPr>
          <w:b/>
          <w:noProof/>
        </w:rPr>
        <w:t>.</w:t>
      </w:r>
      <w:r>
        <w:rPr>
          <w:noProof/>
        </w:rPr>
        <w:t xml:space="preserve"> Supported by the projected continuing moderate economic recovery and primary surpluses</w:t>
      </w:r>
      <w:r>
        <w:rPr>
          <w:noProof/>
        </w:rPr>
        <w:t>, the debt</w:t>
      </w:r>
      <w:r>
        <w:rPr>
          <w:noProof/>
        </w:rPr>
        <w:noBreakHyphen/>
        <w:t>to</w:t>
      </w:r>
      <w:r>
        <w:rPr>
          <w:noProof/>
        </w:rPr>
        <w:noBreakHyphen/>
        <w:t>GDP ratio is expected to fall gradually from 2017 onwards. The stock of public debt, which is still large, coupled with still relatively high deficit levels and low growth, makes Portugal nevertheless vulnerable to changing economic condition</w:t>
      </w:r>
      <w:r>
        <w:rPr>
          <w:noProof/>
        </w:rPr>
        <w:t xml:space="preserve">s and rising financing costs. </w:t>
      </w:r>
    </w:p>
    <w:p w:rsidR="00BB0B51" w:rsidRDefault="00AA53B1">
      <w:pPr>
        <w:rPr>
          <w:noProof/>
        </w:rPr>
      </w:pPr>
      <w:r>
        <w:rPr>
          <w:b/>
          <w:noProof/>
        </w:rPr>
        <w:t>Overall Portugal has made limited progress on addressing the 2016 country</w:t>
      </w:r>
      <w:r>
        <w:rPr>
          <w:b/>
          <w:noProof/>
        </w:rPr>
        <w:noBreakHyphen/>
        <w:t>specific recommendations</w:t>
      </w:r>
      <w:r>
        <w:rPr>
          <w:noProof/>
        </w:rPr>
        <w:t>. There has been some progress in conducting an expenditure review. Expenditure is now subject to more controls and expenditure</w:t>
      </w:r>
      <w:r>
        <w:rPr>
          <w:noProof/>
        </w:rPr>
        <w:t xml:space="preserve"> containment with the launch of spending reviews in some sectors. Some progress has also been made in ensuring the long</w:t>
      </w:r>
      <w:r>
        <w:rPr>
          <w:noProof/>
        </w:rPr>
        <w:noBreakHyphen/>
        <w:t>term sustainability of the healthcare sector. There has been limited progress towards reducing the reliance of the pension system on bud</w:t>
      </w:r>
      <w:r>
        <w:rPr>
          <w:noProof/>
        </w:rPr>
        <w:t>getary transfers. No progress has been made to restructure the state</w:t>
      </w:r>
      <w:r>
        <w:rPr>
          <w:noProof/>
        </w:rPr>
        <w:noBreakHyphen/>
        <w:t>owned enterprises sustainability, especially those in the transport sector. In the labour market, limited progress has been made towards keeping minimum wage developments at a level which</w:t>
      </w:r>
      <w:r>
        <w:rPr>
          <w:noProof/>
        </w:rPr>
        <w:t xml:space="preserve"> promotes employment and competitiveness although employment risks have so far not materialised. There has also been limited progress in ensuring the effective activation of long</w:t>
      </w:r>
      <w:r>
        <w:rPr>
          <w:noProof/>
        </w:rPr>
        <w:noBreakHyphen/>
        <w:t>term unemployed, improving the coordination between employment and social ser</w:t>
      </w:r>
      <w:r>
        <w:rPr>
          <w:noProof/>
        </w:rPr>
        <w:t>vices. Yet, some progress has been made in strengthening incentives for firms to hire through permanent contracts. In the financial sector, limited progress has been made in tackling the high level of non</w:t>
      </w:r>
      <w:r>
        <w:rPr>
          <w:noProof/>
        </w:rPr>
        <w:noBreakHyphen/>
        <w:t>performing loans and improving the access to financ</w:t>
      </w:r>
      <w:r>
        <w:rPr>
          <w:noProof/>
        </w:rPr>
        <w:t>e for start</w:t>
      </w:r>
      <w:r>
        <w:rPr>
          <w:noProof/>
        </w:rPr>
        <w:noBreakHyphen/>
        <w:t>ups and small and medium</w:t>
      </w:r>
      <w:r>
        <w:rPr>
          <w:noProof/>
        </w:rPr>
        <w:noBreakHyphen/>
        <w:t xml:space="preserve">sized enterprises via the capital market. Some progress has been made in the debt bias in corporate taxation. There has been some progress in increasing transparency in public procurement, accelerating tax litigations, </w:t>
      </w:r>
      <w:r>
        <w:rPr>
          <w:noProof/>
        </w:rPr>
        <w:t>and incentivising cooperation between universities and businesses. Limited progress has been made in accelerating licensing procedures as well as in reducing regulatory barriers especially in business services.</w:t>
      </w:r>
    </w:p>
    <w:p w:rsidR="00BB0B51" w:rsidRDefault="00AA53B1">
      <w:pPr>
        <w:rPr>
          <w:noProof/>
        </w:rPr>
      </w:pPr>
      <w:r>
        <w:rPr>
          <w:noProof/>
        </w:rPr>
        <w:t>Regarding progress in reaching the national t</w:t>
      </w:r>
      <w:r>
        <w:rPr>
          <w:noProof/>
        </w:rPr>
        <w:t>argets under the Europe 2020 strategy, Portugal is performing well in reducing greenhouse gas emissions, the renewable energy target and energy efficiency, as well as reducing early school leaving. There are still considerable obstacles in attaining the ta</w:t>
      </w:r>
      <w:r>
        <w:rPr>
          <w:noProof/>
        </w:rPr>
        <w:t>rgets on employment rate, R&amp;D investment, tertiary education attainment and poverty reduction.</w:t>
      </w:r>
    </w:p>
    <w:p w:rsidR="00BB0B51" w:rsidRDefault="00AA53B1">
      <w:pPr>
        <w:rPr>
          <w:noProof/>
        </w:rPr>
      </w:pPr>
      <w:r>
        <w:rPr>
          <w:noProof/>
        </w:rPr>
        <w:t>The main findings of the in</w:t>
      </w:r>
      <w:r>
        <w:rPr>
          <w:noProof/>
        </w:rPr>
        <w:noBreakHyphen/>
        <w:t>depth review contained in this report and the related policy challenges are as follows:</w:t>
      </w:r>
    </w:p>
    <w:p w:rsidR="00BB0B51" w:rsidRDefault="00AA53B1">
      <w:pPr>
        <w:pStyle w:val="ListBullet"/>
        <w:numPr>
          <w:ilvl w:val="0"/>
          <w:numId w:val="1"/>
        </w:numPr>
        <w:rPr>
          <w:noProof/>
        </w:rPr>
      </w:pPr>
      <w:r>
        <w:rPr>
          <w:b/>
          <w:noProof/>
        </w:rPr>
        <w:t>Potential growth still lags behind its pre</w:t>
      </w:r>
      <w:r>
        <w:rPr>
          <w:b/>
          <w:noProof/>
        </w:rPr>
        <w:noBreakHyphen/>
        <w:t>cr</w:t>
      </w:r>
      <w:r>
        <w:rPr>
          <w:b/>
          <w:noProof/>
        </w:rPr>
        <w:t>isis level and is below EU average</w:t>
      </w:r>
      <w:r>
        <w:rPr>
          <w:noProof/>
        </w:rPr>
        <w:t>. It is affected by persistent bottlenecks and rigidities in product and labour markets as well as major external imbalances. Efforts to reduce debt and the stock of banks' non</w:t>
      </w:r>
      <w:r>
        <w:rPr>
          <w:noProof/>
        </w:rPr>
        <w:noBreakHyphen/>
        <w:t>performing loans have been limited, holding b</w:t>
      </w:r>
      <w:r>
        <w:rPr>
          <w:noProof/>
        </w:rPr>
        <w:t xml:space="preserve">ack more sustained credit recovery and investment. At the same time, public debt sustainability and the reduction of interest rate costs hinge on fiscal discipline and the necessary fiscal adjustment. </w:t>
      </w:r>
    </w:p>
    <w:p w:rsidR="00BB0B51" w:rsidRDefault="00AA53B1">
      <w:pPr>
        <w:pStyle w:val="ListBullet"/>
        <w:numPr>
          <w:ilvl w:val="0"/>
          <w:numId w:val="1"/>
        </w:numPr>
        <w:rPr>
          <w:noProof/>
        </w:rPr>
      </w:pPr>
      <w:r>
        <w:rPr>
          <w:b/>
          <w:noProof/>
        </w:rPr>
        <w:t xml:space="preserve">The external rebalancing of the Portuguese economy is underway, but at a moderate pace. </w:t>
      </w:r>
      <w:r>
        <w:rPr>
          <w:noProof/>
        </w:rPr>
        <w:t>The current account rebalancing, influenced by stronger export performance, is still having a limited impact on the large stock of net external liabilities. High extern</w:t>
      </w:r>
      <w:r>
        <w:rPr>
          <w:noProof/>
        </w:rPr>
        <w:t>al debt and the vulnerability in the external sector at large are linked to weak productivity and competitiveness, including limited specialisation in sectors with higher value added.</w:t>
      </w:r>
    </w:p>
    <w:p w:rsidR="00BB0B51" w:rsidRDefault="00AA53B1">
      <w:pPr>
        <w:pStyle w:val="ListBullet"/>
        <w:numPr>
          <w:ilvl w:val="0"/>
          <w:numId w:val="1"/>
        </w:numPr>
        <w:rPr>
          <w:noProof/>
        </w:rPr>
      </w:pPr>
      <w:r>
        <w:rPr>
          <w:b/>
          <w:noProof/>
        </w:rPr>
        <w:t>The private business sector in Portugal is over</w:t>
      </w:r>
      <w:r>
        <w:rPr>
          <w:b/>
          <w:noProof/>
        </w:rPr>
        <w:noBreakHyphen/>
        <w:t>indebted.</w:t>
      </w:r>
      <w:r>
        <w:rPr>
          <w:noProof/>
        </w:rPr>
        <w:t xml:space="preserve"> This is closel</w:t>
      </w:r>
      <w:r>
        <w:rPr>
          <w:noProof/>
        </w:rPr>
        <w:t>y related to the ongoing adjustment of the Portuguese banking sector. The authorities are taking some policy measures to tackle the high level of non</w:t>
      </w:r>
      <w:r>
        <w:rPr>
          <w:noProof/>
        </w:rPr>
        <w:noBreakHyphen/>
        <w:t>performing loans especially in the corporate sector, facilitate business restructuring simplifying adminis</w:t>
      </w:r>
      <w:r>
        <w:rPr>
          <w:noProof/>
        </w:rPr>
        <w:t xml:space="preserve">trative processes, improving the insolvency framework and adjusting taxation requirements. </w:t>
      </w:r>
    </w:p>
    <w:p w:rsidR="00BB0B51" w:rsidRDefault="00AA53B1">
      <w:pPr>
        <w:pStyle w:val="ListBullet"/>
        <w:numPr>
          <w:ilvl w:val="0"/>
          <w:numId w:val="1"/>
        </w:numPr>
        <w:rPr>
          <w:noProof/>
        </w:rPr>
      </w:pPr>
      <w:r>
        <w:rPr>
          <w:b/>
          <w:noProof/>
        </w:rPr>
        <w:t>The large stock of corporate non</w:t>
      </w:r>
      <w:r>
        <w:rPr>
          <w:b/>
          <w:noProof/>
        </w:rPr>
        <w:noBreakHyphen/>
        <w:t xml:space="preserve">performing loans continues to pose challenges for the banking sector. </w:t>
      </w:r>
      <w:r>
        <w:rPr>
          <w:noProof/>
        </w:rPr>
        <w:t>Besides the high level of non</w:t>
      </w:r>
      <w:r>
        <w:rPr>
          <w:noProof/>
        </w:rPr>
        <w:noBreakHyphen/>
        <w:t>performing loans, Portuguese le</w:t>
      </w:r>
      <w:r>
        <w:rPr>
          <w:noProof/>
        </w:rPr>
        <w:t>nders' vulnerabilities stem from different sources: thin capital buffers, large amounts of foreclosed real estate assets, elevated exposures to the Portuguese sovereign debt, as well as weak business models and profit rates of Portuguese banks. Although so</w:t>
      </w:r>
      <w:r>
        <w:rPr>
          <w:noProof/>
        </w:rPr>
        <w:t>me measures have been taken to reduce incentives to debt financing, corporate taxation still shows a relatively high debt bias.</w:t>
      </w:r>
    </w:p>
    <w:p w:rsidR="00BB0B51" w:rsidRDefault="00AA53B1">
      <w:pPr>
        <w:pStyle w:val="ListBullet"/>
        <w:numPr>
          <w:ilvl w:val="0"/>
          <w:numId w:val="1"/>
        </w:numPr>
        <w:rPr>
          <w:noProof/>
        </w:rPr>
      </w:pPr>
      <w:r>
        <w:rPr>
          <w:b/>
          <w:noProof/>
        </w:rPr>
        <w:t>Ensuring public debt sustainability in the medium and long term hinges on a solid budgetary consolidation.</w:t>
      </w:r>
      <w:r>
        <w:rPr>
          <w:noProof/>
        </w:rPr>
        <w:t xml:space="preserve"> It also relies on gro</w:t>
      </w:r>
      <w:r>
        <w:rPr>
          <w:noProof/>
        </w:rPr>
        <w:t>wth enhancing structural measures as well as expenditure containment and growth</w:t>
      </w:r>
      <w:r>
        <w:rPr>
          <w:noProof/>
        </w:rPr>
        <w:noBreakHyphen/>
        <w:t>friendly optimisation of revenue flows e.g. regarding the efficiency of indirect taxation. While reforms in the pension system have reduced its long</w:t>
      </w:r>
      <w:r>
        <w:rPr>
          <w:noProof/>
        </w:rPr>
        <w:noBreakHyphen/>
        <w:t>term costs, it still relies</w:t>
      </w:r>
      <w:r>
        <w:rPr>
          <w:noProof/>
        </w:rPr>
        <w:t xml:space="preserve"> on extraordinary budgetary transfers over the medium term. In the healthcare sector, measures to promote prevention and primary care have been put forward and could probably help cut costs in the long term. However, the growing stock of arrears in hospita</w:t>
      </w:r>
      <w:r>
        <w:rPr>
          <w:noProof/>
        </w:rPr>
        <w:t>ls and recent measures concerning public sector working hours weigh on the capacity to improve healthcare infrastructure and services. Indebtedness of state</w:t>
      </w:r>
      <w:r>
        <w:rPr>
          <w:noProof/>
        </w:rPr>
        <w:noBreakHyphen/>
        <w:t>owned enterprises remains high, mainly in the transport sector. A plan to improve monitoring is bei</w:t>
      </w:r>
      <w:r>
        <w:rPr>
          <w:noProof/>
        </w:rPr>
        <w:t>ng set up, but there are no concrete measures to ensure cost efficiency, and sound debt management. The negative operational performance and delay in setting up a governance framework for metropolitan transport further exacerbate the risks of a debt increa</w:t>
      </w:r>
      <w:r>
        <w:rPr>
          <w:noProof/>
        </w:rPr>
        <w:t xml:space="preserve">se. Finally, the current spending review would benefit from a more comprehensive and strategic approach. </w:t>
      </w:r>
    </w:p>
    <w:p w:rsidR="00BB0B51" w:rsidRDefault="00AA53B1">
      <w:pPr>
        <w:pStyle w:val="ListBullet"/>
        <w:numPr>
          <w:ilvl w:val="0"/>
          <w:numId w:val="1"/>
        </w:numPr>
        <w:rPr>
          <w:noProof/>
        </w:rPr>
      </w:pPr>
      <w:r>
        <w:rPr>
          <w:b/>
          <w:noProof/>
        </w:rPr>
        <w:t>Unemployment keeps falling and employment growing, while long</w:t>
      </w:r>
      <w:r>
        <w:rPr>
          <w:b/>
          <w:noProof/>
        </w:rPr>
        <w:noBreakHyphen/>
        <w:t>term and youth unemployment still remain high.</w:t>
      </w:r>
      <w:r>
        <w:rPr>
          <w:noProof/>
        </w:rPr>
        <w:t xml:space="preserve"> Half of the unemployed have been jobless </w:t>
      </w:r>
      <w:r>
        <w:rPr>
          <w:noProof/>
        </w:rPr>
        <w:t>for a year or more, while a quarter of young workers are unemployed. Long</w:t>
      </w:r>
      <w:r>
        <w:rPr>
          <w:noProof/>
        </w:rPr>
        <w:noBreakHyphen/>
        <w:t>term unemployment can make it harder to return to work harming Portugal’s growth potential.</w:t>
      </w:r>
    </w:p>
    <w:p w:rsidR="00BB0B51" w:rsidRDefault="00AA53B1">
      <w:pPr>
        <w:rPr>
          <w:noProof/>
        </w:rPr>
      </w:pPr>
      <w:r>
        <w:rPr>
          <w:noProof/>
        </w:rPr>
        <w:t>Other key economic issues which point to particular challenges facing Portugal's economy a</w:t>
      </w:r>
      <w:r>
        <w:rPr>
          <w:noProof/>
        </w:rPr>
        <w:t>re as follows:</w:t>
      </w:r>
    </w:p>
    <w:p w:rsidR="00BB0B51" w:rsidRDefault="00AA53B1">
      <w:pPr>
        <w:pStyle w:val="ListBullet"/>
        <w:numPr>
          <w:ilvl w:val="0"/>
          <w:numId w:val="1"/>
        </w:numPr>
        <w:rPr>
          <w:noProof/>
        </w:rPr>
      </w:pPr>
      <w:r>
        <w:rPr>
          <w:b/>
          <w:noProof/>
        </w:rPr>
        <w:t>The rising minimum wage may help reduce in</w:t>
      </w:r>
      <w:r>
        <w:rPr>
          <w:b/>
          <w:noProof/>
        </w:rPr>
        <w:noBreakHyphen/>
        <w:t>work poverty, but it poses some employment risks.</w:t>
      </w:r>
      <w:r>
        <w:rPr>
          <w:noProof/>
        </w:rPr>
        <w:t xml:space="preserve"> Between 2015 and 2017 the minimum wage rose faster than prices and average productivity. This can reduce in</w:t>
      </w:r>
      <w:r>
        <w:rPr>
          <w:noProof/>
        </w:rPr>
        <w:noBreakHyphen/>
        <w:t>work poverty and impact aggregate demand</w:t>
      </w:r>
      <w:r>
        <w:rPr>
          <w:noProof/>
        </w:rPr>
        <w:t xml:space="preserve"> positively. At the same time, it is becoming increasingly binding, covering a fifth of all workers by 2016. Employment risks seem less pressing in the current context of job recovery, but remain a challenge, especially as regards young and low</w:t>
      </w:r>
      <w:r>
        <w:rPr>
          <w:noProof/>
        </w:rPr>
        <w:noBreakHyphen/>
        <w:t>skilled wor</w:t>
      </w:r>
      <w:r>
        <w:rPr>
          <w:noProof/>
        </w:rPr>
        <w:t xml:space="preserve">kers. </w:t>
      </w:r>
    </w:p>
    <w:p w:rsidR="00BB0B51" w:rsidRDefault="00AA53B1">
      <w:pPr>
        <w:pStyle w:val="ListBullet"/>
        <w:numPr>
          <w:ilvl w:val="0"/>
          <w:numId w:val="1"/>
        </w:numPr>
        <w:rPr>
          <w:noProof/>
        </w:rPr>
      </w:pPr>
      <w:r>
        <w:rPr>
          <w:b/>
          <w:noProof/>
        </w:rPr>
        <w:t>While incentives for firms to hire through permanent contracts were strengthened, the labour market remains segmented.</w:t>
      </w:r>
      <w:r>
        <w:rPr>
          <w:noProof/>
        </w:rPr>
        <w:t xml:space="preserve"> Although financial incentives for permanent hiring have been adopted, some aspects of labour law may still discourage employers fr</w:t>
      </w:r>
      <w:r>
        <w:rPr>
          <w:noProof/>
        </w:rPr>
        <w:t>om hiring permanent workers. This has potentially negative social consequences and hampers productivity growth. Extensive use of temporary contracts may increase labour market turnover. Younger people are more likely to be on such contracts and are thus mo</w:t>
      </w:r>
      <w:r>
        <w:rPr>
          <w:noProof/>
        </w:rPr>
        <w:t>re vulnerable to unemployment spells. As they have higher levels of formal skills, this may harm potential growth.</w:t>
      </w:r>
    </w:p>
    <w:p w:rsidR="00BB0B51" w:rsidRDefault="00AA53B1">
      <w:pPr>
        <w:pStyle w:val="ListBullet"/>
        <w:numPr>
          <w:ilvl w:val="0"/>
          <w:numId w:val="1"/>
        </w:numPr>
        <w:rPr>
          <w:noProof/>
        </w:rPr>
      </w:pPr>
      <w:r>
        <w:rPr>
          <w:b/>
          <w:noProof/>
        </w:rPr>
        <w:t>The proportion of people at risk of poverty or social exclusion fell in 2015</w:t>
      </w:r>
      <w:r>
        <w:rPr>
          <w:noProof/>
        </w:rPr>
        <w:t>. This is in line with labour market improvements, but the overal</w:t>
      </w:r>
      <w:r>
        <w:rPr>
          <w:noProof/>
        </w:rPr>
        <w:t>l level remains high. Income inequality also declined. In</w:t>
      </w:r>
      <w:r>
        <w:rPr>
          <w:noProof/>
        </w:rPr>
        <w:noBreakHyphen/>
        <w:t>work poverty remained one of the highest in the EU in 2015, partly due to low quality jobs and a high involuntary part</w:t>
      </w:r>
      <w:r>
        <w:rPr>
          <w:noProof/>
        </w:rPr>
        <w:noBreakHyphen/>
        <w:t>time employment. It is still not reflecting the recent recovery in the labour m</w:t>
      </w:r>
      <w:r>
        <w:rPr>
          <w:noProof/>
        </w:rPr>
        <w:t>arket. Measures in the area of social assistance were taken in 2016 to improve income conditions of people in low income households</w:t>
      </w:r>
    </w:p>
    <w:p w:rsidR="00BB0B51" w:rsidRDefault="00AA53B1">
      <w:pPr>
        <w:pStyle w:val="ListBullet"/>
        <w:numPr>
          <w:ilvl w:val="0"/>
          <w:numId w:val="1"/>
        </w:numPr>
        <w:rPr>
          <w:noProof/>
        </w:rPr>
      </w:pPr>
      <w:r>
        <w:rPr>
          <w:b/>
          <w:noProof/>
        </w:rPr>
        <w:t>School outcomes are improving but the skill level of the labour force, including digital, remains low</w:t>
      </w:r>
      <w:r>
        <w:rPr>
          <w:noProof/>
        </w:rPr>
        <w:t>. Tertiary attainment h</w:t>
      </w:r>
      <w:r>
        <w:rPr>
          <w:noProof/>
        </w:rPr>
        <w:t>as stagnated below EU average and higher education offer is scattered. In spite of efforts made, obstacles to more structured university business cooperation and knowledge transfer remain, hampering innovation and the transition to a knowledge based econom</w:t>
      </w:r>
      <w:r>
        <w:rPr>
          <w:noProof/>
        </w:rPr>
        <w:t>y.</w:t>
      </w:r>
    </w:p>
    <w:p w:rsidR="00BB0B51" w:rsidRDefault="00AA53B1">
      <w:pPr>
        <w:pStyle w:val="ListBullet"/>
        <w:numPr>
          <w:ilvl w:val="0"/>
          <w:numId w:val="1"/>
        </w:numPr>
        <w:rPr>
          <w:noProof/>
        </w:rPr>
      </w:pPr>
      <w:r>
        <w:rPr>
          <w:b/>
          <w:noProof/>
        </w:rPr>
        <w:t>Regulatory and administrative barriers, restricting investment and efficient resource allocation, have been tackled partially.</w:t>
      </w:r>
      <w:r>
        <w:rPr>
          <w:noProof/>
        </w:rPr>
        <w:t xml:space="preserve"> The government has put forward measures to ease businesses' financing needs. Yet, access to finance remains a concern for smal</w:t>
      </w:r>
      <w:r>
        <w:rPr>
          <w:noProof/>
        </w:rPr>
        <w:t>l and medium</w:t>
      </w:r>
      <w:r>
        <w:rPr>
          <w:noProof/>
        </w:rPr>
        <w:noBreakHyphen/>
        <w:t>sized business. The authorities are putting forward a framework for assessing the regulatory burden of new legislation on entrepreneurs. At the same time, there still are weaknesses in the areas of the judicial system, the energy sector, trans</w:t>
      </w:r>
      <w:r>
        <w:rPr>
          <w:noProof/>
        </w:rPr>
        <w:t>port, the business environment and the innovation framework. There are also barriers to the access to certain regulated professions and to more simplified authorisation procedures. Previous reforms targeting the most restrictive business services, includin</w:t>
      </w:r>
      <w:r>
        <w:rPr>
          <w:noProof/>
        </w:rPr>
        <w:t xml:space="preserve">g regulated professions, have been halted and, sometimes, reversed. </w:t>
      </w:r>
    </w:p>
    <w:p w:rsidR="00BB0B51" w:rsidRDefault="00AA53B1">
      <w:pPr>
        <w:pStyle w:val="ListBullet"/>
        <w:numPr>
          <w:ilvl w:val="0"/>
          <w:numId w:val="1"/>
        </w:numPr>
        <w:rPr>
          <w:noProof/>
        </w:rPr>
      </w:pPr>
      <w:r>
        <w:rPr>
          <w:b/>
          <w:noProof/>
        </w:rPr>
        <w:t>Progress with reforming Portugal's public administration is incomplete.</w:t>
      </w:r>
      <w:r>
        <w:rPr>
          <w:noProof/>
        </w:rPr>
        <w:t xml:space="preserve"> There is still a lack of a comprehensive reform to effectively rationalise public administration. Coordination betw</w:t>
      </w:r>
      <w:r>
        <w:rPr>
          <w:noProof/>
        </w:rPr>
        <w:t>een the central and local levels is weak without homogenous implementing procedures across the different layers of the public sector. There are gaps in anti</w:t>
      </w:r>
      <w:r>
        <w:rPr>
          <w:noProof/>
        </w:rPr>
        <w:noBreakHyphen/>
        <w:t>corruption measures and an overarching anti</w:t>
      </w:r>
      <w:r>
        <w:rPr>
          <w:noProof/>
        </w:rPr>
        <w:noBreakHyphen/>
        <w:t>corruption strategy is not yet in place. In the judicia</w:t>
      </w:r>
      <w:r>
        <w:rPr>
          <w:noProof/>
        </w:rPr>
        <w:t>ry, in spite of efforts made, efficiency indicators remain poor, especially for tax and insolvency courts.</w:t>
      </w:r>
    </w:p>
    <w:p w:rsidR="00BB0B51" w:rsidRDefault="00AA53B1">
      <w:pPr>
        <w:pStyle w:val="ListBullet"/>
        <w:numPr>
          <w:ilvl w:val="0"/>
          <w:numId w:val="1"/>
        </w:numPr>
        <w:rPr>
          <w:noProof/>
        </w:rPr>
      </w:pPr>
      <w:r>
        <w:rPr>
          <w:b/>
          <w:noProof/>
        </w:rPr>
        <w:t xml:space="preserve">In public procurement, progress was made in transparency and reliability of data, while competition is still a problem and the use of direct awards </w:t>
      </w:r>
      <w:r>
        <w:rPr>
          <w:b/>
          <w:noProof/>
        </w:rPr>
        <w:t>remains high.</w:t>
      </w:r>
      <w:r>
        <w:rPr>
          <w:noProof/>
        </w:rPr>
        <w:t xml:space="preserve"> Other weaknesses in tendering include limited ex</w:t>
      </w:r>
      <w:r>
        <w:rPr>
          <w:noProof/>
        </w:rPr>
        <w:noBreakHyphen/>
        <w:t>ante and ex</w:t>
      </w:r>
      <w:r>
        <w:rPr>
          <w:noProof/>
        </w:rPr>
        <w:noBreakHyphen/>
        <w:t xml:space="preserve">post controls, lack of capacity, failure to provide satisfactory justification for the recourse of direct awards and contract splitting. </w:t>
      </w:r>
    </w:p>
    <w:p w:rsidR="00BB0B51" w:rsidRDefault="00BB0B51">
      <w:pPr>
        <w:rPr>
          <w:noProof/>
        </w:rPr>
        <w:sectPr w:rsidR="00BB0B51">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endnotePr>
          <w:pgSz w:w="11907" w:h="16839"/>
          <w:pgMar w:top="2693" w:right="1701" w:bottom="1417" w:left="1701" w:header="709" w:footer="1191" w:gutter="0"/>
          <w:pgNumType w:start="1"/>
          <w:cols w:num="2" w:space="283"/>
          <w:titlePg/>
          <w:docGrid w:linePitch="360"/>
        </w:sectPr>
      </w:pPr>
    </w:p>
    <w:p w:rsidR="00BB0B51" w:rsidRDefault="00AA53B1">
      <w:pPr>
        <w:pStyle w:val="SectionTitleFramed2"/>
        <w:framePr w:wrap="notBeside"/>
        <w:rPr>
          <w:noProof/>
        </w:rPr>
      </w:pPr>
      <w:bookmarkStart w:id="3" w:name="_Toc474773035"/>
      <w:bookmarkEnd w:id="3"/>
      <w:r>
        <w:rPr>
          <w:rFonts w:ascii="Times New Roman" w:hAnsi="Times New Roman"/>
          <w:b/>
          <w:noProof/>
          <w:color w:val="808080"/>
          <w:sz w:val="72"/>
        </w:rPr>
        <w:t>1.</w:t>
      </w:r>
      <w:r>
        <w:rPr>
          <w:noProof/>
        </w:rPr>
        <w:tab/>
        <w:t>Economic situation and outlook</w:t>
      </w:r>
    </w:p>
    <w:p w:rsidR="00BB0B51" w:rsidRDefault="00AA53B1">
      <w:pPr>
        <w:pStyle w:val="Heading"/>
        <w:rPr>
          <w:rFonts w:ascii="Times New Roman" w:hAnsi="Times New Roman"/>
          <w:noProof/>
        </w:rPr>
      </w:pPr>
      <w:r>
        <w:rPr>
          <w:rFonts w:ascii="Times New Roman" w:hAnsi="Times New Roman"/>
          <w:noProof/>
        </w:rPr>
        <w:t xml:space="preserve">GDP growth </w:t>
      </w:r>
    </w:p>
    <w:p w:rsidR="00BB0B51" w:rsidRDefault="00AA53B1">
      <w:pPr>
        <w:rPr>
          <w:noProof/>
        </w:rPr>
      </w:pPr>
      <w:r>
        <w:rPr>
          <w:b/>
          <w:noProof/>
        </w:rPr>
        <w:t>Portugal's economic recovery continues, supported by a rebound in net exports but held back by weak investment</w:t>
      </w:r>
      <w:r>
        <w:rPr>
          <w:noProof/>
        </w:rPr>
        <w:t>. An</w:t>
      </w:r>
      <w:r>
        <w:rPr>
          <w:noProof/>
        </w:rPr>
        <w:t>nual real GDP growth accelerated significantly to 1.6 % in the third quarter of 2016. This was due to a strong resurgence in exports of goods and services, which outweighed imports and increased the external contribution to economic growth to 0.7 percentag</w:t>
      </w:r>
      <w:r>
        <w:rPr>
          <w:noProof/>
        </w:rPr>
        <w:t>e points. Domestic demand, which had strongly fuelled expansion in 2015, reduced its positive contribution to 1 pp. in the third quarter of 2016. This drop was driven by falling investment and slower growth in the consumption of durable goods. Investment i</w:t>
      </w:r>
      <w:r>
        <w:rPr>
          <w:noProof/>
        </w:rPr>
        <w:t>s estimated to have improved only marginally by the end of 2016, due to stabilisation in construction activity, while employment growth is set to drive private consumption up. Overall, the Commission's 2017 winter forecast estimates that real GDP growth mo</w:t>
      </w:r>
      <w:r>
        <w:rPr>
          <w:noProof/>
        </w:rPr>
        <w:t xml:space="preserve">derated to 1.3 % in 2016.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1.1:</w:t>
            </w:r>
            <w:r>
              <w:rPr>
                <w:b/>
                <w:noProof/>
              </w:rPr>
              <w:tab/>
              <w:t>Real GDP growth and its components</w:t>
            </w:r>
          </w:p>
        </w:tc>
      </w:tr>
      <w:tr w:rsidR="00BB0B51">
        <w:trPr>
          <w:cantSplit/>
        </w:trPr>
        <w:tc>
          <w:tcPr>
            <w:tcW w:w="4110" w:type="dxa"/>
            <w:shd w:val="clear" w:color="auto" w:fill="auto"/>
          </w:tcPr>
          <w:p w:rsidR="00BB0B51" w:rsidRDefault="00AA53B1">
            <w:pPr>
              <w:pStyle w:val="GraphShape"/>
              <w:rPr>
                <w:noProof/>
                <w:sz w:val="2"/>
              </w:rPr>
            </w:pPr>
            <w:bookmarkStart w:id="4" w:name="_Toc474773057"/>
            <w:bookmarkEnd w:id="4"/>
            <w:r>
              <w:rPr>
                <w:noProof/>
                <w:sz w:val="2"/>
                <w:lang w:eastAsia="en-GB"/>
              </w:rPr>
              <w:drawing>
                <wp:inline distT="0" distB="0" distL="0" distR="0" wp14:anchorId="191753F3" wp14:editId="2EFC6114">
                  <wp:extent cx="2597595" cy="1526324"/>
                  <wp:effectExtent l="0" t="0" r="0" b="0"/>
                  <wp:docPr id="18" name="Picture 18" descr="&lt;_DISABLED_nbr_DISABLED_&gt;&lt;GETTEXTFROMWORD&gt;&lt;/nbr&gt;&#10;&lt;title&gt;&lt;GETTEXTFROMWORD&gt;&lt;/title&gt;&#10;&lt;_DISABLED_id_DISABLED_&gt;a6cb82af-a3b5-491f-8d0f-a0df4a51fec2&lt;/id&gt;&#10;&lt;srcType&gt;EXCEL&lt;/srcType&gt;&#10;&lt;srcPath&gt;O:\2017 CRs\22 PT\Graphs\&lt;/srcPath&gt;&#10;&lt;srcName&gt;PT CR_2017_Graphs_and_Tables.xlsx&lt;/srcName&gt;&#10;&lt;type&gt;graph&lt;/type&gt;&#10; &lt;srcSheet&gt;Graph 1.1-GDP_growth&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1526324"/>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Economic recovery is expected to pick up modestly in 2017 and 2018</w:t>
      </w:r>
      <w:r>
        <w:rPr>
          <w:noProof/>
        </w:rPr>
        <w:t xml:space="preserve">. Growth in private consumption is also projected to remain modest, reflecting more </w:t>
      </w:r>
      <w:r>
        <w:rPr>
          <w:noProof/>
        </w:rPr>
        <w:t>stable consumption of durable goods, a sustained high level of household debt and higher oil prices. Coming from a low level in 2016, investment is set to gather pace in 2017. This is driven by the gradual increase in EU co</w:t>
      </w:r>
      <w:r>
        <w:rPr>
          <w:noProof/>
        </w:rPr>
        <w:noBreakHyphen/>
        <w:t>financing during the new program</w:t>
      </w:r>
      <w:r>
        <w:rPr>
          <w:noProof/>
        </w:rPr>
        <w:t>ming period and further support from external demand. However, risks to the forecast are tilted to the downside, as acceleration in growth will crucially depend on investment, which has so far remained volatile and sensitive to shocks.</w:t>
      </w:r>
    </w:p>
    <w:p w:rsidR="00BB0B51" w:rsidRDefault="00AA53B1">
      <w:pPr>
        <w:pStyle w:val="Heading"/>
        <w:rPr>
          <w:rFonts w:ascii="Times New Roman" w:hAnsi="Times New Roman"/>
          <w:noProof/>
        </w:rPr>
      </w:pPr>
      <w:r>
        <w:rPr>
          <w:rFonts w:ascii="Times New Roman" w:hAnsi="Times New Roman"/>
          <w:noProof/>
        </w:rPr>
        <w:t xml:space="preserve">Inflation </w:t>
      </w:r>
    </w:p>
    <w:p w:rsidR="00BB0B51" w:rsidRDefault="00AA53B1">
      <w:pPr>
        <w:rPr>
          <w:noProof/>
        </w:rPr>
      </w:pPr>
      <w:r>
        <w:rPr>
          <w:b/>
          <w:noProof/>
        </w:rPr>
        <w:t>Inflation</w:t>
      </w:r>
      <w:r>
        <w:rPr>
          <w:b/>
          <w:noProof/>
        </w:rPr>
        <w:t xml:space="preserve"> is projected to rise moderately in the medium term.</w:t>
      </w:r>
      <w:r>
        <w:rPr>
          <w:noProof/>
        </w:rPr>
        <w:t xml:space="preserve"> HICP inflation increased to around 1 % in annualised terms towards the end of 2016 on the back of higher prices of energy and, to a lesser extent, services. The annual average rate however remained lower</w:t>
      </w:r>
      <w:r>
        <w:rPr>
          <w:noProof/>
        </w:rPr>
        <w:t xml:space="preserve"> at 0.6 % reflecting downward energy price effects from the beginning of the year. HICP inflation is forecast to climb gradually to 1.4 % in 2018 under the assumption of higher oil prices and related second</w:t>
      </w:r>
      <w:r>
        <w:rPr>
          <w:noProof/>
        </w:rPr>
        <w:noBreakHyphen/>
        <w:t>round effects on energy</w:t>
      </w:r>
      <w:r>
        <w:rPr>
          <w:noProof/>
        </w:rPr>
        <w:noBreakHyphen/>
        <w:t xml:space="preserve">intensive services. </w:t>
      </w:r>
    </w:p>
    <w:p w:rsidR="00BB0B51" w:rsidRDefault="00AA53B1">
      <w:pPr>
        <w:pStyle w:val="Heading"/>
        <w:rPr>
          <w:rFonts w:ascii="Times New Roman" w:hAnsi="Times New Roman"/>
          <w:noProof/>
        </w:rPr>
      </w:pPr>
      <w:r>
        <w:rPr>
          <w:rFonts w:ascii="Times New Roman" w:hAnsi="Times New Roman"/>
          <w:noProof/>
        </w:rPr>
        <w:t>Labo</w:t>
      </w:r>
      <w:r>
        <w:rPr>
          <w:rFonts w:ascii="Times New Roman" w:hAnsi="Times New Roman"/>
          <w:noProof/>
        </w:rPr>
        <w:t>ur market and social conditions</w:t>
      </w:r>
    </w:p>
    <w:p w:rsidR="00BB0B51" w:rsidRDefault="00AA53B1">
      <w:pPr>
        <w:rPr>
          <w:noProof/>
        </w:rPr>
      </w:pPr>
      <w:r>
        <w:rPr>
          <w:b/>
          <w:noProof/>
        </w:rPr>
        <w:t>The recovery of the Portuguese labour market continued in 2016.</w:t>
      </w:r>
      <w:r>
        <w:rPr>
          <w:noProof/>
        </w:rPr>
        <w:t xml:space="preserve"> Employment growth continued at a robust pace of 2 % year</w:t>
      </w:r>
      <w:r>
        <w:rPr>
          <w:noProof/>
        </w:rPr>
        <w:noBreakHyphen/>
        <w:t>on</w:t>
      </w:r>
      <w:r>
        <w:rPr>
          <w:noProof/>
        </w:rPr>
        <w:noBreakHyphen/>
        <w:t>year in Q3</w:t>
      </w:r>
      <w:r>
        <w:rPr>
          <w:noProof/>
        </w:rPr>
        <w:noBreakHyphen/>
        <w:t>2016, mainly due to stronger demand for labour, especially services. At the same time, th</w:t>
      </w:r>
      <w:r>
        <w:rPr>
          <w:noProof/>
        </w:rPr>
        <w:t>e unemployment rate fell to 10.5 % in Q4</w:t>
      </w:r>
      <w:r>
        <w:rPr>
          <w:noProof/>
        </w:rPr>
        <w:noBreakHyphen/>
        <w:t>2016. The activity rate for the 20</w:t>
      </w:r>
      <w:r>
        <w:rPr>
          <w:noProof/>
        </w:rPr>
        <w:noBreakHyphen/>
        <w:t>64 age group remained close to its historical highs at just below 80 % in Q3</w:t>
      </w:r>
      <w:r>
        <w:rPr>
          <w:noProof/>
        </w:rPr>
        <w:noBreakHyphen/>
        <w:t>2016. Long</w:t>
      </w:r>
      <w:r>
        <w:rPr>
          <w:noProof/>
        </w:rPr>
        <w:noBreakHyphen/>
        <w:t>term unemployment remained high at around 60 % of total unemployment in 2016 and weighed neg</w:t>
      </w:r>
      <w:r>
        <w:rPr>
          <w:noProof/>
        </w:rPr>
        <w:t>atively on potential growth. Youth unemployment, although decreasing, was also high at 26.1 % in the third quarter of 2016.</w:t>
      </w:r>
    </w:p>
    <w:p w:rsidR="00BB0B51" w:rsidRDefault="00AA53B1">
      <w:pPr>
        <w:rPr>
          <w:noProof/>
        </w:rPr>
      </w:pPr>
      <w:r>
        <w:rPr>
          <w:b/>
          <w:noProof/>
        </w:rPr>
        <w:t>The Portuguese labour market showed strong recovery over 2014</w:t>
      </w:r>
      <w:r>
        <w:rPr>
          <w:b/>
          <w:noProof/>
        </w:rPr>
        <w:noBreakHyphen/>
        <w:t>2016</w:t>
      </w:r>
      <w:r>
        <w:rPr>
          <w:noProof/>
        </w:rPr>
        <w:t>. The fall in unemployment between 2014 and 2016 was about 4.5 pps</w:t>
      </w:r>
      <w:r>
        <w:rPr>
          <w:noProof/>
        </w:rPr>
        <w:t>. faster than was to be expected on the basis of the past relationship between GDP growth and unemployment. This overshooting was the largest in the EU (European Commission, 2016a). The relatively job</w:t>
      </w:r>
      <w:r>
        <w:rPr>
          <w:noProof/>
        </w:rPr>
        <w:noBreakHyphen/>
        <w:t>rich recovery is probably linked to factors including s</w:t>
      </w:r>
      <w:r>
        <w:rPr>
          <w:noProof/>
        </w:rPr>
        <w:t>trong wage adjustment in the previous years and with recent labour market reforms. Strong growth in tourism, particularly in 2016, is also estimated to have had a substantial positive impact on employment growth, as the sector itself and many related servi</w:t>
      </w:r>
      <w:r>
        <w:rPr>
          <w:noProof/>
        </w:rPr>
        <w:t>ces are labour intensive. Overall, labour market conditions are expected to continue to improve over the medium term. Employment growth is however set to slow down over the forecast horizon. Along with a moderate decrease in the labour force, it is expecte</w:t>
      </w:r>
      <w:r>
        <w:rPr>
          <w:noProof/>
        </w:rPr>
        <w:t xml:space="preserve">d to bring the unemployment rate from around 11 % in 2016 to 9.4 % in 2018.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1.2:</w:t>
            </w:r>
            <w:r>
              <w:rPr>
                <w:b/>
                <w:noProof/>
              </w:rPr>
              <w:tab/>
              <w:t>Activity, employment and unemployment rates (quarterly)</w:t>
            </w:r>
          </w:p>
        </w:tc>
      </w:tr>
      <w:tr w:rsidR="00BB0B51">
        <w:trPr>
          <w:cantSplit/>
        </w:trPr>
        <w:tc>
          <w:tcPr>
            <w:tcW w:w="4110" w:type="dxa"/>
            <w:shd w:val="clear" w:color="auto" w:fill="auto"/>
          </w:tcPr>
          <w:p w:rsidR="00BB0B51" w:rsidRDefault="00AA53B1">
            <w:pPr>
              <w:pStyle w:val="GraphShape"/>
              <w:rPr>
                <w:noProof/>
                <w:sz w:val="2"/>
              </w:rPr>
            </w:pPr>
            <w:bookmarkStart w:id="5" w:name="_Toc474773058"/>
            <w:bookmarkEnd w:id="5"/>
            <w:r>
              <w:rPr>
                <w:noProof/>
                <w:sz w:val="2"/>
                <w:lang w:eastAsia="en-GB"/>
              </w:rPr>
              <w:drawing>
                <wp:inline distT="0" distB="0" distL="0" distR="0" wp14:anchorId="232500E7" wp14:editId="5DA06014">
                  <wp:extent cx="2597595" cy="2436430"/>
                  <wp:effectExtent l="0" t="0" r="0" b="0"/>
                  <wp:docPr id="17" name="Picture 17" descr="&lt;_DISABLED_nbr_DISABLED_&gt;&lt;GETTEXTFROMWORD&gt;&lt;/nbr&gt;&#10;&lt;title&gt;&lt;GETTEXTFROMWORD&gt;&lt;/title&gt;&#10;&lt;_DISABLED_id_DISABLED_&gt;88eb59c0-7aee-43a3-848c-073ef492965a&lt;/id&gt;&#10;&lt;srcType&gt;EXCEL&lt;/srcType&gt;&#10;&lt;srcPath&gt;O:\2017 CRs\22 PT\Graphs\&lt;/srcPath&gt;&#10;&lt;srcName&gt;PT CR_2017_Graphs_and_Tables.xlsx&lt;/srcName&gt;&#10;&lt;type&gt;graph&lt;/type&gt;&#10; &lt;srcSheet&gt;Graph 1.4-empl.unempl forecast&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Footnote"/>
              <w:keepNext/>
              <w:rPr>
                <w:noProof/>
              </w:rPr>
            </w:pPr>
            <w:r>
              <w:rPr>
                <w:noProof/>
              </w:rPr>
              <w:t>(1) Activity and employment rates (% of population), total, ages 20</w:t>
            </w:r>
            <w:r>
              <w:rPr>
                <w:noProof/>
              </w:rPr>
              <w:noBreakHyphen/>
              <w:t xml:space="preserve">64, seasonally adjusted      </w:t>
            </w:r>
            <w:r>
              <w:rPr>
                <w:noProof/>
              </w:rPr>
              <w:br/>
              <w:t>(2) Unempl</w:t>
            </w:r>
            <w:r>
              <w:rPr>
                <w:noProof/>
              </w:rPr>
              <w:t>oyment rate (% of labour force), total, ages 15</w:t>
            </w:r>
            <w:r>
              <w:rPr>
                <w:noProof/>
              </w:rPr>
              <w:noBreakHyphen/>
              <w:t xml:space="preserve">74, seasonally adjusted      </w:t>
            </w:r>
            <w:r>
              <w:rPr>
                <w:noProof/>
              </w:rPr>
              <w:br/>
            </w:r>
          </w:p>
          <w:p w:rsidR="00BB0B51" w:rsidRDefault="00AA53B1">
            <w:pPr>
              <w:pStyle w:val="GraphSource"/>
              <w:keepNext/>
              <w:rPr>
                <w:noProof/>
              </w:rPr>
            </w:pPr>
            <w:r>
              <w:rPr>
                <w:b/>
                <w:i/>
                <w:noProof/>
              </w:rPr>
              <w:t>Source:</w:t>
            </w:r>
            <w:r>
              <w:rPr>
                <w:noProof/>
              </w:rPr>
              <w:t xml:space="preserve"> Eurostat</w:t>
            </w:r>
          </w:p>
        </w:tc>
      </w:tr>
    </w:tbl>
    <w:p w:rsidR="00BB0B51" w:rsidRDefault="00AA53B1">
      <w:pPr>
        <w:rPr>
          <w:noProof/>
        </w:rPr>
      </w:pPr>
      <w:r>
        <w:rPr>
          <w:b/>
          <w:noProof/>
        </w:rPr>
        <w:t>Portugal has witnessed negative net migration flows since 2011</w:t>
      </w:r>
      <w:r>
        <w:rPr>
          <w:noProof/>
        </w:rPr>
        <w:t>. The average balance was about 32 000 people per year leaving the country between 2011 and 2014.</w:t>
      </w:r>
      <w:r>
        <w:rPr>
          <w:noProof/>
        </w:rPr>
        <w:t xml:space="preserve"> More recently, the situation has been stabilising, along with improving labour market conditions. In 2015 net emigration declined to 10 500 people (or 1 per 1 000 inhabitants). Young people between 15 and 29 accounted for more than 40 % of total emigratio</w:t>
      </w:r>
      <w:r>
        <w:rPr>
          <w:noProof/>
        </w:rPr>
        <w:t>n between 2011 and 2014 and there are indications that the high</w:t>
      </w:r>
      <w:r>
        <w:rPr>
          <w:noProof/>
        </w:rPr>
        <w:noBreakHyphen/>
        <w:t>skilled are over</w:t>
      </w:r>
      <w:r>
        <w:rPr>
          <w:noProof/>
        </w:rPr>
        <w:noBreakHyphen/>
        <w:t>represented (European Commission 2016b).</w:t>
      </w:r>
    </w:p>
    <w:p w:rsidR="00BB0B51" w:rsidRDefault="00AA53B1">
      <w:pPr>
        <w:rPr>
          <w:noProof/>
        </w:rPr>
      </w:pPr>
      <w:r>
        <w:rPr>
          <w:b/>
          <w:noProof/>
        </w:rPr>
        <w:t>Hiring on permanent contracts continued, while labour market segmentation remains an issue.</w:t>
      </w:r>
      <w:r>
        <w:rPr>
          <w:noProof/>
        </w:rPr>
        <w:t xml:space="preserve"> The Portuguese economy continued to add bo</w:t>
      </w:r>
      <w:r>
        <w:rPr>
          <w:noProof/>
        </w:rPr>
        <w:t>th temporary and permanent jobs in 2015 and 2016 (Graph 1.3). At the same time, the creation of permanent jobs was not sufficient to drive down the share of temporary contracts in the economy. Employees with fixed-term contracts accounted for 22.4 % of tot</w:t>
      </w:r>
      <w:r>
        <w:rPr>
          <w:noProof/>
        </w:rPr>
        <w:t>al employees in Q3-2016, one of the highest proportions in the EU. About a quarter of temporary employees move on to a permanent contract every year (27.3 % in 2015, stable from 2014 and slightly higher than the EU average of 23 % in 2014, EU-SILC data). T</w:t>
      </w:r>
      <w:r>
        <w:rPr>
          <w:noProof/>
        </w:rPr>
        <w:t>he wage premium of permanent over temporary workers, not adjusted for the different composition of the two groups, is one of the highest in the EU (47 %, Eurostat 2014 structure of earnings survey). After adjusting for personal characteristics (such as age</w:t>
      </w:r>
      <w:r>
        <w:rPr>
          <w:noProof/>
        </w:rPr>
        <w:t>, gender and occupation) it falls to less than half of this, but it still remains among the highest.</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1.3:</w:t>
            </w:r>
            <w:r>
              <w:rPr>
                <w:b/>
                <w:noProof/>
              </w:rPr>
              <w:tab/>
              <w:t>Employment by type (permanent, temporary, self</w:t>
            </w:r>
            <w:r>
              <w:rPr>
                <w:b/>
                <w:noProof/>
              </w:rPr>
              <w:noBreakHyphen/>
              <w:t>employed), year</w:t>
            </w:r>
            <w:r>
              <w:rPr>
                <w:b/>
                <w:noProof/>
              </w:rPr>
              <w:noBreakHyphen/>
              <w:t>on</w:t>
            </w:r>
            <w:r>
              <w:rPr>
                <w:b/>
                <w:noProof/>
              </w:rPr>
              <w:noBreakHyphen/>
              <w:t>year changes</w:t>
            </w:r>
          </w:p>
        </w:tc>
      </w:tr>
      <w:tr w:rsidR="00BB0B51">
        <w:trPr>
          <w:cantSplit/>
        </w:trPr>
        <w:tc>
          <w:tcPr>
            <w:tcW w:w="4110" w:type="dxa"/>
            <w:shd w:val="clear" w:color="auto" w:fill="auto"/>
          </w:tcPr>
          <w:p w:rsidR="00BB0B51" w:rsidRDefault="00AA53B1">
            <w:pPr>
              <w:pStyle w:val="GraphShape"/>
              <w:rPr>
                <w:noProof/>
                <w:sz w:val="2"/>
              </w:rPr>
            </w:pPr>
            <w:bookmarkStart w:id="6" w:name="_Toc474773059"/>
            <w:bookmarkEnd w:id="6"/>
            <w:r>
              <w:rPr>
                <w:noProof/>
                <w:sz w:val="2"/>
                <w:lang w:eastAsia="en-GB"/>
              </w:rPr>
              <w:drawing>
                <wp:inline distT="0" distB="0" distL="0" distR="0" wp14:anchorId="6C92C803" wp14:editId="561018BE">
                  <wp:extent cx="2597595" cy="2436430"/>
                  <wp:effectExtent l="0" t="0" r="0" b="0"/>
                  <wp:docPr id="16" name="Picture 16" descr="&lt;_DISABLED_nbr_DISABLED_&gt;&lt;GETTEXTFROMWORD&gt;&lt;/nbr&gt;&#10;&lt;title&gt;&lt;GETTEXTFROMWORD&gt;&lt;/title&gt;&#10;&lt;_DISABLED_id_DISABLED_&gt;adb78722-8c2b-44cd-84d7-c649652f7f4e&lt;/id&gt;&#10;&lt;srcType&gt;EXCEL&lt;/srcType&gt;&#10;&lt;srcPath&gt;O:\2017 CRs\22 PT\Graphs\&lt;/srcPath&gt;&#10;&lt;srcName&gt;PT CR_2017_Graphs_and_Tables.xlsx&lt;/srcName&gt;&#10;&lt;type&gt;graph&lt;/type&gt;&#10; &lt;srcSheet&gt;Graph 1.6-Employment_by_typ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 </w:t>
            </w:r>
          </w:p>
        </w:tc>
      </w:tr>
    </w:tbl>
    <w:p w:rsidR="00BB0B51" w:rsidRDefault="00AA53B1">
      <w:pPr>
        <w:rPr>
          <w:noProof/>
        </w:rPr>
      </w:pPr>
      <w:r>
        <w:rPr>
          <w:b/>
          <w:noProof/>
        </w:rPr>
        <w:t xml:space="preserve">After two years of stagnation, </w:t>
      </w:r>
      <w:r>
        <w:rPr>
          <w:b/>
          <w:noProof/>
        </w:rPr>
        <w:t>the rate of persons at</w:t>
      </w:r>
      <w:r>
        <w:rPr>
          <w:b/>
          <w:noProof/>
        </w:rPr>
        <w:noBreakHyphen/>
        <w:t>risk</w:t>
      </w:r>
      <w:r>
        <w:rPr>
          <w:b/>
          <w:noProof/>
        </w:rPr>
        <w:noBreakHyphen/>
        <w:t>of</w:t>
      </w:r>
      <w:r>
        <w:rPr>
          <w:b/>
          <w:noProof/>
        </w:rPr>
        <w:noBreakHyphen/>
        <w:t>poverty or social exclusion declined in 2015</w:t>
      </w:r>
      <w:r>
        <w:rPr>
          <w:noProof/>
        </w:rPr>
        <w:t>. It reached 26.6 % (</w:t>
      </w:r>
      <w:r>
        <w:rPr>
          <w:noProof/>
          <w:vertAlign w:val="superscript"/>
        </w:rPr>
        <w:footnoteReference w:id="1"/>
      </w:r>
      <w:r>
        <w:rPr>
          <w:noProof/>
        </w:rPr>
        <w:t>), still nearly 3 pps. above the EU average. Children are particularly affected, but their situation is slowly improving. In</w:t>
      </w:r>
      <w:r>
        <w:rPr>
          <w:noProof/>
        </w:rPr>
        <w:noBreakHyphen/>
        <w:t>work poverty is one of the highest</w:t>
      </w:r>
      <w:r>
        <w:rPr>
          <w:noProof/>
        </w:rPr>
        <w:t xml:space="preserve"> in the EU, with a sharp increase by 0.2 pps. between 2014 and 2015 (still, not reflecting the recent minimum wage increases as it is based in 2014 increases). The main reasons for this are low</w:t>
      </w:r>
      <w:r>
        <w:rPr>
          <w:noProof/>
        </w:rPr>
        <w:noBreakHyphen/>
        <w:t xml:space="preserve">quality employment and insecure labour relationships. </w:t>
      </w:r>
    </w:p>
    <w:p w:rsidR="00BB0B51" w:rsidRDefault="00AA53B1">
      <w:pPr>
        <w:rPr>
          <w:noProof/>
        </w:rPr>
      </w:pPr>
      <w:r>
        <w:rPr>
          <w:b/>
          <w:noProof/>
        </w:rPr>
        <w:t>Portuga</w:t>
      </w:r>
      <w:r>
        <w:rPr>
          <w:b/>
          <w:noProof/>
        </w:rPr>
        <w:t>l has one of the highest income inequalities in Europe</w:t>
      </w:r>
      <w:r>
        <w:rPr>
          <w:noProof/>
        </w:rPr>
        <w:t>. Inequality, as measured by the income quintile share ratio (</w:t>
      </w:r>
      <w:r>
        <w:rPr>
          <w:noProof/>
          <w:vertAlign w:val="superscript"/>
        </w:rPr>
        <w:footnoteReference w:id="2"/>
      </w:r>
      <w:r>
        <w:rPr>
          <w:noProof/>
        </w:rPr>
        <w:t>), has historically been higher than in other EU countries, though it was moving towards the EU average before the crisis (</w:t>
      </w:r>
      <w:r>
        <w:rPr>
          <w:noProof/>
          <w:vertAlign w:val="superscript"/>
        </w:rPr>
        <w:footnoteReference w:id="3"/>
      </w:r>
      <w:r>
        <w:rPr>
          <w:noProof/>
        </w:rPr>
        <w:t>). This trend r</w:t>
      </w:r>
      <w:r>
        <w:rPr>
          <w:noProof/>
        </w:rPr>
        <w:t>eversed since 2010 as market incomes of poorer households have been steadily eroded, due to rising unemployment and low wage growth. The tax</w:t>
      </w:r>
      <w:r>
        <w:rPr>
          <w:noProof/>
        </w:rPr>
        <w:noBreakHyphen/>
        <w:t>benefit system seems to have dampened the effect throughout the crisis, reducing inequality as measured by the Gini</w:t>
      </w:r>
      <w:r>
        <w:rPr>
          <w:noProof/>
        </w:rPr>
        <w:t xml:space="preserve"> coefficient by about a third (</w:t>
      </w:r>
      <w:r>
        <w:rPr>
          <w:noProof/>
          <w:vertAlign w:val="superscript"/>
        </w:rPr>
        <w:footnoteReference w:id="4"/>
      </w:r>
      <w:r>
        <w:rPr>
          <w:noProof/>
        </w:rPr>
        <w:t xml:space="preserve">). In 2015, there has been a modest decline in income inequality, driven by falling unemployment. There was a decline in wealth between 2011 and 2015 for all quintiles of the wealth distribution. However, this drop was more </w:t>
      </w:r>
      <w:r>
        <w:rPr>
          <w:noProof/>
        </w:rPr>
        <w:t>severe for the poorest quintile signalling a worsening of net wealth (</w:t>
      </w:r>
      <w:r>
        <w:rPr>
          <w:noProof/>
          <w:vertAlign w:val="superscript"/>
        </w:rPr>
        <w:footnoteReference w:id="5"/>
      </w:r>
      <w:r>
        <w:rPr>
          <w:noProof/>
        </w:rPr>
        <w:t xml:space="preserve">) inequality which is still within the range observed in other EU countries for which data were collected in 2013-2014 (ECB 2016). Inequalities in access to healthcare remain critical. </w:t>
      </w:r>
      <w:r>
        <w:rPr>
          <w:noProof/>
        </w:rPr>
        <w:t>The gap between the poorest households and the richest in self</w:t>
      </w:r>
      <w:r>
        <w:rPr>
          <w:noProof/>
        </w:rPr>
        <w:noBreakHyphen/>
        <w:t>reported unmet needs for medical examination increased to 6.7 pps. in 2014 (EU average: 4.9), from just 2.3 in 2008 (see Section 4.3.2).</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1.4:</w:t>
            </w:r>
            <w:r>
              <w:rPr>
                <w:b/>
                <w:noProof/>
              </w:rPr>
              <w:tab/>
              <w:t xml:space="preserve">Inequality of income distribution (S80/S20 </w:t>
            </w:r>
            <w:r>
              <w:rPr>
                <w:b/>
                <w:noProof/>
              </w:rPr>
              <w:t>income quintile share ratio)</w:t>
            </w:r>
          </w:p>
        </w:tc>
      </w:tr>
      <w:tr w:rsidR="00BB0B51">
        <w:trPr>
          <w:cantSplit/>
        </w:trPr>
        <w:tc>
          <w:tcPr>
            <w:tcW w:w="4110" w:type="dxa"/>
            <w:shd w:val="clear" w:color="auto" w:fill="auto"/>
          </w:tcPr>
          <w:p w:rsidR="00BB0B51" w:rsidRDefault="00AA53B1">
            <w:pPr>
              <w:pStyle w:val="GraphShape"/>
              <w:rPr>
                <w:noProof/>
                <w:sz w:val="2"/>
              </w:rPr>
            </w:pPr>
            <w:bookmarkStart w:id="7" w:name="_Toc474773060"/>
            <w:bookmarkEnd w:id="7"/>
            <w:r>
              <w:rPr>
                <w:noProof/>
                <w:sz w:val="2"/>
                <w:lang w:eastAsia="en-GB"/>
              </w:rPr>
              <w:drawing>
                <wp:inline distT="0" distB="0" distL="0" distR="0" wp14:anchorId="42922264" wp14:editId="7B3E2958">
                  <wp:extent cx="2597595" cy="2256305"/>
                  <wp:effectExtent l="0" t="0" r="0" b="0"/>
                  <wp:docPr id="15" name="Picture 15" descr="&lt;_DISABLED_nbr_DISABLED_&gt;&lt;GETTEXTFROMWORD&gt;&lt;/nbr&gt;&#10;&lt;title&gt;&lt;GETTEXTFROMWORD&gt;&lt;/title&gt;&#10;&lt;_DISABLED_id_DISABLED_&gt;682c2529-7001-42c1-89d4-eaafd0a2bc63&lt;/id&gt;&#10;&lt;srcType&gt;EXCEL&lt;/srcType&gt;&#10;&lt;srcPath&gt;O:\2017 CRs\22 PT\Graphs\&lt;/srcPath&gt;&#10;&lt;srcName&gt;PT CR_2017_Graphs_and_Tables.xlsx&lt;/srcName&gt;&#10;&lt;type&gt;graph&lt;/type&gt;&#10; &lt;srcSheet&gt;NEW Graph 1.4 income inequail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256305"/>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pStyle w:val="Heading"/>
        <w:rPr>
          <w:rFonts w:ascii="Times New Roman" w:hAnsi="Times New Roman"/>
          <w:noProof/>
        </w:rPr>
      </w:pPr>
      <w:r>
        <w:rPr>
          <w:rFonts w:ascii="Times New Roman" w:hAnsi="Times New Roman"/>
          <w:noProof/>
        </w:rPr>
        <w:t>External rebalancing</w:t>
      </w:r>
    </w:p>
    <w:p w:rsidR="00BB0B51" w:rsidRDefault="00AA53B1">
      <w:pPr>
        <w:rPr>
          <w:noProof/>
          <w:highlight w:val="yellow"/>
        </w:rPr>
      </w:pPr>
      <w:r>
        <w:rPr>
          <w:b/>
          <w:noProof/>
        </w:rPr>
        <w:t xml:space="preserve">The strong upswing in the current account over the past decade prevented a further deterioration of the NIIP but has not yet been sufficient to markedly improve Portugal's </w:t>
      </w:r>
      <w:r>
        <w:rPr>
          <w:b/>
          <w:noProof/>
        </w:rPr>
        <w:t>external position.</w:t>
      </w:r>
      <w:r>
        <w:rPr>
          <w:noProof/>
        </w:rPr>
        <w:t xml:space="preserve"> The current account improved strongly over the past decade, from large deficits to modest surpluses. However, current and projected surpluses fall short of the estimated benchmark of 1.6 % required to halve the negative NIIP by 2025.</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w:t>
            </w:r>
            <w:r>
              <w:rPr>
                <w:noProof/>
              </w:rPr>
              <w:t>ph 1.5:</w:t>
            </w:r>
            <w:r>
              <w:rPr>
                <w:b/>
                <w:noProof/>
              </w:rPr>
              <w:tab/>
              <w:t>NIIP and Current Account evolution</w:t>
            </w:r>
          </w:p>
        </w:tc>
      </w:tr>
      <w:tr w:rsidR="00BB0B51">
        <w:trPr>
          <w:cantSplit/>
        </w:trPr>
        <w:tc>
          <w:tcPr>
            <w:tcW w:w="4110" w:type="dxa"/>
            <w:shd w:val="clear" w:color="auto" w:fill="auto"/>
          </w:tcPr>
          <w:p w:rsidR="00BB0B51" w:rsidRDefault="00AA53B1">
            <w:pPr>
              <w:pStyle w:val="GraphShape"/>
              <w:rPr>
                <w:noProof/>
                <w:sz w:val="2"/>
              </w:rPr>
            </w:pPr>
            <w:bookmarkStart w:id="8" w:name="_Toc474773061"/>
            <w:bookmarkEnd w:id="8"/>
            <w:r>
              <w:rPr>
                <w:noProof/>
                <w:sz w:val="2"/>
                <w:lang w:eastAsia="en-GB"/>
              </w:rPr>
              <w:drawing>
                <wp:inline distT="0" distB="0" distL="0" distR="0" wp14:anchorId="1AC51F10" wp14:editId="174579AA">
                  <wp:extent cx="2597595" cy="2435840"/>
                  <wp:effectExtent l="0" t="0" r="0" b="3175"/>
                  <wp:docPr id="4" name="Picture 4" descr="&lt;_DISABLED_nbr_DISABLED_&gt;&lt;GETTEXTFROMWORD&gt;&lt;/nbr&gt;&#10;&lt;title&gt;&lt;GETTEXTFROMWORD&gt;&lt;/title&gt;&#10;&lt;_DISABLED_id_DISABLED_&gt;16776715-b49f-444f-9e63-c556da9f7c87&lt;/id&gt;&#10;&lt;srcType&gt;EXCEL&lt;/srcType&gt;&#10;&lt;srcPath&gt;O:\2017 CRs\22 PT\Graphs\&lt;/srcPath&gt;&#10;&lt;srcName&gt;PT graph CA and NIIP.xlsx&lt;/srcName&gt;&#10;&lt;type&gt;graph&lt;/type&gt;&#10; &lt;srcSheet&gt;Underlying_CA&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8:01: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3584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Footnote"/>
              <w:keepNext/>
              <w:rPr>
                <w:noProof/>
              </w:rPr>
            </w:pPr>
            <w:r>
              <w:rPr>
                <w:noProof/>
              </w:rPr>
              <w:t>(1) The cyclically</w:t>
            </w:r>
            <w:r>
              <w:rPr>
                <w:noProof/>
              </w:rPr>
              <w:noBreakHyphen/>
              <w:t>adjusted CA is defined as the current account balance that would emerge at a zero output gap in both the country of reference and the partner countries.</w:t>
            </w:r>
            <w:r>
              <w:rPr>
                <w:noProof/>
              </w:rPr>
              <w:br/>
              <w:t>* denotes a forecast figure</w:t>
            </w:r>
          </w:p>
          <w:p w:rsidR="00BB0B51" w:rsidRDefault="00AA53B1">
            <w:pPr>
              <w:pStyle w:val="GraphSource"/>
              <w:keepNext/>
              <w:rPr>
                <w:noProof/>
              </w:rPr>
            </w:pPr>
            <w:r>
              <w:rPr>
                <w:b/>
                <w:i/>
                <w:noProof/>
              </w:rPr>
              <w:t>Source:</w:t>
            </w:r>
            <w:r>
              <w:rPr>
                <w:noProof/>
              </w:rPr>
              <w:t xml:space="preserve"> E</w:t>
            </w:r>
            <w:r>
              <w:rPr>
                <w:noProof/>
              </w:rPr>
              <w:t>uropean Commission</w:t>
            </w:r>
          </w:p>
        </w:tc>
      </w:tr>
    </w:tbl>
    <w:p w:rsidR="00BB0B51" w:rsidRDefault="00AA53B1">
      <w:pPr>
        <w:rPr>
          <w:noProof/>
        </w:rPr>
      </w:pPr>
      <w:r>
        <w:rPr>
          <w:b/>
          <w:noProof/>
        </w:rPr>
        <w:t>The most important component of the sustainable reversal of external imbalances was stronger exports while compressed imports played a smaller role.</w:t>
      </w:r>
      <w:r>
        <w:rPr>
          <w:noProof/>
        </w:rPr>
        <w:t xml:space="preserve"> Improvements in competitiveness, resulting from adjustments to relative prices and prod</w:t>
      </w:r>
      <w:r>
        <w:rPr>
          <w:noProof/>
        </w:rPr>
        <w:t>uct quality, enabled exports to make a growing contribution to reducing the current</w:t>
      </w:r>
      <w:r>
        <w:rPr>
          <w:noProof/>
        </w:rPr>
        <w:noBreakHyphen/>
        <w:t>account deficit, particularly between 2010 and 2013. From the second half of 2015, export performance was hindered by a weak global outlook, particularly in markets outside</w:t>
      </w:r>
      <w:r>
        <w:rPr>
          <w:noProof/>
        </w:rPr>
        <w:t xml:space="preserve"> the EU. Yet, it improved significantly in the third quarter of 2016. This progress was driven mainly by exceptionally strong growth in tourism which, however, is not expected to sustain such a fast pace in the next few years. Moreover, the recent rebound </w:t>
      </w:r>
      <w:r>
        <w:rPr>
          <w:noProof/>
        </w:rPr>
        <w:t>in labour costs poses further risks to the country's external competitiveness. In the medium term, exports are forecast to grow in line with foreign demand. At the same time imports are expected to slightly outweigh exports, mainly due to increased investm</w:t>
      </w:r>
      <w:r>
        <w:rPr>
          <w:noProof/>
        </w:rPr>
        <w:t>ent.</w:t>
      </w:r>
    </w:p>
    <w:p w:rsidR="00BB0B51" w:rsidRDefault="00AA53B1">
      <w:pPr>
        <w:rPr>
          <w:noProof/>
        </w:rPr>
      </w:pPr>
      <w:r>
        <w:rPr>
          <w:b/>
          <w:noProof/>
        </w:rPr>
        <w:t>The improvement in external trade has been driven mainly by services, in particular tourism and transport.</w:t>
      </w:r>
      <w:r>
        <w:rPr>
          <w:noProof/>
        </w:rPr>
        <w:t xml:space="preserve"> Both sectors have benefitted from positive external developments; a longer</w:t>
      </w:r>
      <w:r>
        <w:rPr>
          <w:noProof/>
        </w:rPr>
        <w:noBreakHyphen/>
        <w:t>term stable development would depend on increased investment and effi</w:t>
      </w:r>
      <w:r>
        <w:rPr>
          <w:noProof/>
        </w:rPr>
        <w:t xml:space="preserve">ciency. While the negative trade balance of goods almost reached 13 % of GDP in 2008, it fell to around 4 % in 2016. A steady increase in the terms of trade has helped improve the trade balance of goods. Yet this price effect is expected to reverse due to </w:t>
      </w:r>
      <w:r>
        <w:rPr>
          <w:noProof/>
        </w:rPr>
        <w:t xml:space="preserve">the increase in energy import prices as of the second half of 2016. In addition, domestic demand is expected to push up imports over the forecast horizon. </w:t>
      </w:r>
    </w:p>
    <w:p w:rsidR="00BB0B51" w:rsidRDefault="00AA53B1">
      <w:pPr>
        <w:rPr>
          <w:noProof/>
        </w:rPr>
      </w:pPr>
      <w:r>
        <w:rPr>
          <w:b/>
          <w:noProof/>
        </w:rPr>
        <w:t>However, exports of goods in Portugal are still mostly concentrated in low technology and high labou</w:t>
      </w:r>
      <w:r>
        <w:rPr>
          <w:b/>
          <w:noProof/>
        </w:rPr>
        <w:t xml:space="preserve">r intensive sectors. </w:t>
      </w:r>
      <w:r>
        <w:rPr>
          <w:noProof/>
        </w:rPr>
        <w:t xml:space="preserve">Portugal retains a comparative advantage in the production of construction material, textiles and leather production (Graph </w:t>
      </w:r>
      <w:r>
        <w:rPr>
          <w:noProof/>
        </w:rPr>
        <w:fldChar w:fldCharType="begin"/>
      </w:r>
      <w:r>
        <w:rPr>
          <w:noProof/>
        </w:rPr>
        <w:instrText xml:space="preserve"> QUOTE "1.6"</w:instrText>
      </w:r>
      <w:r>
        <w:rPr>
          <w:noProof/>
        </w:rPr>
        <w:fldChar w:fldCharType="begin">
          <w:fldData xml:space="preserve">QwBSAE8AUwBTAFIARQBGAEUAUgBFAE4AQwBFACoARwBSAEEAUABIACoAZQAzADEAYQA5ADkANAAx
AC0AMAAyAGQAZAAtADQAMQBhADIALQA5ADUAYwBkAC0AMwA0ADYAMQBkADAAOAAwADEAOAAxADAA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The lack of technological innovation could hold back potential growth in the export sector in the medium term. The scope of specialisation in sectors with higher value added is relatively low, which limits the potential for expanding market sha</w:t>
      </w:r>
      <w:r>
        <w:rPr>
          <w:noProof/>
        </w:rPr>
        <w:t xml:space="preserve">res. Therefore, the sustainability of the rebalancing process depends largely on the extent to which the structural challenges in the export sector can be resolved (see section 4.4.4).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1.6:</w:t>
            </w:r>
            <w:r>
              <w:rPr>
                <w:b/>
                <w:noProof/>
              </w:rPr>
              <w:tab/>
              <w:t>Revealed Comparative Advantage Index (goods)</w:t>
            </w:r>
          </w:p>
        </w:tc>
      </w:tr>
      <w:tr w:rsidR="00BB0B51">
        <w:trPr>
          <w:cantSplit/>
        </w:trPr>
        <w:tc>
          <w:tcPr>
            <w:tcW w:w="4110" w:type="dxa"/>
            <w:shd w:val="clear" w:color="auto" w:fill="auto"/>
          </w:tcPr>
          <w:p w:rsidR="00BB0B51" w:rsidRDefault="00AA53B1">
            <w:pPr>
              <w:pStyle w:val="GraphShape"/>
              <w:rPr>
                <w:noProof/>
                <w:sz w:val="2"/>
              </w:rPr>
            </w:pPr>
            <w:bookmarkStart w:id="9" w:name="_Toc474773062"/>
            <w:bookmarkEnd w:id="9"/>
            <w:r>
              <w:rPr>
                <w:noProof/>
                <w:sz w:val="2"/>
                <w:lang w:eastAsia="en-GB"/>
              </w:rPr>
              <w:drawing>
                <wp:inline distT="0" distB="0" distL="0" distR="0" wp14:anchorId="5F5921DB" wp14:editId="7974CA1D">
                  <wp:extent cx="2597595" cy="2436430"/>
                  <wp:effectExtent l="0" t="0" r="0" b="2540"/>
                  <wp:docPr id="14" name="Picture 14" descr="&lt;_DISABLED_nbr_DISABLED_&gt;&lt;GETTEXTFROMWORD&gt;&lt;/nbr&gt;&#10;&lt;title&gt;&lt;GETTEXTFROMWORD&gt;&lt;/title&gt;&#10;&lt;_DISABLED_id_DISABLED_&gt;e31a9941-02dd-41a2-95cd-3461d0801810&lt;/id&gt;&#10;&lt;srcType&gt;EXCEL&lt;/srcType&gt;&#10;&lt;srcPath&gt;O:\2017 CRs\22 PT\Graphs\&lt;/srcPath&gt;&#10;&lt;srcName&gt;PT CR_2017_Graphs_and_Tables.xlsx&lt;/srcName&gt;&#10;&lt;type&gt;graph&lt;/type&gt;&#10; &lt;srcSheet&gt;Graph 1.7-RCA_good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The resurgence of exports over the past years was supported by a decline in labour costs and growing productivity.</w:t>
      </w:r>
      <w:r>
        <w:rPr>
          <w:noProof/>
        </w:rPr>
        <w:t xml:space="preserve"> This led to a decline in the nominal unit labour costs (ULC) in 2010</w:t>
      </w:r>
      <w:r>
        <w:rPr>
          <w:noProof/>
        </w:rPr>
        <w:noBreakHyphen/>
        <w:t>2015. ULC started to rise again towards the end of</w:t>
      </w:r>
      <w:r>
        <w:rPr>
          <w:noProof/>
        </w:rPr>
        <w:t xml:space="preserve"> 2015 and the growth rate picked up substantially to 2.5 % year</w:t>
      </w:r>
      <w:r>
        <w:rPr>
          <w:noProof/>
        </w:rPr>
        <w:noBreakHyphen/>
        <w:t>on</w:t>
      </w:r>
      <w:r>
        <w:rPr>
          <w:noProof/>
        </w:rPr>
        <w:noBreakHyphen/>
        <w:t>year in the third quarter of 2016. The rebound was more significant in the non</w:t>
      </w:r>
      <w:r>
        <w:rPr>
          <w:noProof/>
        </w:rPr>
        <w:noBreakHyphen/>
        <w:t xml:space="preserve">tradable sector (Graph </w:t>
      </w:r>
      <w:r>
        <w:rPr>
          <w:noProof/>
        </w:rPr>
        <w:fldChar w:fldCharType="begin"/>
      </w:r>
      <w:r>
        <w:rPr>
          <w:noProof/>
        </w:rPr>
        <w:instrText xml:space="preserve"> QUOTE "1.7"</w:instrText>
      </w:r>
      <w:r>
        <w:rPr>
          <w:noProof/>
        </w:rPr>
        <w:fldChar w:fldCharType="begin">
          <w:fldData xml:space="preserve">QwBSAE8AUwBTAFIARQBGAEUAUgBFAE4AQwBFACoARwBSAEEAUABIACoAMwA3AGMAOAA0ADgAMAAw
AC0ANQBhADEAZAAtADQAZAA2AGYALQA5AGIAMQBkAC0AYwAyADcANwAxADgAMQA1AGQAMQA1ADMA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particularly in construction. However, since 2016, ULC have increased across all sectors except agriculture. ULC are projected to increase only marginally from 2017 due to slower increases of labour costs. Risks to compe</w:t>
      </w:r>
      <w:r>
        <w:rPr>
          <w:noProof/>
        </w:rPr>
        <w:t>titiveness remain as wages are expected to increase (see section 4.3.1) more than productivity (see sections 4.3.3 and 4.5).</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1.7:</w:t>
            </w:r>
            <w:r>
              <w:rPr>
                <w:b/>
                <w:noProof/>
              </w:rPr>
              <w:tab/>
              <w:t>Nominal ULC, index 2001Q1=100</w:t>
            </w:r>
          </w:p>
        </w:tc>
      </w:tr>
      <w:tr w:rsidR="00BB0B51">
        <w:trPr>
          <w:cantSplit/>
        </w:trPr>
        <w:tc>
          <w:tcPr>
            <w:tcW w:w="4110" w:type="dxa"/>
            <w:shd w:val="clear" w:color="auto" w:fill="auto"/>
          </w:tcPr>
          <w:p w:rsidR="00BB0B51" w:rsidRDefault="00AA53B1">
            <w:pPr>
              <w:pStyle w:val="GraphShape"/>
              <w:rPr>
                <w:noProof/>
                <w:sz w:val="2"/>
              </w:rPr>
            </w:pPr>
            <w:bookmarkStart w:id="10" w:name="_Toc474773063"/>
            <w:bookmarkEnd w:id="10"/>
            <w:r>
              <w:rPr>
                <w:noProof/>
                <w:sz w:val="2"/>
                <w:lang w:eastAsia="en-GB"/>
              </w:rPr>
              <w:drawing>
                <wp:inline distT="0" distB="0" distL="0" distR="0" wp14:anchorId="107AA888" wp14:editId="4CA035C2">
                  <wp:extent cx="2597595" cy="1706449"/>
                  <wp:effectExtent l="0" t="0" r="0" b="0"/>
                  <wp:docPr id="13" name="Picture 13" descr="&lt;_DISABLED_nbr_DISABLED_&gt;&lt;GETTEXTFROMWORD&gt;&lt;/nbr&gt;&#10;&lt;title&gt;&lt;GETTEXTFROMWORD&gt;&lt;/title&gt;&#10;&lt;_DISABLED_id_DISABLED_&gt;37c84800-5a1d-4d6f-9b1d-c2771815d153&lt;/id&gt;&#10;&lt;srcType&gt;EXCEL&lt;/srcType&gt;&#10;&lt;srcPath&gt;O:\2017 CRs\22 PT\Graphs\&lt;/srcPath&gt;&#10;&lt;srcName&gt;PT CR_2017_Graphs_and_Tables.xlsx&lt;/srcName&gt;&#10;&lt;type&gt;graph&lt;/type&gt;&#10; &lt;srcSheet&gt;Graph 1.9-NULC&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1706449"/>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 </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1.8:</w:t>
            </w:r>
            <w:r>
              <w:rPr>
                <w:b/>
                <w:noProof/>
              </w:rPr>
              <w:tab/>
              <w:t>Wage growth consistent with constant externa</w:t>
            </w:r>
            <w:r>
              <w:rPr>
                <w:b/>
                <w:noProof/>
              </w:rPr>
              <w:t>l competitiveness and actual wage growth</w:t>
            </w:r>
          </w:p>
        </w:tc>
      </w:tr>
      <w:tr w:rsidR="00BB0B51">
        <w:trPr>
          <w:cantSplit/>
        </w:trPr>
        <w:tc>
          <w:tcPr>
            <w:tcW w:w="4110" w:type="dxa"/>
            <w:shd w:val="clear" w:color="auto" w:fill="auto"/>
          </w:tcPr>
          <w:p w:rsidR="00BB0B51" w:rsidRDefault="00AA53B1">
            <w:pPr>
              <w:pStyle w:val="GraphShape"/>
              <w:rPr>
                <w:noProof/>
                <w:sz w:val="2"/>
              </w:rPr>
            </w:pPr>
            <w:bookmarkStart w:id="11" w:name="_Toc474773064"/>
            <w:bookmarkEnd w:id="11"/>
            <w:r>
              <w:rPr>
                <w:noProof/>
                <w:sz w:val="2"/>
                <w:lang w:eastAsia="en-GB"/>
              </w:rPr>
              <w:drawing>
                <wp:inline distT="0" distB="0" distL="0" distR="0" wp14:anchorId="393B30D7" wp14:editId="2ECD6805">
                  <wp:extent cx="2597595" cy="2332147"/>
                  <wp:effectExtent l="0" t="0" r="0" b="0"/>
                  <wp:docPr id="6" name="Picture 6" descr="&lt;_DISABLED_nbr_DISABLED_&gt;&lt;GETTEXTFROMWORD&gt;&lt;/nbr&gt;&#10;&lt;title&gt;&lt;GETTEXTFROMWORD&gt;&lt;/title&gt;&#10;&lt;_DISABLED_id_DISABLED_&gt;d2fcf2c4-e146-4a59-ba9f-70f012e199a2&lt;/id&gt;&#10;&lt;srcType&gt;EXCEL&lt;/srcType&gt;&#10;&lt;srcPath&gt;O:\2017 CRs\22 PT\Graphs\&lt;/srcPath&gt;&#10;&lt;srcName&gt;PT CR_2017_Graphs_and_Tables.xlsx&lt;/srcName&gt;&#10;&lt;type&gt;graph&lt;/type&gt;&#10; &lt;srcSheet&gt;Graph 1.5-Wage_growt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332147"/>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 based on the methodology described in Arpaia and Kiss (2015) </w:t>
            </w:r>
          </w:p>
        </w:tc>
      </w:tr>
    </w:tbl>
    <w:p w:rsidR="00BB0B51" w:rsidRDefault="00AA53B1">
      <w:pPr>
        <w:rPr>
          <w:noProof/>
        </w:rPr>
      </w:pPr>
      <w:r>
        <w:rPr>
          <w:b/>
          <w:noProof/>
        </w:rPr>
        <w:t>Nominal wage growth is estimated to have turned positive in 2016 in a context of declining productivity</w:t>
      </w:r>
      <w:r>
        <w:rPr>
          <w:noProof/>
        </w:rPr>
        <w:t xml:space="preserve">. Before that, wage dynamics and rising labour productivity helped boost competitiveness in almost every year since the crisis, as measured by the real effective exchange rate (REER) adjusted for ULC (Graph </w:t>
      </w:r>
      <w:r>
        <w:rPr>
          <w:noProof/>
        </w:rPr>
        <w:fldChar w:fldCharType="begin"/>
      </w:r>
      <w:r>
        <w:rPr>
          <w:noProof/>
        </w:rPr>
        <w:instrText xml:space="preserve"> QUOTE "1.8"</w:instrText>
      </w:r>
      <w:r>
        <w:rPr>
          <w:noProof/>
        </w:rPr>
        <w:fldChar w:fldCharType="begin">
          <w:fldData xml:space="preserve">QwBSAE8AUwBTAFIARQBGAEUAUgBFAE4AQwBFACoARwBSAEEAUABIACoAZAAyAGYAYwBmADIAYwA0
AC0AZQAxADQANgAtADQAYQA1ADkALQBiAGEAOQBmAC0ANwAwAGYAMAAxADIAZQAxADkAOQBhADIA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In 2016, nominal wage growth is estimated to have turned positive but moderate (around 1 %). This was driven by the readjustment of public sector wages, an increase in the minimum wa</w:t>
      </w:r>
      <w:r>
        <w:rPr>
          <w:noProof/>
        </w:rPr>
        <w:t>ge, and wage hikes agreed in collective bargaining. Wage growth is expected to stabilise just slightly above 1 % in 2017 and 2018 and labour productivity just below 1 %, according to the Commission 2017 winter forecast. Price setting mechanisms, in particu</w:t>
      </w:r>
      <w:r>
        <w:rPr>
          <w:noProof/>
        </w:rPr>
        <w:t xml:space="preserve">lar minimum wage decisions, can hurt competitiveness if not compensated by productivity gains.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1.9:</w:t>
            </w:r>
            <w:r>
              <w:rPr>
                <w:b/>
                <w:noProof/>
              </w:rPr>
              <w:tab/>
              <w:t>Productivity decomposition in the overall economy</w:t>
            </w:r>
          </w:p>
        </w:tc>
      </w:tr>
      <w:tr w:rsidR="00BB0B51">
        <w:trPr>
          <w:cantSplit/>
        </w:trPr>
        <w:tc>
          <w:tcPr>
            <w:tcW w:w="4110" w:type="dxa"/>
            <w:shd w:val="clear" w:color="auto" w:fill="auto"/>
          </w:tcPr>
          <w:p w:rsidR="00BB0B51" w:rsidRDefault="00AA53B1">
            <w:pPr>
              <w:pStyle w:val="GraphShape"/>
              <w:rPr>
                <w:noProof/>
                <w:sz w:val="2"/>
              </w:rPr>
            </w:pPr>
            <w:bookmarkStart w:id="12" w:name="_Toc474773065"/>
            <w:bookmarkEnd w:id="12"/>
            <w:r>
              <w:rPr>
                <w:noProof/>
                <w:sz w:val="2"/>
                <w:lang w:eastAsia="en-GB"/>
              </w:rPr>
              <w:drawing>
                <wp:inline distT="0" distB="0" distL="0" distR="0" wp14:anchorId="191C5F56" wp14:editId="70821FB6">
                  <wp:extent cx="2597595" cy="2436430"/>
                  <wp:effectExtent l="0" t="0" r="0" b="0"/>
                  <wp:docPr id="5" name="Picture 5" descr="&lt;_DISABLED_nbr_DISABLED_&gt;&lt;GETTEXTFROMWORD&gt;&lt;/nbr&gt;&#10;&lt;title&gt;&lt;GETTEXTFROMWORD&gt;&lt;/title&gt;&#10;&lt;_DISABLED_id_DISABLED_&gt;a918d20c-636c-4e3f-8199-bff4ac3bb1ec&lt;/id&gt;&#10;&lt;srcType&gt;EXCEL&lt;/srcType&gt;&#10;&lt;srcPath&gt;O:\2017 CRs\22 PT\Graphs\&lt;/srcPath&gt;&#10;&lt;srcName&gt;PT CR_2017_Graphs_and_Tables.xlsx&lt;/srcName&gt;&#10;&lt;type&gt;graph&lt;/type&gt;&#10; &lt;srcSheet&gt;Graph 1.10-Productiv decomp&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 </w:t>
            </w:r>
          </w:p>
        </w:tc>
      </w:tr>
    </w:tbl>
    <w:p w:rsidR="00BB0B51" w:rsidRDefault="00AA53B1">
      <w:pPr>
        <w:pStyle w:val="Heading"/>
        <w:rPr>
          <w:rFonts w:ascii="Times New Roman" w:hAnsi="Times New Roman"/>
          <w:noProof/>
        </w:rPr>
      </w:pPr>
      <w:r>
        <w:rPr>
          <w:rFonts w:ascii="Times New Roman" w:hAnsi="Times New Roman"/>
          <w:noProof/>
        </w:rPr>
        <w:t xml:space="preserve">Deleveraging </w:t>
      </w:r>
    </w:p>
    <w:p w:rsidR="00BB0B51" w:rsidRDefault="00AA53B1">
      <w:pPr>
        <w:rPr>
          <w:noProof/>
        </w:rPr>
      </w:pPr>
      <w:r>
        <w:rPr>
          <w:b/>
          <w:noProof/>
        </w:rPr>
        <w:t>Portugal's high private indebtedness ratios are exp</w:t>
      </w:r>
      <w:r>
        <w:rPr>
          <w:b/>
          <w:noProof/>
        </w:rPr>
        <w:t>ected to decline further, driven by output expansion and weak credit flows.</w:t>
      </w:r>
      <w:r>
        <w:rPr>
          <w:noProof/>
        </w:rPr>
        <w:t xml:space="preserve"> Since the peak in indebtedness in 2012, the private sector has reduced its debt. Aggregate bank credit is expected to pick up only gradually in the medium term as debt levels of the non-financial sector remain high compared with international standards. F</w:t>
      </w:r>
      <w:r>
        <w:rPr>
          <w:noProof/>
        </w:rPr>
        <w:t>urthermore, the banking system profitability remains burdened by the large stock of non</w:t>
      </w:r>
      <w:r>
        <w:rPr>
          <w:noProof/>
        </w:rPr>
        <w:noBreakHyphen/>
        <w:t>performing loans (NPLs). Contracting GDP pushed the debt</w:t>
      </w:r>
      <w:r>
        <w:rPr>
          <w:noProof/>
        </w:rPr>
        <w:noBreakHyphen/>
        <w:t>to</w:t>
      </w:r>
      <w:r>
        <w:rPr>
          <w:noProof/>
        </w:rPr>
        <w:noBreakHyphen/>
        <w:t>GDP ratio up until mid</w:t>
      </w:r>
      <w:r>
        <w:rPr>
          <w:noProof/>
        </w:rPr>
        <w:noBreakHyphen/>
        <w:t>2014 while the subsequent resumption of growth helped reduce the debt</w:t>
      </w:r>
      <w:r>
        <w:rPr>
          <w:noProof/>
        </w:rPr>
        <w:noBreakHyphen/>
        <w:t>to</w:t>
      </w:r>
      <w:r>
        <w:rPr>
          <w:noProof/>
        </w:rPr>
        <w:noBreakHyphen/>
        <w:t>GDP ratio (s</w:t>
      </w:r>
      <w:r>
        <w:rPr>
          <w:noProof/>
        </w:rPr>
        <w:t>ee section 4.2.4). Overall, deleveraging is expected to slow down gradually but continue until a more sustainable level is reached (</w:t>
      </w:r>
      <w:r>
        <w:rPr>
          <w:noProof/>
          <w:vertAlign w:val="superscript"/>
        </w:rPr>
        <w:footnoteReference w:id="6"/>
      </w:r>
      <w:r>
        <w:rPr>
          <w:noProof/>
        </w:rPr>
        <w:t>).</w:t>
      </w:r>
    </w:p>
    <w:p w:rsidR="00BB0B51" w:rsidRDefault="00AA53B1">
      <w:pPr>
        <w:pStyle w:val="Heading"/>
        <w:rPr>
          <w:rFonts w:ascii="Times New Roman" w:hAnsi="Times New Roman"/>
          <w:noProof/>
        </w:rPr>
      </w:pPr>
      <w:r>
        <w:rPr>
          <w:rFonts w:ascii="Times New Roman" w:hAnsi="Times New Roman"/>
          <w:noProof/>
        </w:rPr>
        <w:t xml:space="preserve">Public finances </w:t>
      </w:r>
    </w:p>
    <w:p w:rsidR="00BB0B51" w:rsidRDefault="00AA53B1">
      <w:pPr>
        <w:rPr>
          <w:noProof/>
        </w:rPr>
      </w:pPr>
      <w:r>
        <w:rPr>
          <w:b/>
          <w:noProof/>
        </w:rPr>
        <w:t>Public finances continue to benefit from the moderate economic recovery and the favourable monetary pol</w:t>
      </w:r>
      <w:r>
        <w:rPr>
          <w:b/>
          <w:noProof/>
        </w:rPr>
        <w:t>icy stance.</w:t>
      </w:r>
      <w:r>
        <w:rPr>
          <w:noProof/>
        </w:rPr>
        <w:t xml:space="preserve"> Having reached 4.4 % of GDP in 2015 (3.1 % of GDP net of one</w:t>
      </w:r>
      <w:r>
        <w:rPr>
          <w:noProof/>
        </w:rPr>
        <w:noBreakHyphen/>
        <w:t>offs), the general government deficit is estimated to have fallen to 2.3 % of GDP in 2016, according to the Commission's 2017 winter forecast. Lower regular revenue collection is esti</w:t>
      </w:r>
      <w:r>
        <w:rPr>
          <w:noProof/>
        </w:rPr>
        <w:t>mated to have been largely offset by the containment of expenditure, in particular due to lower public investment and the freezing of intermediate consumption, and by the revenue from the extraordinary debt settlement scheme PERES. Borrowing costs were mod</w:t>
      </w:r>
      <w:r>
        <w:rPr>
          <w:noProof/>
        </w:rPr>
        <w:t>erated by the monetary policy stance (particularly via the European Central Bank's public sector purchase programme). The headline deficit is projected to fall further to 2.0 % of GDP in 2017, mainly due to a one</w:t>
      </w:r>
      <w:r>
        <w:rPr>
          <w:noProof/>
        </w:rPr>
        <w:noBreakHyphen/>
        <w:t>off operation (a recovery of a guarantee to</w:t>
      </w:r>
      <w:r>
        <w:rPr>
          <w:noProof/>
        </w:rPr>
        <w:t xml:space="preserve"> the BPP bank worth ¼ pps. of GDP), the continued moderate economic recovery and the continued effects of the ECB's public sector purchase programme.</w:t>
      </w:r>
    </w:p>
    <w:p w:rsidR="00BB0B51" w:rsidRDefault="00AA53B1">
      <w:pPr>
        <w:rPr>
          <w:noProof/>
        </w:rPr>
      </w:pPr>
      <w:r>
        <w:rPr>
          <w:b/>
          <w:noProof/>
        </w:rPr>
        <w:t>Risks to the fiscal outlook are tilted to the downside.</w:t>
      </w:r>
      <w:r>
        <w:rPr>
          <w:noProof/>
        </w:rPr>
        <w:t xml:space="preserve"> They are linked to the uncertainties surrounding t</w:t>
      </w:r>
      <w:r>
        <w:rPr>
          <w:noProof/>
        </w:rPr>
        <w:t xml:space="preserve">he macroeconomic outlook, the potential deficit impact of banking support measures (from the </w:t>
      </w:r>
      <w:r>
        <w:rPr>
          <w:i/>
          <w:noProof/>
        </w:rPr>
        <w:t>Caixa Geral de Depósitos</w:t>
      </w:r>
      <w:r>
        <w:rPr>
          <w:noProof/>
        </w:rPr>
        <w:t xml:space="preserve"> recapitalisation, for example) and possible spending slippages. After the pro</w:t>
      </w:r>
      <w:r>
        <w:rPr>
          <w:noProof/>
        </w:rPr>
        <w:noBreakHyphen/>
        <w:t xml:space="preserve">cyclical loosening of the fiscal policy stance in 2015, the </w:t>
      </w:r>
      <w:r>
        <w:rPr>
          <w:noProof/>
        </w:rPr>
        <w:t>fiscal policy stance is projected to have been and continue to be broadly neutral in both 2016 and 2017.</w:t>
      </w:r>
    </w:p>
    <w:p w:rsidR="00BB0B51" w:rsidRDefault="00AA53B1">
      <w:pPr>
        <w:rPr>
          <w:noProof/>
        </w:rPr>
      </w:pPr>
      <w:r>
        <w:rPr>
          <w:b/>
          <w:noProof/>
        </w:rPr>
        <w:t>After reaching 129 % at the end of 2015, Portugal’s gross public debt</w:t>
      </w:r>
      <w:r>
        <w:rPr>
          <w:b/>
          <w:noProof/>
        </w:rPr>
        <w:noBreakHyphen/>
        <w:t>to</w:t>
      </w:r>
      <w:r>
        <w:rPr>
          <w:b/>
          <w:noProof/>
        </w:rPr>
        <w:noBreakHyphen/>
        <w:t>GDP ratio is estimated to have risen to 130.5 % in 2016</w:t>
      </w:r>
      <w:r>
        <w:rPr>
          <w:noProof/>
        </w:rPr>
        <w:t>. The main reason for t</w:t>
      </w:r>
      <w:r>
        <w:rPr>
          <w:noProof/>
        </w:rPr>
        <w:t>he increase was higher issuance of government debt for the planned recapitalisation of the state</w:t>
      </w:r>
      <w:r>
        <w:rPr>
          <w:noProof/>
        </w:rPr>
        <w:noBreakHyphen/>
        <w:t xml:space="preserve">owned bank </w:t>
      </w:r>
      <w:r>
        <w:rPr>
          <w:i/>
          <w:noProof/>
        </w:rPr>
        <w:t>Caixa Geral de Depósitos</w:t>
      </w:r>
      <w:r>
        <w:rPr>
          <w:noProof/>
        </w:rPr>
        <w:t>. Public debt net of central government deposits is estimated to have slightly declined by around 0.5 pps. of GDP in 2016.Th</w:t>
      </w:r>
      <w:r>
        <w:rPr>
          <w:noProof/>
        </w:rPr>
        <w:t>e gross public debt</w:t>
      </w:r>
      <w:r>
        <w:rPr>
          <w:noProof/>
        </w:rPr>
        <w:noBreakHyphen/>
        <w:t>to</w:t>
      </w:r>
      <w:r>
        <w:rPr>
          <w:noProof/>
        </w:rPr>
        <w:noBreakHyphen/>
        <w:t>GDP ratio is forecast to fall to 128.9 % in 2017 and to 127.1 % in 2018, due to primary budget surpluses and continued economic growth.</w:t>
      </w:r>
    </w:p>
    <w:p w:rsidR="00BB0B51" w:rsidRDefault="00AA53B1">
      <w:pPr>
        <w:pStyle w:val="Heading"/>
        <w:rPr>
          <w:rFonts w:ascii="Times New Roman" w:hAnsi="Times New Roman"/>
          <w:noProof/>
        </w:rPr>
      </w:pPr>
      <w:r>
        <w:rPr>
          <w:rFonts w:ascii="Times New Roman" w:hAnsi="Times New Roman"/>
          <w:noProof/>
        </w:rPr>
        <w:t>Potential growth</w:t>
      </w:r>
    </w:p>
    <w:p w:rsidR="00BB0B51" w:rsidRDefault="00AA53B1">
      <w:pPr>
        <w:rPr>
          <w:noProof/>
        </w:rPr>
      </w:pPr>
      <w:bookmarkStart w:id="13" w:name="_Toc474773048"/>
      <w:bookmarkEnd w:id="13"/>
      <w:r>
        <w:rPr>
          <w:b/>
          <w:noProof/>
        </w:rPr>
        <w:t xml:space="preserve">Potential growth perspectives are being dampened by the still low level of </w:t>
      </w:r>
      <w:r>
        <w:rPr>
          <w:b/>
          <w:noProof/>
        </w:rPr>
        <w:t>investment</w:t>
      </w:r>
      <w:r>
        <w:rPr>
          <w:noProof/>
        </w:rPr>
        <w:t>. While back to positive and increasing as of 2015, potential growth remains below the European average. Different factors are behind the long</w:t>
      </w:r>
      <w:r>
        <w:rPr>
          <w:noProof/>
        </w:rPr>
        <w:noBreakHyphen/>
        <w:t>term decline in Portugal's potential growth including deteriorating demographics (both due to emigratio</w:t>
      </w:r>
      <w:r>
        <w:rPr>
          <w:noProof/>
        </w:rPr>
        <w:t>n and ageing), low productivity growth and a capital accumulation process that was predominantly channelled to investments with low productivity. The observed negative investment gap was generated mainly by a fall in the productivity of capital or by overi</w:t>
      </w:r>
      <w:r>
        <w:rPr>
          <w:noProof/>
        </w:rPr>
        <w:t>nvestment in the non</w:t>
      </w:r>
      <w:r>
        <w:rPr>
          <w:noProof/>
        </w:rPr>
        <w:noBreakHyphen/>
        <w:t>tradable sectors. Thus, the decline in investment observed in Portugal since 2010 is driven mainly by a fall in investment in the non-tradable sector which then also implies an adjustment of investment to tradable, more productive, sec</w:t>
      </w:r>
      <w:r>
        <w:rPr>
          <w:noProof/>
        </w:rPr>
        <w:t>tors. Portugal still faces quite a few obstacles that prevent more sustainable acceleration of capital accumulation. These are related to the vulnerability of the financial sector, weaknesses of the corporate sector, and some structural gaps in business en</w:t>
      </w:r>
      <w:r>
        <w:rPr>
          <w:noProof/>
        </w:rPr>
        <w:t>vironment (Box 4.4.1).</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1.10:</w:t>
            </w:r>
            <w:r>
              <w:rPr>
                <w:b/>
                <w:noProof/>
              </w:rPr>
              <w:tab/>
              <w:t>Potential growth and its components</w:t>
            </w:r>
          </w:p>
        </w:tc>
      </w:tr>
      <w:tr w:rsidR="00BB0B51">
        <w:trPr>
          <w:cantSplit/>
        </w:trPr>
        <w:tc>
          <w:tcPr>
            <w:tcW w:w="4110" w:type="dxa"/>
            <w:shd w:val="clear" w:color="auto" w:fill="auto"/>
          </w:tcPr>
          <w:p w:rsidR="00BB0B51" w:rsidRDefault="00AA53B1">
            <w:pPr>
              <w:pStyle w:val="GraphShape"/>
              <w:rPr>
                <w:noProof/>
                <w:sz w:val="2"/>
              </w:rPr>
            </w:pPr>
            <w:bookmarkStart w:id="14" w:name="_Toc474773066"/>
            <w:bookmarkEnd w:id="14"/>
            <w:r>
              <w:rPr>
                <w:noProof/>
                <w:sz w:val="2"/>
                <w:lang w:eastAsia="en-GB"/>
              </w:rPr>
              <w:drawing>
                <wp:inline distT="0" distB="0" distL="0" distR="0" wp14:anchorId="4B076F2B" wp14:editId="7740AD98">
                  <wp:extent cx="2597595" cy="2123581"/>
                  <wp:effectExtent l="0" t="0" r="0" b="0"/>
                  <wp:docPr id="1" name="Picture 1" descr="&lt;_DISABLED_nbr_DISABLED_&gt;&lt;GETTEXTFROMWORD&gt;&lt;/nbr&gt;&#10;&lt;title&gt;&lt;GETTEXTFROMWORD&gt;&lt;/title&gt;&#10;&lt;_DISABLED_id_DISABLED_&gt;9233c23d-bb44-4861-9677-98e1b0367457&lt;/id&gt;&#10;&lt;srcType&gt;EXCEL&lt;/srcType&gt;&#10;&lt;srcPath&gt;O:\2017 CRs\22 PT\Graphs\&lt;/srcPath&gt;&#10;&lt;srcName&gt;PT CR_2017_Graphs_and_Tables.xlsx&lt;/srcName&gt;&#10;&lt;type&gt;graph&lt;/type&gt;&#10; &lt;srcSheet&gt;Graph 1.11-Pot_growt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123581"/>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Outward migration and ageing are reducing the working</w:t>
      </w:r>
      <w:r>
        <w:rPr>
          <w:b/>
          <w:noProof/>
        </w:rPr>
        <w:noBreakHyphen/>
        <w:t>age population which weighs on the long</w:t>
      </w:r>
      <w:r>
        <w:rPr>
          <w:b/>
          <w:noProof/>
        </w:rPr>
        <w:noBreakHyphen/>
        <w:t>term growth potential.</w:t>
      </w:r>
      <w:r>
        <w:rPr>
          <w:noProof/>
        </w:rPr>
        <w:t xml:space="preserve"> The projected decline in the workin</w:t>
      </w:r>
      <w:r>
        <w:rPr>
          <w:noProof/>
        </w:rPr>
        <w:t>g</w:t>
      </w:r>
      <w:r>
        <w:rPr>
          <w:noProof/>
        </w:rPr>
        <w:noBreakHyphen/>
        <w:t>age population is hindering the convergence of the country's growth potential towards the EU average. Emigration of youth (whose education levels are increasingly higher than in the rest of the workforce 67 % being mid or highly educated of those between</w:t>
      </w:r>
      <w:r>
        <w:rPr>
          <w:noProof/>
        </w:rPr>
        <w:t xml:space="preserve"> 25-34 against only 38 % of population above 35) combined with high levels of youth unemployment in the wake of the crisis involves the risk of erosion in human capital, with a negative impact on potential growth.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p>
        </w:tc>
      </w:tr>
      <w:tr w:rsidR="00BB0B51">
        <w:trPr>
          <w:cantSplit/>
        </w:trPr>
        <w:tc>
          <w:tcPr>
            <w:tcW w:w="8505" w:type="dxa"/>
            <w:shd w:val="clear" w:color="auto" w:fill="auto"/>
          </w:tcPr>
          <w:p w:rsidR="00BB0B51" w:rsidRDefault="00AA53B1">
            <w:pPr>
              <w:pStyle w:val="TableTitle"/>
              <w:rPr>
                <w:b/>
                <w:noProof/>
              </w:rPr>
            </w:pPr>
            <w:r>
              <w:rPr>
                <w:noProof/>
              </w:rPr>
              <w:t>Table 1.1:</w:t>
            </w:r>
            <w:r>
              <w:rPr>
                <w:b/>
                <w:noProof/>
              </w:rPr>
              <w:tab/>
              <w:t xml:space="preserve">Key economic, financial and </w:t>
            </w:r>
            <w:r>
              <w:rPr>
                <w:b/>
                <w:noProof/>
              </w:rPr>
              <w:t>social indicators - Portugal</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07508C6B" wp14:editId="3827A370">
                  <wp:extent cx="5400929" cy="6280120"/>
                  <wp:effectExtent l="0" t="0" r="0" b="6985"/>
                  <wp:docPr id="21" name="Picture 21" descr="&lt;_DISABLED_nbr_DISABLED_&gt;&lt;GETTEXTFROMWORD&gt;&lt;/nbr&gt;&#10;&lt;title&gt;&lt;GETTEXTFROMWORD&gt;&lt;/title&gt;&#10;&lt;_DISABLED_id_DISABLED_&gt;bef0dd01-629f-48c7-8038-63d8011110a3&lt;/id&gt;&#10;&lt;srcType&gt;EXCEL&lt;/srcType&gt;&#10;&lt;srcPath&gt;O:\2017 CRs\22 PT\Tables\&lt;/srcPath&gt;&#10;&lt;srcName&gt;22 PT Table 1.1.xls&lt;/srcName&gt;&#10;&lt;type&gt;table&lt;/type&gt;&#10; &lt;srcSheet&gt;Table_CRs2017&lt;/srcSheet&gt;&#10; &lt;srcRange&gt;R2C2:R73C13&lt;/srcRange&gt;&#10;&lt;pos&gt;multipages_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4:36:4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929" cy="6280120"/>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Footnote"/>
              <w:rPr>
                <w:noProof/>
              </w:rPr>
            </w:pPr>
            <w:r>
              <w:rPr>
                <w:noProof/>
              </w:rPr>
              <w:t>(1) Sum of portfolio debt instruments, other investment and reserve assets</w:t>
            </w:r>
            <w:r>
              <w:rPr>
                <w:noProof/>
              </w:rPr>
              <w:br/>
              <w:t>(2.3) domestic banking groups and stand</w:t>
            </w:r>
            <w:r>
              <w:rPr>
                <w:noProof/>
              </w:rPr>
              <w:noBreakHyphen/>
              <w:t>alone banks.</w:t>
            </w:r>
            <w:r>
              <w:rPr>
                <w:noProof/>
              </w:rPr>
              <w:br/>
              <w:t>(4) domestic banking groups and stand</w:t>
            </w:r>
            <w:r>
              <w:rPr>
                <w:noProof/>
              </w:rPr>
              <w:noBreakHyphen/>
              <w:t>alone banks, foreign (EU and non</w:t>
            </w:r>
            <w:r>
              <w:rPr>
                <w:noProof/>
              </w:rPr>
              <w:noBreakHyphen/>
              <w:t>EU) controlled subsidiar</w:t>
            </w:r>
            <w:r>
              <w:rPr>
                <w:noProof/>
              </w:rPr>
              <w:t>ies and foreign (EU and non</w:t>
            </w:r>
            <w:r>
              <w:rPr>
                <w:noProof/>
              </w:rPr>
              <w:noBreakHyphen/>
              <w:t>EU) controlled branches.</w:t>
            </w:r>
            <w:r>
              <w:rPr>
                <w:noProof/>
              </w:rPr>
              <w:br/>
              <w:t>(*) Indicates BPM5 and/or ESA95</w:t>
            </w:r>
          </w:p>
          <w:p w:rsidR="00BB0B51" w:rsidRDefault="00AA53B1">
            <w:pPr>
              <w:pStyle w:val="TableSource"/>
              <w:rPr>
                <w:noProof/>
              </w:rPr>
            </w:pPr>
            <w:r>
              <w:rPr>
                <w:b/>
                <w:i/>
                <w:noProof/>
              </w:rPr>
              <w:t>Source:</w:t>
            </w:r>
            <w:r>
              <w:rPr>
                <w:noProof/>
              </w:rPr>
              <w:t xml:space="preserve"> European Commission, ECB</w:t>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rPr>
          <w:noProof/>
        </w:rPr>
        <w:sectPr w:rsidR="00BB0B51">
          <w:headerReference w:type="even" r:id="rId38"/>
          <w:headerReference w:type="default" r:id="rId39"/>
          <w:footerReference w:type="even" r:id="rId40"/>
          <w:footerReference w:type="default" r:id="rId41"/>
          <w:headerReference w:type="first" r:id="rId42"/>
          <w:footerReference w:type="first" r:id="rId43"/>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3"/>
        <w:framePr w:wrap="notBeside"/>
        <w:rPr>
          <w:noProof/>
        </w:rPr>
      </w:pPr>
      <w:bookmarkStart w:id="15" w:name="_Toc474773036"/>
      <w:bookmarkEnd w:id="15"/>
      <w:r>
        <w:rPr>
          <w:rFonts w:ascii="Times New Roman" w:hAnsi="Times New Roman"/>
          <w:b/>
          <w:noProof/>
          <w:color w:val="808080"/>
          <w:sz w:val="72"/>
        </w:rPr>
        <w:t>2.</w:t>
      </w:r>
      <w:r>
        <w:rPr>
          <w:noProof/>
        </w:rPr>
        <w:tab/>
        <w:t>Progress with country-specific recommendations</w:t>
      </w:r>
    </w:p>
    <w:p w:rsidR="00BB0B51" w:rsidRDefault="00AA53B1">
      <w:pPr>
        <w:rPr>
          <w:noProof/>
        </w:rPr>
      </w:pPr>
      <w:r>
        <w:rPr>
          <w:b/>
          <w:noProof/>
        </w:rPr>
        <w:t>Progress with the implementation of the recommendations addressed to Portugal in 2016 (</w:t>
      </w:r>
      <w:r>
        <w:rPr>
          <w:noProof/>
          <w:vertAlign w:val="superscript"/>
        </w:rPr>
        <w:footnoteReference w:id="7"/>
      </w:r>
      <w:r>
        <w:rPr>
          <w:b/>
          <w:noProof/>
        </w:rPr>
        <w:t>) has to be seen in a longer term perspective since the introduction of the European Semes</w:t>
      </w:r>
      <w:r>
        <w:rPr>
          <w:b/>
          <w:noProof/>
        </w:rPr>
        <w:t>ter in 2011.</w:t>
      </w:r>
      <w:r>
        <w:rPr>
          <w:noProof/>
        </w:rPr>
        <w:t xml:space="preserve"> Portugal successfully completed the three year EU</w:t>
      </w:r>
      <w:r>
        <w:rPr>
          <w:noProof/>
        </w:rPr>
        <w:noBreakHyphen/>
        <w:t>IMF financial assistance programme in 2014. In the course of the programme, it adopted a wide range of structural reforms. While implementing the programme, Portugal received only one country</w:t>
      </w:r>
      <w:r>
        <w:rPr>
          <w:noProof/>
        </w:rPr>
        <w:noBreakHyphen/>
        <w:t>s</w:t>
      </w:r>
      <w:r>
        <w:rPr>
          <w:noProof/>
        </w:rPr>
        <w:t>pecific recommendation to meet the programme commitments (</w:t>
      </w:r>
      <w:r>
        <w:rPr>
          <w:noProof/>
          <w:vertAlign w:val="superscript"/>
        </w:rPr>
        <w:footnoteReference w:id="8"/>
      </w:r>
      <w:r>
        <w:rPr>
          <w:noProof/>
        </w:rPr>
        <w:t xml:space="preserve">). As of 2014, Portugal returned to the regular cycle of EU economic surveillance under the European Semester and received a full set of recommendations. </w:t>
      </w:r>
    </w:p>
    <w:p w:rsidR="00BB0B51" w:rsidRDefault="00AA53B1">
      <w:pPr>
        <w:rPr>
          <w:noProof/>
        </w:rPr>
      </w:pPr>
      <w:r>
        <w:rPr>
          <w:b/>
          <w:noProof/>
        </w:rPr>
        <w:t>The reform efforts over the period 2011</w:t>
      </w:r>
      <w:r>
        <w:rPr>
          <w:b/>
          <w:noProof/>
        </w:rPr>
        <w:noBreakHyphen/>
        <w:t>20</w:t>
      </w:r>
      <w:r>
        <w:rPr>
          <w:b/>
          <w:noProof/>
        </w:rPr>
        <w:t>16 have helped Portugal to become more competitive and attractive for investors</w:t>
      </w:r>
      <w:r>
        <w:rPr>
          <w:noProof/>
        </w:rPr>
        <w:t>. Portugal carried out an ambitious fiscal consolidation underpinned by a number of fiscal governance and structural</w:t>
      </w:r>
      <w:r>
        <w:rPr>
          <w:noProof/>
        </w:rPr>
        <w:noBreakHyphen/>
        <w:t>fiscal measures (organisation of public administration, publ</w:t>
      </w:r>
      <w:r>
        <w:rPr>
          <w:noProof/>
        </w:rPr>
        <w:t>ic finance management, tax administration, SOEs and PPPs). A number of measures were carried out to unwind the public and private, internal and external imbalances and increase the growth potential, while mitigating negative social impacts. In light of the</w:t>
      </w:r>
      <w:r>
        <w:rPr>
          <w:noProof/>
        </w:rPr>
        <w:t xml:space="preserve"> need of correcting the country's imbalances, the authorities introduced reforms to product markets (energy, housing, services, telecommunications, and transport), labour market (wage setting, working time arrangements, individual dismissal, unemployment b</w:t>
      </w:r>
      <w:r>
        <w:rPr>
          <w:noProof/>
        </w:rPr>
        <w:t>enefits, active labour market policies), education system (increased number of compulsory education years, enhanced vocational and professional training, enhanced external evaluation and transparency), business environment (licensing, services and regulate</w:t>
      </w:r>
      <w:r>
        <w:rPr>
          <w:noProof/>
        </w:rPr>
        <w:t>d professions), judicial sector (new insolvency, arbitration, competition laws and new judiciary map). Measures were also targeted at strengthening the banking sector. Despite those reforms, policy gaps persist regarding product and services markets, corpo</w:t>
      </w:r>
      <w:r>
        <w:rPr>
          <w:noProof/>
        </w:rPr>
        <w:t>rate debt restructuring, fiscal issues and selected areas of the labour market.</w:t>
      </w:r>
    </w:p>
    <w:p w:rsidR="00BB0B51" w:rsidRDefault="00AA53B1">
      <w:pPr>
        <w:rPr>
          <w:b/>
          <w:noProof/>
        </w:rPr>
      </w:pPr>
      <w:r>
        <w:rPr>
          <w:b/>
          <w:noProof/>
        </w:rPr>
        <w:t>Overall, Portugal has made limited progress (</w:t>
      </w:r>
      <w:r>
        <w:rPr>
          <w:noProof/>
          <w:vertAlign w:val="superscript"/>
        </w:rPr>
        <w:footnoteReference w:id="9"/>
      </w:r>
      <w:r>
        <w:rPr>
          <w:b/>
          <w:noProof/>
        </w:rPr>
        <w:t>) in addressing the 2016 country-specific recommendations.</w:t>
      </w:r>
    </w:p>
    <w:p w:rsidR="00BB0B51" w:rsidRDefault="00AA53B1">
      <w:pPr>
        <w:rPr>
          <w:noProof/>
        </w:rPr>
      </w:pPr>
      <w:r>
        <w:rPr>
          <w:noProof/>
        </w:rPr>
        <w:t>There has been limited progress towards making public finances more sus</w:t>
      </w:r>
      <w:r>
        <w:rPr>
          <w:noProof/>
        </w:rPr>
        <w:t>tainable (CSR1). A solid budgetary consolidation relies on the timely and strict implementing the budget framework law, reviewing and rationalising public spending and further improving revenue collection. The restructuring of state</w:t>
      </w:r>
      <w:r>
        <w:rPr>
          <w:noProof/>
        </w:rPr>
        <w:noBreakHyphen/>
        <w:t>owned enterprises, to m</w:t>
      </w:r>
      <w:r>
        <w:rPr>
          <w:noProof/>
        </w:rPr>
        <w:t>ake them fiscally sustainable, has not still been fully addressed. The reliance of the pension system on budgetary transfers has only been reduced to a limited extent thus creating intergenerational inequalities. In the health sector, the government has ad</w:t>
      </w:r>
      <w:r>
        <w:rPr>
          <w:noProof/>
        </w:rPr>
        <w:t>opted measures aimed at promoting disease prevention and public health policies. At the same time, given the lack of sound budget planning and implementation in hospitals they are not enough to guarantee arrears clearance and spending control.</w:t>
      </w:r>
    </w:p>
    <w:p w:rsidR="00BB0B51" w:rsidRDefault="00AA53B1">
      <w:pPr>
        <w:rPr>
          <w:noProof/>
        </w:rPr>
      </w:pPr>
      <w:r>
        <w:rPr>
          <w:noProof/>
        </w:rPr>
        <w:t>Portugal mad</w:t>
      </w:r>
      <w:r>
        <w:rPr>
          <w:noProof/>
        </w:rPr>
        <w:t>e limited progress in ensuring that the minimum wage is consistent with the objectives of promoting employment and competitiveness across sectors (CSR2). After consulting the social partners, the government has raised the minimum wage by 5.1 %, beyond infl</w:t>
      </w:r>
      <w:r>
        <w:rPr>
          <w:noProof/>
        </w:rPr>
        <w:t>ation and average productivity developments. While increasing aggregate demand and contributing to reducing in</w:t>
      </w:r>
      <w:r>
        <w:rPr>
          <w:noProof/>
        </w:rPr>
        <w:noBreakHyphen/>
        <w:t>work poverty, by growing faster than overall compensation per employee and covering an increasing share of workers, it may make the hiring of esp</w:t>
      </w:r>
      <w:r>
        <w:rPr>
          <w:noProof/>
        </w:rPr>
        <w:t xml:space="preserve">ecially lower productivity workers harder. The government has established a structure to monitor the impact of minimum wage developments. Its quarterly reports are discussed with social partners. </w:t>
      </w:r>
    </w:p>
    <w:p w:rsidR="00BB0B51" w:rsidRDefault="00AA53B1">
      <w:pPr>
        <w:rPr>
          <w:noProof/>
        </w:rPr>
      </w:pPr>
      <w:r>
        <w:rPr>
          <w:noProof/>
        </w:rPr>
        <w:t>Some progress has been made regarding the recommended refor</w:t>
      </w:r>
      <w:r>
        <w:rPr>
          <w:noProof/>
        </w:rPr>
        <w:t>ms on the labour market (CSR3). While limited progress has been observed in effectively activating the long</w:t>
      </w:r>
      <w:r>
        <w:rPr>
          <w:noProof/>
        </w:rPr>
        <w:noBreakHyphen/>
        <w:t>term unemployed and coordinating employment and social services there is some progress in reducing labour market segmentation. A study has been cond</w:t>
      </w:r>
      <w:r>
        <w:rPr>
          <w:noProof/>
        </w:rPr>
        <w:t>ucted into the effectiveness of active labour market policies. Based on its results, the government redesigned its employment support programme to promote hiring on open</w:t>
      </w:r>
      <w:r>
        <w:rPr>
          <w:noProof/>
        </w:rPr>
        <w:noBreakHyphen/>
        <w:t>ended contracts though the number of people covered by this measure is limited. At the</w:t>
      </w:r>
      <w:r>
        <w:rPr>
          <w:noProof/>
        </w:rPr>
        <w:t xml:space="preserve"> same time, long</w:t>
      </w:r>
      <w:r>
        <w:rPr>
          <w:noProof/>
        </w:rPr>
        <w:noBreakHyphen/>
        <w:t xml:space="preserve">term unemployment remains high. The introduction of one stop shops for both employment and social services is also planned, but has not yet been implemented. </w:t>
      </w:r>
    </w:p>
    <w:p w:rsidR="00BB0B51" w:rsidRDefault="00AA53B1">
      <w:pPr>
        <w:rPr>
          <w:noProof/>
        </w:rPr>
      </w:pPr>
      <w:r>
        <w:rPr>
          <w:noProof/>
        </w:rPr>
        <w:t>Progress in the financial sector (CSR4) remains limited. Despite some actions ta</w:t>
      </w:r>
      <w:r>
        <w:rPr>
          <w:noProof/>
        </w:rPr>
        <w:t>ken recently to address the high stock of non-performing loans, there is no comprehensive strategy. Efforts to provide alternative means of financing remain limited. The authorities have published a strategic plan to support the capitalisation of companies</w:t>
      </w:r>
      <w:r>
        <w:rPr>
          <w:noProof/>
        </w:rPr>
        <w:t xml:space="preserve"> (the </w:t>
      </w:r>
      <w:r>
        <w:rPr>
          <w:i/>
          <w:noProof/>
        </w:rPr>
        <w:t>Capitalizar</w:t>
      </w:r>
      <w:r>
        <w:rPr>
          <w:noProof/>
        </w:rPr>
        <w:t xml:space="preserve"> Programme) which has yet to be fully implemented. The debt bias in corporate taxation is addressed by broadening the scope of the allowance for corporate equity regime.  </w:t>
      </w:r>
    </w:p>
    <w:p w:rsidR="00BB0B51" w:rsidRDefault="00AA53B1">
      <w:pPr>
        <w:rPr>
          <w:noProof/>
        </w:rPr>
      </w:pPr>
      <w:r>
        <w:rPr>
          <w:noProof/>
        </w:rPr>
        <w:t>Some progress has been observed in removing regulatory barriers and</w:t>
      </w:r>
      <w:r>
        <w:rPr>
          <w:noProof/>
        </w:rPr>
        <w:t xml:space="preserve"> improving the business environment (CSR5). The authorities have introduced some measures to make the justice system more efficient, especially as regards organisational improvements in the courts. However, the sector's overall performance remains low, esp</w:t>
      </w:r>
      <w:r>
        <w:rPr>
          <w:noProof/>
        </w:rPr>
        <w:t>ecially where dealing with tax litigation is concerned. Measures are ongoing to improve transparency and reliability of public procurement data and practices. The government has established quarterly monitoring and reporting procedures related to local and</w:t>
      </w:r>
      <w:r>
        <w:rPr>
          <w:noProof/>
        </w:rPr>
        <w:t xml:space="preserve"> regional public private partnership and concessions, but the relatively high use of direct awards remains a concern. Licensing has been reformed, but its uneven implementation across different layers of the public administration is detrimental to confiden</w:t>
      </w:r>
      <w:r>
        <w:rPr>
          <w:noProof/>
        </w:rPr>
        <w:t>ce and investment. Existing regulatory barriers in some business services sectors still prevent resources from being allocated efficiently. Portugal is developing a set of measures to improve university</w:t>
      </w:r>
      <w:r>
        <w:rPr>
          <w:noProof/>
        </w:rPr>
        <w:noBreakHyphen/>
        <w:t>business cooperation and the commercialisation of kno</w:t>
      </w:r>
      <w:r>
        <w:rPr>
          <w:noProof/>
        </w:rPr>
        <w:t>wledge. The government is currently working on an international revision of the higher education system. Nevertheless, an overall strategy to foster cooperation between universities and the business sector has not so far been implemented.</w:t>
      </w:r>
    </w:p>
    <w:p w:rsidR="00BB0B51" w:rsidRDefault="00BB0B51">
      <w:pPr>
        <w:rPr>
          <w:b/>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bookmarkStart w:id="16" w:name="_Toc474773049"/>
            <w:bookmarkEnd w:id="16"/>
          </w:p>
        </w:tc>
      </w:tr>
      <w:tr w:rsidR="00BB0B51">
        <w:trPr>
          <w:cantSplit/>
        </w:trPr>
        <w:tc>
          <w:tcPr>
            <w:tcW w:w="8505" w:type="dxa"/>
            <w:shd w:val="clear" w:color="auto" w:fill="auto"/>
          </w:tcPr>
          <w:p w:rsidR="00BB0B51" w:rsidRDefault="00AA53B1">
            <w:pPr>
              <w:pStyle w:val="TableTitle"/>
              <w:rPr>
                <w:b/>
                <w:noProof/>
              </w:rPr>
            </w:pPr>
            <w:r>
              <w:rPr>
                <w:noProof/>
              </w:rPr>
              <w:t>Table 2.1:</w:t>
            </w:r>
            <w:r>
              <w:rPr>
                <w:b/>
                <w:noProof/>
              </w:rPr>
              <w:tab/>
            </w:r>
            <w:r>
              <w:rPr>
                <w:b/>
                <w:noProof/>
              </w:rPr>
              <w:t>Summary table on 2016 CSR assessment</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63B5CCDD" wp14:editId="50811792">
                  <wp:extent cx="5400929" cy="6860897"/>
                  <wp:effectExtent l="0" t="0" r="0" b="0"/>
                  <wp:docPr id="20" name="Picture 20" descr="&lt;_DISABLED_nbr_DISABLED_&gt;&lt;GETTEXTFROMWORD&gt;&lt;/nbr&gt;&#10;&lt;title&gt;&lt;GETTEXTFROMWORD&gt;&lt;/title&gt;&#10;&lt;_DISABLED_id_DISABLED_&gt;33ada057-cc0d-4b53-8da2-539c3720cf70&lt;/id&gt;&#10;&lt;srcType&gt;EXCEL&lt;/srcType&gt;&#10;&lt;srcPath&gt;O:\2017 CRs\22 PT\Tables\&lt;/srcPath&gt;&#10;&lt;srcName&gt;CSR_section2.xlsx&lt;/srcName&gt;&#10;&lt;type&gt;table&lt;/type&gt;&#10; &lt;srcSheet&gt;Sheet1&lt;/srcSheet&gt;&#10; &lt;srcRange&gt;R2C2:R28C3&lt;/srcRang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0T15:44: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929" cy="6860897"/>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Source"/>
              <w:rPr>
                <w:noProof/>
              </w:rPr>
            </w:pPr>
            <w:r>
              <w:rPr>
                <w:b/>
                <w:i/>
                <w:noProof/>
              </w:rPr>
              <w:t>Source:</w:t>
            </w:r>
            <w:r>
              <w:rPr>
                <w:noProof/>
              </w:rPr>
              <w:t xml:space="preserve"> Commission Services</w:t>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F7FCFF"/>
          </w:tcPr>
          <w:p w:rsidR="00BB0B51" w:rsidRDefault="00BB0B51">
            <w:pPr>
              <w:pStyle w:val="SlimCell"/>
              <w:keepNext/>
              <w:rPr>
                <w:noProof/>
              </w:rPr>
            </w:pPr>
            <w:bookmarkStart w:id="17" w:name="_Toc474773091"/>
            <w:bookmarkEnd w:id="17"/>
          </w:p>
        </w:tc>
      </w:tr>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Pr>
        <w:tc>
          <w:tcPr>
            <w:tcW w:w="8505" w:type="dxa"/>
            <w:shd w:val="clear" w:color="auto" w:fill="F7FCFF"/>
          </w:tcPr>
          <w:p w:rsidR="00BB0B51" w:rsidRDefault="00AA53B1">
            <w:pPr>
              <w:pStyle w:val="BoxShape"/>
              <w:rPr>
                <w:noProof/>
                <w:sz w:val="2"/>
              </w:rPr>
            </w:pPr>
            <w:r>
              <w:rPr>
                <w:noProof/>
                <w:sz w:val="2"/>
                <w:lang w:eastAsia="en-GB"/>
              </w:rPr>
              <w:drawing>
                <wp:inline distT="0" distB="0" distL="0" distR="0" wp14:anchorId="03721B5A" wp14:editId="4B9000F8">
                  <wp:extent cx="5040929" cy="6640155"/>
                  <wp:effectExtent l="0" t="0" r="7620" b="8890"/>
                  <wp:docPr id="2" name="Picture 2" descr="&lt;nbr&gt;2.1&lt;/nbr&gt;&#10;&lt;title&gt;Contribution of the EU budget to structural change in Portugal&lt;/title&gt;&#10;&lt;id&gt;90916f6e-b190-485b-a20b-800a32810859&lt;/id&gt;&#10;&lt;srcType&gt;WORD&lt;/srcType&gt;&#10;&lt;srcPath&gt;C:\Users\kouskan.NET1.000\Desktop\PT_CR_SG\&lt;/srcPath&gt;&#10;&lt;srcName&gt;BOX-EU Budget contribution.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7T15:55:5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929" cy="6640155"/>
                          </a:xfrm>
                          <a:prstGeom prst="rect">
                            <a:avLst/>
                          </a:prstGeom>
                          <a:noFill/>
                          <a:ln>
                            <a:noFill/>
                          </a:ln>
                        </pic:spPr>
                      </pic:pic>
                    </a:graphicData>
                  </a:graphic>
                </wp:inline>
              </w:drawing>
            </w:r>
          </w:p>
        </w:tc>
      </w:tr>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Height w:val="20"/>
        </w:trPr>
        <w:tc>
          <w:tcPr>
            <w:tcW w:w="8505" w:type="dxa"/>
            <w:shd w:val="clear" w:color="auto" w:fill="F7FCFF"/>
          </w:tcPr>
          <w:p w:rsidR="00BB0B51" w:rsidRDefault="00BB0B51">
            <w:pPr>
              <w:pStyle w:val="SlimCell"/>
              <w:rPr>
                <w:noProof/>
              </w:rPr>
            </w:pPr>
          </w:p>
        </w:tc>
      </w:tr>
    </w:tbl>
    <w:p w:rsidR="00BB0B51" w:rsidRDefault="00BB0B51">
      <w:pPr>
        <w:rPr>
          <w:noProof/>
        </w:rPr>
        <w:sectPr w:rsidR="00BB0B51">
          <w:headerReference w:type="even" r:id="rId46"/>
          <w:headerReference w:type="default" r:id="rId47"/>
          <w:footerReference w:type="even" r:id="rId48"/>
          <w:footerReference w:type="default" r:id="rId49"/>
          <w:headerReference w:type="first" r:id="rId50"/>
          <w:footerReference w:type="first" r:id="rId51"/>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4"/>
        <w:framePr w:wrap="notBeside"/>
        <w:rPr>
          <w:noProof/>
        </w:rPr>
      </w:pPr>
      <w:bookmarkStart w:id="18" w:name="_Toc474773037"/>
      <w:bookmarkEnd w:id="18"/>
      <w:r>
        <w:rPr>
          <w:rFonts w:ascii="Times New Roman" w:hAnsi="Times New Roman"/>
          <w:b/>
          <w:noProof/>
          <w:color w:val="808080"/>
          <w:sz w:val="72"/>
        </w:rPr>
        <w:t>3.</w:t>
      </w:r>
      <w:r>
        <w:rPr>
          <w:noProof/>
        </w:rPr>
        <w:tab/>
      </w:r>
      <w:r>
        <w:rPr>
          <w:noProof/>
        </w:rPr>
        <w:t>Summary of the main findings from the MIP in-depth review</w:t>
      </w:r>
    </w:p>
    <w:p w:rsidR="00BB0B51" w:rsidRDefault="00AA53B1">
      <w:pPr>
        <w:rPr>
          <w:noProof/>
        </w:rPr>
      </w:pPr>
      <w:r>
        <w:rPr>
          <w:b/>
          <w:noProof/>
        </w:rPr>
        <w:t>The 2017 Alert Mechanism Report called for further in</w:t>
      </w:r>
      <w:r>
        <w:rPr>
          <w:b/>
          <w:noProof/>
        </w:rPr>
        <w:noBreakHyphen/>
        <w:t>depth analysis to monitor progress in the unwinding of the excessive imbalances identified for Portugal in the 2016 MIP cycle.</w:t>
      </w:r>
      <w:r>
        <w:rPr>
          <w:noProof/>
        </w:rPr>
        <w:t xml:space="preserve"> The selection was</w:t>
      </w:r>
      <w:r>
        <w:rPr>
          <w:noProof/>
        </w:rPr>
        <w:t xml:space="preserve"> also motivated by the fact that Portugal was identified as having excessive imbalances in spring 2016, so that a new IDR is needed to assess how these imbalances evolve. The excessive imbalances arise from external liabilities, high levels of private and </w:t>
      </w:r>
      <w:r>
        <w:rPr>
          <w:noProof/>
        </w:rPr>
        <w:t>public debt levels and high unemployment in a low</w:t>
      </w:r>
      <w:r>
        <w:rPr>
          <w:noProof/>
        </w:rPr>
        <w:noBreakHyphen/>
        <w:t xml:space="preserve">growth environment. </w:t>
      </w:r>
    </w:p>
    <w:p w:rsidR="00BB0B51" w:rsidRDefault="00AA53B1">
      <w:pPr>
        <w:rPr>
          <w:noProof/>
        </w:rPr>
      </w:pPr>
      <w:r>
        <w:rPr>
          <w:b/>
          <w:noProof/>
        </w:rPr>
        <w:t>Analyses integrated in this Country Report provide an in</w:t>
      </w:r>
      <w:r>
        <w:rPr>
          <w:b/>
          <w:noProof/>
        </w:rPr>
        <w:noBreakHyphen/>
        <w:t>depth review (IDR) of how the imbalances identified have developed.</w:t>
      </w:r>
      <w:r>
        <w:rPr>
          <w:noProof/>
        </w:rPr>
        <w:t xml:space="preserve"> In particular, analysis relevant to the IDR may be found in </w:t>
      </w:r>
      <w:r>
        <w:rPr>
          <w:noProof/>
        </w:rPr>
        <w:t>the following sections: Public finances and taxation (see Section 4.1); Financial sector: banking sector, access to finance, private indebtedness, vulnerability linked to the highly negative net international investment position (see Section 4.2); Labour m</w:t>
      </w:r>
      <w:r>
        <w:rPr>
          <w:noProof/>
        </w:rPr>
        <w:t>arket: high youth and long</w:t>
      </w:r>
      <w:r>
        <w:rPr>
          <w:noProof/>
        </w:rPr>
        <w:noBreakHyphen/>
        <w:t>term unemployment (see Section 4.3); Investment: external competitiveness, private and public investment, business environment (see Section 4.4); Sectoral policies: R&amp;I, competition in product and services markets (see Sections 4</w:t>
      </w:r>
      <w:r>
        <w:rPr>
          <w:noProof/>
        </w:rPr>
        <w:t>.5.1 and 4.5.2); Public administration: efficiency of public administration, public procurement, judicial system (see Section 4.6)</w:t>
      </w:r>
    </w:p>
    <w:p w:rsidR="00BB0B51" w:rsidRDefault="00AA53B1">
      <w:pPr>
        <w:pStyle w:val="NumberedHeading1"/>
        <w:tabs>
          <w:tab w:val="left" w:pos="567"/>
        </w:tabs>
        <w:rPr>
          <w:noProof/>
        </w:rPr>
      </w:pPr>
      <w:r>
        <w:rPr>
          <w:noProof/>
        </w:rPr>
        <w:t>3.1.</w:t>
      </w:r>
      <w:r>
        <w:rPr>
          <w:noProof/>
        </w:rPr>
        <w:tab/>
        <w:t>Imbalances and their gravity</w:t>
      </w:r>
    </w:p>
    <w:p w:rsidR="00BB0B51" w:rsidRDefault="00AA53B1">
      <w:pPr>
        <w:rPr>
          <w:noProof/>
        </w:rPr>
      </w:pPr>
      <w:r>
        <w:rPr>
          <w:b/>
          <w:noProof/>
        </w:rPr>
        <w:t>The net international investment position (NIIP) remains negative</w:t>
      </w:r>
      <w:r>
        <w:rPr>
          <w:noProof/>
        </w:rPr>
        <w:t xml:space="preserve">. It was close to </w:t>
      </w:r>
      <w:r>
        <w:rPr>
          <w:noProof/>
        </w:rPr>
        <w:noBreakHyphen/>
        <w:t>110 % o</w:t>
      </w:r>
      <w:r>
        <w:rPr>
          <w:noProof/>
        </w:rPr>
        <w:t xml:space="preserve">f GDP in 2015, one of the most negative NIIPs in the EU, well beyond its estimated prudential level of </w:t>
      </w:r>
      <w:r>
        <w:rPr>
          <w:noProof/>
        </w:rPr>
        <w:noBreakHyphen/>
        <w:t>48 %. Moreover, its composition is tilted towards marketable debt rather than more stable FDI and equity components. Improved growth prospects and conti</w:t>
      </w:r>
      <w:r>
        <w:rPr>
          <w:noProof/>
        </w:rPr>
        <w:t>nuous current account surpluses of around 1.6 % of GDP per year would be required to halve the negative NIIP and reach a more sustainable position by 2025.</w:t>
      </w:r>
    </w:p>
    <w:p w:rsidR="00BB0B51" w:rsidRDefault="00AA53B1">
      <w:pPr>
        <w:rPr>
          <w:noProof/>
        </w:rPr>
      </w:pPr>
      <w:r>
        <w:rPr>
          <w:b/>
          <w:noProof/>
        </w:rPr>
        <w:t>Some deleveraging efforts, in particular for households, notwithstanding, the private debt</w:t>
      </w:r>
      <w:r>
        <w:rPr>
          <w:b/>
          <w:noProof/>
        </w:rPr>
        <w:noBreakHyphen/>
        <w:t>to</w:t>
      </w:r>
      <w:r>
        <w:rPr>
          <w:b/>
          <w:noProof/>
        </w:rPr>
        <w:noBreakHyphen/>
        <w:t xml:space="preserve">GDP </w:t>
      </w:r>
      <w:r>
        <w:rPr>
          <w:b/>
          <w:noProof/>
        </w:rPr>
        <w:t>ratio remains high.</w:t>
      </w:r>
      <w:r>
        <w:rPr>
          <w:noProof/>
        </w:rPr>
        <w:t xml:space="preserve"> Private debt is still well above prudent levels in a context of also high government debt and low potential growth and inflation. Total household non</w:t>
      </w:r>
      <w:r>
        <w:rPr>
          <w:noProof/>
        </w:rPr>
        <w:noBreakHyphen/>
        <w:t>consolidated debt reached 76 % of GDP in early 2016 and non</w:t>
      </w:r>
      <w:r>
        <w:rPr>
          <w:noProof/>
        </w:rPr>
        <w:noBreakHyphen/>
        <w:t>consolidated corporate deb</w:t>
      </w:r>
      <w:r>
        <w:rPr>
          <w:noProof/>
        </w:rPr>
        <w:t>t was over 117 %. Corporate indebtedness remains amongst the highest in the EU and deleveraging needs in this sector are assessed at between 10 % and 20 % of GDP (</w:t>
      </w:r>
      <w:r>
        <w:rPr>
          <w:noProof/>
          <w:vertAlign w:val="superscript"/>
        </w:rPr>
        <w:footnoteReference w:id="10"/>
      </w:r>
      <w:r>
        <w:rPr>
          <w:noProof/>
        </w:rPr>
        <w:t>). The share of non</w:t>
      </w:r>
      <w:r>
        <w:rPr>
          <w:noProof/>
        </w:rPr>
        <w:noBreakHyphen/>
        <w:t>performing loans (NPLs) has stabilized although at a high level over the</w:t>
      </w:r>
      <w:r>
        <w:rPr>
          <w:noProof/>
        </w:rPr>
        <w:t xml:space="preserve"> recent quarters, while it is still increasing in some sectors, in particular construction, real estate and trade. </w:t>
      </w:r>
    </w:p>
    <w:p w:rsidR="00BB0B51" w:rsidRDefault="00AA53B1">
      <w:pPr>
        <w:rPr>
          <w:noProof/>
        </w:rPr>
      </w:pPr>
      <w:r>
        <w:rPr>
          <w:b/>
          <w:noProof/>
        </w:rPr>
        <w:t>The large stock of corporate non</w:t>
      </w:r>
      <w:r>
        <w:rPr>
          <w:b/>
          <w:noProof/>
        </w:rPr>
        <w:noBreakHyphen/>
        <w:t xml:space="preserve">performing loans, low profitability, exposure to sovereign debt risks and weak capital buffers are putting </w:t>
      </w:r>
      <w:r>
        <w:rPr>
          <w:b/>
          <w:noProof/>
        </w:rPr>
        <w:t>pressure on the banking sector.</w:t>
      </w:r>
      <w:r>
        <w:rPr>
          <w:noProof/>
        </w:rPr>
        <w:t xml:space="preserve"> The deterioration in the quality of assets, in particular in the corporate sector where the ratio of overdue loans was 16.2 % in the end of first half 2016, weighs on the banking sector's aggregate balance sheet. It is one o</w:t>
      </w:r>
      <w:r>
        <w:rPr>
          <w:noProof/>
        </w:rPr>
        <w:t xml:space="preserve">f the factors, along with demand for loans and low capital buffers to impede the productive allocation of credit and investment.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3.1:</w:t>
            </w:r>
            <w:r>
              <w:rPr>
                <w:b/>
                <w:noProof/>
              </w:rPr>
              <w:tab/>
              <w:t>Banking sector situation and domestic debt levels</w:t>
            </w:r>
          </w:p>
        </w:tc>
      </w:tr>
      <w:tr w:rsidR="00BB0B51">
        <w:trPr>
          <w:cantSplit/>
        </w:trPr>
        <w:tc>
          <w:tcPr>
            <w:tcW w:w="4110" w:type="dxa"/>
            <w:shd w:val="clear" w:color="auto" w:fill="auto"/>
          </w:tcPr>
          <w:p w:rsidR="00BB0B51" w:rsidRDefault="00AA53B1">
            <w:pPr>
              <w:pStyle w:val="GraphShape"/>
              <w:rPr>
                <w:noProof/>
                <w:sz w:val="2"/>
              </w:rPr>
            </w:pPr>
            <w:bookmarkStart w:id="19" w:name="_Toc474773067"/>
            <w:bookmarkEnd w:id="19"/>
            <w:r>
              <w:rPr>
                <w:noProof/>
                <w:sz w:val="2"/>
                <w:lang w:eastAsia="en-GB"/>
              </w:rPr>
              <w:drawing>
                <wp:inline distT="0" distB="0" distL="0" distR="0" wp14:anchorId="6E82098D" wp14:editId="0DB54FCD">
                  <wp:extent cx="2597595" cy="2440702"/>
                  <wp:effectExtent l="0" t="0" r="0" b="0"/>
                  <wp:docPr id="22" name="Picture 22" descr="&lt;_DISABLED_nbr_DISABLED_&gt;&lt;GETTEXTFROMWORD&gt;&lt;/nbr&gt;&#10;&lt;title&gt;&lt;GETTEXTFROMWORD&gt;&lt;/title&gt;&#10;&lt;_DISABLED_id_DISABLED_&gt;c9afc223-98ef-4634-9128-a19da0b29531&lt;/id&gt;&#10;&lt;srcType&gt;EXCEL&lt;/srcType&gt;&#10;&lt;srcPath&gt;O:\2017 CRs\22 PT\Graphs\&lt;/srcPath&gt;&#10;&lt;srcName&gt;PT CR_2017_Graphs_and_Tables.xlsx&lt;/srcName&gt;&#10;&lt;type&gt;graph&lt;/type&gt;&#10; &lt;srcSheet&gt;Graph 3.1.1-Banking sect+deb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Footnote"/>
              <w:keepNext/>
              <w:rPr>
                <w:noProof/>
              </w:rPr>
            </w:pPr>
            <w:r>
              <w:rPr>
                <w:noProof/>
              </w:rPr>
              <w:t>(1) The bubble size represents the magnitude of the public an</w:t>
            </w:r>
            <w:r>
              <w:rPr>
                <w:noProof/>
              </w:rPr>
              <w:t>d private debt</w:t>
            </w:r>
            <w:r>
              <w:rPr>
                <w:noProof/>
              </w:rPr>
              <w:noBreakHyphen/>
              <w:t>to</w:t>
            </w:r>
            <w:r>
              <w:rPr>
                <w:noProof/>
              </w:rPr>
              <w:noBreakHyphen/>
              <w:t>GDP ratio as of year</w:t>
            </w:r>
            <w:r>
              <w:rPr>
                <w:noProof/>
              </w:rPr>
              <w:noBreakHyphen/>
              <w:t>end 2015.</w:t>
            </w:r>
          </w:p>
          <w:p w:rsidR="00BB0B51" w:rsidRDefault="00AA53B1">
            <w:pPr>
              <w:pStyle w:val="GraphSource"/>
              <w:keepNext/>
              <w:rPr>
                <w:noProof/>
              </w:rPr>
            </w:pPr>
            <w:r>
              <w:rPr>
                <w:b/>
                <w:i/>
                <w:noProof/>
              </w:rPr>
              <w:t>Source:</w:t>
            </w:r>
            <w:r>
              <w:rPr>
                <w:noProof/>
              </w:rPr>
              <w:t xml:space="preserve"> Eurostat and ECB</w:t>
            </w:r>
          </w:p>
        </w:tc>
      </w:tr>
    </w:tbl>
    <w:p w:rsidR="00BB0B51" w:rsidRDefault="00AA53B1">
      <w:pPr>
        <w:rPr>
          <w:noProof/>
        </w:rPr>
      </w:pPr>
      <w:r>
        <w:rPr>
          <w:b/>
          <w:noProof/>
        </w:rPr>
        <w:t>The level of public debt implies risks to fiscal sustainability, making Portugal vulnerable to adverse shocks</w:t>
      </w:r>
      <w:r>
        <w:rPr>
          <w:noProof/>
        </w:rPr>
        <w:t>. The government debt</w:t>
      </w:r>
      <w:r>
        <w:rPr>
          <w:noProof/>
        </w:rPr>
        <w:noBreakHyphen/>
        <w:t>to</w:t>
      </w:r>
      <w:r>
        <w:rPr>
          <w:noProof/>
        </w:rPr>
        <w:noBreakHyphen/>
        <w:t>GDP ratio remains high at around 130 %. Changes</w:t>
      </w:r>
      <w:r>
        <w:rPr>
          <w:noProof/>
        </w:rPr>
        <w:t xml:space="preserve"> in financial or economic conditions could substantially increase financing costs. Moreover, the pace of downward adjustment hinges on the authorities' ability to maintain fiscal discipline and implement effective measures to guarantee the required fiscal </w:t>
      </w:r>
      <w:r>
        <w:rPr>
          <w:noProof/>
        </w:rPr>
        <w:t>adjustment.</w:t>
      </w:r>
    </w:p>
    <w:p w:rsidR="00BB0B51" w:rsidRDefault="00AA53B1">
      <w:pPr>
        <w:rPr>
          <w:noProof/>
        </w:rPr>
      </w:pPr>
      <w:r>
        <w:rPr>
          <w:b/>
          <w:noProof/>
        </w:rPr>
        <w:t>Portugal still faces challenges in the labour market.</w:t>
      </w:r>
      <w:r>
        <w:rPr>
          <w:noProof/>
        </w:rPr>
        <w:t xml:space="preserve"> Although unemployment has been declining, youth and long</w:t>
      </w:r>
      <w:r>
        <w:rPr>
          <w:noProof/>
        </w:rPr>
        <w:noBreakHyphen/>
        <w:t>term unemployment remain high. At 26 % in Q3</w:t>
      </w:r>
      <w:r>
        <w:rPr>
          <w:noProof/>
        </w:rPr>
        <w:noBreakHyphen/>
        <w:t>2016 youth unemployment is among the highest in the EU. Long</w:t>
      </w:r>
      <w:r>
        <w:rPr>
          <w:noProof/>
        </w:rPr>
        <w:noBreakHyphen/>
        <w:t>term unemployment at 6 % in</w:t>
      </w:r>
      <w:r>
        <w:rPr>
          <w:noProof/>
        </w:rPr>
        <w:t xml:space="preserve"> the same period represents more than half of all those unemployed. Moreover, labour market segmentation continues to hinder productivity growth, leaving young people — who are more educated on average — with unstable contracts while labour market adjustme</w:t>
      </w:r>
      <w:r>
        <w:rPr>
          <w:noProof/>
        </w:rPr>
        <w:t>nt has had profound social implications. High levels of long</w:t>
      </w:r>
      <w:r>
        <w:rPr>
          <w:noProof/>
        </w:rPr>
        <w:noBreakHyphen/>
        <w:t>term and youth unemployment increase the risk that jobless people will disengage from the labour market, gradually losing their skills and employability.</w:t>
      </w:r>
    </w:p>
    <w:p w:rsidR="00BB0B51" w:rsidRDefault="00AA53B1">
      <w:pPr>
        <w:pStyle w:val="NumberedHeading1"/>
        <w:tabs>
          <w:tab w:val="left" w:pos="567"/>
        </w:tabs>
        <w:rPr>
          <w:rFonts w:ascii="Times New Roman" w:hAnsi="Times New Roman"/>
          <w:noProof/>
        </w:rPr>
      </w:pPr>
      <w:r>
        <w:rPr>
          <w:rFonts w:ascii="Times New Roman" w:hAnsi="Times New Roman"/>
          <w:noProof/>
        </w:rPr>
        <w:t>3.2.</w:t>
      </w:r>
      <w:r>
        <w:rPr>
          <w:rFonts w:ascii="Times New Roman" w:hAnsi="Times New Roman"/>
          <w:noProof/>
        </w:rPr>
        <w:tab/>
      </w:r>
      <w:r>
        <w:rPr>
          <w:noProof/>
        </w:rPr>
        <w:t>Evolution</w:t>
      </w:r>
      <w:r>
        <w:rPr>
          <w:rFonts w:ascii="Times New Roman" w:hAnsi="Times New Roman"/>
          <w:noProof/>
        </w:rPr>
        <w:t>, prospects, and policy res</w:t>
      </w:r>
      <w:r>
        <w:rPr>
          <w:rFonts w:ascii="Times New Roman" w:hAnsi="Times New Roman"/>
          <w:noProof/>
        </w:rPr>
        <w:t>ponses</w:t>
      </w:r>
    </w:p>
    <w:p w:rsidR="00BB0B51" w:rsidRDefault="00AA53B1">
      <w:pPr>
        <w:rPr>
          <w:noProof/>
        </w:rPr>
      </w:pPr>
      <w:r>
        <w:rPr>
          <w:b/>
          <w:noProof/>
        </w:rPr>
        <w:t>The net international investment position has improved somewhat from its low level.</w:t>
      </w:r>
      <w:r>
        <w:rPr>
          <w:noProof/>
        </w:rPr>
        <w:t xml:space="preserve"> The current account has moved to a broadly balanced position since 2013. Small surpluses are expected from 2016 onwards, also in cyclically</w:t>
      </w:r>
      <w:r>
        <w:rPr>
          <w:noProof/>
        </w:rPr>
        <w:noBreakHyphen/>
        <w:t>adjusted terms and when c</w:t>
      </w:r>
      <w:r>
        <w:rPr>
          <w:noProof/>
        </w:rPr>
        <w:t>ontrolling for REER effects. The NIIP is expected to continue slowly improving on the back of moderate nominal growth and modest current account surpluses which, on their own, are not however sufficient for a rapid return to a more sustainable external pos</w:t>
      </w:r>
      <w:r>
        <w:rPr>
          <w:noProof/>
        </w:rPr>
        <w:t>ition.</w:t>
      </w:r>
    </w:p>
    <w:p w:rsidR="00BB0B51" w:rsidRDefault="00AA53B1">
      <w:pPr>
        <w:rPr>
          <w:noProof/>
        </w:rPr>
      </w:pPr>
      <w:r>
        <w:rPr>
          <w:b/>
          <w:noProof/>
        </w:rPr>
        <w:t>Private sector debt is slowly declining, while the still high levels of non</w:t>
      </w:r>
      <w:r>
        <w:rPr>
          <w:b/>
          <w:noProof/>
        </w:rPr>
        <w:noBreakHyphen/>
        <w:t>performing loans represent obstacles to new lending.</w:t>
      </w:r>
      <w:r>
        <w:rPr>
          <w:noProof/>
        </w:rPr>
        <w:t xml:space="preserve"> Private sector deleveraging has continued moderately in a difficult situation characterised by low banks' profitability,</w:t>
      </w:r>
      <w:r>
        <w:rPr>
          <w:noProof/>
        </w:rPr>
        <w:t xml:space="preserve"> high NPLs and reduced capital buffers. Along with most EU countries affected by a high level of NPLs these have either stabilised or reduced in recent years, with the exception of the corporate segment of the portfolio, where the NPL ratio continued to in</w:t>
      </w:r>
      <w:r>
        <w:rPr>
          <w:noProof/>
        </w:rPr>
        <w:t xml:space="preserve">crease. </w:t>
      </w:r>
    </w:p>
    <w:p w:rsidR="00BB0B51" w:rsidRDefault="00AA53B1">
      <w:pPr>
        <w:rPr>
          <w:noProof/>
        </w:rPr>
      </w:pPr>
      <w:r>
        <w:rPr>
          <w:b/>
          <w:noProof/>
        </w:rPr>
        <w:t>Measures have been taken regarding the financial sector, access to finance and insolvency procedures.</w:t>
      </w:r>
      <w:r>
        <w:rPr>
          <w:noProof/>
        </w:rPr>
        <w:t xml:space="preserve"> The level of private debt imbalances remains high, while alternative means of financing are still limited. Key areas of concern are Portuguese banks' low profitability, asset quality (the ratio of NPLs is high and increasing in the corporate segment), thi</w:t>
      </w:r>
      <w:r>
        <w:rPr>
          <w:noProof/>
        </w:rPr>
        <w:t>n capital buffers, exposure to sovereign debt, and high corporate debt overhang. The main challenge is to maintain orderly corporate deleveraging while minimising the ensuing burden on the economy.</w:t>
      </w:r>
    </w:p>
    <w:p w:rsidR="00BB0B51" w:rsidRDefault="00AA53B1">
      <w:pPr>
        <w:rPr>
          <w:noProof/>
        </w:rPr>
      </w:pPr>
      <w:r>
        <w:rPr>
          <w:b/>
          <w:noProof/>
        </w:rPr>
        <w:t>Public debt has stabilised at a high level.</w:t>
      </w:r>
      <w:r>
        <w:rPr>
          <w:noProof/>
        </w:rPr>
        <w:t xml:space="preserve"> A contracting </w:t>
      </w:r>
      <w:r>
        <w:rPr>
          <w:noProof/>
        </w:rPr>
        <w:t>economy and high budget deficits put the gross public debt</w:t>
      </w:r>
      <w:r>
        <w:rPr>
          <w:noProof/>
        </w:rPr>
        <w:noBreakHyphen/>
        <w:t>to</w:t>
      </w:r>
      <w:r>
        <w:rPr>
          <w:noProof/>
        </w:rPr>
        <w:noBreakHyphen/>
        <w:t>GDP ratio on an increasing trend until 2013. Fiscal consolidation was difficult in a recessionary environment. The economic recovery has helped stabilise the gross public debt</w:t>
      </w:r>
      <w:r>
        <w:rPr>
          <w:noProof/>
        </w:rPr>
        <w:noBreakHyphen/>
        <w:t>to</w:t>
      </w:r>
      <w:r>
        <w:rPr>
          <w:noProof/>
        </w:rPr>
        <w:noBreakHyphen/>
        <w:t>GDP ratio at ar</w:t>
      </w:r>
      <w:r>
        <w:rPr>
          <w:noProof/>
        </w:rPr>
        <w:t xml:space="preserve">ound 130 % since 2014. On the back of the projected continued moderate recovery and primary surpluses, it is expected to decline somewhat, to around 124 % of GDP by 2027. Adverse shocks, such as an increase in interest rate, may put Portugal’s public debt </w:t>
      </w:r>
      <w:r>
        <w:rPr>
          <w:noProof/>
        </w:rPr>
        <w:t>ratio on an unsustainable path.</w:t>
      </w:r>
    </w:p>
    <w:p w:rsidR="00BB0B51" w:rsidRDefault="00AA53B1">
      <w:pPr>
        <w:rPr>
          <w:noProof/>
        </w:rPr>
      </w:pPr>
      <w:r>
        <w:rPr>
          <w:b/>
          <w:noProof/>
        </w:rPr>
        <w:t>Although measures have been taken to make public finances more sustainable, challenges remain.</w:t>
      </w:r>
      <w:r>
        <w:rPr>
          <w:noProof/>
        </w:rPr>
        <w:t xml:space="preserve"> The financial viability of the State</w:t>
      </w:r>
      <w:r>
        <w:rPr>
          <w:noProof/>
        </w:rPr>
        <w:noBreakHyphen/>
        <w:t>Owned Enterprises (SOEs) is not yet ensured. This is particularly true of highly</w:t>
      </w:r>
      <w:r>
        <w:rPr>
          <w:noProof/>
        </w:rPr>
        <w:noBreakHyphen/>
        <w:t>indebted SO</w:t>
      </w:r>
      <w:r>
        <w:rPr>
          <w:noProof/>
        </w:rPr>
        <w:t>Es, most of which are in the transport sector. In view of demographic and economic developments, the affordability of public pensions is under pressure in the short term. Even though partially tackled, there are also challenges to the short and long</w:t>
      </w:r>
      <w:r>
        <w:rPr>
          <w:noProof/>
        </w:rPr>
        <w:noBreakHyphen/>
        <w:t>term s</w:t>
      </w:r>
      <w:r>
        <w:rPr>
          <w:noProof/>
        </w:rPr>
        <w:t>ustainability of the healthcare sector. Historically the health system has run losses and has been unable to clear its arrears.</w:t>
      </w:r>
    </w:p>
    <w:p w:rsidR="00BB0B51" w:rsidRDefault="00AA53B1">
      <w:pPr>
        <w:rPr>
          <w:noProof/>
        </w:rPr>
      </w:pPr>
      <w:r>
        <w:rPr>
          <w:b/>
          <w:noProof/>
        </w:rPr>
        <w:t>Labour market duality remains an issue</w:t>
      </w:r>
      <w:r>
        <w:rPr>
          <w:noProof/>
        </w:rPr>
        <w:t>. The Portuguese economy continued to add both temporary and permanent jobs in 2016, but j</w:t>
      </w:r>
      <w:r>
        <w:rPr>
          <w:noProof/>
        </w:rPr>
        <w:t>ob creation on permanent contracts was not strong enough to lower the share of temporary employees, particularly among young workers. Measures were taken in the area of employment support to promote hiring on open</w:t>
      </w:r>
      <w:r>
        <w:rPr>
          <w:noProof/>
        </w:rPr>
        <w:noBreakHyphen/>
        <w:t>ended contracts, but their expected impact</w:t>
      </w:r>
      <w:r>
        <w:rPr>
          <w:noProof/>
        </w:rPr>
        <w:t xml:space="preserve"> on reducing segmentation appears limited.</w:t>
      </w:r>
    </w:p>
    <w:p w:rsidR="00BB0B51" w:rsidRDefault="00AA53B1">
      <w:pPr>
        <w:rPr>
          <w:noProof/>
        </w:rPr>
      </w:pPr>
      <w:r>
        <w:rPr>
          <w:b/>
          <w:noProof/>
        </w:rPr>
        <w:t>A rebound in potential growth to converge with the EU average would address medium</w:t>
      </w:r>
      <w:r>
        <w:rPr>
          <w:b/>
          <w:noProof/>
        </w:rPr>
        <w:noBreakHyphen/>
        <w:t>term challenges.</w:t>
      </w:r>
      <w:r>
        <w:rPr>
          <w:noProof/>
        </w:rPr>
        <w:t xml:space="preserve"> Persistent bottlenecks and rigidities in the product and labour markets still imply limits to supply and demand o</w:t>
      </w:r>
      <w:r>
        <w:rPr>
          <w:noProof/>
        </w:rPr>
        <w:t>f labour and thus to potential growth. This refers in particular to obstacles to job market access for young people and the long</w:t>
      </w:r>
      <w:r>
        <w:rPr>
          <w:noProof/>
        </w:rPr>
        <w:noBreakHyphen/>
        <w:t>term unemployed. High leverage in the private sector and high banks' stocks of NPL weigh on new credit to firms which would all</w:t>
      </w:r>
      <w:r>
        <w:rPr>
          <w:noProof/>
        </w:rPr>
        <w:t>ow for a positive capital contribution to potential output. At the same time, a tight fiscal situation poses risks for public debt sustainability and also limits the productive use of public capital resources. Given the estimated need for deleveraging, inf</w:t>
      </w:r>
      <w:r>
        <w:rPr>
          <w:noProof/>
        </w:rPr>
        <w:t>lows of non</w:t>
      </w:r>
      <w:r>
        <w:rPr>
          <w:noProof/>
        </w:rPr>
        <w:noBreakHyphen/>
        <w:t>debt financing such as FDI, could make a valuable contribution to expanding the country's investment and growth potential.</w:t>
      </w:r>
    </w:p>
    <w:p w:rsidR="00BB0B51" w:rsidRDefault="00AA53B1">
      <w:pPr>
        <w:rPr>
          <w:noProof/>
        </w:rPr>
      </w:pPr>
      <w:r>
        <w:rPr>
          <w:b/>
          <w:noProof/>
        </w:rPr>
        <w:t>The current imbalances limit the resilience of the Portuguese economy to shocks, making it less capable to adapt to a con</w:t>
      </w:r>
      <w:r>
        <w:rPr>
          <w:b/>
          <w:noProof/>
        </w:rPr>
        <w:t>stantly changing environment</w:t>
      </w:r>
      <w:r>
        <w:rPr>
          <w:noProof/>
        </w:rPr>
        <w:t>. Portuguese GDP growth is volatile relative to the EU average and remains vulnerable to the high volatility of the terms of trade. To buffer the economy from these and other shocks, reducing the stock of public debt would creat</w:t>
      </w:r>
      <w:r>
        <w:rPr>
          <w:noProof/>
        </w:rPr>
        <w:t>e the fiscal space needed to enable fiscal policy to offset future shocks. At the same time reducing corporate debt would make the private sector more flexible in dealing with sudden shocks, mitigating the spill</w:t>
      </w:r>
      <w:r>
        <w:rPr>
          <w:noProof/>
        </w:rPr>
        <w:noBreakHyphen/>
        <w:t>overs which shocks to firms have on the rest</w:t>
      </w:r>
      <w:r>
        <w:rPr>
          <w:noProof/>
        </w:rPr>
        <w:t xml:space="preserve"> of the economy. Lower unemployment would prevent major negative impacts on aggregate demand, which could occur through a decline in consumption or an expansion in unemployment benefits. Overall, these adjustments would also help improve the NIIP, Measures</w:t>
      </w:r>
      <w:r>
        <w:rPr>
          <w:noProof/>
        </w:rPr>
        <w:t xml:space="preserve"> designed to improve export competitiveness could also help.</w:t>
      </w:r>
    </w:p>
    <w:p w:rsidR="00BB0B51" w:rsidRDefault="00AA53B1">
      <w:pPr>
        <w:rPr>
          <w:noProof/>
        </w:rPr>
      </w:pPr>
      <w:r>
        <w:rPr>
          <w:b/>
          <w:noProof/>
        </w:rPr>
        <w:t>While some progress has been made, there is further potential for structural reforms in several areas.</w:t>
      </w:r>
      <w:r>
        <w:rPr>
          <w:noProof/>
        </w:rPr>
        <w:t xml:space="preserve"> Progress has been made so far in improving the efficiency of the Portuguese public administr</w:t>
      </w:r>
      <w:r>
        <w:rPr>
          <w:noProof/>
        </w:rPr>
        <w:t>ation. However, there is a lack of rationalising and modernising central, regional and local public administration. Measures have been taken to improve the operation of the judicial system, but efficiency indicators remain very poor especially for tax cour</w:t>
      </w:r>
      <w:r>
        <w:rPr>
          <w:noProof/>
        </w:rPr>
        <w:t xml:space="preserve">ts. It is still not possible to evaluate and monitor the housing market reforms properly. There is no systematic monitoring and reporting underpinned by precise and relevant data on key drivers of that market. There have been improvements in the dedicated </w:t>
      </w:r>
      <w:r>
        <w:rPr>
          <w:noProof/>
        </w:rPr>
        <w:t>online platform for public procurement which provides a large amount of data on public contracts. However, transparency remains a challenge for public</w:t>
      </w:r>
      <w:r>
        <w:rPr>
          <w:noProof/>
        </w:rPr>
        <w:noBreakHyphen/>
        <w:t xml:space="preserve">private partnerships. This is particularly applicable to the local and regional level, and to concession </w:t>
      </w:r>
      <w:r>
        <w:rPr>
          <w:noProof/>
        </w:rPr>
        <w:t xml:space="preserve">contracts. Portugal has one of the most restrictive business services regulation in the EU. As a result, productivity growth remains limited, it is more difficult for new players to enter the market, and the price for services is higher than it should be. </w:t>
      </w:r>
      <w:r>
        <w:rPr>
          <w:noProof/>
        </w:rPr>
        <w:t>There are outstanding barriers to access to professions and to more simplified authorisation which adversely affect external and internal competition within the Portuguese economy. Unfavourable framework conditions and weak links between public and private</w:t>
      </w:r>
      <w:r>
        <w:rPr>
          <w:noProof/>
        </w:rPr>
        <w:t xml:space="preserve"> sector still limit Portugal's innovation performance. Delays in reforming the transport sector are hampering the sector's competitiveness. State owned transport companies lack a long</w:t>
      </w:r>
      <w:r>
        <w:rPr>
          <w:noProof/>
        </w:rPr>
        <w:noBreakHyphen/>
        <w:t>term financial sustainability plan to support future investments. The cu</w:t>
      </w:r>
      <w:r>
        <w:rPr>
          <w:noProof/>
        </w:rPr>
        <w:t>rrent rail infrastructure is not being used to its full potential thus compromising the performance of the freight sector. The renegotiation of existing port concession agreements and a new framework for port concessions aim at making Portuguese ports more</w:t>
      </w:r>
      <w:r>
        <w:rPr>
          <w:noProof/>
        </w:rPr>
        <w:t xml:space="preserve"> competitive. Yet, both are being delayed. High structural costs in the energy sector together with an excess of installed capacity compromise the sustainability of the system. The government is putting forward measures to recover past undue rents and elim</w:t>
      </w:r>
      <w:r>
        <w:rPr>
          <w:noProof/>
        </w:rPr>
        <w:t>inate existing ones but a high tariff debt and a concentrated retail market put pressure on end</w:t>
      </w:r>
      <w:r>
        <w:rPr>
          <w:noProof/>
        </w:rPr>
        <w:noBreakHyphen/>
        <w:t>user prices.</w:t>
      </w:r>
    </w:p>
    <w:p w:rsidR="00BB0B51" w:rsidRDefault="00AA53B1">
      <w:pPr>
        <w:pStyle w:val="NumberedHeading1"/>
        <w:tabs>
          <w:tab w:val="left" w:pos="567"/>
        </w:tabs>
        <w:rPr>
          <w:rFonts w:ascii="Times New Roman" w:hAnsi="Times New Roman"/>
          <w:noProof/>
        </w:rPr>
      </w:pPr>
      <w:r>
        <w:rPr>
          <w:rFonts w:ascii="Times New Roman" w:hAnsi="Times New Roman"/>
          <w:noProof/>
        </w:rPr>
        <w:t>3.3.</w:t>
      </w:r>
      <w:r>
        <w:rPr>
          <w:rFonts w:ascii="Times New Roman" w:hAnsi="Times New Roman"/>
          <w:noProof/>
        </w:rPr>
        <w:tab/>
        <w:t>Overall assessment</w:t>
      </w:r>
    </w:p>
    <w:p w:rsidR="00BB0B51" w:rsidRDefault="00AA53B1">
      <w:pPr>
        <w:rPr>
          <w:noProof/>
        </w:rPr>
      </w:pPr>
      <w:r>
        <w:rPr>
          <w:noProof/>
        </w:rPr>
        <w:t>Portugal continues to face important sources of imbalances arising from high external, private and government debt in a con</w:t>
      </w:r>
      <w:r>
        <w:rPr>
          <w:noProof/>
        </w:rPr>
        <w:t>text of unemployment and low</w:t>
      </w:r>
      <w:r>
        <w:rPr>
          <w:noProof/>
        </w:rPr>
        <w:noBreakHyphen/>
        <w:t xml:space="preserve">growth. Private debt is slowly declining, while government debt has stabilised against the background of remaining consolidation needs. The competitiveness gains that materialised over the past few years are bottoming out. The </w:t>
      </w:r>
      <w:r>
        <w:rPr>
          <w:noProof/>
        </w:rPr>
        <w:t>high stock of non</w:t>
      </w:r>
      <w:r>
        <w:rPr>
          <w:noProof/>
        </w:rPr>
        <w:noBreakHyphen/>
        <w:t>performing loans, which has not yet stabilised, continues to put pressure on bank profitability and their workout could imply capital gaps that might require state intervention. Various policy measures have been taken to help reduce imbal</w:t>
      </w:r>
      <w:r>
        <w:rPr>
          <w:noProof/>
        </w:rPr>
        <w:t>ances, but significant gaps remain. Despite some improvement in relevant flow indicators, Portugal still suffers from major sources of external and internal imbalances. Besides very high private and government debt levels persistent weaknesses concern, the</w:t>
      </w:r>
      <w:r>
        <w:rPr>
          <w:noProof/>
        </w:rPr>
        <w:t xml:space="preserve"> exposure to sovereign debt risks, and thin capital buffers in the banking sector, as well as limited access to finance for corporations and SMEs. A number of policy measures have been taken to restructure the financial sector, ensure adequate capital buff</w:t>
      </w:r>
      <w:r>
        <w:rPr>
          <w:noProof/>
        </w:rPr>
        <w:t>ers, and support the reduction of non</w:t>
      </w:r>
      <w:r>
        <w:rPr>
          <w:noProof/>
        </w:rPr>
        <w:noBreakHyphen/>
        <w:t>performing loans. Despite the restructuring of major banks, recapitalisation programmes and reforms of the insolvency framework, progress with NPL reduction remains slow and further recapitalisation needs remain likely</w:t>
      </w:r>
      <w:r>
        <w:rPr>
          <w:noProof/>
        </w:rPr>
        <w:t>. Public finances are not yet firmly on a stable footing; despite some progress in moving towards a spending review and addressing health expenditure sustainability, action on the front of State</w:t>
      </w:r>
      <w:r>
        <w:rPr>
          <w:noProof/>
        </w:rPr>
        <w:noBreakHyphen/>
        <w:t>Owned</w:t>
      </w:r>
      <w:r>
        <w:rPr>
          <w:noProof/>
        </w:rPr>
        <w:noBreakHyphen/>
        <w:t>Enterprises restructuring remain limited. Bottlenecks t</w:t>
      </w:r>
      <w:r>
        <w:rPr>
          <w:noProof/>
        </w:rPr>
        <w:t>o productivity growth remain related to innovation performance, restrictions in some services and regulated professions, the public administration, and network industries. The labour market is improving but youth and long</w:t>
      </w:r>
      <w:r>
        <w:rPr>
          <w:noProof/>
        </w:rPr>
        <w:noBreakHyphen/>
        <w:t>term unemployment still weigh on t</w:t>
      </w:r>
      <w:r>
        <w:rPr>
          <w:noProof/>
        </w:rPr>
        <w:t xml:space="preserve">he employment and social recovery. There is still no comprehensive growth strategy. Regulatory barriers and rigidities in labour and product markets continue to hamper business growth, competitiveness and investment in Portugal. </w:t>
      </w: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bookmarkStart w:id="20" w:name="_Toc474773050"/>
            <w:bookmarkEnd w:id="20"/>
          </w:p>
        </w:tc>
      </w:tr>
      <w:tr w:rsidR="00BB0B51" w:rsidRPr="002F50D7">
        <w:trPr>
          <w:cantSplit/>
        </w:trPr>
        <w:tc>
          <w:tcPr>
            <w:tcW w:w="8505" w:type="dxa"/>
            <w:shd w:val="clear" w:color="auto" w:fill="auto"/>
          </w:tcPr>
          <w:p w:rsidR="00BB0B51" w:rsidRDefault="00AA53B1">
            <w:pPr>
              <w:pStyle w:val="TableTitle"/>
              <w:rPr>
                <w:b/>
                <w:noProof/>
                <w:lang w:val="fr-FR"/>
              </w:rPr>
            </w:pPr>
            <w:r>
              <w:rPr>
                <w:noProof/>
                <w:lang w:val="fr-FR"/>
              </w:rPr>
              <w:t>Table 3.1:</w:t>
            </w:r>
            <w:r>
              <w:rPr>
                <w:b/>
                <w:noProof/>
                <w:lang w:val="fr-FR"/>
              </w:rPr>
              <w:tab/>
              <w:t>MIP assessment matrix - Portugal 2017</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7FC31C66" wp14:editId="7B256658">
                  <wp:extent cx="5400929" cy="6961141"/>
                  <wp:effectExtent l="0" t="0" r="0" b="0"/>
                  <wp:docPr id="34" name="Picture 34" descr="&lt;nbr&gt;&lt;GETTEXTFROMWORD&gt;&lt;/nbr&gt;&#10;&lt;title&gt;&lt;GETTEXTFROMWORD&gt;&lt;/title&gt;&#10;&lt;id&gt;aa550a79-c6b8-43fa-bda5-68572e942a46&lt;/id&gt;&#10;&lt;srcType&gt;WORD&lt;/srcType&gt;&#10;&lt;srcPath&gt;C:\Users\kouskan.NET1.000\Desktop\PT_CR_SG\&lt;/srcPath&gt;&#10;&lt;srcName&gt;Table 3.1 for SG.docx&lt;/srcName&gt;&#10;&lt;type&gt;table&lt;/type&gt;&#10;&lt;pos&gt;multipages_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7-02-17T16:05:3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929" cy="6961141"/>
                          </a:xfrm>
                          <a:prstGeom prst="rect">
                            <a:avLst/>
                          </a:prstGeom>
                          <a:noFill/>
                          <a:ln>
                            <a:noFill/>
                          </a:ln>
                        </pic:spPr>
                      </pic:pic>
                    </a:graphicData>
                  </a:graphic>
                </wp:inline>
              </w:drawing>
            </w:r>
          </w:p>
        </w:tc>
      </w:tr>
      <w:tr w:rsidR="00BB0B51">
        <w:trPr>
          <w:cantSplit/>
          <w:trHeight w:val="20"/>
        </w:trPr>
        <w:tc>
          <w:tcPr>
            <w:tcW w:w="8505" w:type="dxa"/>
            <w:shd w:val="clear" w:color="auto" w:fill="auto"/>
          </w:tcPr>
          <w:p w:rsidR="00BB0B51" w:rsidRDefault="00BB0B51">
            <w:pPr>
              <w:pStyle w:val="SlimCell"/>
              <w:keepNext/>
              <w:rPr>
                <w:noProof/>
              </w:rPr>
            </w:pPr>
          </w:p>
        </w:tc>
      </w:tr>
      <w:tr w:rsidR="00BB0B51">
        <w:trPr>
          <w:cantSplit/>
        </w:trPr>
        <w:tc>
          <w:tcPr>
            <w:tcW w:w="8505" w:type="dxa"/>
            <w:shd w:val="clear" w:color="auto" w:fill="auto"/>
            <w:vAlign w:val="bottom"/>
          </w:tcPr>
          <w:p w:rsidR="00BB0B51" w:rsidRDefault="00AA53B1">
            <w:pPr>
              <w:pStyle w:val="TableContinueBottom"/>
              <w:rPr>
                <w:noProof/>
              </w:rPr>
            </w:pPr>
            <w:r>
              <w:rPr>
                <w:noProof/>
              </w:rPr>
              <w:t>(Continued on the next page)</w:t>
            </w:r>
          </w:p>
        </w:tc>
      </w:tr>
    </w:tbl>
    <w:p w:rsidR="00BB0B51" w:rsidRDefault="00BB0B51">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Pr>
        <w:tc>
          <w:tcPr>
            <w:tcW w:w="8505" w:type="dxa"/>
            <w:shd w:val="clear" w:color="auto" w:fill="auto"/>
          </w:tcPr>
          <w:p w:rsidR="00BB0B51" w:rsidRDefault="00AA53B1">
            <w:pPr>
              <w:pStyle w:val="TableContinueTop"/>
              <w:rPr>
                <w:noProof/>
              </w:rPr>
            </w:pPr>
            <w:r>
              <w:rPr>
                <w:noProof/>
              </w:rPr>
              <w:t>Table (continued)</w:t>
            </w:r>
          </w:p>
        </w:tc>
      </w:tr>
      <w:tr w:rsidR="00BB0B51">
        <w:trPr>
          <w:cantSplit/>
          <w:trHeight w:val="20"/>
        </w:trPr>
        <w:tc>
          <w:tcPr>
            <w:tcW w:w="8505" w:type="dxa"/>
            <w:shd w:val="clear" w:color="auto" w:fill="auto"/>
          </w:tcPr>
          <w:p w:rsidR="00BB0B51" w:rsidRDefault="00BB0B51">
            <w:pPr>
              <w:pStyle w:val="SlimCell"/>
              <w:keepNext/>
              <w:rPr>
                <w:noProof/>
              </w:rPr>
            </w:pP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64D43062" wp14:editId="3B510787">
                  <wp:extent cx="5400929" cy="6947849"/>
                  <wp:effectExtent l="0" t="0" r="0" b="0"/>
                  <wp:docPr id="35" name="Picture 35" descr="&lt;nbr&gt;&lt;GETTEXTFROMWORD&gt;&lt;/nbr&gt;&#10;&lt;title&gt;&lt;GETTEXTFROMWORD&gt;&lt;/title&gt;&#10;&lt;id&gt;aa550a79-c6b8-43fa-bda5-68572e942a46&lt;/id&gt;&#10;&lt;srcType&gt;WORD&lt;/srcType&gt;&#10;&lt;srcPath&gt;C:\Users\kouskan.NET1.000\Desktop\PT_CR_SG\&lt;/srcPath&gt;&#10;&lt;srcName&gt;Table 3.1 for SG.docx&lt;/srcName&gt;&#10;&lt;type&gt;table&lt;/type&gt;&#10;&lt;pos&gt;multipages_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7-02-17T16:05:3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929" cy="6947849"/>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Source"/>
              <w:rPr>
                <w:noProof/>
              </w:rPr>
            </w:pPr>
            <w:r>
              <w:rPr>
                <w:b/>
                <w:i/>
                <w:noProof/>
              </w:rPr>
              <w:t>Source:</w:t>
            </w:r>
            <w:r>
              <w:rPr>
                <w:noProof/>
              </w:rPr>
              <w:t xml:space="preserve"> </w:t>
            </w:r>
            <w:r>
              <w:rPr>
                <w:i/>
                <w:noProof/>
              </w:rPr>
              <w:t>Commission services</w:t>
            </w:r>
            <w:r>
              <w:rPr>
                <w:noProof/>
              </w:rPr>
              <w:t xml:space="preserve"> </w:t>
            </w:r>
          </w:p>
        </w:tc>
      </w:tr>
      <w:tr w:rsidR="00BB0B51">
        <w:trPr>
          <w:cantSplit/>
          <w:trHeight w:val="20"/>
        </w:trPr>
        <w:tc>
          <w:tcPr>
            <w:tcW w:w="8505" w:type="dxa"/>
            <w:shd w:val="clear" w:color="auto" w:fill="auto"/>
            <w:vAlign w:val="bottom"/>
          </w:tcPr>
          <w:p w:rsidR="00BB0B51" w:rsidRDefault="00BB0B51">
            <w:pPr>
              <w:pStyle w:val="SlimCell"/>
              <w:rPr>
                <w:noProof/>
              </w:rPr>
            </w:pPr>
          </w:p>
        </w:tc>
      </w:tr>
    </w:tbl>
    <w:p w:rsidR="00BB0B51" w:rsidRDefault="00BB0B51">
      <w:pPr>
        <w:rPr>
          <w:noProof/>
        </w:rPr>
        <w:sectPr w:rsidR="00BB0B51">
          <w:headerReference w:type="even" r:id="rId55"/>
          <w:headerReference w:type="default" r:id="rId56"/>
          <w:footerReference w:type="even" r:id="rId57"/>
          <w:footerReference w:type="default" r:id="rId58"/>
          <w:headerReference w:type="first" r:id="rId59"/>
          <w:footerReference w:type="first" r:id="rId60"/>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5"/>
        <w:framePr w:wrap="notBeside"/>
        <w:rPr>
          <w:noProof/>
        </w:rPr>
      </w:pPr>
      <w:bookmarkStart w:id="21" w:name="_Toc474773038"/>
      <w:bookmarkEnd w:id="21"/>
      <w:r>
        <w:rPr>
          <w:rFonts w:ascii="Times New Roman" w:hAnsi="Times New Roman"/>
          <w:b/>
          <w:noProof/>
          <w:color w:val="808080"/>
          <w:sz w:val="72"/>
        </w:rPr>
        <w:t>4.</w:t>
      </w:r>
      <w:r>
        <w:rPr>
          <w:noProof/>
        </w:rPr>
        <w:tab/>
        <w:t>Reform priorities</w:t>
      </w:r>
    </w:p>
    <w:p w:rsidR="00BB0B51" w:rsidRDefault="00AA53B1">
      <w:pPr>
        <w:pStyle w:val="SubsectionHeading1"/>
        <w:framePr w:wrap="notBeside"/>
        <w:rPr>
          <w:noProof/>
        </w:rPr>
      </w:pPr>
      <w:r>
        <w:rPr>
          <w:noProof/>
        </w:rPr>
        <w:t>4.1.</w:t>
      </w:r>
      <w:r>
        <w:rPr>
          <w:noProof/>
        </w:rPr>
        <w:tab/>
        <w:t>Public finances and taxation</w:t>
      </w:r>
    </w:p>
    <w:p w:rsidR="00BB0B51" w:rsidRDefault="00AA53B1">
      <w:pPr>
        <w:pStyle w:val="NumberedHeading1"/>
        <w:tabs>
          <w:tab w:val="left" w:pos="567"/>
        </w:tabs>
        <w:rPr>
          <w:noProof/>
        </w:rPr>
      </w:pPr>
      <w:r>
        <w:rPr>
          <w:noProof/>
        </w:rPr>
        <w:t>4.1.1.</w:t>
      </w:r>
      <w:r>
        <w:rPr>
          <w:noProof/>
        </w:rPr>
        <w:tab/>
        <w:t>Fiscal policy (public debt and debt developments)*(</w:t>
      </w:r>
      <w:r>
        <w:rPr>
          <w:noProof/>
          <w:vertAlign w:val="superscript"/>
        </w:rPr>
        <w:footnoteReference w:id="11"/>
      </w:r>
      <w:r>
        <w:rPr>
          <w:noProof/>
        </w:rPr>
        <w:t>)</w:t>
      </w:r>
    </w:p>
    <w:p w:rsidR="00BB0B51" w:rsidRDefault="00AA53B1">
      <w:pPr>
        <w:rPr>
          <w:noProof/>
        </w:rPr>
      </w:pPr>
      <w:r>
        <w:rPr>
          <w:b/>
          <w:noProof/>
        </w:rPr>
        <w:t>General government debt remains high.</w:t>
      </w:r>
      <w:r>
        <w:rPr>
          <w:noProof/>
        </w:rPr>
        <w:t xml:space="preserve"> In the context of the global financial crisis and subsequent recession, very high fiscal deficits, the reclassification of off</w:t>
      </w:r>
      <w:r>
        <w:rPr>
          <w:noProof/>
        </w:rPr>
        <w:noBreakHyphen/>
        <w:t>balance sheet items and entities into the general government perimeter and stabilising interventions in the financial system res</w:t>
      </w:r>
      <w:r>
        <w:rPr>
          <w:noProof/>
        </w:rPr>
        <w:t>ulted in a steep rise in general government debt by over 30 percentage points of GDP between 2010 and 2013. Subsequently, the gross debt</w:t>
      </w:r>
      <w:r>
        <w:rPr>
          <w:noProof/>
        </w:rPr>
        <w:noBreakHyphen/>
        <w:t>to</w:t>
      </w:r>
      <w:r>
        <w:rPr>
          <w:noProof/>
        </w:rPr>
        <w:noBreakHyphen/>
        <w:t>GDP ratio has stabilised at around 130 % of GDP since 2014, the third highest public debt level in the euro area. Th</w:t>
      </w:r>
      <w:r>
        <w:rPr>
          <w:noProof/>
        </w:rPr>
        <w:t>e projections in the following analysis are based on the Commission’s 2017 winter forecast. Following the downward revision in projected proceeds from sales of financial assets, including Novo Banco, the fall to around 126 %, previously expected to take pl</w:t>
      </w:r>
      <w:r>
        <w:rPr>
          <w:noProof/>
        </w:rPr>
        <w:t xml:space="preserve">ace in 2016, is now not expected until 2022. The primary balance, projected to have reached 2.1 % of GDP in 2016, is forecast to be at 2.5 % in 2017 and 2.2 % in 2018, thereby moderating future financing needs. </w:t>
      </w:r>
    </w:p>
    <w:p w:rsidR="00BB0B51" w:rsidRDefault="00AA53B1">
      <w:pPr>
        <w:rPr>
          <w:noProof/>
        </w:rPr>
      </w:pPr>
      <w:r>
        <w:rPr>
          <w:b/>
          <w:noProof/>
        </w:rPr>
        <w:t>The gross public debt</w:t>
      </w:r>
      <w:r>
        <w:rPr>
          <w:b/>
          <w:noProof/>
        </w:rPr>
        <w:noBreakHyphen/>
        <w:t>to</w:t>
      </w:r>
      <w:r>
        <w:rPr>
          <w:b/>
          <w:noProof/>
        </w:rPr>
        <w:noBreakHyphen/>
        <w:t>GDP ratio is expect</w:t>
      </w:r>
      <w:r>
        <w:rPr>
          <w:b/>
          <w:noProof/>
        </w:rPr>
        <w:t>ed to fall moderately in the short term and to stabilise in the medium term.</w:t>
      </w:r>
      <w:r>
        <w:rPr>
          <w:noProof/>
        </w:rPr>
        <w:t xml:space="preserve"> While public debt is considered sustainable under plausible scenarios, debt dynamics are vulnerable to adverse shocks. Supported by the projected continuing economic recovery and </w:t>
      </w:r>
      <w:r>
        <w:rPr>
          <w:noProof/>
        </w:rPr>
        <w:t>expected primary surpluses, the debt</w:t>
      </w:r>
      <w:r>
        <w:rPr>
          <w:noProof/>
        </w:rPr>
        <w:noBreakHyphen/>
        <w:t>to</w:t>
      </w:r>
      <w:r>
        <w:rPr>
          <w:noProof/>
        </w:rPr>
        <w:noBreakHyphen/>
        <w:t>GDP ratio is expected to fall from 130.5 % in 2016 to 128.9 % in 2017 and 127.1 % in 2018. Model simulations of debt sustainability have been carried out that incorporate the scenario of the 2017 winter forecast unti</w:t>
      </w:r>
      <w:r>
        <w:rPr>
          <w:noProof/>
        </w:rPr>
        <w:t>l 2018 and other technical assumptions for the medium term (</w:t>
      </w:r>
      <w:r>
        <w:rPr>
          <w:noProof/>
          <w:vertAlign w:val="superscript"/>
        </w:rPr>
        <w:footnoteReference w:id="12"/>
      </w:r>
      <w:r>
        <w:rPr>
          <w:noProof/>
        </w:rPr>
        <w:t>). For the baseline scenario, the results suggest that, following a moderate decline in the short</w:t>
      </w:r>
      <w:r>
        <w:rPr>
          <w:noProof/>
        </w:rPr>
        <w:noBreakHyphen/>
        <w:t xml:space="preserve">term, the debt ratio will stabilise in the medium term at around 124 % of GDP (Graphs </w:t>
      </w:r>
      <w:r>
        <w:rPr>
          <w:noProof/>
        </w:rPr>
        <w:fldChar w:fldCharType="begin"/>
      </w:r>
      <w:r>
        <w:rPr>
          <w:noProof/>
        </w:rPr>
        <w:instrText xml:space="preserve"> QUOTE "4.1</w:instrText>
      </w:r>
      <w:r>
        <w:rPr>
          <w:noProof/>
        </w:rPr>
        <w:instrText xml:space="preserve">.1" </w:instrText>
      </w:r>
      <w:r>
        <w:rPr>
          <w:noProof/>
        </w:rPr>
        <w:fldChar w:fldCharType="separate"/>
      </w:r>
      <w:r>
        <w:rPr>
          <w:noProof/>
        </w:rPr>
        <w:t>4.1.1</w:t>
      </w:r>
      <w:r>
        <w:rPr>
          <w:noProof/>
        </w:rPr>
        <w:fldChar w:fldCharType="end"/>
      </w:r>
      <w:r>
        <w:rPr>
          <w:noProof/>
        </w:rPr>
        <w:t xml:space="preserve"> and </w:t>
      </w:r>
      <w:r>
        <w:rPr>
          <w:noProof/>
        </w:rPr>
        <w:fldChar w:fldCharType="begin"/>
      </w:r>
      <w:r>
        <w:rPr>
          <w:noProof/>
        </w:rPr>
        <w:instrText xml:space="preserve"> QUOTE "4.1.2" </w:instrText>
      </w:r>
      <w:r>
        <w:rPr>
          <w:noProof/>
        </w:rPr>
        <w:fldChar w:fldCharType="separate"/>
      </w:r>
      <w:r>
        <w:rPr>
          <w:noProof/>
        </w:rPr>
        <w:t>4.1.2</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4.1.1:</w:t>
            </w:r>
            <w:r>
              <w:rPr>
                <w:b/>
                <w:noProof/>
              </w:rPr>
              <w:tab/>
              <w:t>Combined interest rate and GDP growth shock (chart to be updated)</w:t>
            </w:r>
          </w:p>
        </w:tc>
      </w:tr>
      <w:tr w:rsidR="00BB0B51">
        <w:trPr>
          <w:cantSplit/>
        </w:trPr>
        <w:tc>
          <w:tcPr>
            <w:tcW w:w="4110" w:type="dxa"/>
            <w:shd w:val="clear" w:color="auto" w:fill="auto"/>
          </w:tcPr>
          <w:p w:rsidR="00BB0B51" w:rsidRDefault="00AA53B1">
            <w:pPr>
              <w:pStyle w:val="GraphShape"/>
              <w:rPr>
                <w:noProof/>
                <w:sz w:val="2"/>
              </w:rPr>
            </w:pPr>
            <w:bookmarkStart w:id="22" w:name="_Toc474773068"/>
            <w:bookmarkEnd w:id="22"/>
            <w:r>
              <w:rPr>
                <w:noProof/>
                <w:sz w:val="2"/>
                <w:lang w:eastAsia="en-GB"/>
              </w:rPr>
              <w:drawing>
                <wp:inline distT="0" distB="0" distL="0" distR="0" wp14:anchorId="2E9A9D69" wp14:editId="7C95970A">
                  <wp:extent cx="2597595" cy="2508394"/>
                  <wp:effectExtent l="0" t="0" r="0" b="6350"/>
                  <wp:docPr id="25" name="Picture 25" descr="&lt;_DISABLED_nbr_DISABLED_&gt;&lt;GETTEXTFROMWORD&gt;&lt;/nbr&gt;&#10;&lt;title&gt;&lt;GETTEXTFROMWORD&gt;&lt;/title&gt;&#10;&lt;_DISABLED_id_DISABLED_&gt;6d349e62-b509-43c8-ab00-57c2bdab1e4d&lt;/id&gt;&#10;&lt;srcType&gt;EXCEL&lt;/srcType&gt;&#10;&lt;srcPath&gt;O:\2017 CRs\22 PT\Graphs\&lt;/srcPath&gt;&#10;&lt;srcName&gt;PT CR_2017_Graphs_and_Tables.xlsx&lt;/srcName&gt;&#10;&lt;type&gt;graph&lt;/type&gt;&#10; &lt;srcSheet&gt;Graph 3.4.1-rate&amp;GDP shock &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595" cy="2508394"/>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 </w:t>
            </w:r>
          </w:p>
        </w:tc>
      </w:tr>
    </w:tbl>
    <w:p w:rsidR="00BB0B51" w:rsidRDefault="00AA53B1">
      <w:pPr>
        <w:rPr>
          <w:noProof/>
        </w:rPr>
      </w:pPr>
      <w:r>
        <w:rPr>
          <w:b/>
          <w:noProof/>
        </w:rPr>
        <w:t>The stabilising debt</w:t>
      </w:r>
      <w:r>
        <w:rPr>
          <w:b/>
          <w:noProof/>
        </w:rPr>
        <w:noBreakHyphen/>
        <w:t>to</w:t>
      </w:r>
      <w:r>
        <w:rPr>
          <w:b/>
          <w:noProof/>
        </w:rPr>
        <w:noBreakHyphen/>
        <w:t>GDP trajectory in the baseline scenario is sensitive to potential rises in s</w:t>
      </w:r>
      <w:r>
        <w:rPr>
          <w:b/>
          <w:noProof/>
        </w:rPr>
        <w:t>overeign yields and vulnerable to adverse economic developments.</w:t>
      </w:r>
      <w:r>
        <w:rPr>
          <w:noProof/>
        </w:rPr>
        <w:t xml:space="preserve"> Overall, the debt sustainability analysis reveals that the debt stabilisation path of the baseline is broadly robust across a number of reasonable scenarios. Yet, plausible shocks could consi</w:t>
      </w:r>
      <w:r>
        <w:rPr>
          <w:noProof/>
        </w:rPr>
        <w:t xml:space="preserve">derably worsen the dynamics of Portugal’s public debt (Graph </w:t>
      </w:r>
      <w:r>
        <w:rPr>
          <w:noProof/>
        </w:rPr>
        <w:fldChar w:fldCharType="begin"/>
      </w:r>
      <w:r>
        <w:rPr>
          <w:noProof/>
        </w:rPr>
        <w:instrText xml:space="preserve"> QUOTE "4.1.1" </w:instrText>
      </w:r>
      <w:r>
        <w:rPr>
          <w:noProof/>
        </w:rPr>
        <w:fldChar w:fldCharType="separate"/>
      </w:r>
      <w:r>
        <w:rPr>
          <w:noProof/>
        </w:rPr>
        <w:t>4.1.1</w:t>
      </w:r>
      <w:r>
        <w:rPr>
          <w:noProof/>
        </w:rPr>
        <w:fldChar w:fldCharType="end"/>
      </w:r>
      <w:r>
        <w:rPr>
          <w:noProof/>
        </w:rPr>
        <w:t>). Potential shortfalls in nominal growth, sharp interest rate rises or decreasing fiscal efforts could put the public debt ratio on a non</w:t>
      </w:r>
      <w:r>
        <w:rPr>
          <w:noProof/>
        </w:rPr>
        <w:noBreakHyphen/>
        <w:t>sustainable path. An unsustainabl</w:t>
      </w:r>
      <w:r>
        <w:rPr>
          <w:noProof/>
        </w:rPr>
        <w:t>e debt trajectory could adversely affect Portugal’s economic stability and could have negative outward spill</w:t>
      </w:r>
      <w:r>
        <w:rPr>
          <w:noProof/>
        </w:rPr>
        <w:noBreakHyphen/>
        <w:t>overs via the sovereign risk channel.</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rFonts w:eastAsia="Calibri"/>
                <w:b/>
                <w:noProof/>
              </w:rPr>
            </w:pPr>
            <w:r>
              <w:rPr>
                <w:rFonts w:eastAsia="Calibri"/>
                <w:noProof/>
              </w:rPr>
              <w:t>Graph 4.1.2:</w:t>
            </w:r>
            <w:r>
              <w:rPr>
                <w:rFonts w:eastAsia="Calibri"/>
                <w:b/>
                <w:noProof/>
              </w:rPr>
              <w:tab/>
              <w:t>Fiscal consolidation</w:t>
            </w:r>
          </w:p>
        </w:tc>
      </w:tr>
      <w:tr w:rsidR="00BB0B51">
        <w:trPr>
          <w:cantSplit/>
        </w:trPr>
        <w:tc>
          <w:tcPr>
            <w:tcW w:w="4110" w:type="dxa"/>
            <w:shd w:val="clear" w:color="auto" w:fill="auto"/>
          </w:tcPr>
          <w:p w:rsidR="00BB0B51" w:rsidRDefault="00AA53B1">
            <w:pPr>
              <w:pStyle w:val="GraphShape"/>
              <w:rPr>
                <w:rFonts w:eastAsia="Calibri"/>
                <w:noProof/>
                <w:sz w:val="2"/>
              </w:rPr>
            </w:pPr>
            <w:bookmarkStart w:id="23" w:name="_Toc474773069"/>
            <w:bookmarkEnd w:id="23"/>
            <w:r>
              <w:rPr>
                <w:rFonts w:eastAsia="Calibri"/>
                <w:noProof/>
                <w:sz w:val="2"/>
                <w:lang w:eastAsia="en-GB"/>
              </w:rPr>
              <w:drawing>
                <wp:inline distT="0" distB="0" distL="0" distR="0" wp14:anchorId="11D048EE" wp14:editId="7E8A9452">
                  <wp:extent cx="2597595" cy="2402744"/>
                  <wp:effectExtent l="0" t="0" r="0" b="0"/>
                  <wp:docPr id="3" name="Picture 3" descr="&lt;_DISABLED_nbr_DISABLED_&gt;&lt;GETTEXTFROMWORD&gt;&lt;/nbr&gt;&#10;&lt;title&gt;&lt;GETTEXTFROMWORD&gt;&lt;/title&gt;&#10;&lt;_DISABLED_id_DISABLED_&gt;cf66941f-0f0d-4ec5-9254-786f69148291&lt;/id&gt;&#10;&lt;srcType&gt;EXCEL&lt;/srcType&gt;&#10;&lt;srcPath&gt;O:\2017 CRs\22 PT\Graphs\&lt;/srcPath&gt;&#10;&lt;srcName&gt;PT CR_2017_Graphs_and_Tables.xlsx&lt;/srcName&gt;&#10;&lt;type&gt;graph&lt;/type&gt;&#10; &lt;srcSheet&gt;Graph 3.4.2-Fiscal consolid&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2402744"/>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rFonts w:eastAsia="Calibri"/>
                <w:noProof/>
              </w:rPr>
            </w:pPr>
            <w:r>
              <w:rPr>
                <w:rFonts w:eastAsia="Calibri"/>
                <w:b/>
                <w:i/>
                <w:noProof/>
              </w:rPr>
              <w:t>Source:</w:t>
            </w:r>
            <w:r>
              <w:rPr>
                <w:rFonts w:eastAsia="Calibri"/>
                <w:noProof/>
              </w:rPr>
              <w:t xml:space="preserve"> European Commission </w:t>
            </w:r>
          </w:p>
        </w:tc>
      </w:tr>
    </w:tbl>
    <w:p w:rsidR="00BB0B51" w:rsidRDefault="00AA53B1">
      <w:pPr>
        <w:rPr>
          <w:noProof/>
        </w:rPr>
      </w:pPr>
      <w:r>
        <w:rPr>
          <w:b/>
          <w:noProof/>
        </w:rPr>
        <w:t xml:space="preserve">The high level of government debt is a </w:t>
      </w:r>
      <w:r>
        <w:rPr>
          <w:b/>
          <w:noProof/>
        </w:rPr>
        <w:t>heavy burden on public finances</w:t>
      </w:r>
      <w:r>
        <w:rPr>
          <w:noProof/>
        </w:rPr>
        <w:t>. High public debt implies a smaller fiscal margin for manoeuvre to absorb adverse macroeconomic shocks and cope with possible interest rate rises. The high interest bill (projected at 4.3 % of GDP in 2016 as compared to 2.2 </w:t>
      </w:r>
      <w:r>
        <w:rPr>
          <w:noProof/>
        </w:rPr>
        <w:t xml:space="preserve">% on average for the euro area) also restricts scope for public investment spending. </w:t>
      </w:r>
    </w:p>
    <w:p w:rsidR="00BB0B51" w:rsidRDefault="00AA53B1">
      <w:pPr>
        <w:rPr>
          <w:noProof/>
        </w:rPr>
      </w:pPr>
      <w:r>
        <w:rPr>
          <w:b/>
          <w:noProof/>
        </w:rPr>
        <w:t>In the absence of further fiscal consolidation and growth</w:t>
      </w:r>
      <w:r>
        <w:rPr>
          <w:b/>
          <w:noProof/>
        </w:rPr>
        <w:noBreakHyphen/>
        <w:t>enhancing structural reforms, safeguarding fiscal sustainability and significantly reducing the debt path will b</w:t>
      </w:r>
      <w:r>
        <w:rPr>
          <w:b/>
          <w:noProof/>
        </w:rPr>
        <w:t>e a challenge</w:t>
      </w:r>
      <w:r>
        <w:rPr>
          <w:noProof/>
        </w:rPr>
        <w:t xml:space="preserve">. The very high debt ratio implies a significant adjustment burden, which requires the conditions for falling debt to be steadily maintained in the coming decades, including sustained economic growth. Sustainability can be safeguarded through </w:t>
      </w:r>
      <w:r>
        <w:rPr>
          <w:noProof/>
        </w:rPr>
        <w:t xml:space="preserve">permanent budgetary discipline, in line with the requirements of the Stability and Growth Pact (Graph </w:t>
      </w:r>
      <w:r>
        <w:rPr>
          <w:noProof/>
        </w:rPr>
        <w:fldChar w:fldCharType="begin"/>
      </w:r>
      <w:r>
        <w:rPr>
          <w:noProof/>
        </w:rPr>
        <w:instrText xml:space="preserve"> QUOTE "4.1.2" </w:instrText>
      </w:r>
      <w:r>
        <w:rPr>
          <w:noProof/>
        </w:rPr>
        <w:fldChar w:fldCharType="separate"/>
      </w:r>
      <w:r>
        <w:rPr>
          <w:noProof/>
        </w:rPr>
        <w:t>4.1.2</w:t>
      </w:r>
      <w:r>
        <w:rPr>
          <w:noProof/>
        </w:rPr>
        <w:fldChar w:fldCharType="end"/>
      </w:r>
      <w:r>
        <w:rPr>
          <w:noProof/>
        </w:rPr>
        <w:t>). The implementation of the reformed budget framework law and enhanced revenue collection could contribute to fiscal adjustment. H</w:t>
      </w:r>
      <w:r>
        <w:rPr>
          <w:noProof/>
        </w:rPr>
        <w:t>ealthcare expenditure now accounts for the largest share of ageing costs, with corresponding implications for long</w:t>
      </w:r>
      <w:r>
        <w:rPr>
          <w:noProof/>
        </w:rPr>
        <w:noBreakHyphen/>
        <w:t>term sustainability. Recent reforms appear to ensure the long</w:t>
      </w:r>
      <w:r>
        <w:rPr>
          <w:noProof/>
        </w:rPr>
        <w:noBreakHyphen/>
        <w:t xml:space="preserve">term sustainability of the pension system. </w:t>
      </w:r>
    </w:p>
    <w:p w:rsidR="00BB0B51" w:rsidRDefault="00AA53B1">
      <w:pPr>
        <w:pStyle w:val="NumberedHeading1"/>
        <w:tabs>
          <w:tab w:val="left" w:pos="567"/>
        </w:tabs>
        <w:rPr>
          <w:noProof/>
        </w:rPr>
      </w:pPr>
      <w:r>
        <w:rPr>
          <w:noProof/>
        </w:rPr>
        <w:t>4.1.2.</w:t>
      </w:r>
      <w:r>
        <w:rPr>
          <w:noProof/>
        </w:rPr>
        <w:tab/>
        <w:t>Short-, medium- and long</w:t>
      </w:r>
      <w:r>
        <w:rPr>
          <w:noProof/>
        </w:rPr>
        <w:noBreakHyphen/>
        <w:t>ter</w:t>
      </w:r>
      <w:r>
        <w:rPr>
          <w:noProof/>
        </w:rPr>
        <w:t>m sustainability (including pensions and healthcare)*</w:t>
      </w:r>
    </w:p>
    <w:p w:rsidR="00BB0B51" w:rsidRDefault="00AA53B1">
      <w:pPr>
        <w:rPr>
          <w:noProof/>
        </w:rPr>
      </w:pPr>
      <w:r>
        <w:rPr>
          <w:b/>
          <w:noProof/>
        </w:rPr>
        <w:t>Fiscal risks assessment indicators point to a low risk in the short term but higher risks in the medium term.</w:t>
      </w:r>
      <w:r>
        <w:rPr>
          <w:noProof/>
        </w:rPr>
        <w:t xml:space="preserve"> The short</w:t>
      </w:r>
      <w:r>
        <w:rPr>
          <w:noProof/>
        </w:rPr>
        <w:noBreakHyphen/>
        <w:t xml:space="preserve">term indicator for fiscal risk, S0, points to a low risk of fiscal stress, as the </w:t>
      </w:r>
      <w:r>
        <w:rPr>
          <w:noProof/>
        </w:rPr>
        <w:t>indicator for 2016 is below its critical threshold value. Rather than expressing the need for structural adjustments, this indicator provides a composite index that highlights shorter</w:t>
      </w:r>
      <w:r>
        <w:rPr>
          <w:noProof/>
        </w:rPr>
        <w:noBreakHyphen/>
        <w:t>term risks stemming from fiscal, macro</w:t>
      </w:r>
      <w:r>
        <w:rPr>
          <w:noProof/>
        </w:rPr>
        <w:noBreakHyphen/>
        <w:t>financial and competitiveness var</w:t>
      </w:r>
      <w:r>
        <w:rPr>
          <w:noProof/>
        </w:rPr>
        <w:t>iables. Despite this favourable assessment, some vulnerabilities persist, associated with the short</w:t>
      </w:r>
      <w:r>
        <w:rPr>
          <w:noProof/>
        </w:rPr>
        <w:noBreakHyphen/>
        <w:t xml:space="preserve">term financing needs of public debt, the stock of private debt and the net international investment position. In the medium term, Portugal is classified as </w:t>
      </w:r>
      <w:r>
        <w:rPr>
          <w:noProof/>
        </w:rPr>
        <w:t>being at high risk based both on the fiscal sustainability indicator S1 and the debt sustainability analysis (see Debt Sustainability Monitor 2016). In particular, the fiscal sustainability indicator S1 reaches a value of 6.0 pps. of GDP (based on the Comm</w:t>
      </w:r>
      <w:r>
        <w:rPr>
          <w:noProof/>
        </w:rPr>
        <w:t>ission 2017 winter forecast), indicating that a cumulative improvement in the structural primary balance of 6.0 % of GDP (relative to the baseline) would be required over 5 years from 2019 onwards, in order to reach the reference value of 60 % of GDP by 20</w:t>
      </w:r>
      <w:r>
        <w:rPr>
          <w:noProof/>
        </w:rPr>
        <w:t>31. These risks are mostly related to the distance of the debt</w:t>
      </w:r>
      <w:r>
        <w:rPr>
          <w:noProof/>
        </w:rPr>
        <w:noBreakHyphen/>
        <w:t>ratio from the 60 % reference value.</w:t>
      </w:r>
    </w:p>
    <w:p w:rsidR="00BB0B51" w:rsidRDefault="00AA53B1">
      <w:pPr>
        <w:rPr>
          <w:noProof/>
        </w:rPr>
      </w:pPr>
      <w:r>
        <w:rPr>
          <w:b/>
          <w:noProof/>
        </w:rPr>
        <w:t>Long</w:t>
      </w:r>
      <w:r>
        <w:rPr>
          <w:b/>
          <w:noProof/>
        </w:rPr>
        <w:noBreakHyphen/>
        <w:t>term fiscal risks in the country are assessed as low, largely thanks to pension reforms.</w:t>
      </w:r>
      <w:r>
        <w:rPr>
          <w:noProof/>
        </w:rPr>
        <w:t xml:space="preserve"> The S2 indicator for long</w:t>
      </w:r>
      <w:r>
        <w:rPr>
          <w:noProof/>
        </w:rPr>
        <w:noBreakHyphen/>
        <w:t>term fiscal risk assessment shows th</w:t>
      </w:r>
      <w:r>
        <w:rPr>
          <w:noProof/>
        </w:rPr>
        <w:t>at an upfront fiscal adjustment limited to 1.2 pps. of GDP is required to stabilise public debt in the long term. This low sustainability risk has improved following recent pension reforms. Yet, given a structural primary balance of 1.7 % of GDP in 2018, t</w:t>
      </w:r>
      <w:r>
        <w:rPr>
          <w:noProof/>
        </w:rPr>
        <w:t>he future required level of structural primary balance would be 2.9 % of GDP. If age</w:t>
      </w:r>
      <w:r>
        <w:rPr>
          <w:noProof/>
        </w:rPr>
        <w:noBreakHyphen/>
        <w:t>related expenditure were to increase as indicated in the 2015 Ageing Report (European Commission 2015), the S2 indicator would require an adjustment of 1.2 % of GDP, to ma</w:t>
      </w:r>
      <w:r>
        <w:rPr>
          <w:noProof/>
        </w:rPr>
        <w:t xml:space="preserve">ke allowance for risks arising mainly from healthcare spending. </w:t>
      </w:r>
    </w:p>
    <w:p w:rsidR="00BB0B51" w:rsidRDefault="00AA53B1">
      <w:pPr>
        <w:rPr>
          <w:noProof/>
        </w:rPr>
      </w:pPr>
      <w:r>
        <w:rPr>
          <w:b/>
          <w:noProof/>
        </w:rPr>
        <w:t>High and rising ageing costs pose still a risk to fiscal sustainability</w:t>
      </w:r>
      <w:r>
        <w:rPr>
          <w:noProof/>
        </w:rPr>
        <w:t>. In the medium term, higher fiscal risks are expected to be related largely to the costs for financing pensions and the</w:t>
      </w:r>
      <w:r>
        <w:rPr>
          <w:noProof/>
        </w:rPr>
        <w:t xml:space="preserve"> need to reverse the ongoing accumulation of arrears in the healthcare sector. Despite recent reforms, public pension spending is expected to rise over the next 10 years until benefit and coverage curbs take effect. This leads to an overall decline in pens</w:t>
      </w:r>
      <w:r>
        <w:rPr>
          <w:noProof/>
        </w:rPr>
        <w:t xml:space="preserve">ion spending of about 0.7pp of GDP between 2013 and 2060 (European Commission 2015). The situation is different for the healthcare sector, which represents the largest share of Portugal's ageing costs and which is expected to post the EU's largest by 2060 </w:t>
      </w:r>
      <w:r>
        <w:rPr>
          <w:noProof/>
        </w:rPr>
        <w:t xml:space="preserve">(2.5 % of GDP against 0.9 % EU average). Further, the continued accumulation of delayed payments in hospitals adds more strains to debt reduction and sustainability in the very short term. </w:t>
      </w:r>
    </w:p>
    <w:p w:rsidR="00BB0B51" w:rsidRDefault="00AA53B1">
      <w:pPr>
        <w:rPr>
          <w:noProof/>
        </w:rPr>
      </w:pPr>
      <w:r>
        <w:rPr>
          <w:b/>
          <w:noProof/>
        </w:rPr>
        <w:t xml:space="preserve">Several reforms have improved the long–term sustainability of the </w:t>
      </w:r>
      <w:r>
        <w:rPr>
          <w:b/>
          <w:noProof/>
        </w:rPr>
        <w:t>pension system.</w:t>
      </w:r>
      <w:r>
        <w:rPr>
          <w:noProof/>
        </w:rPr>
        <w:t xml:space="preserve"> Pressure for the sustainability of the debt path is mostly related to the large distance of the present debt</w:t>
      </w:r>
      <w:r>
        <w:rPr>
          <w:noProof/>
        </w:rPr>
        <w:noBreakHyphen/>
        <w:t>to</w:t>
      </w:r>
      <w:r>
        <w:rPr>
          <w:noProof/>
        </w:rPr>
        <w:noBreakHyphen/>
        <w:t>GDP ratio from the 60 % reference value, rather than to pension related costs. Past measures include introducing disincentives t</w:t>
      </w:r>
      <w:r>
        <w:rPr>
          <w:noProof/>
        </w:rPr>
        <w:t>o early retirement, raising the pensionable age from 65 to 66 for both sexes, and linking future increases to life expectancy at age 65. The automatic adjustment of pension to life expectancy has done much to reduce pension costs in the long</w:t>
      </w:r>
      <w:r>
        <w:rPr>
          <w:noProof/>
        </w:rPr>
        <w:noBreakHyphen/>
        <w:t>term. Short to</w:t>
      </w:r>
      <w:r>
        <w:rPr>
          <w:noProof/>
        </w:rPr>
        <w:t xml:space="preserve"> medium</w:t>
      </w:r>
      <w:r>
        <w:rPr>
          <w:noProof/>
        </w:rPr>
        <w:noBreakHyphen/>
        <w:t xml:space="preserve">term costs however remain high. </w:t>
      </w:r>
    </w:p>
    <w:p w:rsidR="00BB0B51" w:rsidRDefault="00AA53B1">
      <w:pPr>
        <w:rPr>
          <w:noProof/>
        </w:rPr>
      </w:pPr>
      <w:r>
        <w:rPr>
          <w:b/>
          <w:noProof/>
        </w:rPr>
        <w:t>New measures in the pension system are explored, but it is unclear how they will affect cost reduction.</w:t>
      </w:r>
      <w:r>
        <w:rPr>
          <w:noProof/>
        </w:rPr>
        <w:t xml:space="preserve"> The government has launched a comprehensive study of the pension system with measures expected to be applied in</w:t>
      </w:r>
      <w:r>
        <w:rPr>
          <w:noProof/>
        </w:rPr>
        <w:t xml:space="preserve"> 2018, at the earliest. These measures might entail a reduction in the early repayment penalties for workers with about or more than 40 years of service. They could include harmonising current benefit schemes and means</w:t>
      </w:r>
      <w:r>
        <w:rPr>
          <w:noProof/>
        </w:rPr>
        <w:noBreakHyphen/>
        <w:t>testing procedures. Overall, the auth</w:t>
      </w:r>
      <w:r>
        <w:rPr>
          <w:noProof/>
        </w:rPr>
        <w:t>orities are committed to issuing a package of new measures that will be budget</w:t>
      </w:r>
      <w:r>
        <w:rPr>
          <w:noProof/>
        </w:rPr>
        <w:noBreakHyphen/>
        <w:t>neutral. It will not alter the current plan to eliminate extraordinary budgetary transfers to the pension system by 2019. In the meanwhile, the 2017 budget includes the earmarki</w:t>
      </w:r>
      <w:r>
        <w:rPr>
          <w:noProof/>
        </w:rPr>
        <w:t>ng of a new progressive tax on real estate assets to the social security's Financial Stabilization Fund (worth EUR 160 million in 2017 according to the 2017 Budget). The government is presenting this earmarking as an alternative to excessive reliance on co</w:t>
      </w:r>
      <w:r>
        <w:rPr>
          <w:noProof/>
        </w:rPr>
        <w:t>nventional budgetary transfers. Yet, overall the expenditure side of the sustainability of the pension system in the short to medium</w:t>
      </w:r>
      <w:r>
        <w:rPr>
          <w:noProof/>
        </w:rPr>
        <w:noBreakHyphen/>
        <w:t xml:space="preserve">term remains unaddressed. </w:t>
      </w:r>
    </w:p>
    <w:p w:rsidR="00BB0B51" w:rsidRDefault="00AA53B1">
      <w:pPr>
        <w:rPr>
          <w:noProof/>
        </w:rPr>
      </w:pPr>
      <w:r>
        <w:rPr>
          <w:b/>
          <w:noProof/>
        </w:rPr>
        <w:t>Portugal has made efforts to ensure access to quality healthcare.</w:t>
      </w:r>
      <w:r>
        <w:rPr>
          <w:noProof/>
        </w:rPr>
        <w:t xml:space="preserve"> Several steps have been taken </w:t>
      </w:r>
      <w:r>
        <w:rPr>
          <w:noProof/>
        </w:rPr>
        <w:t>to make the healthcare sector more efficient and sustainable. Procurement of goods and services is now centralised, creating important savings to the National Health Service. The use of generics eligible for public reimbursement has been expanded, pharmace</w:t>
      </w:r>
      <w:r>
        <w:rPr>
          <w:noProof/>
        </w:rPr>
        <w:t>utical prices have fallen, waiting lists have been cut and the number of family health units has increased. More recently, the authorities have set up a reform working group with a three year mandate. The latter has focused mainly on i) improving the IT sy</w:t>
      </w:r>
      <w:r>
        <w:rPr>
          <w:noProof/>
        </w:rPr>
        <w:t xml:space="preserve">stem (including eliminating duplicate records, records of deceased patients etc.), ii) human resource planning aimed at recruiting qualified staff in difficult areas, iii) pilot projects in areas with gaps in the National Health Service. At the same time, </w:t>
      </w:r>
      <w:r>
        <w:rPr>
          <w:noProof/>
        </w:rPr>
        <w:t>access to primary healthcare continues to expand, while the emphasis is increasingly shifting on prevention measures, such as vaccination campaigns (see section 4.3).</w:t>
      </w:r>
    </w:p>
    <w:p w:rsidR="00BB0B51" w:rsidRDefault="00AA53B1">
      <w:pPr>
        <w:rPr>
          <w:noProof/>
        </w:rPr>
      </w:pPr>
      <w:r>
        <w:rPr>
          <w:b/>
          <w:noProof/>
        </w:rPr>
        <w:t>Weak accounting and managerial controls lie behind the rising stock of arrears in hospita</w:t>
      </w:r>
      <w:r>
        <w:rPr>
          <w:b/>
          <w:noProof/>
        </w:rPr>
        <w:t>ls, which undermines the health sector's viability.</w:t>
      </w:r>
      <w:r>
        <w:rPr>
          <w:noProof/>
        </w:rPr>
        <w:t xml:space="preserve"> While the hospital reform continues, budgetary planning and implementation in the hospitals remain an important issue. Late payments (arrears) continue to increase, denoting weaknesses in accounting contr</w:t>
      </w:r>
      <w:r>
        <w:rPr>
          <w:noProof/>
        </w:rPr>
        <w:t>ol mechanisms and managerial practices. The stock of arrears in the health sector has increased by EUR 90 million from December 2015 to December 2016. Yet, in October the increase from December 2015 was about 307 million (or 68 %) as arrear repayments occu</w:t>
      </w:r>
      <w:r>
        <w:rPr>
          <w:noProof/>
        </w:rPr>
        <w:t>rred mostly at the end of the year</w:t>
      </w:r>
      <w:r>
        <w:rPr>
          <w:i/>
          <w:noProof/>
        </w:rPr>
        <w:t>.</w:t>
      </w:r>
      <w:r>
        <w:rPr>
          <w:noProof/>
        </w:rPr>
        <w:t xml:space="preserve"> On the one hand, these were possible thanks to the use of centralised allocation to the reversal of wage cuts, the use of some centralised appropriations and the authorisation of using cash balances at the end of the yea</w:t>
      </w:r>
      <w:r>
        <w:rPr>
          <w:noProof/>
        </w:rPr>
        <w:t>r. On the other hand the extension of the tax on alcoholic drinks (IABA) to sweetened drinks (the levy on drinks with added sugar should be worth EUR 80 million in 2017) is earmarked to address the sustainability of the National Health Service. While these</w:t>
      </w:r>
      <w:r>
        <w:rPr>
          <w:noProof/>
        </w:rPr>
        <w:t xml:space="preserve"> measures sufficed to reduce the existing stock of arrears, they do not entirely address the factors behind their continued accumulation. The most recent report on budgetary execution (October 2016) confirms the increasing indebtedness of state</w:t>
      </w:r>
      <w:r>
        <w:rPr>
          <w:noProof/>
        </w:rPr>
        <w:noBreakHyphen/>
        <w:t>owned hospi</w:t>
      </w:r>
      <w:r>
        <w:rPr>
          <w:noProof/>
        </w:rPr>
        <w:t>tals. Accurate and balanced budgeting, enhanced controls and effective enforcement of the commitment control law could help improve efficiency and quality in this sector. An inadequate system of incentives for the compliant hospitals may lead to overspendi</w:t>
      </w:r>
      <w:r>
        <w:rPr>
          <w:noProof/>
        </w:rPr>
        <w:t xml:space="preserve">ng. </w:t>
      </w:r>
    </w:p>
    <w:p w:rsidR="00BB0B51" w:rsidRDefault="00AA53B1">
      <w:pPr>
        <w:rPr>
          <w:noProof/>
        </w:rPr>
      </w:pPr>
      <w:r>
        <w:rPr>
          <w:b/>
          <w:noProof/>
        </w:rPr>
        <w:t>In spite of short term savings in the health care sector, Portugal lacks a comprehensive long</w:t>
      </w:r>
      <w:r>
        <w:rPr>
          <w:b/>
          <w:noProof/>
        </w:rPr>
        <w:noBreakHyphen/>
        <w:t>term strategy to addressing the health</w:t>
      </w:r>
      <w:r>
        <w:rPr>
          <w:b/>
          <w:noProof/>
        </w:rPr>
        <w:noBreakHyphen/>
        <w:t>related costs of ageing.</w:t>
      </w:r>
      <w:r>
        <w:rPr>
          <w:noProof/>
        </w:rPr>
        <w:t xml:space="preserve"> The health sector is covered by the recently launched spending review. Savings from the secto</w:t>
      </w:r>
      <w:r>
        <w:rPr>
          <w:noProof/>
        </w:rPr>
        <w:t>r are expected to amount to EUR 134 million between 2017 and19. Yet, there is still a need to clarify in more detail how these savings will be achieved. Given the major cost compression undertaken during the economic adjustment programme, any new saving me</w:t>
      </w:r>
      <w:r>
        <w:rPr>
          <w:noProof/>
        </w:rPr>
        <w:t xml:space="preserve">asures need to be carefully designed so as to avoid compromising access to primary healthcare. </w:t>
      </w:r>
    </w:p>
    <w:p w:rsidR="00BB0B51" w:rsidRDefault="00AA53B1">
      <w:pPr>
        <w:pStyle w:val="NumberedHeading1"/>
        <w:tabs>
          <w:tab w:val="left" w:pos="567"/>
        </w:tabs>
        <w:rPr>
          <w:noProof/>
        </w:rPr>
      </w:pPr>
      <w:r>
        <w:rPr>
          <w:noProof/>
        </w:rPr>
        <w:t>4.1.3.</w:t>
      </w:r>
      <w:r>
        <w:rPr>
          <w:noProof/>
        </w:rPr>
        <w:tab/>
        <w:t>Fiscal framework, public administration and SOEs*</w:t>
      </w:r>
    </w:p>
    <w:p w:rsidR="00BB0B51" w:rsidRDefault="00AA53B1">
      <w:pPr>
        <w:rPr>
          <w:noProof/>
        </w:rPr>
      </w:pPr>
      <w:r>
        <w:rPr>
          <w:b/>
          <w:noProof/>
        </w:rPr>
        <w:t>Implementation of the reformed Budget Framework Law adopted in 2015 has been slow.</w:t>
      </w:r>
      <w:r>
        <w:rPr>
          <w:noProof/>
        </w:rPr>
        <w:t xml:space="preserve"> The Law is designed </w:t>
      </w:r>
      <w:r>
        <w:rPr>
          <w:noProof/>
        </w:rPr>
        <w:t>to make budget units more accountable, strengthen the medium to long</w:t>
      </w:r>
      <w:r>
        <w:rPr>
          <w:noProof/>
        </w:rPr>
        <w:noBreakHyphen/>
        <w:t>term focus of public finances by introducing programme</w:t>
      </w:r>
      <w:r>
        <w:rPr>
          <w:noProof/>
        </w:rPr>
        <w:noBreakHyphen/>
        <w:t>based budgeting and align the deadlines for presenting of the stability programme and the draft budget to Parliament with European S</w:t>
      </w:r>
      <w:r>
        <w:rPr>
          <w:noProof/>
        </w:rPr>
        <w:t>emester requirements. It allows for a three</w:t>
      </w:r>
      <w:r>
        <w:rPr>
          <w:noProof/>
        </w:rPr>
        <w:noBreakHyphen/>
        <w:t>year transitional period to apply most new features. Albeit nearly a year late, the authorities have recently approved the rules on the operation of the new Budget Framework Law implementation unit (</w:t>
      </w:r>
      <w:r>
        <w:rPr>
          <w:noProof/>
          <w:vertAlign w:val="superscript"/>
        </w:rPr>
        <w:footnoteReference w:id="13"/>
      </w:r>
      <w:r>
        <w:rPr>
          <w:noProof/>
        </w:rPr>
        <w:t>), a first m</w:t>
      </w:r>
      <w:r>
        <w:rPr>
          <w:noProof/>
        </w:rPr>
        <w:t>ilestone in its implementation, and have set a timetable for 2017 activities. However, the decree law setting up the new budgetary programmes is still outstanding. Given the cumulated delays in the implementation of the new Budgetary Framework Law, there i</w:t>
      </w:r>
      <w:r>
        <w:rPr>
          <w:noProof/>
        </w:rPr>
        <w:t>s a risk that this may not be completed by the 2018 target.</w:t>
      </w:r>
    </w:p>
    <w:p w:rsidR="00BB0B51" w:rsidRDefault="00AA53B1">
      <w:pPr>
        <w:rPr>
          <w:noProof/>
        </w:rPr>
      </w:pPr>
      <w:r>
        <w:rPr>
          <w:b/>
          <w:noProof/>
        </w:rPr>
        <w:t>The current spending review appears would benefit from a more comprehensive and strategic approach.</w:t>
      </w:r>
      <w:r>
        <w:rPr>
          <w:noProof/>
        </w:rPr>
        <w:t xml:space="preserve"> The authorities have started a spending review that focuses mainly on the health and education m</w:t>
      </w:r>
      <w:r>
        <w:rPr>
          <w:noProof/>
        </w:rPr>
        <w:t>inistries, state owned enterprises, (centralised) public procurement and real estate management. This review falls short of a comprehensive approach that would encompass the public sector at large and be guided by a set of concrete savings targets (</w:t>
      </w:r>
      <w:r>
        <w:rPr>
          <w:noProof/>
          <w:vertAlign w:val="superscript"/>
        </w:rPr>
        <w:footnoteReference w:id="14"/>
      </w:r>
      <w:r>
        <w:rPr>
          <w:noProof/>
        </w:rPr>
        <w:t xml:space="preserve">). On </w:t>
      </w:r>
      <w:r>
        <w:rPr>
          <w:noProof/>
        </w:rPr>
        <w:t>the contrary, arrears in hospitals have been growing since the beginning of the year, indicating a lack of control over spending especially in the health sector.</w:t>
      </w:r>
    </w:p>
    <w:p w:rsidR="00BB0B51" w:rsidRDefault="00AA53B1">
      <w:pPr>
        <w:rPr>
          <w:noProof/>
        </w:rPr>
      </w:pPr>
      <w:r>
        <w:rPr>
          <w:b/>
          <w:noProof/>
        </w:rPr>
        <w:t>There are set</w:t>
      </w:r>
      <w:r>
        <w:rPr>
          <w:b/>
          <w:noProof/>
        </w:rPr>
        <w:noBreakHyphen/>
        <w:t>backs in public administration reforms.</w:t>
      </w:r>
      <w:r>
        <w:rPr>
          <w:noProof/>
        </w:rPr>
        <w:t xml:space="preserve"> Ongoing public employment reforms have n</w:t>
      </w:r>
      <w:r>
        <w:rPr>
          <w:noProof/>
        </w:rPr>
        <w:t>ot led to the expected containment of the wage bill. Despite the civil servants rotation policy (2:1 replacement rule) introduced in 2016, the wage bill is on the rise, pointing to some weaknesses in the efficiency of this reform and possible negative impl</w:t>
      </w:r>
      <w:r>
        <w:rPr>
          <w:noProof/>
        </w:rPr>
        <w:t>ications from the return to the 35</w:t>
      </w:r>
      <w:r>
        <w:rPr>
          <w:noProof/>
        </w:rPr>
        <w:noBreakHyphen/>
        <w:t>hour working week for public employees, mainly in the healthcare sector. The scope of the revised requalification scheme has also been reduced. Local administration reform measures have been delayed. Following some delays</w:t>
      </w:r>
      <w:r>
        <w:rPr>
          <w:noProof/>
        </w:rPr>
        <w:t>, the Municipality Support Fund (FAM – a debt workout mechanism for over</w:t>
      </w:r>
      <w:r>
        <w:rPr>
          <w:noProof/>
        </w:rPr>
        <w:noBreakHyphen/>
        <w:t xml:space="preserve">indebted municipalities) has only recently started disbursements. </w:t>
      </w:r>
    </w:p>
    <w:p w:rsidR="00BB0B51" w:rsidRDefault="00AA53B1">
      <w:pPr>
        <w:rPr>
          <w:noProof/>
        </w:rPr>
      </w:pPr>
      <w:r>
        <w:rPr>
          <w:b/>
          <w:noProof/>
        </w:rPr>
        <w:t>There is still no framework to guarantee the financial sustainability of state owned enterprises</w:t>
      </w:r>
      <w:r>
        <w:rPr>
          <w:noProof/>
        </w:rPr>
        <w:t>. State Owned Enterp</w:t>
      </w:r>
      <w:r>
        <w:rPr>
          <w:noProof/>
        </w:rPr>
        <w:t>rises (SOEs) monitored by the Ministry of Finance's UTAM unit had a total indebtedness of EUR 32 billion in the second quarter of 2016. However, there is no concrete plan to tackle this large debt stock. Transport sector firms account for most indebtedness</w:t>
      </w:r>
      <w:r>
        <w:rPr>
          <w:noProof/>
        </w:rPr>
        <w:t>. The rail and road infrastructure manager (IP) alone represents 27 % of total indebtedness of SOEs reaching 62 % when added to the rail transport company (CP) and the Lisbon and Porto metros. IP has recently signed a five</w:t>
      </w:r>
      <w:r>
        <w:rPr>
          <w:noProof/>
        </w:rPr>
        <w:noBreakHyphen/>
        <w:t>year Public Service Obligation co</w:t>
      </w:r>
      <w:r>
        <w:rPr>
          <w:noProof/>
        </w:rPr>
        <w:t>ntract, but a more long</w:t>
      </w:r>
      <w:r>
        <w:rPr>
          <w:noProof/>
        </w:rPr>
        <w:noBreakHyphen/>
        <w:t xml:space="preserve">term operation of sustainability has not been defined. The authorities are revising the operating and financing model for SOEs providing urban transport in Lisbon and Porto. However the high debt and negative operational results of </w:t>
      </w:r>
      <w:r>
        <w:rPr>
          <w:noProof/>
        </w:rPr>
        <w:t>the cities' metro system remain worrying and their long-term sustainability is still not ensured. New investments are being planned, but a governance scheme and financial framework to ensure long</w:t>
      </w:r>
      <w:r>
        <w:rPr>
          <w:noProof/>
        </w:rPr>
        <w:noBreakHyphen/>
        <w:t>term sustainability is still being defined. In the case of L</w:t>
      </w:r>
      <w:r>
        <w:rPr>
          <w:noProof/>
        </w:rPr>
        <w:t>isbon’s bus transport company Carris, it was decided to transfer ownership to local government while the debt will remain with central government. The reinstatement of career progression for employees of SOEs may further adversely affect the firms’ financi</w:t>
      </w:r>
      <w:r>
        <w:rPr>
          <w:noProof/>
        </w:rPr>
        <w:t>al situation. The burden placed on public finances by public private partnerships (PPP) is set to continue. Extraordinary subsidies and compensatory payments to IP are expected to more than double compared with 2016 mostly as a result of the five year Publ</w:t>
      </w:r>
      <w:r>
        <w:rPr>
          <w:noProof/>
        </w:rPr>
        <w:t>ic Service Obligation contract recently signed. The cost of PPP contracts until their end has been revised up by over EUR 500 million with respect to the value estimated in the 2016 budget as the amounts were recalculated using 2017 prices. The Court of Au</w:t>
      </w:r>
      <w:r>
        <w:rPr>
          <w:noProof/>
        </w:rPr>
        <w:t>ditors also recently drew attention to the fact that the current monitoring does not take full account of the risk to public finances. The Government intends to improve oversight of spending by SOE's through an ex</w:t>
      </w:r>
      <w:r>
        <w:rPr>
          <w:noProof/>
        </w:rPr>
        <w:noBreakHyphen/>
        <w:t>ante and ex</w:t>
      </w:r>
      <w:r>
        <w:rPr>
          <w:noProof/>
        </w:rPr>
        <w:noBreakHyphen/>
        <w:t>post assessment of investments</w:t>
      </w:r>
      <w:r>
        <w:rPr>
          <w:noProof/>
        </w:rPr>
        <w:t>, activities and their financial impact together with a more regular monitoring. But this does not amount to a comprehensive plan to tackle indebtedness and long</w:t>
      </w:r>
      <w:r>
        <w:rPr>
          <w:noProof/>
        </w:rPr>
        <w:noBreakHyphen/>
        <w:t>term financial sustainability by setting concrete targets.</w:t>
      </w:r>
    </w:p>
    <w:p w:rsidR="00BB0B51" w:rsidRDefault="00AA53B1">
      <w:pPr>
        <w:pStyle w:val="NumberedHeading1"/>
        <w:tabs>
          <w:tab w:val="left" w:pos="567"/>
        </w:tabs>
        <w:rPr>
          <w:noProof/>
        </w:rPr>
      </w:pPr>
      <w:r>
        <w:rPr>
          <w:noProof/>
        </w:rPr>
        <w:t>4.1.4.</w:t>
      </w:r>
      <w:r>
        <w:rPr>
          <w:noProof/>
        </w:rPr>
        <w:tab/>
        <w:t>Taxation*</w:t>
      </w:r>
    </w:p>
    <w:p w:rsidR="00BB0B51" w:rsidRDefault="00AA53B1">
      <w:pPr>
        <w:rPr>
          <w:noProof/>
        </w:rPr>
      </w:pPr>
      <w:r>
        <w:rPr>
          <w:b/>
          <w:noProof/>
        </w:rPr>
        <w:t>Measures have been</w:t>
      </w:r>
      <w:r>
        <w:rPr>
          <w:b/>
          <w:noProof/>
        </w:rPr>
        <w:t xml:space="preserve"> proposed to improve tax compliance and the tax administration's efficiency.</w:t>
      </w:r>
      <w:r>
        <w:rPr>
          <w:noProof/>
        </w:rPr>
        <w:t xml:space="preserve"> The authorities are taking steps to make the tax administration more efficient by recruiting new tax auditors and gradually reorganising the tax administration's local presence. M</w:t>
      </w:r>
      <w:r>
        <w:rPr>
          <w:noProof/>
        </w:rPr>
        <w:t>easures to further step up the fight against tax evasion and fraud are also under way. The dedicated Taxpayer Services Department for large companies is now expected to take over wealthier households as well. An annual plan for combating tax evasion and fr</w:t>
      </w:r>
      <w:r>
        <w:rPr>
          <w:noProof/>
        </w:rPr>
        <w:t>aud is set to replace the current three</w:t>
      </w:r>
      <w:r>
        <w:rPr>
          <w:noProof/>
        </w:rPr>
        <w:noBreakHyphen/>
        <w:t xml:space="preserve">year programme, thus enabling the Tax Administration to strengthen its oversight. Portugal is imposing further requirements as regards banks' obligations to provide data on all non-residents bank accounts, resulting </w:t>
      </w:r>
      <w:r>
        <w:rPr>
          <w:noProof/>
        </w:rPr>
        <w:t xml:space="preserve">from the exchange of information with other countries, limits on cash payments and the end of bearer shares. </w:t>
      </w:r>
    </w:p>
    <w:p w:rsidR="00BB0B51" w:rsidRDefault="00AA53B1">
      <w:pPr>
        <w:rPr>
          <w:noProof/>
        </w:rPr>
      </w:pPr>
      <w:r>
        <w:rPr>
          <w:b/>
          <w:noProof/>
        </w:rPr>
        <w:t>Dealing with taxes is time</w:t>
      </w:r>
      <w:r>
        <w:rPr>
          <w:b/>
          <w:noProof/>
        </w:rPr>
        <w:noBreakHyphen/>
        <w:t>consuming and complex.</w:t>
      </w:r>
      <w:r>
        <w:rPr>
          <w:noProof/>
        </w:rPr>
        <w:t xml:space="preserve"> The average number of payments necessary to comply with all tax obligations is small (8). At the</w:t>
      </w:r>
      <w:r>
        <w:rPr>
          <w:noProof/>
        </w:rPr>
        <w:t xml:space="preserve"> same time, the average number of hours needed to meet such obligations (243) remains the 5th highest among EU countries (World Bank, 2016). However, Portugal continues to simplify its tax administration with a view to reduce tax evasion and improve tax co</w:t>
      </w:r>
      <w:r>
        <w:rPr>
          <w:noProof/>
        </w:rPr>
        <w:t xml:space="preserve">mpliance. Following past efforts to improve the efficiency of the tax administration, there are plans for a series of new administrative simplification measures for several taxes between 2016 and 2017 under the Simplex Programme. A number of measures were </w:t>
      </w:r>
      <w:r>
        <w:rPr>
          <w:noProof/>
        </w:rPr>
        <w:t>already adopted in 2016, (e.g. non</w:t>
      </w:r>
      <w:r>
        <w:rPr>
          <w:noProof/>
        </w:rPr>
        <w:noBreakHyphen/>
        <w:t>habitual residents may register online for Personal Income Tax purposes, and the invoicing rules for the Value Added Tax (VAT) special regime for small and medium</w:t>
      </w:r>
      <w:r>
        <w:rPr>
          <w:noProof/>
        </w:rPr>
        <w:noBreakHyphen/>
        <w:t>sized enterprises were simplified).</w:t>
      </w:r>
    </w:p>
    <w:p w:rsidR="00BB0B51" w:rsidRDefault="00AA53B1">
      <w:pPr>
        <w:rPr>
          <w:noProof/>
        </w:rPr>
      </w:pPr>
      <w:r>
        <w:rPr>
          <w:b/>
          <w:noProof/>
        </w:rPr>
        <w:t>Minor tax policy shift</w:t>
      </w:r>
      <w:r>
        <w:rPr>
          <w:b/>
          <w:noProof/>
        </w:rPr>
        <w:t>s have been implemented.</w:t>
      </w:r>
      <w:r>
        <w:rPr>
          <w:noProof/>
        </w:rPr>
        <w:t xml:space="preserve"> As set out in the government programme and the 2016 budget, the introduction of a lump</w:t>
      </w:r>
      <w:r>
        <w:rPr>
          <w:noProof/>
        </w:rPr>
        <w:noBreakHyphen/>
        <w:t>sum allowance per child, replacing the family quotient introduced in 2015, is now effective. The reduction in VAT on restaurant food to the inte</w:t>
      </w:r>
      <w:r>
        <w:rPr>
          <w:noProof/>
        </w:rPr>
        <w:t xml:space="preserve">rmediate rate of 13 % took effect on 1 July 2016. </w:t>
      </w:r>
    </w:p>
    <w:p w:rsidR="00BB0B51" w:rsidRDefault="00AA53B1">
      <w:pPr>
        <w:rPr>
          <w:noProof/>
        </w:rPr>
      </w:pPr>
      <w:r>
        <w:rPr>
          <w:b/>
          <w:noProof/>
        </w:rPr>
        <w:t>Reduced VAT rates are still used heavily, although VAT reforms during the crisis had broadened the tax base to some extent</w:t>
      </w:r>
      <w:r>
        <w:rPr>
          <w:noProof/>
        </w:rPr>
        <w:t> (</w:t>
      </w:r>
      <w:r>
        <w:rPr>
          <w:noProof/>
          <w:vertAlign w:val="superscript"/>
        </w:rPr>
        <w:footnoteReference w:id="15"/>
      </w:r>
      <w:r>
        <w:rPr>
          <w:noProof/>
        </w:rPr>
        <w:t>)</w:t>
      </w:r>
      <w:r>
        <w:rPr>
          <w:b/>
          <w:noProof/>
        </w:rPr>
        <w:t>.</w:t>
      </w:r>
      <w:r>
        <w:rPr>
          <w:noProof/>
        </w:rPr>
        <w:t xml:space="preserve"> Portugal's VAT gap as a percentage of theoretical VAT liability of 12.5 % is close to the EU average of 14.0 %, indicating that the efficiency of VAT collection is around the average. However, Portugal's VAT policy gap of 50.9 % is clearly above the EU av</w:t>
      </w:r>
      <w:r>
        <w:rPr>
          <w:noProof/>
        </w:rPr>
        <w:t>erage of 43.8 %. This is because it has a high VAT rate gap (11.1 % compared with an EU average of 5.3 %), while the exemption gap is in line with the EU average. The VAT rate gap shows the reduction of revenue (as a percentage of GDP) due to the use of re</w:t>
      </w:r>
      <w:r>
        <w:rPr>
          <w:noProof/>
        </w:rPr>
        <w:t>duced VAT rates. The still broad use of reduced rates implies significant revenue losses.</w:t>
      </w:r>
    </w:p>
    <w:p w:rsidR="00BB0B51" w:rsidRDefault="00AA53B1">
      <w:pPr>
        <w:rPr>
          <w:noProof/>
        </w:rPr>
      </w:pPr>
      <w:r>
        <w:rPr>
          <w:b/>
          <w:noProof/>
        </w:rPr>
        <w:t>The authorities plan to reform several taxes but the timelines are not yet defined.</w:t>
      </w:r>
      <w:r>
        <w:rPr>
          <w:noProof/>
        </w:rPr>
        <w:t xml:space="preserve"> These reforms include revising the number of income brackets in the Personal Incom</w:t>
      </w:r>
      <w:r>
        <w:rPr>
          <w:noProof/>
        </w:rPr>
        <w:t>e Tax and making it more progressive while creating a salary supplement for lower wages; and other tax reforms addressing firms' chronic under</w:t>
      </w:r>
      <w:r>
        <w:rPr>
          <w:noProof/>
        </w:rPr>
        <w:noBreakHyphen/>
        <w:t>capitalisation. The 2017 budget includes revenue from the extension of two taxes that is going to be fully earmar</w:t>
      </w:r>
      <w:r>
        <w:rPr>
          <w:noProof/>
        </w:rPr>
        <w:t>ked to the sustainability of the national health system and the Social Security's Financial Stabilisation Fund. These are: (i) the extension of the alcoholic drinks tax (IABA) to include sweetened drinks, which is forecast to be worth EUR 80 million in 201</w:t>
      </w:r>
      <w:r>
        <w:rPr>
          <w:noProof/>
        </w:rPr>
        <w:t>7; and (ii) the new progressive tax on real estate portfolios (portfolios above EUR 0.6 million, on top of the existing recurrent real estate tax IMI that has been relatively low in EU comparison) which should yield EUR 130 million in 2017. Despite the nee</w:t>
      </w:r>
      <w:r>
        <w:rPr>
          <w:noProof/>
        </w:rPr>
        <w:t>d to address some outstanding issues, ensuring the stability of the tax system is also considered a key aspect of the country's capacity to attract investment.</w:t>
      </w:r>
    </w:p>
    <w:p w:rsidR="00BB0B51" w:rsidRDefault="00AA53B1">
      <w:pPr>
        <w:rPr>
          <w:noProof/>
        </w:rPr>
      </w:pPr>
      <w:r>
        <w:rPr>
          <w:b/>
          <w:noProof/>
        </w:rPr>
        <w:t>Despite some positive recent developments, the debt</w:t>
      </w:r>
      <w:r>
        <w:rPr>
          <w:b/>
          <w:noProof/>
        </w:rPr>
        <w:noBreakHyphen/>
        <w:t>equity tax bias in corporate taxation remain</w:t>
      </w:r>
      <w:r>
        <w:rPr>
          <w:b/>
          <w:noProof/>
        </w:rPr>
        <w:t>s a challenge.</w:t>
      </w:r>
      <w:r>
        <w:rPr>
          <w:noProof/>
        </w:rPr>
        <w:t xml:space="preserve"> Investments financed by debt are taxed less than those financed by equity. As a result, the difference in the cost of capital for investments financed by debt and equity in 2016 was the fifth highest in the EU and well above the EU average (</w:t>
      </w:r>
      <w:r>
        <w:rPr>
          <w:noProof/>
          <w:vertAlign w:val="superscript"/>
        </w:rPr>
        <w:footnoteReference w:id="16"/>
      </w:r>
      <w:r>
        <w:rPr>
          <w:noProof/>
        </w:rPr>
        <w:t>). In recent years, the government has tried to tackle this problem by introducing new rules on limitation of interest deductions and an Allowance for Corporate Equity (ACE). Further measures are envisaged as part of a programme adopted in July 2016 (</w:t>
      </w:r>
      <w:r>
        <w:rPr>
          <w:i/>
          <w:noProof/>
        </w:rPr>
        <w:t>Prog</w:t>
      </w:r>
      <w:r>
        <w:rPr>
          <w:i/>
          <w:noProof/>
        </w:rPr>
        <w:t>rama Capitalizar</w:t>
      </w:r>
      <w:r>
        <w:rPr>
          <w:noProof/>
        </w:rPr>
        <w:t xml:space="preserve">), though they are not yet in place. In line with the </w:t>
      </w:r>
      <w:r>
        <w:rPr>
          <w:i/>
          <w:noProof/>
        </w:rPr>
        <w:t>Capitalizar</w:t>
      </w:r>
      <w:r>
        <w:rPr>
          <w:noProof/>
        </w:rPr>
        <w:t xml:space="preserve"> programme, the 2017 state budget law widened the scope of the allowance for corporate equity. The impact of these measures remains to be seen and will be closely monitored. T</w:t>
      </w:r>
      <w:r>
        <w:rPr>
          <w:noProof/>
        </w:rPr>
        <w:t>he impact of an ACE depends on its design features and notably its anti</w:t>
      </w:r>
      <w:r>
        <w:rPr>
          <w:noProof/>
        </w:rPr>
        <w:noBreakHyphen/>
        <w:t xml:space="preserve">tax avoidance framework. An alternative, more robust measure, the Allowance for growth and investment, was recently proposed by the Commission within the Common Consolidated Corporate </w:t>
      </w:r>
      <w:r>
        <w:rPr>
          <w:noProof/>
        </w:rPr>
        <w:t>Tax Base (</w:t>
      </w:r>
      <w:r>
        <w:rPr>
          <w:noProof/>
          <w:vertAlign w:val="superscript"/>
        </w:rPr>
        <w:footnoteReference w:id="17"/>
      </w:r>
      <w:r>
        <w:rPr>
          <w:noProof/>
        </w:rPr>
        <w:t>).</w:t>
      </w:r>
    </w:p>
    <w:p w:rsidR="00BB0B51" w:rsidRDefault="00BB0B51">
      <w:pPr>
        <w:rPr>
          <w:noProof/>
        </w:rPr>
        <w:sectPr w:rsidR="00BB0B51">
          <w:headerReference w:type="even" r:id="rId63"/>
          <w:headerReference w:type="default" r:id="rId64"/>
          <w:footerReference w:type="even" r:id="rId65"/>
          <w:footerReference w:type="default" r:id="rId66"/>
          <w:headerReference w:type="first" r:id="rId67"/>
          <w:footerReference w:type="first" r:id="rId68"/>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6"/>
        <w:framePr w:wrap="notBeside"/>
        <w:rPr>
          <w:noProof/>
        </w:rPr>
      </w:pPr>
      <w:bookmarkStart w:id="24" w:name="_Toc474773039"/>
      <w:bookmarkEnd w:id="24"/>
      <w:r>
        <w:rPr>
          <w:noProof/>
        </w:rPr>
        <w:t>4.2.</w:t>
      </w:r>
      <w:r>
        <w:rPr>
          <w:noProof/>
        </w:rPr>
        <w:tab/>
        <w:t>Financial sector and indebtedness</w:t>
      </w:r>
    </w:p>
    <w:p w:rsidR="00BB0B51" w:rsidRDefault="00AA53B1">
      <w:pPr>
        <w:pStyle w:val="NumberedHeading1"/>
        <w:tabs>
          <w:tab w:val="left" w:pos="567"/>
        </w:tabs>
        <w:rPr>
          <w:noProof/>
        </w:rPr>
      </w:pPr>
      <w:r>
        <w:rPr>
          <w:noProof/>
        </w:rPr>
        <w:t>4.2.1.</w:t>
      </w:r>
      <w:r>
        <w:rPr>
          <w:noProof/>
        </w:rPr>
        <w:tab/>
        <w:t>Banking sector*</w:t>
      </w:r>
    </w:p>
    <w:p w:rsidR="00BB0B51" w:rsidRDefault="00AA53B1">
      <w:pPr>
        <w:rPr>
          <w:noProof/>
        </w:rPr>
      </w:pPr>
      <w:r>
        <w:rPr>
          <w:b/>
          <w:noProof/>
        </w:rPr>
        <w:t>The banking system's main chall</w:t>
      </w:r>
      <w:r>
        <w:rPr>
          <w:b/>
          <w:noProof/>
        </w:rPr>
        <w:t>enges remain weak asset quality, thin capital buffers, low profitability and relatively high exposure to Portuguese sovereign debt.</w:t>
      </w:r>
      <w:r>
        <w:rPr>
          <w:noProof/>
        </w:rPr>
        <w:t xml:space="preserve"> While asset risk has broadly stabilised, banks profitability in 2016 remained weak because of a sluggish business environmen</w:t>
      </w:r>
      <w:r>
        <w:rPr>
          <w:noProof/>
        </w:rPr>
        <w:t>t, high costs for low quality assets, and lower trading gains than in 2015. In seeking to optimise assets' allocation, banks have slightly increased exposure to domestic and higher yielding foreign sovereign debt while some lenders have a large exposure to</w:t>
      </w:r>
      <w:r>
        <w:rPr>
          <w:noProof/>
        </w:rPr>
        <w:t xml:space="preserve"> companies tied to emerging market economies that have recently underperformed on the market. However, the structure of banks funding is improving, with a loan</w:t>
      </w:r>
      <w:r>
        <w:rPr>
          <w:noProof/>
        </w:rPr>
        <w:noBreakHyphen/>
        <w:t>to</w:t>
      </w:r>
      <w:r>
        <w:rPr>
          <w:noProof/>
        </w:rPr>
        <w:noBreakHyphen/>
        <w:t>deposit ratio close to 100 % since end</w:t>
      </w:r>
      <w:r>
        <w:rPr>
          <w:noProof/>
        </w:rPr>
        <w:noBreakHyphen/>
        <w:t>2015, a higher share of customer resources, and slight</w:t>
      </w:r>
      <w:r>
        <w:rPr>
          <w:noProof/>
        </w:rPr>
        <w:t xml:space="preserve">ly lower funding from the European Central Bank. </w:t>
      </w:r>
    </w:p>
    <w:p w:rsidR="00BB0B51" w:rsidRDefault="00AA53B1">
      <w:pPr>
        <w:rPr>
          <w:noProof/>
        </w:rPr>
      </w:pPr>
      <w:r>
        <w:rPr>
          <w:b/>
          <w:noProof/>
        </w:rPr>
        <w:t>Banks carry on the deleveraging of their balance sheets while new loans to households are on the increase.</w:t>
      </w:r>
      <w:r>
        <w:rPr>
          <w:noProof/>
        </w:rPr>
        <w:t xml:space="preserve"> Total banking system assets continued to decline, falling by 24 % between the end of 2010, when the</w:t>
      </w:r>
      <w:r>
        <w:rPr>
          <w:noProof/>
        </w:rPr>
        <w:t xml:space="preserve"> deleveraging started, and Q2</w:t>
      </w:r>
      <w:r>
        <w:rPr>
          <w:noProof/>
        </w:rPr>
        <w:noBreakHyphen/>
        <w:t>2016. As in previous years, the fall in the credit portfolio contributes most to the fall in the system's assets. Looking at recent trends in lending volumes, by the end of 2015, total credit to households shrank by 2.2 % year</w:t>
      </w:r>
      <w:r>
        <w:rPr>
          <w:noProof/>
        </w:rPr>
        <w:noBreakHyphen/>
        <w:t>on</w:t>
      </w:r>
      <w:r>
        <w:rPr>
          <w:noProof/>
        </w:rPr>
        <w:noBreakHyphen/>
        <w:t>year driven by the fall in loans for house purchase (</w:t>
      </w:r>
      <w:r>
        <w:rPr>
          <w:noProof/>
        </w:rPr>
        <w:noBreakHyphen/>
        <w:t>2.9 % year</w:t>
      </w:r>
      <w:r>
        <w:rPr>
          <w:noProof/>
        </w:rPr>
        <w:noBreakHyphen/>
        <w:t>on</w:t>
      </w:r>
      <w:r>
        <w:rPr>
          <w:noProof/>
        </w:rPr>
        <w:noBreakHyphen/>
        <w:t>year), whereas loans for consumption and other purpose rose by nearly 1 %. In the same period, loans to Portuguese firms (adjusted for sales of credit portfolios) fell by 1.3 % year</w:t>
      </w:r>
      <w:r>
        <w:rPr>
          <w:noProof/>
        </w:rPr>
        <w:noBreakHyphen/>
        <w:t>on</w:t>
      </w:r>
      <w:r>
        <w:rPr>
          <w:noProof/>
        </w:rPr>
        <w:noBreakHyphen/>
        <w:t>year. Nevertheless, gross flows of new bank loans to households increased considerably in 2015. The volume of new mortgage loans is now comparable with the average last seen in 2011. Consumer lending is once again strong reflecting more consumer confidenc</w:t>
      </w:r>
      <w:r>
        <w:rPr>
          <w:noProof/>
        </w:rPr>
        <w:t>e and backed by easing credit standards and low interest rates.</w:t>
      </w:r>
    </w:p>
    <w:p w:rsidR="00BB0B51" w:rsidRDefault="00AA53B1">
      <w:pPr>
        <w:rPr>
          <w:noProof/>
        </w:rPr>
      </w:pPr>
      <w:r>
        <w:rPr>
          <w:b/>
          <w:noProof/>
        </w:rPr>
        <w:t>Assets quality and low profitability continue to put pressure on the system’s solvency levels.</w:t>
      </w:r>
      <w:r>
        <w:rPr>
          <w:noProof/>
        </w:rPr>
        <w:t xml:space="preserve"> All Portuguese lenders comply with the minimum capital requirement of 8 %, while the average  Com</w:t>
      </w:r>
      <w:r>
        <w:rPr>
          <w:noProof/>
        </w:rPr>
        <w:t>mon Equity Tier 1 (CET1) ratio for the banking system was 12.1 % in Q2</w:t>
      </w:r>
      <w:r>
        <w:rPr>
          <w:noProof/>
        </w:rPr>
        <w:noBreakHyphen/>
        <w:t>2016, 0.8 percentage points higher than at the end of 2014 and stable if compared to the end of 2015. Nonetheless, Portuguese banks are currently among the weakest</w:t>
      </w:r>
      <w:r>
        <w:rPr>
          <w:noProof/>
        </w:rPr>
        <w:noBreakHyphen/>
        <w:t>capitalised credit in</w:t>
      </w:r>
      <w:r>
        <w:rPr>
          <w:noProof/>
        </w:rPr>
        <w:t>stitutions in the Eurozone. This highlights dire solvency pressures coming mostly from the difficulty for banks to generate capital from internal resources, through earnings retention. Such pressures are set to continue in 2017. Portuguese banks are facing</w:t>
      </w:r>
      <w:r>
        <w:rPr>
          <w:noProof/>
        </w:rPr>
        <w:t xml:space="preserve"> increased regulatory and prudential capital requirements through additional capital buffers imposed through Pillar II requirements and also on Portugal's systemically important institutions. </w:t>
      </w:r>
    </w:p>
    <w:p w:rsidR="00BB0B51" w:rsidRDefault="00AA53B1">
      <w:pPr>
        <w:rPr>
          <w:noProof/>
        </w:rPr>
      </w:pPr>
      <w:r>
        <w:rPr>
          <w:b/>
          <w:noProof/>
        </w:rPr>
        <w:t>The profitability of Portuguese banks is still very weak.</w:t>
      </w:r>
      <w:r>
        <w:rPr>
          <w:noProof/>
        </w:rPr>
        <w:t xml:space="preserve"> After</w:t>
      </w:r>
      <w:r>
        <w:rPr>
          <w:noProof/>
        </w:rPr>
        <w:t xml:space="preserve"> four years of losses, the banking system became profitable in 2015, given a substantial decrease in impairments and provisions, and large trading gains booked from the sale of sovereign bonds. In 2016, however, most banks just have broken even as the syst</w:t>
      </w:r>
      <w:r>
        <w:rPr>
          <w:noProof/>
        </w:rPr>
        <w:t>em</w:t>
      </w:r>
      <w:r>
        <w:rPr>
          <w:noProof/>
        </w:rPr>
        <w:noBreakHyphen/>
        <w:t>wide return on equity at the end of June 2016 was just 0.3 %. This reflects a significant fall in income from financial operations and an increase in the flow of impairments. By contrast, net interest income increased, driven by a larger reduction in in</w:t>
      </w:r>
      <w:r>
        <w:rPr>
          <w:noProof/>
        </w:rPr>
        <w:t>terest costs than in interest income, following the re</w:t>
      </w:r>
      <w:r>
        <w:rPr>
          <w:noProof/>
        </w:rPr>
        <w:noBreakHyphen/>
        <w:t xml:space="preserve">pricing of deposits at lower rates. The overall differential between the headline credit rate and the average remuneration rate paid by banks on deposits is gradually rising. Ongoing deleveraging, the </w:t>
      </w:r>
      <w:r>
        <w:rPr>
          <w:noProof/>
        </w:rPr>
        <w:t>relative importance of loans with indexed interest rates and low spreads in the banks’ credit portfolios negatively impacted on the income from credit to customers. Overall, recurring revenues remain strongly affected by the low interest rate environment a</w:t>
      </w:r>
      <w:r>
        <w:rPr>
          <w:noProof/>
        </w:rPr>
        <w:t xml:space="preserve">nd subdued business levels. Other income items such as net commissions and income from international activity have accounted positively to revenue generated in 2015 and 2016. </w:t>
      </w:r>
    </w:p>
    <w:p w:rsidR="00BB0B51" w:rsidRDefault="00AA53B1">
      <w:pPr>
        <w:rPr>
          <w:noProof/>
        </w:rPr>
      </w:pPr>
      <w:r>
        <w:rPr>
          <w:b/>
          <w:noProof/>
        </w:rPr>
        <w:t>Portugal's banking sector compares rather unfavourably with most of the euro are</w:t>
      </w:r>
      <w:r>
        <w:rPr>
          <w:b/>
          <w:noProof/>
        </w:rPr>
        <w:t>a countries when it comes to efficiency figures.</w:t>
      </w:r>
      <w:r>
        <w:rPr>
          <w:noProof/>
        </w:rPr>
        <w:t xml:space="preserve"> The cost</w:t>
      </w:r>
      <w:r>
        <w:rPr>
          <w:noProof/>
        </w:rPr>
        <w:noBreakHyphen/>
        <w:t>to</w:t>
      </w:r>
      <w:r>
        <w:rPr>
          <w:noProof/>
        </w:rPr>
        <w:noBreakHyphen/>
        <w:t>income ratio remains locked at 60 %. The average efficiency of banking operations has hardly improved with cost</w:t>
      </w:r>
      <w:r>
        <w:rPr>
          <w:noProof/>
        </w:rPr>
        <w:noBreakHyphen/>
        <w:t>to</w:t>
      </w:r>
      <w:r>
        <w:rPr>
          <w:noProof/>
        </w:rPr>
        <w:noBreakHyphen/>
        <w:t>income at 59.9 % at the end of 2015 and 60.4 % in mid</w:t>
      </w:r>
      <w:r>
        <w:rPr>
          <w:noProof/>
        </w:rPr>
        <w:noBreakHyphen/>
        <w:t>2016, only a fall of 5.1 p</w:t>
      </w:r>
      <w:r>
        <w:rPr>
          <w:noProof/>
        </w:rPr>
        <w:t>ercentage points from 2014. Nevertheless, efforts are being made to adjust the structure of banking operations and employment to the new environment – in that context the top nine lenders in the country have cut operational costs by 6 % over the first thre</w:t>
      </w:r>
      <w:r>
        <w:rPr>
          <w:noProof/>
        </w:rPr>
        <w:t>e quarter of 2016. Taking into account the banks’ limited capacity to generate gross income in the current macroeconomic environment, the recovery in the Portuguese banking system’s profitability is likely to rely mainly on continuously reducing operationa</w:t>
      </w:r>
      <w:r>
        <w:rPr>
          <w:noProof/>
        </w:rPr>
        <w:t>l costs while at the same time safeguarding the integrity of the risk assessment and internal control processes among banks.</w:t>
      </w:r>
    </w:p>
    <w:p w:rsidR="00BB0B51" w:rsidRDefault="00AA53B1">
      <w:pPr>
        <w:rPr>
          <w:noProof/>
        </w:rPr>
      </w:pPr>
      <w:r>
        <w:rPr>
          <w:b/>
          <w:noProof/>
        </w:rPr>
        <w:t>The high amount of non</w:t>
      </w:r>
      <w:r>
        <w:rPr>
          <w:b/>
          <w:noProof/>
        </w:rPr>
        <w:noBreakHyphen/>
        <w:t>performing loans continues to weigh on the banking sector's aggregate balance sheet.</w:t>
      </w:r>
      <w:r>
        <w:rPr>
          <w:noProof/>
        </w:rPr>
        <w:t xml:space="preserve"> The non</w:t>
      </w:r>
      <w:r>
        <w:rPr>
          <w:noProof/>
        </w:rPr>
        <w:noBreakHyphen/>
        <w:t>performing loan</w:t>
      </w:r>
      <w:r>
        <w:rPr>
          <w:noProof/>
        </w:rPr>
        <w:t xml:space="preserve"> (NPL) ratio (</w:t>
      </w:r>
      <w:r>
        <w:rPr>
          <w:noProof/>
          <w:vertAlign w:val="superscript"/>
        </w:rPr>
        <w:footnoteReference w:id="18"/>
      </w:r>
      <w:r>
        <w:rPr>
          <w:noProof/>
        </w:rPr>
        <w:t>) remains high (20.1 % against 19.6 % in end-2015) and still rising for some sectors of the economy, in particular non</w:t>
      </w:r>
      <w:r>
        <w:rPr>
          <w:noProof/>
        </w:rPr>
        <w:noBreakHyphen/>
        <w:t>financial corporations, active in the construction and real estate sectors. These corporations have also a high share of o</w:t>
      </w:r>
      <w:r>
        <w:rPr>
          <w:noProof/>
        </w:rPr>
        <w:t>verdue loans for more than two years. In contrast, bad loans in manufacturing, hotels and restaurants have stabilised and even improved. The quality of credit to households is relatively of better quality and seems to have stabilised over the past year. In</w:t>
      </w:r>
      <w:r>
        <w:rPr>
          <w:noProof/>
        </w:rPr>
        <w:t xml:space="preserve"> addition to high levels of NPLs, some large banks have a high share of foreclosed real estate assets on their balance sheet, which puts additional asset risk pressure on the banking system as a whole. Given moderate economic growth prospects, the ratio of</w:t>
      </w:r>
      <w:r>
        <w:rPr>
          <w:noProof/>
        </w:rPr>
        <w:t xml:space="preserve"> non</w:t>
      </w:r>
      <w:r>
        <w:rPr>
          <w:noProof/>
        </w:rPr>
        <w:noBreakHyphen/>
        <w:t>performing loans is not expected to improve substantially. Without decisive action, the stock of problematic assets will remain very large and costly, and will jeopardise the efficient reallocation of financial resources available on banks’ balance sh</w:t>
      </w:r>
      <w:r>
        <w:rPr>
          <w:noProof/>
        </w:rPr>
        <w:t>eets.</w:t>
      </w:r>
    </w:p>
    <w:p w:rsidR="00BB0B51" w:rsidRDefault="00AA53B1">
      <w:pPr>
        <w:rPr>
          <w:noProof/>
        </w:rPr>
      </w:pPr>
      <w:r>
        <w:rPr>
          <w:b/>
          <w:noProof/>
        </w:rPr>
        <w:t>The distribution of NPLs has been highly unequal among Portuguese banks with non-performing exposure ratios ranging from below 5 % to over 30 %.</w:t>
      </w:r>
      <w:r>
        <w:rPr>
          <w:noProof/>
        </w:rPr>
        <w:t xml:space="preserve"> Close to ¾ of the total non-performing loan stock and 70 % of the corporate NPLs are held by the six larg</w:t>
      </w:r>
      <w:r>
        <w:rPr>
          <w:noProof/>
        </w:rPr>
        <w:t>est banks in the system at the end of 2015 with a very high concentration of corporate bad debts (over 60 % of the total exposure) among just two lenders in the system. The coverage of NPLs has been steadily increasing reflecting the significant build-up o</w:t>
      </w:r>
      <w:r>
        <w:rPr>
          <w:noProof/>
        </w:rPr>
        <w:t>f impairment flows. The accumulated credit impairments on the aggregate balance sheet of the banking sector represented about 9.1 % of gross credit granted to the resident private sector at the end of June 2016. However, banks differ in terms of accumulate</w:t>
      </w:r>
      <w:r>
        <w:rPr>
          <w:noProof/>
        </w:rPr>
        <w:t>d impairments on NPL: at end-Q3 2016, the average coverage ratio for corporate NPLs was close to 80 % and ranged from 50 % to 95 %.</w:t>
      </w:r>
    </w:p>
    <w:p w:rsidR="00BB0B51" w:rsidRDefault="00AA53B1">
      <w:pPr>
        <w:rPr>
          <w:noProof/>
        </w:rPr>
      </w:pPr>
      <w:r>
        <w:rPr>
          <w:b/>
          <w:noProof/>
        </w:rPr>
        <w:t>Although some actions have been taken recently to address the large stock of non</w:t>
      </w:r>
      <w:r>
        <w:rPr>
          <w:b/>
          <w:noProof/>
        </w:rPr>
        <w:noBreakHyphen/>
        <w:t>performing loans, there is no comprehensive</w:t>
      </w:r>
      <w:r>
        <w:rPr>
          <w:b/>
          <w:noProof/>
        </w:rPr>
        <w:t xml:space="preserve"> strategy with clear deadlines.</w:t>
      </w:r>
      <w:r>
        <w:rPr>
          <w:noProof/>
        </w:rPr>
        <w:t xml:space="preserve"> Early warning systems for viable firms have been improved and a task force set up to tackle the core problem. It was decided recently, for tax purposes to write</w:t>
      </w:r>
      <w:r>
        <w:rPr>
          <w:noProof/>
        </w:rPr>
        <w:noBreakHyphen/>
        <w:t xml:space="preserve">offs loans that had been overdue for more than 2 years and had </w:t>
      </w:r>
      <w:r>
        <w:rPr>
          <w:noProof/>
        </w:rPr>
        <w:t>100 % impairments; these write</w:t>
      </w:r>
      <w:r>
        <w:rPr>
          <w:noProof/>
        </w:rPr>
        <w:noBreakHyphen/>
        <w:t xml:space="preserve">offs would also have to be derecognised from the banks' balance sheet. Moreover, current recapitalisations and the arrival of new shareholders in some of the large Portuguese banks may also lead to a reduction in such loans. </w:t>
      </w:r>
      <w:r>
        <w:rPr>
          <w:noProof/>
        </w:rPr>
        <w:t>The authorities have also presented a tripartite strategy to tackle the problem. This involves:</w:t>
      </w:r>
    </w:p>
    <w:p w:rsidR="00BB0B51" w:rsidRDefault="00AA53B1">
      <w:pPr>
        <w:pStyle w:val="ListBullet"/>
        <w:numPr>
          <w:ilvl w:val="0"/>
          <w:numId w:val="1"/>
        </w:numPr>
        <w:rPr>
          <w:noProof/>
        </w:rPr>
      </w:pPr>
      <w:r>
        <w:rPr>
          <w:noProof/>
        </w:rPr>
        <w:t>revising the existing legal and judicial package, including provisions to streamlining and accelerating processes under PER (Special Revitalisation Process) and</w:t>
      </w:r>
      <w:r>
        <w:rPr>
          <w:noProof/>
        </w:rPr>
        <w:t xml:space="preserve"> SIREVE (Extrajudicial Business Recovery System), expected to be implemented already in 2017;</w:t>
      </w:r>
    </w:p>
    <w:p w:rsidR="00BB0B51" w:rsidRDefault="00AA53B1">
      <w:pPr>
        <w:pStyle w:val="ListBullet"/>
        <w:numPr>
          <w:ilvl w:val="0"/>
          <w:numId w:val="1"/>
        </w:numPr>
        <w:rPr>
          <w:noProof/>
        </w:rPr>
      </w:pPr>
      <w:r>
        <w:rPr>
          <w:noProof/>
        </w:rPr>
        <w:t>relying on the measures taken by individual banks in the form of an internal review of each non</w:t>
      </w:r>
      <w:r>
        <w:rPr>
          <w:noProof/>
        </w:rPr>
        <w:noBreakHyphen/>
        <w:t xml:space="preserve">performing loan by the banks under the supervision of the Central </w:t>
      </w:r>
      <w:r>
        <w:rPr>
          <w:noProof/>
        </w:rPr>
        <w:t>Bank. This would lead to a clear assessment of the loans' viability and specific restructuring arrangements for each case. Although the granular examination of these loans is a step in the right direction, there is no timeline nor are there any obvious inc</w:t>
      </w:r>
      <w:r>
        <w:rPr>
          <w:noProof/>
        </w:rPr>
        <w:t xml:space="preserve">entives to banks to undertake this costly process; </w:t>
      </w:r>
    </w:p>
    <w:p w:rsidR="00BB0B51" w:rsidRDefault="00AA53B1">
      <w:pPr>
        <w:pStyle w:val="ListBullet"/>
        <w:numPr>
          <w:ilvl w:val="0"/>
          <w:numId w:val="1"/>
        </w:numPr>
        <w:rPr>
          <w:noProof/>
        </w:rPr>
      </w:pPr>
      <w:r>
        <w:rPr>
          <w:noProof/>
        </w:rPr>
        <w:t>encouraging banks to partly outsource the servicing of their non</w:t>
      </w:r>
      <w:r>
        <w:rPr>
          <w:noProof/>
        </w:rPr>
        <w:noBreakHyphen/>
        <w:t>performing loans. Whether this would be followed by the establishment of a proper market of distressed assets, including new underlying reg</w:t>
      </w:r>
      <w:r>
        <w:rPr>
          <w:noProof/>
        </w:rPr>
        <w:t>ulation, is not clear. Overall, an overarching strategy in line with the recent proposals presented in the Single Supervisory Mechanism (SSM) non</w:t>
      </w:r>
      <w:r>
        <w:rPr>
          <w:noProof/>
        </w:rPr>
        <w:noBreakHyphen/>
        <w:t xml:space="preserve">performing loan guidance is still missing. </w:t>
      </w:r>
    </w:p>
    <w:p w:rsidR="00BB0B51" w:rsidRDefault="00AA53B1">
      <w:pPr>
        <w:rPr>
          <w:noProof/>
        </w:rPr>
      </w:pPr>
      <w:r>
        <w:rPr>
          <w:b/>
          <w:noProof/>
        </w:rPr>
        <w:t>Banks are taking steps to improve their capital ratios through att</w:t>
      </w:r>
      <w:r>
        <w:rPr>
          <w:b/>
          <w:noProof/>
        </w:rPr>
        <w:t>racting some fresh equity.</w:t>
      </w:r>
      <w:r>
        <w:rPr>
          <w:noProof/>
        </w:rPr>
        <w:t xml:space="preserve"> State owned Caixa Geral De Depositos (CGD), the largest bank in Portugal, is in the process of increasing its equity base by some EUR 5 bn in total. This is being done through a set of measures entailing the transfer of EUR 499 m</w:t>
      </w:r>
      <w:r>
        <w:rPr>
          <w:noProof/>
        </w:rPr>
        <w:t xml:space="preserve"> of assets from Parcaixa to CGD, the conversion into equity of EUR 945 m of Cocos and two other operations planned for March 2017, namely a direct recapitalisation by the State in the amount of EUR 2.7 bn and a EUR 0.5 bn issuance of subordinated debt to p</w:t>
      </w:r>
      <w:r>
        <w:rPr>
          <w:noProof/>
        </w:rPr>
        <w:t>rivate investors. Banco Commercial Portugues (BCP) Millennium, the second biggest bank in Portugal, recently raised its capital by EUR 1.3 bn in total through the issuance of shares. For the Chinese financial conglomerate Fosun, this implied an increase in</w:t>
      </w:r>
      <w:r>
        <w:rPr>
          <w:noProof/>
        </w:rPr>
        <w:t xml:space="preserve"> its stake to 23.9 percent from the 16.7 percent they had previously offered to buy for 175 m. BCP repaid EUR 700 million CoCos to the state on 9 February. Banco Portugues de Investimento (BPI)'s main shareholder, the Spanish Caixabank, launched a takeover</w:t>
      </w:r>
      <w:r>
        <w:rPr>
          <w:noProof/>
        </w:rPr>
        <w:t xml:space="preserve"> bid for the bank, a move that was welcome by investors following a long standing dispute with BPI second biggest shareholder (Angolan Santoro group) over BPI's subsidiary in Angola. Finally, Novo Banco's sale process has recently entered in its final phas</w:t>
      </w:r>
      <w:r>
        <w:rPr>
          <w:noProof/>
        </w:rPr>
        <w:t>e with private equity funds leading the acquisition discussions. Additionally, virtually all banks in the system are restructuring their franchise to support earnings in parallel selling non</w:t>
      </w:r>
      <w:r>
        <w:rPr>
          <w:noProof/>
        </w:rPr>
        <w:noBreakHyphen/>
        <w:t>core assets to improve their capitalisation – these asset sales a</w:t>
      </w:r>
      <w:r>
        <w:rPr>
          <w:noProof/>
        </w:rPr>
        <w:t>re however dependent on current market conditions and valuations.</w:t>
      </w:r>
    </w:p>
    <w:p w:rsidR="00BB0B51" w:rsidRDefault="00AA53B1">
      <w:pPr>
        <w:pStyle w:val="NumberedHeading1"/>
        <w:tabs>
          <w:tab w:val="left" w:pos="567"/>
        </w:tabs>
        <w:rPr>
          <w:noProof/>
        </w:rPr>
      </w:pPr>
      <w:r>
        <w:rPr>
          <w:noProof/>
        </w:rPr>
        <w:t>4.2.2.</w:t>
      </w:r>
      <w:r>
        <w:rPr>
          <w:noProof/>
        </w:rPr>
        <w:tab/>
        <w:t xml:space="preserve">Insurance sector </w:t>
      </w:r>
    </w:p>
    <w:p w:rsidR="00BB0B51" w:rsidRDefault="00AA53B1">
      <w:pPr>
        <w:rPr>
          <w:noProof/>
        </w:rPr>
      </w:pPr>
      <w:r>
        <w:rPr>
          <w:b/>
          <w:noProof/>
        </w:rPr>
        <w:t>The Portuguese insurance market is open and competitive but still under pressure from crisis</w:t>
      </w:r>
      <w:r>
        <w:rPr>
          <w:b/>
          <w:noProof/>
        </w:rPr>
        <w:noBreakHyphen/>
        <w:t>legacy issues</w:t>
      </w:r>
      <w:r>
        <w:rPr>
          <w:noProof/>
        </w:rPr>
        <w:t xml:space="preserve">. With EUR 12.7 billion (equivalent to 7.1 % of GDP) in </w:t>
      </w:r>
      <w:r>
        <w:rPr>
          <w:noProof/>
        </w:rPr>
        <w:t>underwritten premiums the value of the Portuguese insurance market is about the European average. The sector consists of close to 80 insurers with the top five firms representing two thirds of the market, 11 000 employees and a country</w:t>
      </w:r>
      <w:r>
        <w:rPr>
          <w:noProof/>
        </w:rPr>
        <w:noBreakHyphen/>
        <w:t>wide distribution ch</w:t>
      </w:r>
      <w:r>
        <w:rPr>
          <w:noProof/>
        </w:rPr>
        <w:t>annel including over 23 000 brokers. The insurance business is dominated by the life insurance segment, representing about 70 % of gross premium income in the non</w:t>
      </w:r>
      <w:r>
        <w:rPr>
          <w:noProof/>
        </w:rPr>
        <w:noBreakHyphen/>
        <w:t>life insurance sector. Compensation for the workmen is also provided, which is a line of busi</w:t>
      </w:r>
      <w:r>
        <w:rPr>
          <w:noProof/>
        </w:rPr>
        <w:t>ness specific to Portugal. Portuguese insurers were heavily affected by the economic and financial crisis. The crisis created considerable volatility in the value of assets on Portuguese insurers' balance sheet and affected the insurance product mix with s</w:t>
      </w:r>
      <w:r>
        <w:rPr>
          <w:noProof/>
        </w:rPr>
        <w:t>ales of life risk products linked to banks loans plummeting while bank lending continued to contract. The business model of the Portuguese insurance sector is based on strong links between banks and insurance companies. This means it is under pressure, mos</w:t>
      </w:r>
      <w:r>
        <w:rPr>
          <w:noProof/>
        </w:rPr>
        <w:t>tly because of the challenging situation within the Portuguese credit institutions. Faced with crippling losses, in recent years, banks sold some of the biggest insurers in the country, representing about 40 % of the market. The recession weighed on the mo</w:t>
      </w:r>
      <w:r>
        <w:rPr>
          <w:noProof/>
        </w:rPr>
        <w:t xml:space="preserve">tor insurance while heavy competition and high unemployment plunged the once profitable workmen compensation segment into heavy losses. Life insurance was experiencing a revival prior to 2014 but 2015 and 2016 saw a strong reversal as economic uncertainty </w:t>
      </w:r>
      <w:r>
        <w:rPr>
          <w:noProof/>
        </w:rPr>
        <w:t xml:space="preserve">took hold and interest rate guarantees had to be reduced to levels close to zero. Implementing Solvency II is challenging in the current weak macroeconomic environment, which is also reflected in the recent EIOPA stress test results. </w:t>
      </w:r>
    </w:p>
    <w:p w:rsidR="00BB0B51" w:rsidRDefault="00AA53B1">
      <w:pPr>
        <w:pStyle w:val="NumberedHeading1"/>
        <w:tabs>
          <w:tab w:val="left" w:pos="567"/>
        </w:tabs>
        <w:rPr>
          <w:rFonts w:eastAsia="Calibri"/>
          <w:noProof/>
        </w:rPr>
      </w:pPr>
      <w:r>
        <w:rPr>
          <w:rFonts w:eastAsia="Calibri"/>
          <w:noProof/>
        </w:rPr>
        <w:t>4.2.3.</w:t>
      </w:r>
      <w:r>
        <w:rPr>
          <w:rFonts w:eastAsia="Calibri"/>
          <w:noProof/>
        </w:rPr>
        <w:tab/>
        <w:t>Housing market</w:t>
      </w:r>
    </w:p>
    <w:p w:rsidR="00BB0B51" w:rsidRDefault="00AA53B1">
      <w:pPr>
        <w:keepNext/>
        <w:rPr>
          <w:noProof/>
        </w:rPr>
      </w:pPr>
      <w:r>
        <w:rPr>
          <w:b/>
          <w:noProof/>
        </w:rPr>
        <w:t>There are signs of step</w:t>
      </w:r>
      <w:r>
        <w:rPr>
          <w:b/>
          <w:noProof/>
        </w:rPr>
        <w:noBreakHyphen/>
        <w:t>backs in the housing market reforms.</w:t>
      </w:r>
      <w:r>
        <w:rPr>
          <w:noProof/>
        </w:rPr>
        <w:t xml:space="preserve"> The original framework aimed to make the housing market more dynamic by better balancing the rights and obligations of landlords and tenants. Over a period of five years, it phased out, the old system of open</w:t>
      </w:r>
      <w:r>
        <w:rPr>
          <w:noProof/>
        </w:rPr>
        <w:noBreakHyphen/>
        <w:t>ended leases in which rents were frozen and co</w:t>
      </w:r>
      <w:r>
        <w:rPr>
          <w:noProof/>
        </w:rPr>
        <w:t>ntracts could not be terminated by landlords, and provided for rents to be updated so as to achieve gradual alignment with market levels. It also introduced more flexibility in the choice of contract duration, set better incentives for renovation and provi</w:t>
      </w:r>
      <w:r>
        <w:rPr>
          <w:noProof/>
        </w:rPr>
        <w:t>ded a new and fast extrajudicial eviction procedure. A law which simplified administrative procedures for renovation works was adopted as part of the same package. Concerns remain about the current Parliament's proposal to further extend the transitional p</w:t>
      </w:r>
      <w:r>
        <w:rPr>
          <w:noProof/>
        </w:rPr>
        <w:t>eriod for certain categories for 10 years (more 5 years). In particular the proposal concerns "old household" (contracts before 1990), namely tenants aged 65 or over or disabled, whose household income is below a certain threshold. For "commercial lease co</w:t>
      </w:r>
      <w:r>
        <w:rPr>
          <w:noProof/>
        </w:rPr>
        <w:t>ntracts" (from before 1995), it covers microenterprises; entities of public, national or municipal interest; student republics; shops and entities of historical and cultural interest. This change, on top of those already introduced after the end of the eco</w:t>
      </w:r>
      <w:r>
        <w:rPr>
          <w:noProof/>
        </w:rPr>
        <w:t>nomic adjustment programme (</w:t>
      </w:r>
      <w:r>
        <w:rPr>
          <w:noProof/>
          <w:vertAlign w:val="superscript"/>
        </w:rPr>
        <w:footnoteReference w:id="19"/>
      </w:r>
      <w:r>
        <w:rPr>
          <w:noProof/>
        </w:rPr>
        <w:t xml:space="preserve">), would further weaken the original scope of the reform. All these amendments to the original frameworks will reduce and delay the full benefits of the reform, which was designed to be fully applicable from 2017, by extending </w:t>
      </w:r>
      <w:r>
        <w:rPr>
          <w:noProof/>
        </w:rPr>
        <w:t>the transitional period and enlarging the scope of exemptions. The requested ex</w:t>
      </w:r>
      <w:r>
        <w:rPr>
          <w:noProof/>
        </w:rPr>
        <w:noBreakHyphen/>
        <w:t>post assessment of the lease reform has been halted and it is impossible to know exactly how many contracts that are covered by exemptions and benefits for a transitional perio</w:t>
      </w:r>
      <w:r>
        <w:rPr>
          <w:noProof/>
        </w:rPr>
        <w:t>d. The main reason for this is that existing monitoring procedures remain limited in scope, without full interoperability between different relevant data sources (registry of buildings, utility contracts, and means testing of households). Moreover, it rema</w:t>
      </w:r>
      <w:r>
        <w:rPr>
          <w:noProof/>
        </w:rPr>
        <w:t>ins impossible to gather sound evidence on the shadow economy in the rental market in the absence of the comprehensive study on the shadow economy in that market that the Portuguese authorities committed themselves to carrying out with a view to tackling h</w:t>
      </w:r>
      <w:r>
        <w:rPr>
          <w:noProof/>
        </w:rPr>
        <w:t>ousing tax evasion and fraud more effectively.</w:t>
      </w:r>
    </w:p>
    <w:p w:rsidR="00BB0B51" w:rsidRDefault="00AA53B1">
      <w:pPr>
        <w:pStyle w:val="NumberedHeading1"/>
        <w:tabs>
          <w:tab w:val="left" w:pos="567"/>
        </w:tabs>
        <w:rPr>
          <w:noProof/>
        </w:rPr>
      </w:pPr>
      <w:r>
        <w:rPr>
          <w:noProof/>
        </w:rPr>
        <w:t>4.2.4.</w:t>
      </w:r>
      <w:r>
        <w:rPr>
          <w:noProof/>
        </w:rPr>
        <w:tab/>
        <w:t>Private indebtedness*</w:t>
      </w:r>
    </w:p>
    <w:p w:rsidR="00BB0B51" w:rsidRDefault="00AA53B1">
      <w:pPr>
        <w:rPr>
          <w:noProof/>
        </w:rPr>
      </w:pPr>
      <w:r>
        <w:rPr>
          <w:b/>
          <w:noProof/>
        </w:rPr>
        <w:t>Deleveraging has been proceeding slowly.</w:t>
      </w:r>
      <w:r>
        <w:rPr>
          <w:noProof/>
        </w:rPr>
        <w:t xml:space="preserve"> At present the Portuguese private sector remains one of Europe's most indebted in relation to GDP. Within the private sector, the stock of </w:t>
      </w:r>
      <w:r>
        <w:rPr>
          <w:noProof/>
        </w:rPr>
        <w:t>non</w:t>
      </w:r>
      <w:r>
        <w:rPr>
          <w:noProof/>
        </w:rPr>
        <w:noBreakHyphen/>
        <w:t>consolidated debt for all household was equivalent to 77 % of GDP in June 2016 (compared to 82 % at the end of 2014) whereas for non</w:t>
      </w:r>
      <w:r>
        <w:rPr>
          <w:noProof/>
        </w:rPr>
        <w:noBreakHyphen/>
        <w:t>financial corporations this was over 117 % of GDP, down by 9 pps. from the end of 2014. For both households and non</w:t>
      </w:r>
      <w:r>
        <w:rPr>
          <w:noProof/>
        </w:rPr>
        <w:noBreakHyphen/>
        <w:t>fin</w:t>
      </w:r>
      <w:r>
        <w:rPr>
          <w:noProof/>
        </w:rPr>
        <w:t>ancial corporations, the deleveraging that took place over the last quarters was due to GDP growth and changes in inflation. The process of deleveraging was particularly difficult for microenterprises where over a third make no profits.</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4.2.1:</w:t>
            </w:r>
            <w:r>
              <w:rPr>
                <w:b/>
                <w:noProof/>
              </w:rPr>
              <w:tab/>
              <w:t>Debt b</w:t>
            </w:r>
            <w:r>
              <w:rPr>
                <w:b/>
                <w:noProof/>
              </w:rPr>
              <w:t>reakdown by sector in 2002</w:t>
            </w:r>
            <w:r>
              <w:rPr>
                <w:b/>
                <w:noProof/>
              </w:rPr>
              <w:noBreakHyphen/>
              <w:t>2016</w:t>
            </w:r>
          </w:p>
        </w:tc>
      </w:tr>
      <w:tr w:rsidR="00BB0B51">
        <w:trPr>
          <w:cantSplit/>
        </w:trPr>
        <w:tc>
          <w:tcPr>
            <w:tcW w:w="4110" w:type="dxa"/>
            <w:shd w:val="clear" w:color="auto" w:fill="auto"/>
          </w:tcPr>
          <w:p w:rsidR="00BB0B51" w:rsidRDefault="00AA53B1">
            <w:pPr>
              <w:pStyle w:val="GraphShape"/>
              <w:rPr>
                <w:noProof/>
                <w:sz w:val="2"/>
              </w:rPr>
            </w:pPr>
            <w:bookmarkStart w:id="25" w:name="_Toc474773070"/>
            <w:bookmarkEnd w:id="25"/>
            <w:r>
              <w:rPr>
                <w:noProof/>
                <w:sz w:val="2"/>
                <w:lang w:eastAsia="en-GB"/>
              </w:rPr>
              <w:drawing>
                <wp:inline distT="0" distB="0" distL="0" distR="0" wp14:anchorId="25690108" wp14:editId="48595152">
                  <wp:extent cx="2597595" cy="2028779"/>
                  <wp:effectExtent l="0" t="0" r="0" b="0"/>
                  <wp:docPr id="26" name="Picture 26" descr="&lt;_DISABLED_nbr_DISABLED_&gt;&lt;GETTEXTFROMWORD&gt;&lt;/nbr&gt;&#10;&lt;title&gt;&lt;GETTEXTFROMWORD&gt;&lt;/title&gt;&#10;&lt;_DISABLED_id_DISABLED_&gt;58ca8ba0-8636-49d9-8720-1c7fe89c0da7&lt;/id&gt;&#10;&lt;srcType&gt;EXCEL&lt;/srcType&gt;&#10;&lt;srcPath&gt;O:\2017 CRs\22 PT\Graphs\&lt;/srcPath&gt;&#10;&lt;srcName&gt;PT CR_2017_Graphs_and_Tables.xlsx&lt;/srcName&gt;&#10;&lt;type&gt;graph&lt;/type&gt;&#10; &lt;srcSheet&gt;Graph 3.4.5-Debt_decom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028779"/>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4.2.2:</w:t>
            </w:r>
            <w:r>
              <w:rPr>
                <w:b/>
                <w:noProof/>
              </w:rPr>
              <w:tab/>
              <w:t>Breakdown of year</w:t>
            </w:r>
            <w:r>
              <w:rPr>
                <w:b/>
                <w:noProof/>
              </w:rPr>
              <w:noBreakHyphen/>
              <w:t>on</w:t>
            </w:r>
            <w:r>
              <w:rPr>
                <w:b/>
                <w:noProof/>
              </w:rPr>
              <w:noBreakHyphen/>
              <w:t>year changes in debt</w:t>
            </w:r>
            <w:r>
              <w:rPr>
                <w:b/>
                <w:noProof/>
              </w:rPr>
              <w:noBreakHyphen/>
              <w:t>to</w:t>
            </w:r>
            <w:r>
              <w:rPr>
                <w:b/>
                <w:noProof/>
              </w:rPr>
              <w:noBreakHyphen/>
              <w:t>GDP ratios, NFCs</w:t>
            </w:r>
          </w:p>
        </w:tc>
      </w:tr>
      <w:tr w:rsidR="00BB0B51">
        <w:trPr>
          <w:cantSplit/>
        </w:trPr>
        <w:tc>
          <w:tcPr>
            <w:tcW w:w="4110" w:type="dxa"/>
            <w:shd w:val="clear" w:color="auto" w:fill="auto"/>
          </w:tcPr>
          <w:p w:rsidR="00BB0B51" w:rsidRDefault="00AA53B1">
            <w:pPr>
              <w:pStyle w:val="GraphShape"/>
              <w:rPr>
                <w:noProof/>
                <w:sz w:val="2"/>
              </w:rPr>
            </w:pPr>
            <w:bookmarkStart w:id="26" w:name="_Toc474773071"/>
            <w:bookmarkEnd w:id="26"/>
            <w:r>
              <w:rPr>
                <w:noProof/>
                <w:sz w:val="2"/>
                <w:lang w:eastAsia="en-GB"/>
              </w:rPr>
              <w:drawing>
                <wp:inline distT="0" distB="0" distL="0" distR="0" wp14:anchorId="25918039" wp14:editId="59F0BE7B">
                  <wp:extent cx="2597595" cy="2436430"/>
                  <wp:effectExtent l="0" t="0" r="0" b="2540"/>
                  <wp:docPr id="12" name="Picture 12" descr="&lt;_DISABLED_nbr_DISABLED_&gt;&lt;GETTEXTFROMWORD&gt;&lt;/nbr&gt;&#10;&lt;title&gt;&lt;GETTEXTFROMWORD&gt;&lt;/title&gt;&#10;&lt;_DISABLED_id_DISABLED_&gt;d5ab7d7e-d06b-43ff-90ff-5cfbefeb1e47&lt;/id&gt;&#10;&lt;srcType&gt;EXCEL&lt;/srcType&gt;&#10;&lt;srcPath&gt;O:\2017 CRs\22 PT\Graphs\&lt;/srcPath&gt;&#10;&lt;srcName&gt;PT CR_2017_Graphs_and_Tables.xlsx&lt;/srcName&gt;&#10;&lt;type&gt;graph&lt;/type&gt;&#10; &lt;srcSheet&gt;Graph 3.4.6-dbt_decomp_nfc&lt;/srcSheet&gt;&#10; &lt;srcChartTitle&gt;Chart 2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4.2.3:</w:t>
            </w:r>
            <w:r>
              <w:rPr>
                <w:b/>
                <w:noProof/>
              </w:rPr>
              <w:tab/>
              <w:t>Breakdown of year</w:t>
            </w:r>
            <w:r>
              <w:rPr>
                <w:b/>
                <w:noProof/>
              </w:rPr>
              <w:noBreakHyphen/>
              <w:t>on</w:t>
            </w:r>
            <w:r>
              <w:rPr>
                <w:b/>
                <w:noProof/>
              </w:rPr>
              <w:noBreakHyphen/>
              <w:t>year changes in debt</w:t>
            </w:r>
            <w:r>
              <w:rPr>
                <w:b/>
                <w:noProof/>
              </w:rPr>
              <w:noBreakHyphen/>
              <w:t>to</w:t>
            </w:r>
            <w:r>
              <w:rPr>
                <w:b/>
                <w:noProof/>
              </w:rPr>
              <w:noBreakHyphen/>
              <w:t>GDP ratios, households</w:t>
            </w:r>
          </w:p>
        </w:tc>
      </w:tr>
      <w:tr w:rsidR="00BB0B51">
        <w:trPr>
          <w:cantSplit/>
        </w:trPr>
        <w:tc>
          <w:tcPr>
            <w:tcW w:w="4110" w:type="dxa"/>
            <w:shd w:val="clear" w:color="auto" w:fill="auto"/>
          </w:tcPr>
          <w:p w:rsidR="00BB0B51" w:rsidRDefault="00AA53B1">
            <w:pPr>
              <w:pStyle w:val="GraphShape"/>
              <w:rPr>
                <w:noProof/>
                <w:sz w:val="2"/>
              </w:rPr>
            </w:pPr>
            <w:bookmarkStart w:id="27" w:name="_Toc474773072"/>
            <w:bookmarkEnd w:id="27"/>
            <w:r>
              <w:rPr>
                <w:noProof/>
                <w:sz w:val="2"/>
                <w:lang w:eastAsia="en-GB"/>
              </w:rPr>
              <w:drawing>
                <wp:inline distT="0" distB="0" distL="0" distR="0" wp14:anchorId="03C8623C" wp14:editId="396D3A57">
                  <wp:extent cx="2597595" cy="2436430"/>
                  <wp:effectExtent l="0" t="0" r="0" b="2540"/>
                  <wp:docPr id="11" name="Picture 11" descr="&lt;_DISABLED_nbr_DISABLED_&gt;&lt;GETTEXTFROMWORD&gt;&lt;/nbr&gt;&#10;&lt;title&gt;&lt;GETTEXTFROMWORD&gt;&lt;/title&gt;&#10;&lt;_DISABLED_id_DISABLED_&gt;21f6400b-96f5-4d8b-a757-5f036e4b8727&lt;/id&gt;&#10;&lt;srcType&gt;EXCEL&lt;/srcType&gt;&#10;&lt;srcPath&gt;O:\2017 CRs\22 PT\Graphs\&lt;/srcPath&gt;&#10;&lt;srcName&gt;PT CR_2017_Graphs_and_Tables.xlsx&lt;/srcName&gt;&#10;&lt;type&gt;graph&lt;/type&gt;&#10; &lt;srcSheet&gt;Graph 3.4.6-dbt_decomp_hh&lt;/srcSheet&gt;&#10; &lt;srcChartTitle&gt;Chart 2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rPr>
          <w:b/>
          <w:noProof/>
        </w:rPr>
      </w:pPr>
    </w:p>
    <w:p w:rsidR="00BB0B51" w:rsidRDefault="00AA53B1">
      <w:pPr>
        <w:rPr>
          <w:noProof/>
        </w:rPr>
      </w:pPr>
      <w:r>
        <w:rPr>
          <w:b/>
          <w:noProof/>
        </w:rPr>
        <w:t>The authorities see several possible approaches to addressing high indebtedness.</w:t>
      </w:r>
      <w:r>
        <w:rPr>
          <w:noProof/>
        </w:rPr>
        <w:t xml:space="preserve"> Apart from the approach to non</w:t>
      </w:r>
      <w:r>
        <w:rPr>
          <w:noProof/>
        </w:rPr>
        <w:noBreakHyphen/>
        <w:t xml:space="preserve">performing loans discussed above, these include i) the streamlining of the procedures for debt restructuring, </w:t>
      </w:r>
      <w:r>
        <w:rPr>
          <w:noProof/>
        </w:rPr>
        <w:t>in particular more flexibility in the PER and SIREVE schemes and stepping up mediation and coordination among creditors, ii) creating mechanisms that facilitate the debt</w:t>
      </w:r>
      <w:r>
        <w:rPr>
          <w:noProof/>
        </w:rPr>
        <w:noBreakHyphen/>
        <w:t>to</w:t>
      </w:r>
      <w:r>
        <w:rPr>
          <w:noProof/>
        </w:rPr>
        <w:noBreakHyphen/>
        <w:t>equity swap within a recovery plan, iii) early warning systems for companies that a</w:t>
      </w:r>
      <w:r>
        <w:rPr>
          <w:noProof/>
        </w:rPr>
        <w:t>re in difficulties but still viable, iv) allocating more resources to speeding up insolvency proceedings, including enforcement of collateral, and v) using new IT systems in the insolvency and liquidation procedures. The legislation for these measures is e</w:t>
      </w:r>
      <w:r>
        <w:rPr>
          <w:noProof/>
        </w:rPr>
        <w:t>xpected to enter into force by April 2017. The authorities are committed to improving the retention of profits through changes in the tax system, to allow for early and fast restructuring by facilitating out</w:t>
      </w:r>
      <w:r>
        <w:rPr>
          <w:noProof/>
        </w:rPr>
        <w:noBreakHyphen/>
        <w:t>of</w:t>
      </w:r>
      <w:r>
        <w:rPr>
          <w:noProof/>
        </w:rPr>
        <w:noBreakHyphen/>
        <w:t>court arrangements and improving creditor coo</w:t>
      </w:r>
      <w:r>
        <w:rPr>
          <w:noProof/>
        </w:rPr>
        <w:t xml:space="preserve">rdination. </w:t>
      </w:r>
    </w:p>
    <w:p w:rsidR="00BB0B51" w:rsidRDefault="00AA53B1">
      <w:pPr>
        <w:pStyle w:val="NumberedHeading1"/>
        <w:tabs>
          <w:tab w:val="left" w:pos="567"/>
        </w:tabs>
        <w:rPr>
          <w:noProof/>
        </w:rPr>
      </w:pPr>
      <w:r>
        <w:rPr>
          <w:noProof/>
        </w:rPr>
        <w:t>4.2.5.</w:t>
      </w:r>
      <w:r>
        <w:rPr>
          <w:noProof/>
        </w:rPr>
        <w:tab/>
        <w:t>External indebtedness*</w:t>
      </w:r>
    </w:p>
    <w:p w:rsidR="00BB0B51" w:rsidRDefault="00AA53B1">
      <w:pPr>
        <w:rPr>
          <w:noProof/>
        </w:rPr>
      </w:pPr>
      <w:r>
        <w:rPr>
          <w:b/>
          <w:noProof/>
        </w:rPr>
        <w:t>Long</w:t>
      </w:r>
      <w:r>
        <w:rPr>
          <w:b/>
          <w:noProof/>
        </w:rPr>
        <w:noBreakHyphen/>
        <w:t>term debt (other investment) mostly from the general government remains the largest component of the net international investment position (NIIP), followed by net direct investment.</w:t>
      </w:r>
      <w:r>
        <w:rPr>
          <w:noProof/>
        </w:rPr>
        <w:t xml:space="preserve"> The overall composition is </w:t>
      </w:r>
      <w:r>
        <w:rPr>
          <w:noProof/>
        </w:rPr>
        <w:t xml:space="preserve">tilted towards marketable debt, rather than FDI and other equity investment, which tend to be more stable, allow for better risk sharing and facilitate the transfer of expertise. Since its peak in 2012, at </w:t>
      </w:r>
      <w:r>
        <w:rPr>
          <w:noProof/>
        </w:rPr>
        <w:noBreakHyphen/>
        <w:t>116.5 % of GDP, the Portuguese investment positio</w:t>
      </w:r>
      <w:r>
        <w:rPr>
          <w:noProof/>
        </w:rPr>
        <w:t xml:space="preserve">n (NIIP) gradually declined to </w:t>
      </w:r>
      <w:r>
        <w:rPr>
          <w:noProof/>
        </w:rPr>
        <w:noBreakHyphen/>
        <w:t>110 % still very high, in 2015, reflecting improvements in the trade balance (a compression of imports and expansion in export services, particularly tourism), the continuous though slow deleveraging of the private sector an</w:t>
      </w:r>
      <w:r>
        <w:rPr>
          <w:noProof/>
        </w:rPr>
        <w:t>d higher income transfers from remittances further to large migration outflows. Despite this adjustment in the current account, a more sizeable adjustment would be needed to reduce the NIIP to more sustainable levels. The Commission estimates that Portugal</w:t>
      </w:r>
      <w:r>
        <w:rPr>
          <w:noProof/>
        </w:rPr>
        <w:t xml:space="preserve"> would need to run average current account surpluses of around 1.6 % of GDP until 2025 to halve the negative NIIP (about </w:t>
      </w:r>
      <w:r>
        <w:rPr>
          <w:noProof/>
        </w:rPr>
        <w:noBreakHyphen/>
        <w:t>55 % of GDP), as compared to the 0.1 % of GDP in average current account adjustment recorded since 2013.</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4.2.4:</w:t>
            </w:r>
            <w:r>
              <w:rPr>
                <w:b/>
                <w:noProof/>
              </w:rPr>
              <w:tab/>
              <w:t xml:space="preserve">Breakdown of </w:t>
            </w:r>
            <w:r>
              <w:rPr>
                <w:b/>
                <w:noProof/>
              </w:rPr>
              <w:t>Portugal's Net International Investment Position (NIIP)</w:t>
            </w:r>
          </w:p>
        </w:tc>
      </w:tr>
      <w:tr w:rsidR="00BB0B51">
        <w:trPr>
          <w:cantSplit/>
        </w:trPr>
        <w:tc>
          <w:tcPr>
            <w:tcW w:w="4110" w:type="dxa"/>
            <w:shd w:val="clear" w:color="auto" w:fill="auto"/>
          </w:tcPr>
          <w:p w:rsidR="00BB0B51" w:rsidRDefault="00AA53B1">
            <w:pPr>
              <w:pStyle w:val="GraphShape"/>
              <w:rPr>
                <w:noProof/>
                <w:sz w:val="2"/>
              </w:rPr>
            </w:pPr>
            <w:bookmarkStart w:id="28" w:name="_Toc474773073"/>
            <w:bookmarkEnd w:id="28"/>
            <w:r>
              <w:rPr>
                <w:noProof/>
                <w:sz w:val="2"/>
                <w:lang w:eastAsia="en-GB"/>
              </w:rPr>
              <w:drawing>
                <wp:inline distT="0" distB="0" distL="0" distR="0" wp14:anchorId="2E63EB55" wp14:editId="4A47D98B">
                  <wp:extent cx="2597595" cy="2436430"/>
                  <wp:effectExtent l="0" t="0" r="0" b="2540"/>
                  <wp:docPr id="10" name="Picture 10" descr="&lt;_DISABLED_nbr_DISABLED_&gt;&lt;GETTEXTFROMWORD&gt;&lt;/nbr&gt;&#10;&lt;title&gt;&lt;GETTEXTFROMWORD&gt;&lt;/title&gt;&#10;&lt;_DISABLED_id_DISABLED_&gt;82dd70e9-6a2f-44f8-a00a-2d3791ff6e90&lt;/id&gt;&#10;&lt;srcType&gt;EXCEL&lt;/srcType&gt;&#10;&lt;srcPath&gt;O:\2017 CRs\22 PT\Graphs\&lt;/srcPath&gt;&#10;&lt;srcName&gt;PT CR_2017_Graphs_and_Tables.xlsx&lt;/srcName&gt;&#10;&lt;type&gt;graph&lt;/type&gt;&#10; &lt;srcSheet&gt;Graph 3.4.8-IIP_com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4.2.5:</w:t>
            </w:r>
            <w:r>
              <w:rPr>
                <w:b/>
                <w:noProof/>
              </w:rPr>
              <w:tab/>
              <w:t>Current account financing</w:t>
            </w:r>
          </w:p>
        </w:tc>
      </w:tr>
      <w:tr w:rsidR="00BB0B51">
        <w:trPr>
          <w:cantSplit/>
        </w:trPr>
        <w:tc>
          <w:tcPr>
            <w:tcW w:w="4110" w:type="dxa"/>
            <w:shd w:val="clear" w:color="auto" w:fill="auto"/>
          </w:tcPr>
          <w:p w:rsidR="00BB0B51" w:rsidRDefault="00AA53B1">
            <w:pPr>
              <w:pStyle w:val="GraphShape"/>
              <w:rPr>
                <w:noProof/>
                <w:sz w:val="2"/>
              </w:rPr>
            </w:pPr>
            <w:bookmarkStart w:id="29" w:name="_Toc474773074"/>
            <w:bookmarkEnd w:id="29"/>
            <w:r>
              <w:rPr>
                <w:noProof/>
                <w:sz w:val="2"/>
                <w:lang w:eastAsia="en-GB"/>
              </w:rPr>
              <w:drawing>
                <wp:inline distT="0" distB="0" distL="0" distR="0" wp14:anchorId="41719624" wp14:editId="3D99CB74">
                  <wp:extent cx="2597595" cy="2436430"/>
                  <wp:effectExtent l="0" t="0" r="0" b="2540"/>
                  <wp:docPr id="9" name="Picture 9" descr="&lt;_DISABLED_nbr_DISABLED_&gt;&lt;GETTEXTFROMWORD&gt;&lt;/nbr&gt;&#10;&lt;title&gt;&lt;GETTEXTFROMWORD&gt;&lt;/title&gt;&#10;&lt;_DISABLED_id_DISABLED_&gt;bf2a07d6-a735-4135-a241-dfbd07bb5e4a&lt;/id&gt;&#10;&lt;srcType&gt;EXCEL&lt;/srcType&gt;&#10;&lt;srcPath&gt;O:\2017 CRs\22 PT\Graphs\&lt;/srcPath&gt;&#10;&lt;srcName&gt;PT CR_2017_Graphs_and_Tables.xlsx&lt;/srcName&gt;&#10;&lt;type&gt;graph&lt;/type&gt;&#10; &lt;srcSheet&gt;Graph 3.4.9-CA_decom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 xml:space="preserve">A simulation of unfavourable macroeconomic developments shows that an adverse interest rate </w:t>
      </w:r>
      <w:r>
        <w:rPr>
          <w:b/>
          <w:noProof/>
        </w:rPr>
        <w:t>shock is the most important risk to the NIIP</w:t>
      </w:r>
      <w:r>
        <w:rPr>
          <w:noProof/>
        </w:rPr>
        <w:t xml:space="preserve">. The NIIP is particularly sensitive to domestic interest rates while a negative shock to GDP growth affects it less (Graph </w:t>
      </w:r>
      <w:r>
        <w:rPr>
          <w:noProof/>
        </w:rPr>
        <w:fldChar w:fldCharType="begin"/>
      </w:r>
      <w:r>
        <w:rPr>
          <w:noProof/>
        </w:rPr>
        <w:instrText xml:space="preserve"> QUOTE "4.2.6"</w:instrText>
      </w:r>
      <w:r>
        <w:rPr>
          <w:noProof/>
        </w:rPr>
        <w:fldChar w:fldCharType="begin">
          <w:fldData xml:space="preserve">QwBSAE8AUwBTAFIARQBGAEUAUgBFAE4AQwBFACoARwBSAEEAUABIACoAYQAzADEAYwA3ADYANQBj
AC0AOAAwADAANgAtADQAOAA1ADIALQBiADUANgAxAC0ANQA4ADMANQAwADkANwA3ADMAYQBmADcA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Keeping all other relevant variables constant, larger trade deficits lead to a slower pace of adjustment. A domestic demand stimulus could thus lead to higher trade</w:t>
      </w:r>
      <w:r>
        <w:rPr>
          <w:noProof/>
        </w:rPr>
        <w:noBreakHyphen/>
        <w:t xml:space="preserve">balance deficits, if it is not matched by measures </w:t>
      </w:r>
      <w:r>
        <w:rPr>
          <w:noProof/>
        </w:rPr>
        <w:t xml:space="preserve">to increase productive capacity.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4.2.6:</w:t>
            </w:r>
            <w:r>
              <w:rPr>
                <w:b/>
                <w:noProof/>
              </w:rPr>
              <w:tab/>
              <w:t>NIIP sensitivity to macroeconomic shocks</w:t>
            </w:r>
          </w:p>
        </w:tc>
      </w:tr>
      <w:tr w:rsidR="00BB0B51">
        <w:trPr>
          <w:cantSplit/>
        </w:trPr>
        <w:tc>
          <w:tcPr>
            <w:tcW w:w="4110" w:type="dxa"/>
            <w:shd w:val="clear" w:color="auto" w:fill="auto"/>
          </w:tcPr>
          <w:p w:rsidR="00BB0B51" w:rsidRDefault="00AA53B1">
            <w:pPr>
              <w:pStyle w:val="GraphShape"/>
              <w:rPr>
                <w:noProof/>
                <w:sz w:val="2"/>
              </w:rPr>
            </w:pPr>
            <w:bookmarkStart w:id="30" w:name="_Toc474773075"/>
            <w:bookmarkEnd w:id="30"/>
            <w:r>
              <w:rPr>
                <w:noProof/>
                <w:sz w:val="2"/>
                <w:lang w:eastAsia="en-GB"/>
              </w:rPr>
              <w:drawing>
                <wp:inline distT="0" distB="0" distL="0" distR="0" wp14:anchorId="501EFBF4" wp14:editId="4FB49F2C">
                  <wp:extent cx="2597595" cy="2436430"/>
                  <wp:effectExtent l="0" t="0" r="0" b="0"/>
                  <wp:docPr id="27" name="Picture 27" descr="&lt;_DISABLED_nbr_DISABLED_&gt;&lt;GETTEXTFROMWORD&gt;&lt;/nbr&gt;&#10;&lt;title&gt;&lt;GETTEXTFROMWORD&gt;&lt;/title&gt;&#10;&lt;_DISABLED_id_DISABLED_&gt;a31c765c-8006-4852-b561-583509773af7&lt;/id&gt;&#10;&lt;srcType&gt;EXCEL&lt;/srcType&gt;&#10;&lt;srcPath&gt;O:\2017 CRs\22 PT\Graphs\&lt;/srcPath&gt;&#10;&lt;srcName&gt;PT CR_2017_Graphs_and_Tables.xlsx&lt;/srcName&gt;&#10;&lt;type&gt;graph&lt;/type&gt;&#10; &lt;srcSheet&gt;Graph 3.4.10-NIIP sensitiv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rPr>
          <w:noProof/>
        </w:rPr>
        <w:sectPr w:rsidR="00BB0B51">
          <w:headerReference w:type="even" r:id="rId75"/>
          <w:headerReference w:type="default" r:id="rId76"/>
          <w:footerReference w:type="even" r:id="rId77"/>
          <w:footerReference w:type="default" r:id="rId78"/>
          <w:headerReference w:type="first" r:id="rId79"/>
          <w:footerReference w:type="first" r:id="rId80"/>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7"/>
        <w:framePr w:wrap="notBeside"/>
        <w:rPr>
          <w:noProof/>
        </w:rPr>
      </w:pPr>
      <w:bookmarkStart w:id="31" w:name="_Toc474773040"/>
      <w:bookmarkEnd w:id="31"/>
      <w:r>
        <w:rPr>
          <w:noProof/>
        </w:rPr>
        <w:t>4.3.</w:t>
      </w:r>
      <w:r>
        <w:rPr>
          <w:noProof/>
        </w:rPr>
        <w:tab/>
        <w:t>Labour market, education and social policies</w:t>
      </w:r>
    </w:p>
    <w:p w:rsidR="00BB0B51" w:rsidRDefault="00AA53B1">
      <w:pPr>
        <w:pStyle w:val="NumberedHeading1"/>
        <w:tabs>
          <w:tab w:val="left" w:pos="567"/>
        </w:tabs>
        <w:rPr>
          <w:noProof/>
        </w:rPr>
      </w:pPr>
      <w:r>
        <w:rPr>
          <w:noProof/>
        </w:rPr>
        <w:t>4.3.1.</w:t>
      </w:r>
      <w:r>
        <w:rPr>
          <w:noProof/>
        </w:rPr>
        <w:tab/>
        <w:t>Labour market and active labour market policies*</w:t>
      </w:r>
    </w:p>
    <w:p w:rsidR="00BB0B51" w:rsidRDefault="00AA53B1">
      <w:pPr>
        <w:rPr>
          <w:noProof/>
        </w:rPr>
      </w:pPr>
      <w:r>
        <w:rPr>
          <w:b/>
          <w:noProof/>
        </w:rPr>
        <w:t>In an improved labour market situation, challenges remain.</w:t>
      </w:r>
      <w:r>
        <w:rPr>
          <w:noProof/>
        </w:rPr>
        <w:t xml:space="preserve"> Unemployment rates continued to fall in 2015 and 2016, as reported in Section 1, but are still higher than in the years before 2008 and higher than the EU average. Long</w:t>
      </w:r>
      <w:r>
        <w:rPr>
          <w:noProof/>
        </w:rPr>
        <w:noBreakHyphen/>
        <w:t>term unemployment — which accounts for over half of total unemployment — risks stabili</w:t>
      </w:r>
      <w:r>
        <w:rPr>
          <w:noProof/>
        </w:rPr>
        <w:t>sing at a high level The government has negotiated with the social partners a mid</w:t>
      </w:r>
      <w:r>
        <w:rPr>
          <w:noProof/>
        </w:rPr>
        <w:noBreakHyphen/>
        <w:t>term agreement on how to improve labour market conditions. The agreement covers topics such as labour market segmentation and collective bargaining.</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4.3.1:</w:t>
            </w:r>
            <w:r>
              <w:rPr>
                <w:b/>
                <w:noProof/>
              </w:rPr>
              <w:tab/>
              <w:t>Unemployment</w:t>
            </w:r>
            <w:r>
              <w:rPr>
                <w:b/>
                <w:noProof/>
              </w:rPr>
              <w:t xml:space="preserve"> by duration</w:t>
            </w:r>
          </w:p>
        </w:tc>
      </w:tr>
      <w:tr w:rsidR="00BB0B51">
        <w:trPr>
          <w:cantSplit/>
        </w:trPr>
        <w:tc>
          <w:tcPr>
            <w:tcW w:w="4110" w:type="dxa"/>
            <w:shd w:val="clear" w:color="auto" w:fill="auto"/>
          </w:tcPr>
          <w:p w:rsidR="00BB0B51" w:rsidRDefault="00AA53B1">
            <w:pPr>
              <w:pStyle w:val="GraphShape"/>
              <w:rPr>
                <w:noProof/>
                <w:sz w:val="2"/>
              </w:rPr>
            </w:pPr>
            <w:bookmarkStart w:id="32" w:name="_Toc474773076"/>
            <w:bookmarkEnd w:id="32"/>
            <w:r>
              <w:rPr>
                <w:noProof/>
                <w:sz w:val="2"/>
                <w:lang w:eastAsia="en-GB"/>
              </w:rPr>
              <w:drawing>
                <wp:inline distT="0" distB="0" distL="0" distR="0" wp14:anchorId="5F4B4B86" wp14:editId="669D4D23">
                  <wp:extent cx="2597595" cy="2436430"/>
                  <wp:effectExtent l="0" t="0" r="0" b="0"/>
                  <wp:docPr id="29" name="Picture 29" descr="&lt;_DISABLED_nbr_DISABLED_&gt;&lt;GETTEXTFROMWORD&gt;&lt;/nbr&gt;&#10;&lt;title&gt;&lt;GETTEXTFROMWORD&gt;&lt;/title&gt;&#10;&lt;_DISABLED_id_DISABLED_&gt;648c596b-1032-42e7-b0bf-f17827c955d8&lt;/id&gt;&#10;&lt;srcType&gt;EXCEL&lt;/srcType&gt;&#10;&lt;srcPath&gt;O:\2017 CRs\22 PT\Graphs\&lt;/srcPath&gt;&#10;&lt;srcName&gt;PT CR_2017_Graphs_and_Tables.xlsx&lt;/srcName&gt;&#10;&lt;type&gt;graph&lt;/type&gt;&#10; &lt;srcSheet&gt;Graph 3.4.11-Unempl_dura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Labour market segmentation remains high, weighs on the prospects of young people and has the potential to increase labour market volatility.</w:t>
      </w:r>
      <w:r>
        <w:rPr>
          <w:noProof/>
        </w:rPr>
        <w:t xml:space="preserve"> Despite the growth of permanent contracts, labour market segmentation</w:t>
      </w:r>
      <w:r>
        <w:rPr>
          <w:noProof/>
        </w:rPr>
        <w:t xml:space="preserve"> remains high. New entrants, in particular, are exposed to temporary and precarious contracts: 53.5 % of employees under 30 work on temporary contracts (against an EU average of 33.3 %). This adversely affects young people’s career prospects and incomes, g</w:t>
      </w:r>
      <w:r>
        <w:rPr>
          <w:noProof/>
        </w:rPr>
        <w:t>iven the wage gap between temporary and permanent workers. Such contracts are also particularly sensitive to business cycle fluctuations; youth unemployment thus reacts more strongly to recessions than unemployment in general (Hüttl 2015). The last</w:t>
      </w:r>
      <w:r>
        <w:rPr>
          <w:noProof/>
        </w:rPr>
        <w:noBreakHyphen/>
        <w:t>in</w:t>
      </w:r>
      <w:r>
        <w:rPr>
          <w:noProof/>
        </w:rPr>
        <w:noBreakHyphen/>
        <w:t>firs</w:t>
      </w:r>
      <w:r>
        <w:rPr>
          <w:noProof/>
        </w:rPr>
        <w:t>t</w:t>
      </w:r>
      <w:r>
        <w:rPr>
          <w:noProof/>
        </w:rPr>
        <w:noBreakHyphen/>
        <w:t>out workforce adjustment strategies, often adopted by firms, exacerbate this effect (Scarpetta 2012). Thus, extensive use of temporary contracts may aggravate volatility in labour markets, thereby failing to dampen economic fluctuations.</w:t>
      </w:r>
    </w:p>
    <w:p w:rsidR="00BB0B51" w:rsidRDefault="00AA53B1">
      <w:pPr>
        <w:rPr>
          <w:noProof/>
        </w:rPr>
      </w:pPr>
      <w:r>
        <w:rPr>
          <w:b/>
          <w:noProof/>
        </w:rPr>
        <w:t>Recent reforms n</w:t>
      </w:r>
      <w:r>
        <w:rPr>
          <w:b/>
          <w:noProof/>
        </w:rPr>
        <w:t>otwithstanding, some aspects of labour law may still discourage firms from hiring permanent workers.</w:t>
      </w:r>
      <w:r>
        <w:rPr>
          <w:noProof/>
        </w:rPr>
        <w:t xml:space="preserve"> The employment protection legislation reform implemented during the economic adjustment programme lowered severance payments in case of fair dismissals. It</w:t>
      </w:r>
      <w:r>
        <w:rPr>
          <w:noProof/>
        </w:rPr>
        <w:t xml:space="preserve"> thereby improved employers' perception about flexibility of hiring and firing practices (</w:t>
      </w:r>
      <w:r>
        <w:rPr>
          <w:noProof/>
          <w:vertAlign w:val="superscript"/>
        </w:rPr>
        <w:footnoteReference w:id="20"/>
      </w:r>
      <w:r>
        <w:rPr>
          <w:noProof/>
        </w:rPr>
        <w:t xml:space="preserve">). However, legislation on unfair dismissals was left unchanged. There is a large gap between the current high level of compensation due for dismissals deemed to be </w:t>
      </w:r>
      <w:r>
        <w:rPr>
          <w:noProof/>
        </w:rPr>
        <w:t>unfair and that awarded in cases of fair dismissals (</w:t>
      </w:r>
      <w:r>
        <w:rPr>
          <w:noProof/>
          <w:vertAlign w:val="superscript"/>
        </w:rPr>
        <w:footnoteReference w:id="21"/>
      </w:r>
      <w:r>
        <w:rPr>
          <w:noProof/>
        </w:rPr>
        <w:t>). Moreover, a worker’s reinstatement in his or her previous job can be established in court if the dismissal is deemed unfair. This may create incentives to challenge fair dismissals in court (</w:t>
      </w:r>
      <w:r>
        <w:rPr>
          <w:noProof/>
          <w:vertAlign w:val="superscript"/>
        </w:rPr>
        <w:footnoteReference w:id="22"/>
      </w:r>
      <w:r>
        <w:rPr>
          <w:noProof/>
        </w:rPr>
        <w:t xml:space="preserve">) and, </w:t>
      </w:r>
      <w:r>
        <w:rPr>
          <w:noProof/>
        </w:rPr>
        <w:t>coupled with inefficiencies in the judicial system, lead to uncertainty about firing costs. This may, in turn, provide incentives for companies to hire on a temporary basis (on the interaction between judicial efficiency and EPL strictness, see European Co</w:t>
      </w:r>
      <w:r>
        <w:rPr>
          <w:noProof/>
        </w:rPr>
        <w:t>mmission, 2016c). Since the recent reforms affect only new employment contracts, the full impact of the reform might take time to show results in terms of shifting the share between temporary and permanent contracts.</w:t>
      </w:r>
    </w:p>
    <w:p w:rsidR="00BB0B51" w:rsidRDefault="00AA53B1">
      <w:pPr>
        <w:rPr>
          <w:noProof/>
        </w:rPr>
      </w:pPr>
      <w:r>
        <w:rPr>
          <w:b/>
          <w:noProof/>
        </w:rPr>
        <w:t>Additional reasons for persistent segme</w:t>
      </w:r>
      <w:r>
        <w:rPr>
          <w:b/>
          <w:noProof/>
        </w:rPr>
        <w:t>ntation include the structure of employment incentives, currently being reviewed, and the fact that labour inspections are relatively ineffective.</w:t>
      </w:r>
      <w:r>
        <w:rPr>
          <w:noProof/>
        </w:rPr>
        <w:t xml:space="preserve"> The recent increase in ‘activation’ schemes has contributed to a recovery in employment, but some of the avai</w:t>
      </w:r>
      <w:r>
        <w:rPr>
          <w:noProof/>
        </w:rPr>
        <w:t>lable schemes have created incentives to boost fixed</w:t>
      </w:r>
      <w:r>
        <w:rPr>
          <w:noProof/>
        </w:rPr>
        <w:noBreakHyphen/>
        <w:t>term employment (see below). This has prompted the Government to redesign in January 2017 its employment support programme to promote hiring on open</w:t>
      </w:r>
      <w:r>
        <w:rPr>
          <w:noProof/>
        </w:rPr>
        <w:noBreakHyphen/>
        <w:t>ended contracts while restricting support for temporar</w:t>
      </w:r>
      <w:r>
        <w:rPr>
          <w:noProof/>
        </w:rPr>
        <w:t>y contracts to specific cases such as the very long</w:t>
      </w:r>
      <w:r>
        <w:rPr>
          <w:noProof/>
        </w:rPr>
        <w:noBreakHyphen/>
        <w:t>term unemployed. However the expected impact on reducing segmentation seems limited as only 15 000 people are foreseen to be covered by the programme. As regards labour inspections, the Authority for Work</w:t>
      </w:r>
      <w:r>
        <w:rPr>
          <w:noProof/>
        </w:rPr>
        <w:t>ing Conditions has launched a public competition to hire 80 additional labour inspectors. This additional capacity, together with the planned interconnection of data between the services of the labour inspectorate, Social Security and Tax Authorities shoul</w:t>
      </w:r>
      <w:r>
        <w:rPr>
          <w:noProof/>
        </w:rPr>
        <w:t>d enable more effective identification of bogus self</w:t>
      </w:r>
      <w:r>
        <w:rPr>
          <w:noProof/>
        </w:rPr>
        <w:noBreakHyphen/>
        <w:t>employment and other labour infractions.</w:t>
      </w:r>
    </w:p>
    <w:p w:rsidR="00BB0B51" w:rsidRDefault="00AA53B1">
      <w:pPr>
        <w:rPr>
          <w:noProof/>
        </w:rPr>
      </w:pPr>
      <w:r>
        <w:rPr>
          <w:b/>
          <w:noProof/>
        </w:rPr>
        <w:t>Minimum wage increases are not aligned with inflation and average productivity developments.</w:t>
      </w:r>
      <w:r>
        <w:rPr>
          <w:noProof/>
        </w:rPr>
        <w:t xml:space="preserve"> The government has increased the monthly minimum wage (paid 14 times </w:t>
      </w:r>
      <w:r>
        <w:rPr>
          <w:noProof/>
        </w:rPr>
        <w:t>a year) by 5.1 %, to EUR 557 as of 1 January 2017. This increase overcompensates for recent increases in consumer prices, which rose by 0.6 % in 2016, and average labour productivity, which remained more-or-less stable (European Commission’s 2016 winter Fo</w:t>
      </w:r>
      <w:r>
        <w:rPr>
          <w:noProof/>
        </w:rPr>
        <w:t>recast). This adds up to a similar development in the previous year. Moreover, the minimum wage rose faster than the average compensation per employee (which rose by 1.4 % in 2016), following a trend that started in 2007 (</w:t>
      </w:r>
      <w:r>
        <w:rPr>
          <w:noProof/>
          <w:vertAlign w:val="superscript"/>
        </w:rPr>
        <w:footnoteReference w:id="23"/>
      </w:r>
      <w:r>
        <w:rPr>
          <w:noProof/>
        </w:rPr>
        <w:t>). In spite of the recent signifi</w:t>
      </w:r>
      <w:r>
        <w:rPr>
          <w:noProof/>
        </w:rPr>
        <w:t>cant increases in the minimum wage, average wage growth has been moderate (and sometimes negative) in recent years, pointing to a limited impact on overall cost competitiveness so far (</w:t>
      </w:r>
      <w:r>
        <w:rPr>
          <w:noProof/>
          <w:vertAlign w:val="superscript"/>
        </w:rPr>
        <w:footnoteReference w:id="24"/>
      </w:r>
      <w:r>
        <w:rPr>
          <w:noProof/>
        </w:rPr>
        <w:t>) but leading to an increasing wage compression. The latter may reduce</w:t>
      </w:r>
      <w:r>
        <w:rPr>
          <w:noProof/>
        </w:rPr>
        <w:t xml:space="preserve"> the returns to skills and therefore the incentives to invest in them. The Government is monitoring the impact of minimum wage developments, namely through quarterly reports which are published and discussed with social partners.</w:t>
      </w:r>
    </w:p>
    <w:p w:rsidR="00BB0B51" w:rsidRDefault="00AA53B1">
      <w:pPr>
        <w:rPr>
          <w:noProof/>
        </w:rPr>
      </w:pPr>
      <w:r>
        <w:rPr>
          <w:b/>
          <w:noProof/>
        </w:rPr>
        <w:t>Increases in the minimum w</w:t>
      </w:r>
      <w:r>
        <w:rPr>
          <w:b/>
          <w:noProof/>
        </w:rPr>
        <w:t>age can reduce in</w:t>
      </w:r>
      <w:r>
        <w:rPr>
          <w:b/>
          <w:noProof/>
        </w:rPr>
        <w:noBreakHyphen/>
        <w:t>work poverty and increase aggregate demand but also involve risks to the employment of low</w:t>
      </w:r>
      <w:r>
        <w:rPr>
          <w:b/>
          <w:noProof/>
        </w:rPr>
        <w:noBreakHyphen/>
        <w:t>wage groups.</w:t>
      </w:r>
      <w:r>
        <w:rPr>
          <w:noProof/>
        </w:rPr>
        <w:t xml:space="preserve"> Evidence shows that minimum wage increases may help reduce (in</w:t>
      </w:r>
      <w:r>
        <w:rPr>
          <w:noProof/>
        </w:rPr>
        <w:noBreakHyphen/>
        <w:t>work) poverty (European Commission, 2016a) (</w:t>
      </w:r>
      <w:r>
        <w:rPr>
          <w:noProof/>
          <w:vertAlign w:val="superscript"/>
        </w:rPr>
        <w:footnoteReference w:id="25"/>
      </w:r>
      <w:r>
        <w:rPr>
          <w:noProof/>
        </w:rPr>
        <w:t>). In 2013, before the mos</w:t>
      </w:r>
      <w:r>
        <w:rPr>
          <w:noProof/>
        </w:rPr>
        <w:t>t recent increases in the minimum wage, more than 20 % of minimum wage earners in Portugal were at risk of poverty. Increases in the minimum wage can also have a positive impact on aggregate demand if not outpaced by possible negative employment effects, d</w:t>
      </w:r>
      <w:r>
        <w:rPr>
          <w:noProof/>
        </w:rPr>
        <w:t>epending on the relative position of the minimum wage in the wage distribution. The higher the minimum wage in the overall distribution, the more binding it is, making it more likely that some firms will forego filling some low</w:t>
      </w:r>
      <w:r>
        <w:rPr>
          <w:noProof/>
        </w:rPr>
        <w:noBreakHyphen/>
        <w:t>productivity jobs. The poten</w:t>
      </w:r>
      <w:r>
        <w:rPr>
          <w:noProof/>
        </w:rPr>
        <w:t>tial negative effect on employment is more marked for groups with a higher share of low</w:t>
      </w:r>
      <w:r>
        <w:rPr>
          <w:noProof/>
        </w:rPr>
        <w:noBreakHyphen/>
        <w:t>wage workers, such as young people and low</w:t>
      </w:r>
      <w:r>
        <w:rPr>
          <w:noProof/>
        </w:rPr>
        <w:noBreakHyphen/>
        <w:t>skilled workers (European Commission, 2016a). In a context of employment recovery, these risks have not materialised so far.</w:t>
      </w:r>
    </w:p>
    <w:p w:rsidR="00BB0B51" w:rsidRDefault="00AA53B1">
      <w:pPr>
        <w:rPr>
          <w:noProof/>
        </w:rPr>
      </w:pPr>
      <w:r>
        <w:rPr>
          <w:b/>
          <w:noProof/>
        </w:rPr>
        <w:t>The minimum wage covers a rising share of workers increasing the potential negative effect on low</w:t>
      </w:r>
      <w:r>
        <w:rPr>
          <w:b/>
          <w:noProof/>
        </w:rPr>
        <w:noBreakHyphen/>
        <w:t>productivity jobs.</w:t>
      </w:r>
      <w:r>
        <w:rPr>
          <w:noProof/>
        </w:rPr>
        <w:t xml:space="preserve"> The Portuguese minimum wage was one of the highest in the EU relative to the median wage in 2015 (57 %; OECD data). The two recent increase</w:t>
      </w:r>
      <w:r>
        <w:rPr>
          <w:noProof/>
        </w:rPr>
        <w:t>s also significantly extended its coverage. The share of workers earning the minimum wage rose from about 12 % to 16 % in October 2014, and to around 21 % in the first nine months of 2016. It is expected to rise further in 2017, as the increase in the mini</w:t>
      </w:r>
      <w:r>
        <w:rPr>
          <w:noProof/>
        </w:rPr>
        <w:t>mum wage is higher than the forecast increase in employees’ compensation. At the same time, the share of workers earning the minimum wage among new contracts increased from below 25 % in early 2014 to around 38 % by mid</w:t>
      </w:r>
      <w:r>
        <w:rPr>
          <w:noProof/>
        </w:rPr>
        <w:noBreakHyphen/>
        <w:t>2016 (Portuguese Cabinet of Strategy</w:t>
      </w:r>
      <w:r>
        <w:rPr>
          <w:noProof/>
        </w:rPr>
        <w:t xml:space="preserve"> and Planning, 2016). </w:t>
      </w:r>
    </w:p>
    <w:p w:rsidR="00BB0B51" w:rsidRDefault="00AA53B1">
      <w:pPr>
        <w:rPr>
          <w:noProof/>
        </w:rPr>
      </w:pPr>
      <w:r>
        <w:rPr>
          <w:b/>
          <w:noProof/>
        </w:rPr>
        <w:t>More workers were covered by new collective agreements in 2016</w:t>
      </w:r>
      <w:r>
        <w:rPr>
          <w:noProof/>
        </w:rPr>
        <w:t>. From January to August the share of workers covered by newly signed collective agreements in the private sector rose to 26 %. It was expected to reach 40 % by the end of</w:t>
      </w:r>
      <w:r>
        <w:rPr>
          <w:noProof/>
        </w:rPr>
        <w:t xml:space="preserve"> 2016, compared with 20 % in 2015. This increase is largely due to collective bargaining at sector level, with 90 % of workers covered by sector agreements. In the first three quarters of 2016, wage increases agreed in collective agreements amounted respec</w:t>
      </w:r>
      <w:r>
        <w:rPr>
          <w:noProof/>
        </w:rPr>
        <w:t>tively to 0.8 %, 1.4 % and 1.5 % year</w:t>
      </w:r>
      <w:r>
        <w:rPr>
          <w:noProof/>
        </w:rPr>
        <w:noBreakHyphen/>
        <w:t>on</w:t>
      </w:r>
      <w:r>
        <w:rPr>
          <w:noProof/>
        </w:rPr>
        <w:noBreakHyphen/>
        <w:t>year respectively. This was above the consumer price index which increased by 0.5 % on average year</w:t>
      </w:r>
      <w:r>
        <w:rPr>
          <w:noProof/>
        </w:rPr>
        <w:noBreakHyphen/>
        <w:t>on</w:t>
      </w:r>
      <w:r>
        <w:rPr>
          <w:noProof/>
        </w:rPr>
        <w:noBreakHyphen/>
        <w:t>year in those quarters while productivity slightly declined. Nevertheless, nominal wage growth in 2016 is expect</w:t>
      </w:r>
      <w:r>
        <w:rPr>
          <w:noProof/>
        </w:rPr>
        <w:t>ed to remain moderate (see Section 1). Administrative extension of collective agreements increased significantly in 2015 and 2016 following the 2014 flexibilisation of the representativeness rule. They remain however still below the pre</w:t>
      </w:r>
      <w:r>
        <w:rPr>
          <w:noProof/>
        </w:rPr>
        <w:noBreakHyphen/>
        <w:t xml:space="preserve">crisis level. </w:t>
      </w:r>
    </w:p>
    <w:p w:rsidR="00BB0B51" w:rsidRDefault="00AA53B1">
      <w:pPr>
        <w:rPr>
          <w:noProof/>
        </w:rPr>
      </w:pPr>
      <w:r>
        <w:rPr>
          <w:b/>
          <w:noProof/>
        </w:rPr>
        <w:t>Active labour market measures continue to foster transitions into employment, although the share of participants among jobseekers is falling.</w:t>
      </w:r>
      <w:r>
        <w:rPr>
          <w:noProof/>
        </w:rPr>
        <w:t xml:space="preserve"> The percentage of registered unemployed people following active labour market measures fell from an average of 26 </w:t>
      </w:r>
      <w:r>
        <w:rPr>
          <w:noProof/>
        </w:rPr>
        <w:t>% in 2015 to 18.2 % in 2016. The Government published a preliminary assessment study on active labour market policies in June 2016 (Portuguese Ministry of Labour 2016). This highlights the need to slow down the overall supply of active labour market measur</w:t>
      </w:r>
      <w:r>
        <w:rPr>
          <w:noProof/>
        </w:rPr>
        <w:t>es, in line with the resources available from the European Social Fund (ESF) until 2020 (active labour market policies are largely co</w:t>
      </w:r>
      <w:r>
        <w:rPr>
          <w:noProof/>
        </w:rPr>
        <w:noBreakHyphen/>
        <w:t xml:space="preserve">financed by the ESF), while focusing these policies on schemes that foster job creation on permanent contracts. The study </w:t>
      </w:r>
      <w:r>
        <w:rPr>
          <w:noProof/>
        </w:rPr>
        <w:t>also shows that 38 % of trainees were integrated in the labour market after having completed a traineeship and 27 % were offered an open</w:t>
      </w:r>
      <w:r>
        <w:rPr>
          <w:noProof/>
        </w:rPr>
        <w:noBreakHyphen/>
        <w:t>ended contract. Additionally, 65 % of those who were initially hired through hiring incentives are employed one year af</w:t>
      </w:r>
      <w:r>
        <w:rPr>
          <w:noProof/>
        </w:rPr>
        <w:t>ter the financial support has ended, but less than 30 % have an open</w:t>
      </w:r>
      <w:r>
        <w:rPr>
          <w:noProof/>
        </w:rPr>
        <w:noBreakHyphen/>
        <w:t xml:space="preserve">ended contract. </w:t>
      </w:r>
    </w:p>
    <w:p w:rsidR="00BB0B51" w:rsidRDefault="00AA53B1">
      <w:pPr>
        <w:rPr>
          <w:noProof/>
        </w:rPr>
      </w:pPr>
      <w:r>
        <w:rPr>
          <w:b/>
          <w:noProof/>
        </w:rPr>
        <w:t>Portugal is developing one</w:t>
      </w:r>
      <w:r>
        <w:rPr>
          <w:b/>
          <w:noProof/>
        </w:rPr>
        <w:noBreakHyphen/>
        <w:t>stop shops for employment, with a particular focus on addressing the problem of long</w:t>
      </w:r>
      <w:r>
        <w:rPr>
          <w:b/>
          <w:noProof/>
        </w:rPr>
        <w:noBreakHyphen/>
        <w:t>term unemployment.</w:t>
      </w:r>
      <w:r>
        <w:rPr>
          <w:noProof/>
        </w:rPr>
        <w:t xml:space="preserve"> Although still in a definition phase, o</w:t>
      </w:r>
      <w:r>
        <w:rPr>
          <w:noProof/>
        </w:rPr>
        <w:t>nce implemented, these would improve coordination between employment and social services and increase the ‘activation’ of unemployed people, in particular the long</w:t>
      </w:r>
      <w:r>
        <w:rPr>
          <w:noProof/>
        </w:rPr>
        <w:noBreakHyphen/>
        <w:t>term unemployed. The obligation for people registered as unemployed to turn up twice a month</w:t>
      </w:r>
      <w:r>
        <w:rPr>
          <w:noProof/>
        </w:rPr>
        <w:t xml:space="preserve"> at the Public Employment Services (PES) has been revoked and replaced by personalised schemes, including towards long</w:t>
      </w:r>
      <w:r>
        <w:rPr>
          <w:noProof/>
        </w:rPr>
        <w:noBreakHyphen/>
        <w:t>term unemployed.</w:t>
      </w:r>
    </w:p>
    <w:p w:rsidR="00BB0B51" w:rsidRDefault="00AA53B1">
      <w:pPr>
        <w:pStyle w:val="NumberedHeading1"/>
        <w:tabs>
          <w:tab w:val="left" w:pos="567"/>
        </w:tabs>
        <w:rPr>
          <w:noProof/>
        </w:rPr>
      </w:pPr>
      <w:r>
        <w:rPr>
          <w:noProof/>
        </w:rPr>
        <w:t>4.3.2.</w:t>
      </w:r>
      <w:r>
        <w:rPr>
          <w:noProof/>
        </w:rPr>
        <w:tab/>
        <w:t>Social policies</w:t>
      </w:r>
    </w:p>
    <w:p w:rsidR="00BB0B51" w:rsidRDefault="00AA53B1">
      <w:pPr>
        <w:rPr>
          <w:noProof/>
        </w:rPr>
      </w:pPr>
      <w:r>
        <w:rPr>
          <w:b/>
          <w:noProof/>
        </w:rPr>
        <w:t>Indicators of inequality, poverty and social exclusion have improved in 2015 (</w:t>
      </w:r>
      <w:r>
        <w:rPr>
          <w:noProof/>
          <w:vertAlign w:val="superscript"/>
        </w:rPr>
        <w:footnoteReference w:id="26"/>
      </w:r>
      <w:r>
        <w:rPr>
          <w:b/>
          <w:noProof/>
        </w:rPr>
        <w:t>), in line with th</w:t>
      </w:r>
      <w:r>
        <w:rPr>
          <w:b/>
          <w:noProof/>
        </w:rPr>
        <w:t>e fall in unemployment.</w:t>
      </w:r>
      <w:r>
        <w:rPr>
          <w:noProof/>
        </w:rPr>
        <w:t xml:space="preserve"> The at</w:t>
      </w:r>
      <w:r>
        <w:rPr>
          <w:noProof/>
        </w:rPr>
        <w:noBreakHyphen/>
        <w:t>risk</w:t>
      </w:r>
      <w:r>
        <w:rPr>
          <w:noProof/>
        </w:rPr>
        <w:noBreakHyphen/>
        <w:t>of</w:t>
      </w:r>
      <w:r>
        <w:rPr>
          <w:noProof/>
        </w:rPr>
        <w:noBreakHyphen/>
        <w:t>poverty or social exclusion rate (AROPE) fell from 27.5 % in 2014 to 26.6 % in 2015, although it is still nearly 3 percentage points above the EU average. This is a result of the reduction in severe material deprivati</w:t>
      </w:r>
      <w:r>
        <w:rPr>
          <w:noProof/>
        </w:rPr>
        <w:t>on (from 10.6 % to 9.6 %) and in the percentage of people living in low</w:t>
      </w:r>
      <w:r>
        <w:rPr>
          <w:noProof/>
        </w:rPr>
        <w:noBreakHyphen/>
        <w:t>work</w:t>
      </w:r>
      <w:r>
        <w:rPr>
          <w:noProof/>
        </w:rPr>
        <w:noBreakHyphen/>
        <w:t>intensity households (from 12.2 % to 10.9 %). The ratio of total income received by the 20 % of the population with the highest income to that received by the 20 % of the populati</w:t>
      </w:r>
      <w:r>
        <w:rPr>
          <w:noProof/>
        </w:rPr>
        <w:t>on with the lowest income (S80 / S20 indicator) is falling, but remains above the EU average and one of the highest in the EU (see Section 1).</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4.3.2:</w:t>
            </w:r>
            <w:r>
              <w:rPr>
                <w:b/>
                <w:noProof/>
              </w:rPr>
              <w:tab/>
              <w:t>Main social indicators</w:t>
            </w:r>
          </w:p>
        </w:tc>
      </w:tr>
      <w:tr w:rsidR="00BB0B51">
        <w:trPr>
          <w:cantSplit/>
        </w:trPr>
        <w:tc>
          <w:tcPr>
            <w:tcW w:w="4110" w:type="dxa"/>
            <w:shd w:val="clear" w:color="auto" w:fill="auto"/>
          </w:tcPr>
          <w:p w:rsidR="00BB0B51" w:rsidRDefault="00AA53B1">
            <w:pPr>
              <w:pStyle w:val="GraphShape"/>
              <w:rPr>
                <w:noProof/>
                <w:sz w:val="2"/>
              </w:rPr>
            </w:pPr>
            <w:bookmarkStart w:id="33" w:name="_Toc474773077"/>
            <w:bookmarkEnd w:id="33"/>
            <w:r>
              <w:rPr>
                <w:noProof/>
                <w:sz w:val="2"/>
                <w:lang w:eastAsia="en-GB"/>
              </w:rPr>
              <w:drawing>
                <wp:inline distT="0" distB="0" distL="0" distR="0" wp14:anchorId="3BA5226A" wp14:editId="49260929">
                  <wp:extent cx="2597595" cy="2440702"/>
                  <wp:effectExtent l="0" t="0" r="0" b="0"/>
                  <wp:docPr id="30" name="Picture 30" descr="&lt;_DISABLED_nbr_DISABLED_&gt;&lt;GETTEXTFROMWORD&gt;&lt;/nbr&gt;&#10;&lt;title&gt;&lt;GETTEXTFROMWORD&gt;&lt;/title&gt;&#10;&lt;_DISABLED_id_DISABLED_&gt;39dc105b-53c5-44ae-9f56-eaecc587d748&lt;/id&gt;&#10;&lt;srcType&gt;EXCEL&lt;/srcType&gt;&#10;&lt;srcPath&gt;O:\2017 CRs\22 PT\Graphs\&lt;/srcPath&gt;&#10;&lt;srcName&gt;PT CR_2017_Graphs_and_Tables.xlsx&lt;/srcName&gt;&#10;&lt;type&gt;graph&lt;/type&gt;&#10; &lt;srcSheet&gt;Graph 3.4.13-Social_Indicator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However, in</w:t>
      </w:r>
      <w:r>
        <w:rPr>
          <w:b/>
          <w:noProof/>
        </w:rPr>
        <w:noBreakHyphen/>
        <w:t>work poverty remains high and ha</w:t>
      </w:r>
      <w:r>
        <w:rPr>
          <w:b/>
          <w:noProof/>
        </w:rPr>
        <w:t>s not fallen in the first few years of the labour market recovery</w:t>
      </w:r>
      <w:r>
        <w:rPr>
          <w:noProof/>
        </w:rPr>
        <w:t>. Historically, in</w:t>
      </w:r>
      <w:r>
        <w:rPr>
          <w:noProof/>
        </w:rPr>
        <w:noBreakHyphen/>
        <w:t>work poverty has been higher in Portugal than in most EU Member States but it was on a declining path before 2008. In 2015 (the data reflecting 2014 incomes), it stood at 1</w:t>
      </w:r>
      <w:r>
        <w:rPr>
          <w:noProof/>
        </w:rPr>
        <w:t>0.9 %, against the EU average of 9.5 %. The slight increase in in</w:t>
      </w:r>
      <w:r>
        <w:rPr>
          <w:noProof/>
        </w:rPr>
        <w:noBreakHyphen/>
        <w:t>work poverty, as compared to the previous two years, seems to indicate that the first period of the labour market recovery, which started in early 2013, increased median income more than tha</w:t>
      </w:r>
      <w:r>
        <w:rPr>
          <w:noProof/>
        </w:rPr>
        <w:t>t of low</w:t>
      </w:r>
      <w:r>
        <w:rPr>
          <w:noProof/>
        </w:rPr>
        <w:noBreakHyphen/>
        <w:t>wage earners. A large proportion of atypical employment contracts and high involuntary part</w:t>
      </w:r>
      <w:r>
        <w:rPr>
          <w:noProof/>
        </w:rPr>
        <w:noBreakHyphen/>
        <w:t>time employment may also contribute to this trend. In</w:t>
      </w:r>
      <w:r>
        <w:rPr>
          <w:noProof/>
        </w:rPr>
        <w:noBreakHyphen/>
        <w:t>work poverty among individuals with temporary contracts was twice that of people with a permanent con</w:t>
      </w:r>
      <w:r>
        <w:rPr>
          <w:noProof/>
        </w:rPr>
        <w:t>tract (13.3 % v 6.5 %, respectively) in 2015. In addition, households with dependent children are particularly vulnerable to in</w:t>
      </w:r>
      <w:r>
        <w:rPr>
          <w:noProof/>
        </w:rPr>
        <w:noBreakHyphen/>
        <w:t xml:space="preserve">work poverty (12.7 % compared to 11.2 % in the EU). The minimum wage increase of October 2014 is not yet fully reflected in the </w:t>
      </w:r>
      <w:r>
        <w:rPr>
          <w:noProof/>
        </w:rPr>
        <w:t>latest wave of social indicators, since they reflect 2014 incomes. The same holds for the subsequent increases until January 2017, which might potentially have a reducing effect on in</w:t>
      </w:r>
      <w:r>
        <w:rPr>
          <w:noProof/>
        </w:rPr>
        <w:noBreakHyphen/>
        <w:t>work poverty.</w:t>
      </w:r>
    </w:p>
    <w:p w:rsidR="00BB0B51" w:rsidRDefault="00AA53B1">
      <w:pPr>
        <w:rPr>
          <w:noProof/>
        </w:rPr>
      </w:pPr>
      <w:r>
        <w:rPr>
          <w:b/>
          <w:noProof/>
        </w:rPr>
        <w:t>Several measures were adopted in 2016 to improve the incom</w:t>
      </w:r>
      <w:r>
        <w:rPr>
          <w:b/>
          <w:noProof/>
        </w:rPr>
        <w:t>e conditions of people in low</w:t>
      </w:r>
      <w:r>
        <w:rPr>
          <w:b/>
          <w:noProof/>
        </w:rPr>
        <w:noBreakHyphen/>
        <w:t>income households</w:t>
      </w:r>
      <w:r>
        <w:rPr>
          <w:noProof/>
        </w:rPr>
        <w:t>. After some measures to widen the coverage of the minimum income scheme (</w:t>
      </w:r>
      <w:r>
        <w:rPr>
          <w:noProof/>
          <w:vertAlign w:val="superscript"/>
        </w:rPr>
        <w:footnoteReference w:id="27"/>
      </w:r>
      <w:r>
        <w:rPr>
          <w:noProof/>
        </w:rPr>
        <w:t>) in early 2016, the number of individuals benefiting from the scheme has been increasing steadily since March (when the changes becam</w:t>
      </w:r>
      <w:r>
        <w:rPr>
          <w:noProof/>
        </w:rPr>
        <w:t>e effective). The number of beneficiaries rose to 214 000 in November 2016, while the mean value rose to EUR 252.70 per household. Though this is considerably below the poverty threshold, it represents an increase of 17.9 % in the monthly mean value per ho</w:t>
      </w:r>
      <w:r>
        <w:rPr>
          <w:noProof/>
        </w:rPr>
        <w:t>usehold if compared to February. While the minimum income on its own is not sufficient to reduce the risk of poverty, it plays an important role in mitigating the intensity and severity of poverty.</w:t>
      </w:r>
    </w:p>
    <w:p w:rsidR="00BB0B51" w:rsidRDefault="00AA53B1">
      <w:pPr>
        <w:rPr>
          <w:noProof/>
        </w:rPr>
      </w:pPr>
      <w:r>
        <w:rPr>
          <w:b/>
          <w:noProof/>
        </w:rPr>
        <w:t>Changes in child benefits and in social benefit for the el</w:t>
      </w:r>
      <w:r>
        <w:rPr>
          <w:b/>
          <w:noProof/>
        </w:rPr>
        <w:t>derly have a positive, though limited, impact on poverty reduction.</w:t>
      </w:r>
      <w:r>
        <w:rPr>
          <w:noProof/>
        </w:rPr>
        <w:t xml:space="preserve"> Given the large proportion of children at risk of poverty or social exclusion (29.1 % in 2015), in January 2016 the government increased monthly child benefits by between 2 % and 3.5 % as </w:t>
      </w:r>
      <w:r>
        <w:rPr>
          <w:noProof/>
        </w:rPr>
        <w:t>well as the extra income given to lone parent families from 20 % to 35 %. However, the increase in general child benefits for households is marginal, while the monthly increase in the extra amount paid to single parent households is slightly more significa</w:t>
      </w:r>
      <w:r>
        <w:rPr>
          <w:noProof/>
        </w:rPr>
        <w:t>nt.</w:t>
      </w:r>
    </w:p>
    <w:p w:rsidR="00BB0B51" w:rsidRDefault="00AA53B1">
      <w:pPr>
        <w:rPr>
          <w:noProof/>
        </w:rPr>
      </w:pPr>
      <w:r>
        <w:rPr>
          <w:b/>
          <w:noProof/>
        </w:rPr>
        <w:t>Older people continue to show lower risk of poverty and social exclusion than the working</w:t>
      </w:r>
      <w:r>
        <w:rPr>
          <w:b/>
          <w:noProof/>
        </w:rPr>
        <w:noBreakHyphen/>
        <w:t>age population.</w:t>
      </w:r>
      <w:r>
        <w:rPr>
          <w:noProof/>
        </w:rPr>
        <w:t xml:space="preserve"> The impact of the fiscal adjustment in recent years was sharper for young and working</w:t>
      </w:r>
      <w:r>
        <w:rPr>
          <w:noProof/>
        </w:rPr>
        <w:noBreakHyphen/>
        <w:t>age people than pensioners. Government spending on education</w:t>
      </w:r>
      <w:r>
        <w:rPr>
          <w:noProof/>
        </w:rPr>
        <w:t xml:space="preserve"> and social benefits for family and children fell by 16 % between 2007 and 2014, while expenditure directed towards older people, such as healthcare and pensions, increased by 14 %. In 2015, the AROPE among those aged 65 and above was 21.7 %, against 25.2 </w:t>
      </w:r>
      <w:r>
        <w:rPr>
          <w:noProof/>
        </w:rPr>
        <w:t>% among 25</w:t>
      </w:r>
      <w:r>
        <w:rPr>
          <w:noProof/>
        </w:rPr>
        <w:noBreakHyphen/>
        <w:t>54</w:t>
      </w:r>
      <w:r>
        <w:rPr>
          <w:noProof/>
        </w:rPr>
        <w:noBreakHyphen/>
        <w:t>year</w:t>
      </w:r>
      <w:r>
        <w:rPr>
          <w:noProof/>
        </w:rPr>
        <w:noBreakHyphen/>
        <w:t>olds. However, the risk of poverty or social exclusion for older people remains higher than the EU average. In this regard, the reference value of the elderly solidarity supplement was increased through three legislative changes from EUR</w:t>
      </w:r>
      <w:r>
        <w:rPr>
          <w:noProof/>
        </w:rPr>
        <w:t> 4 909 in 2015 to EUR 5 084 in 2017. This social benefit may help reduce the at</w:t>
      </w:r>
      <w:r>
        <w:rPr>
          <w:noProof/>
        </w:rPr>
        <w:noBreakHyphen/>
        <w:t>risk</w:t>
      </w:r>
      <w:r>
        <w:rPr>
          <w:noProof/>
        </w:rPr>
        <w:noBreakHyphen/>
        <w:t>of</w:t>
      </w:r>
      <w:r>
        <w:rPr>
          <w:noProof/>
        </w:rPr>
        <w:noBreakHyphen/>
        <w:t>poverty rate for the elderly, although the number of people benefiting from the measure has fallen slightly by comparison with 2015. According to the Portuguese authori</w:t>
      </w:r>
      <w:r>
        <w:rPr>
          <w:noProof/>
        </w:rPr>
        <w:t>ties, some potential beneficiaries are failing to claim their entitlements because they are unaware of the eligibility criteria. In 2016, the authorities launched a national awareness campaign to tackle this issue.</w:t>
      </w:r>
    </w:p>
    <w:p w:rsidR="00BB0B51" w:rsidRDefault="00AA53B1">
      <w:pPr>
        <w:rPr>
          <w:noProof/>
        </w:rPr>
      </w:pPr>
      <w:r>
        <w:rPr>
          <w:b/>
          <w:noProof/>
        </w:rPr>
        <w:t>A new social benefit was introduced for u</w:t>
      </w:r>
      <w:r>
        <w:rPr>
          <w:b/>
          <w:noProof/>
        </w:rPr>
        <w:t>nemployed who no longer have access to unemployment benefits or assistance</w:t>
      </w:r>
      <w:r>
        <w:rPr>
          <w:noProof/>
        </w:rPr>
        <w:t>. This benefit, established in March 2016, is payable for a maximum of 180 days. It amounts to 80 % of the last social assistance benefit paid. Like the unemployment assistance schem</w:t>
      </w:r>
      <w:r>
        <w:rPr>
          <w:noProof/>
        </w:rPr>
        <w:t>e, it is means</w:t>
      </w:r>
      <w:r>
        <w:rPr>
          <w:noProof/>
        </w:rPr>
        <w:noBreakHyphen/>
        <w:t>tested (</w:t>
      </w:r>
      <w:r>
        <w:rPr>
          <w:noProof/>
          <w:vertAlign w:val="superscript"/>
        </w:rPr>
        <w:footnoteReference w:id="28"/>
      </w:r>
      <w:r>
        <w:rPr>
          <w:noProof/>
        </w:rPr>
        <w:t>). According to the National Reform Programme, this measure is designed to reach 70 000 people until 2020. Up until November 2016, 3 065 people were covered.</w:t>
      </w:r>
    </w:p>
    <w:p w:rsidR="00BB0B51" w:rsidRDefault="00AA53B1">
      <w:pPr>
        <w:rPr>
          <w:noProof/>
        </w:rPr>
      </w:pPr>
      <w:r>
        <w:rPr>
          <w:b/>
          <w:noProof/>
        </w:rPr>
        <w:t xml:space="preserve">Overall, the health of the Portuguese population is good yet some </w:t>
      </w:r>
      <w:r>
        <w:rPr>
          <w:b/>
          <w:noProof/>
        </w:rPr>
        <w:t>indicators point to potential inequalities in access</w:t>
      </w:r>
      <w:r>
        <w:rPr>
          <w:noProof/>
        </w:rPr>
        <w:t>. Access to primary health care is limited; in 2015, 10 % of the population did not have a family doctor. One reason for this is the uneven geographic distribution of doctors. Consolidating current govern</w:t>
      </w:r>
      <w:r>
        <w:rPr>
          <w:noProof/>
        </w:rPr>
        <w:t>ment action to recruit family doctors and promote their mobility could be beneficial in the context of a well</w:t>
      </w:r>
      <w:r>
        <w:rPr>
          <w:noProof/>
        </w:rPr>
        <w:noBreakHyphen/>
        <w:t>oriented health care reform. However, it is not yet possible to give a full assessment of the results of the reform. There is a high share of out</w:t>
      </w:r>
      <w:r>
        <w:rPr>
          <w:noProof/>
        </w:rPr>
        <w:noBreakHyphen/>
      </w:r>
      <w:r>
        <w:rPr>
          <w:noProof/>
        </w:rPr>
        <w:t>of</w:t>
      </w:r>
      <w:r>
        <w:rPr>
          <w:noProof/>
        </w:rPr>
        <w:noBreakHyphen/>
        <w:t>pocket expenditure and a low share of public financing of pharmaceutical expenditure, even though the state covers 100 % of spending in some cases (Eurostat/WHO data). Mortality due to respiratory diseases and healthy life years for females rank among t</w:t>
      </w:r>
      <w:r>
        <w:rPr>
          <w:noProof/>
        </w:rPr>
        <w:t>he worst in the EU. Portuguese women live longer periods with disease or disability than the EU average, which shortens their working lives. This could be due in part to a shortage of health promotion and disease prevention activities which tend to address</w:t>
      </w:r>
      <w:r>
        <w:rPr>
          <w:noProof/>
        </w:rPr>
        <w:t xml:space="preserve"> healthy life styles and disease screening.</w:t>
      </w:r>
    </w:p>
    <w:p w:rsidR="00BB0B51" w:rsidRDefault="00AA53B1">
      <w:pPr>
        <w:pStyle w:val="NumberedHeading1"/>
        <w:tabs>
          <w:tab w:val="left" w:pos="567"/>
        </w:tabs>
        <w:rPr>
          <w:noProof/>
        </w:rPr>
      </w:pPr>
      <w:r>
        <w:rPr>
          <w:noProof/>
        </w:rPr>
        <w:t>4.3.3.</w:t>
      </w:r>
      <w:r>
        <w:rPr>
          <w:noProof/>
        </w:rPr>
        <w:tab/>
        <w:t>Education</w:t>
      </w:r>
    </w:p>
    <w:p w:rsidR="00BB0B51" w:rsidRDefault="00AA53B1">
      <w:pPr>
        <w:rPr>
          <w:noProof/>
        </w:rPr>
      </w:pPr>
      <w:r>
        <w:rPr>
          <w:b/>
          <w:noProof/>
        </w:rPr>
        <w:t>The Portuguese school system has improved its basic skills outcomes but performance gaps linked to students' socioeconomic background remain a challenge.</w:t>
      </w:r>
      <w:r>
        <w:rPr>
          <w:noProof/>
        </w:rPr>
        <w:t xml:space="preserve"> Portugal is continuing to reduce early sc</w:t>
      </w:r>
      <w:r>
        <w:rPr>
          <w:noProof/>
        </w:rPr>
        <w:t>hool</w:t>
      </w:r>
      <w:r>
        <w:rPr>
          <w:noProof/>
        </w:rPr>
        <w:noBreakHyphen/>
        <w:t>leaving. With a rate of 13.7 % in 2015, the country is moving towards the Europe 2020 national target of 10 %. The 2015 Trends in International Mathematics and Science Study shows that fourth</w:t>
      </w:r>
      <w:r>
        <w:rPr>
          <w:noProof/>
        </w:rPr>
        <w:noBreakHyphen/>
        <w:t>year pupils (nine</w:t>
      </w:r>
      <w:r>
        <w:rPr>
          <w:noProof/>
        </w:rPr>
        <w:noBreakHyphen/>
        <w:t>year</w:t>
      </w:r>
      <w:r>
        <w:rPr>
          <w:noProof/>
        </w:rPr>
        <w:noBreakHyphen/>
        <w:t>olds) in Portugal improved their per</w:t>
      </w:r>
      <w:r>
        <w:rPr>
          <w:noProof/>
        </w:rPr>
        <w:t>formance in mathematics between 2011 and 2015. The 2015 OECD Programme for International Student Assessment (PISA) showed that Portugal had improved its average performance levels. The share of low achievers in reading, maths and sciences among 15</w:t>
      </w:r>
      <w:r>
        <w:rPr>
          <w:noProof/>
        </w:rPr>
        <w:noBreakHyphen/>
        <w:t>year</w:t>
      </w:r>
      <w:r>
        <w:rPr>
          <w:noProof/>
        </w:rPr>
        <w:noBreakHyphen/>
        <w:t>old</w:t>
      </w:r>
      <w:r>
        <w:rPr>
          <w:noProof/>
        </w:rPr>
        <w:t>s dropped. The proportion of low achievers is now lower than the EU average in reading and science but slightly higher in maths. The impact of socioeconomic status on student performance is closer to the EU average but remains significant. Rates of low ach</w:t>
      </w:r>
      <w:r>
        <w:rPr>
          <w:noProof/>
        </w:rPr>
        <w:t>ievers are below 10 % among the upper social quarter but around 30 % among the lower one. The gap in performance between non</w:t>
      </w:r>
      <w:r>
        <w:rPr>
          <w:noProof/>
        </w:rPr>
        <w:noBreakHyphen/>
        <w:t>immigrants and both first and second</w:t>
      </w:r>
      <w:r>
        <w:rPr>
          <w:noProof/>
        </w:rPr>
        <w:noBreakHyphen/>
        <w:t xml:space="preserve">generation immigrants is small, especially in reading and science. </w:t>
      </w:r>
    </w:p>
    <w:p w:rsidR="00BB0B51" w:rsidRDefault="00AA53B1">
      <w:pPr>
        <w:rPr>
          <w:noProof/>
        </w:rPr>
      </w:pPr>
      <w:r>
        <w:rPr>
          <w:b/>
          <w:noProof/>
        </w:rPr>
        <w:t xml:space="preserve">The government is </w:t>
      </w:r>
      <w:r>
        <w:rPr>
          <w:b/>
          <w:noProof/>
        </w:rPr>
        <w:t>implementing a plan to promote school success.</w:t>
      </w:r>
      <w:r>
        <w:rPr>
          <w:noProof/>
        </w:rPr>
        <w:t xml:space="preserve"> Approved in March 2016 it is designed to address education inequalities and preventing school failure. The plan is based on a closer cooperation between schools and municipal authorities so as to develop speci</w:t>
      </w:r>
      <w:r>
        <w:rPr>
          <w:noProof/>
        </w:rPr>
        <w:t>fic strategic plans adapted to their local needs. It provides schools with additional teaching hours to implement pedagogical projects and improve students' basic skills. In June 2016, 663 education centres had joined this Plan most of which will benefit f</w:t>
      </w:r>
      <w:r>
        <w:rPr>
          <w:noProof/>
        </w:rPr>
        <w:t>rom 100 additional teaching hours over the 2016</w:t>
      </w:r>
      <w:r>
        <w:rPr>
          <w:noProof/>
        </w:rPr>
        <w:noBreakHyphen/>
        <w:t xml:space="preserve">2017 school year. Each school will also benefit from 10 specific training actions provided by 91 training centres. This Plan, although it does not preclude the implementation of the Autonomy Contracts signed </w:t>
      </w:r>
      <w:r>
        <w:rPr>
          <w:noProof/>
        </w:rPr>
        <w:t>over the past three years with more than 200 schools nonetheless puts their renewal and continuation on hold.</w:t>
      </w:r>
    </w:p>
    <w:p w:rsidR="00BB0B51" w:rsidRDefault="00AA53B1">
      <w:pPr>
        <w:rPr>
          <w:noProof/>
        </w:rPr>
      </w:pPr>
      <w:r>
        <w:rPr>
          <w:b/>
          <w:noProof/>
        </w:rPr>
        <w:t>High rates of grade repetition weigh on education costs, social inclusion and labour market outcomes.</w:t>
      </w:r>
      <w:r>
        <w:rPr>
          <w:noProof/>
        </w:rPr>
        <w:t xml:space="preserve"> With 31 % of students having repeated an aca</w:t>
      </w:r>
      <w:r>
        <w:rPr>
          <w:noProof/>
        </w:rPr>
        <w:t xml:space="preserve">demic year, Portugal shows the third highest rate in the EU (PISA, 2016). The social gap is significant, with rates over 52 % among disadvantaged students and less than 9 % among advantaged ones. This is estimated to increase public education costs by EUR </w:t>
      </w:r>
      <w:r>
        <w:rPr>
          <w:noProof/>
        </w:rPr>
        <w:t>250 million a year. The upward trend in grade retention has reverted in 2014</w:t>
      </w:r>
      <w:r>
        <w:rPr>
          <w:noProof/>
        </w:rPr>
        <w:noBreakHyphen/>
        <w:t>2015 but remains high at 15 % in secondary school (National Education Council 2015a). Successive grade retention increases the risk of dropping out of school and lowers attainment</w:t>
      </w:r>
      <w:r>
        <w:rPr>
          <w:noProof/>
        </w:rPr>
        <w:t xml:space="preserve"> expectations (OECD, 2012), translating into lower professional achievement and wages. The previous programmes of basic vocational education and training for students required to repeat several academic years are now over. The government proposes to tackle</w:t>
      </w:r>
      <w:r>
        <w:rPr>
          <w:noProof/>
        </w:rPr>
        <w:t xml:space="preserve"> school failure by improving tutoring support to students and reasserting the value of transferable skills in the curricula. Students experiencing difficulties will have four hours of tutoring a week with teachers who have received special training. The ne</w:t>
      </w:r>
      <w:r>
        <w:rPr>
          <w:noProof/>
        </w:rPr>
        <w:t>w tutoring system is also expected to help make better use of teaching staff and reduce the number of teachers without jobs.</w:t>
      </w:r>
    </w:p>
    <w:p w:rsidR="00BB0B51" w:rsidRDefault="00AA53B1">
      <w:pPr>
        <w:rPr>
          <w:noProof/>
        </w:rPr>
      </w:pPr>
      <w:r>
        <w:rPr>
          <w:b/>
          <w:noProof/>
        </w:rPr>
        <w:t>The composition of the teaching force shows some mismatch.</w:t>
      </w:r>
      <w:r>
        <w:rPr>
          <w:noProof/>
        </w:rPr>
        <w:t xml:space="preserve"> The failing demographic trend and consecutive reforms of the curricula i</w:t>
      </w:r>
      <w:r>
        <w:rPr>
          <w:noProof/>
        </w:rPr>
        <w:t>n primary and secondary education have reduced teaching needs in some areas. A significant number of teachers have thus been left with no professional assignment. On the other hand, limits to retraining these trainers as well as budget constraints to recru</w:t>
      </w:r>
      <w:r>
        <w:rPr>
          <w:noProof/>
        </w:rPr>
        <w:t>iting new teachers have limited the possibility of dealing with new requirements, such as special education needs (National Education Council 2015b) with specific skills and in the regions where those are required. The rise in the average age of teachers h</w:t>
      </w:r>
      <w:r>
        <w:rPr>
          <w:noProof/>
        </w:rPr>
        <w:t>as also increased the average cost of teaching hours since older teachers have higher salaries and shorter teaching schedules. There is also a worrying segmentation in terms of contracts. Many new teachers are hired on a fixed</w:t>
      </w:r>
      <w:r>
        <w:rPr>
          <w:noProof/>
        </w:rPr>
        <w:noBreakHyphen/>
        <w:t xml:space="preserve">term contract, although they </w:t>
      </w:r>
      <w:r>
        <w:rPr>
          <w:noProof/>
        </w:rPr>
        <w:t>are actually filling a permanent position. This creates inefficiencies in human resources management and career uncertainty for teachers. Possible improvements in this area will probably be explored by the upcoming School Resource Review on Portugal led by</w:t>
      </w:r>
      <w:r>
        <w:rPr>
          <w:noProof/>
        </w:rPr>
        <w:t xml:space="preserve"> the OECD.</w:t>
      </w:r>
    </w:p>
    <w:p w:rsidR="00BB0B51" w:rsidRDefault="00AA53B1">
      <w:pPr>
        <w:rPr>
          <w:noProof/>
        </w:rPr>
      </w:pPr>
      <w:r>
        <w:rPr>
          <w:b/>
          <w:noProof/>
        </w:rPr>
        <w:t>While graduates have a high employment rate, many seek opportunities abroad, which limit the effectiveness of spending in higher education.</w:t>
      </w:r>
      <w:r>
        <w:rPr>
          <w:noProof/>
        </w:rPr>
        <w:t xml:space="preserve"> According to the Emigration Observatory, Portugal is one of the European countries with the highest rates</w:t>
      </w:r>
      <w:r>
        <w:rPr>
          <w:noProof/>
        </w:rPr>
        <w:t xml:space="preserve"> of highly qualified individuals who emigrate (11 %). Demand for tertiary qualifications is however increasing with graduates' employability rate in the labour market (81.5 %) exceeding that of people with upper secondary qualifications (68.3 %) (</w:t>
      </w:r>
      <w:r>
        <w:rPr>
          <w:noProof/>
          <w:vertAlign w:val="superscript"/>
        </w:rPr>
        <w:footnoteReference w:id="29"/>
      </w:r>
      <w:r>
        <w:rPr>
          <w:noProof/>
        </w:rPr>
        <w:t>). But l</w:t>
      </w:r>
      <w:r>
        <w:rPr>
          <w:noProof/>
        </w:rPr>
        <w:t>imited career prospects and low wage levels limit the economic return on the education investment. They make highly skilled youngsters look for better opportunities abroad (European Commission 2016b) and in some cases might make higher education less attra</w:t>
      </w:r>
      <w:r>
        <w:rPr>
          <w:noProof/>
        </w:rPr>
        <w:t xml:space="preserve">ctive. In particular this may have contributed to the fall in enrolment of about 30 % between 2011 and 2014 (PORDATA). Enrolment stabilised in 2015 and rose by 2.2 % in 2016. </w:t>
      </w:r>
    </w:p>
    <w:p w:rsidR="00BB0B51" w:rsidRDefault="00AA53B1">
      <w:pPr>
        <w:rPr>
          <w:noProof/>
        </w:rPr>
      </w:pPr>
      <w:r>
        <w:rPr>
          <w:b/>
          <w:noProof/>
        </w:rPr>
        <w:t>The higher education offer is quite heterogeneous and does not necessarily match</w:t>
      </w:r>
      <w:r>
        <w:rPr>
          <w:b/>
          <w:noProof/>
        </w:rPr>
        <w:t xml:space="preserve"> actual demand.</w:t>
      </w:r>
      <w:r>
        <w:rPr>
          <w:noProof/>
        </w:rPr>
        <w:t xml:space="preserve"> So far, the polytechnic institutes have been at the centre of the strategy to modernise higher education. Decree Law No 63/2016 upgrades the higher education technical vocational courses (</w:t>
      </w:r>
      <w:r>
        <w:rPr>
          <w:i/>
          <w:noProof/>
        </w:rPr>
        <w:t>CTeSP</w:t>
      </w:r>
      <w:r>
        <w:rPr>
          <w:noProof/>
        </w:rPr>
        <w:t xml:space="preserve">) by integrating them into the Legal Regime of </w:t>
      </w:r>
      <w:r>
        <w:rPr>
          <w:noProof/>
        </w:rPr>
        <w:t xml:space="preserve">degrees and higher education diplomas. This increases further an already dispersed scope of higher education programmes. Yet, it is expected to consolidate the new upward trend in enrolment on such courses and encourage cooperation with business. Business </w:t>
      </w:r>
      <w:r>
        <w:rPr>
          <w:noProof/>
        </w:rPr>
        <w:t>sciences, computing, personal services and engineering are sectors where CTeSP courses are expanding most. Universities have not been included in this modernisation effort. The low mobility of academics in Portuguese universities also limits their competit</w:t>
      </w:r>
      <w:r>
        <w:rPr>
          <w:noProof/>
        </w:rPr>
        <w:t xml:space="preserve">iveness in terms of quality of teaching and projects, which reduces their efficiency (National Education Council 2015b). The Government has requested a higher education review to explore avenues for reforms in the higher education system. Few universities </w:t>
      </w:r>
      <w:r>
        <w:rPr>
          <w:noProof/>
        </w:rPr>
        <w:t>have engaged in specific cooperation projects with companies at regional level. However, the Government has made some efforts in encouraging the interaction between universities and the business sector, but a comprehensive and integrated strategy is missin</w:t>
      </w:r>
      <w:r>
        <w:rPr>
          <w:noProof/>
        </w:rPr>
        <w:t xml:space="preserve">g. The upcoming second phase of the National Skills Strategy project could open up new opportunities to make progress on this issue. </w:t>
      </w:r>
    </w:p>
    <w:p w:rsidR="00BB0B51" w:rsidRDefault="00AA53B1">
      <w:pPr>
        <w:rPr>
          <w:noProof/>
        </w:rPr>
      </w:pPr>
      <w:r>
        <w:rPr>
          <w:b/>
          <w:noProof/>
        </w:rPr>
        <w:t>The low level of skills among the Portuguese labour force is an obstacle to innovation and economic transformation</w:t>
      </w:r>
      <w:r>
        <w:rPr>
          <w:noProof/>
        </w:rPr>
        <w:t>. The Go</w:t>
      </w:r>
      <w:r>
        <w:rPr>
          <w:noProof/>
        </w:rPr>
        <w:t>vernment's new initiative to promote adult education Programa Qualifica – is based, namely, in the establishment of the ‘Qualifica’ centres focused on promoting adult qualification by recognizing, validating and certifying prior learning and competences ac</w:t>
      </w:r>
      <w:r>
        <w:rPr>
          <w:noProof/>
        </w:rPr>
        <w:t>quired by adults in different life contects complemented by vocational education and training adapted to each individual. The revamped ‘Qualifica’ centres, that replaced the previous network of specialized Centres on adult qualification, have been reinforc</w:t>
      </w:r>
      <w:r>
        <w:rPr>
          <w:noProof/>
        </w:rPr>
        <w:t xml:space="preserve">ed with upskilled staff. The government has also launched the ‘Qualifica passport’, a new online tool that not only registers the learning and competences acquired by adults, but also allows to understand what the adult lacks in order to achieve a certain </w:t>
      </w:r>
      <w:r>
        <w:rPr>
          <w:noProof/>
        </w:rPr>
        <w:t xml:space="preserve">qualification. The outcomes of the National Skills Strategy project could help boost efforts to tackle adults' skills gaps. The Vocational Education and Training system further expanded the number of people enrolled and the number of trainings provided in </w:t>
      </w:r>
      <w:r>
        <w:rPr>
          <w:noProof/>
        </w:rPr>
        <w:t>2016. However, the remaining overlap between programmes undermines the system's efficiency and its effectiveness in terms of labour market integration (European Commission 2016b).</w:t>
      </w:r>
    </w:p>
    <w:p w:rsidR="00BB0B51" w:rsidRDefault="00AA53B1">
      <w:pPr>
        <w:rPr>
          <w:noProof/>
        </w:rPr>
      </w:pPr>
      <w:r>
        <w:rPr>
          <w:b/>
          <w:noProof/>
        </w:rPr>
        <w:t>Digital skills remain a barrier for upgrading the labour force skills</w:t>
      </w:r>
      <w:r>
        <w:rPr>
          <w:noProof/>
        </w:rPr>
        <w:t>. About</w:t>
      </w:r>
      <w:r>
        <w:rPr>
          <w:noProof/>
        </w:rPr>
        <w:t xml:space="preserve"> 22 % of people in the Portuguese labour force have no digital skills (mostly because they do not use the internet regularly), about double the EU average. Only 54 % has basic or above basic digital skills (63 % EU average) (Digital Scoreboard 2017, Europe</w:t>
      </w:r>
      <w:r>
        <w:rPr>
          <w:noProof/>
        </w:rPr>
        <w:t>an Commission). In a global context of rapid digitisation of organisations and work environments, insufficient digital skills can hamper productivity and the transition towards a higher value production structure. The digital skills deficit also applies to</w:t>
      </w:r>
      <w:r>
        <w:rPr>
          <w:noProof/>
        </w:rPr>
        <w:t xml:space="preserve"> the Portuguese population, chiefly the elderly, low</w:t>
      </w:r>
      <w:r>
        <w:rPr>
          <w:noProof/>
        </w:rPr>
        <w:noBreakHyphen/>
        <w:t>income and low</w:t>
      </w:r>
      <w:r>
        <w:rPr>
          <w:noProof/>
        </w:rPr>
        <w:noBreakHyphen/>
        <w:t>education groups. This situation is acknowledged in the Portuguese Digital Agenda Strategy, although few details on budgeting or implementation measures are currently available. Together w</w:t>
      </w:r>
      <w:r>
        <w:rPr>
          <w:noProof/>
        </w:rPr>
        <w:t>ith limited affordability and switching costs, it might be hampering the take</w:t>
      </w:r>
      <w:r>
        <w:rPr>
          <w:noProof/>
        </w:rPr>
        <w:noBreakHyphen/>
        <w:t>up of broadband and digital services (</w:t>
      </w:r>
      <w:r>
        <w:rPr>
          <w:noProof/>
          <w:vertAlign w:val="superscript"/>
        </w:rPr>
        <w:footnoteReference w:id="30"/>
      </w:r>
      <w:r>
        <w:rPr>
          <w:noProof/>
        </w:rPr>
        <w:t>).</w:t>
      </w:r>
    </w:p>
    <w:p w:rsidR="00BB0B51" w:rsidRDefault="00BB0B51">
      <w:pPr>
        <w:rPr>
          <w:noProof/>
        </w:rPr>
        <w:sectPr w:rsidR="00BB0B51">
          <w:headerReference w:type="even" r:id="rId83"/>
          <w:headerReference w:type="default" r:id="rId84"/>
          <w:footerReference w:type="even" r:id="rId85"/>
          <w:footerReference w:type="default" r:id="rId86"/>
          <w:headerReference w:type="first" r:id="rId87"/>
          <w:footerReference w:type="first" r:id="rId88"/>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8"/>
        <w:framePr w:wrap="notBeside"/>
        <w:rPr>
          <w:noProof/>
        </w:rPr>
      </w:pPr>
      <w:bookmarkStart w:id="34" w:name="_Toc474773041"/>
      <w:bookmarkEnd w:id="34"/>
      <w:r>
        <w:rPr>
          <w:noProof/>
        </w:rPr>
        <w:t>4.4. Investment</w:t>
      </w:r>
    </w:p>
    <w:p w:rsidR="00BB0B51" w:rsidRDefault="00AA53B1">
      <w:pPr>
        <w:pStyle w:val="NumberedHeading1"/>
        <w:tabs>
          <w:tab w:val="left" w:pos="567"/>
        </w:tabs>
        <w:rPr>
          <w:noProof/>
        </w:rPr>
      </w:pPr>
      <w:r>
        <w:rPr>
          <w:noProof/>
        </w:rPr>
        <w:t>4.4.1.</w:t>
      </w:r>
      <w:r>
        <w:rPr>
          <w:noProof/>
        </w:rPr>
        <w:tab/>
      </w:r>
      <w:r>
        <w:rPr>
          <w:rFonts w:eastAsia="Calibri"/>
          <w:noProof/>
        </w:rPr>
        <w:t>ublic and private Investment*</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4.4.1:</w:t>
            </w:r>
            <w:r>
              <w:rPr>
                <w:b/>
                <w:noProof/>
              </w:rPr>
              <w:tab/>
              <w:t>Investment productivity</w:t>
            </w:r>
          </w:p>
        </w:tc>
      </w:tr>
      <w:tr w:rsidR="00BB0B51">
        <w:trPr>
          <w:cantSplit/>
        </w:trPr>
        <w:tc>
          <w:tcPr>
            <w:tcW w:w="4110" w:type="dxa"/>
            <w:shd w:val="clear" w:color="auto" w:fill="auto"/>
          </w:tcPr>
          <w:p w:rsidR="00BB0B51" w:rsidRDefault="00AA53B1">
            <w:pPr>
              <w:pStyle w:val="GraphShape"/>
              <w:rPr>
                <w:noProof/>
                <w:sz w:val="2"/>
              </w:rPr>
            </w:pPr>
            <w:bookmarkStart w:id="35" w:name="_Toc474773078"/>
            <w:bookmarkEnd w:id="35"/>
            <w:r>
              <w:rPr>
                <w:noProof/>
                <w:sz w:val="2"/>
                <w:lang w:eastAsia="en-GB"/>
              </w:rPr>
              <w:drawing>
                <wp:inline distT="0" distB="0" distL="0" distR="0" wp14:anchorId="533A3CC4" wp14:editId="7C3A00FE">
                  <wp:extent cx="2597595" cy="2440702"/>
                  <wp:effectExtent l="0" t="0" r="0" b="0"/>
                  <wp:docPr id="31" name="Picture 31" descr="&lt;_DISABLED_nbr_DISABLED_&gt;&lt;GETTEXTFROMWORD&gt;&lt;/nbr&gt;&#10;&lt;title&gt;&lt;GETTEXTFROMWORD&gt;&lt;/title&gt;&#10;&lt;_DISABLED_id_DISABLED_&gt;f165c26a-8a2c-479c-8624-5009bb05964b&lt;/id&gt;&#10;&lt;srcType&gt;EXCEL&lt;/srcType&gt;&#10;&lt;srcPath&gt;O:\2017 CRs\22 PT\Graphs\&lt;/srcPath&gt;&#10;&lt;srcName&gt;PT CR_2017_Graphs_and_Tables.xlsx&lt;/srcName&gt;&#10;&lt;type&gt;graph&lt;/type&gt;&#10; &lt;srcSheet&gt;Graph 3.4.14-ICO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Portugal suffers from low investment and, during the last years, from low investment productivity.</w:t>
      </w:r>
      <w:r>
        <w:rPr>
          <w:noProof/>
        </w:rPr>
        <w:t xml:space="preserve"> Overall, weak growth prospects and difficulties in the financial sector and in the business environment have contributed over past years to low investment activities. After some rebound in 2015, construction investment fell again in the first half of 2016</w:t>
      </w:r>
      <w:r>
        <w:rPr>
          <w:noProof/>
        </w:rPr>
        <w:t xml:space="preserve"> (Box </w:t>
      </w:r>
      <w:r>
        <w:rPr>
          <w:noProof/>
        </w:rPr>
        <w:fldChar w:fldCharType="begin"/>
      </w:r>
      <w:r>
        <w:rPr>
          <w:noProof/>
        </w:rPr>
        <w:instrText xml:space="preserve"> QUOTE "4.4.1" </w:instrText>
      </w:r>
      <w:r>
        <w:rPr>
          <w:noProof/>
        </w:rPr>
        <w:fldChar w:fldCharType="separate"/>
      </w:r>
      <w:r>
        <w:rPr>
          <w:noProof/>
        </w:rPr>
        <w:t>4.4.1</w:t>
      </w:r>
      <w:r>
        <w:rPr>
          <w:noProof/>
        </w:rPr>
        <w:fldChar w:fldCharType="end"/>
      </w:r>
      <w:r>
        <w:rPr>
          <w:noProof/>
        </w:rPr>
        <w:t xml:space="preserve">). Over the last quarters, investment in machinery and equipment has fared better than construction investment. Strong growth in transport equipment has been the main contributor to positive dynamics of investment in machinery </w:t>
      </w:r>
      <w:r>
        <w:rPr>
          <w:noProof/>
        </w:rPr>
        <w:t>and equipment. However, once market saturation is reached, the growth rate is expected to decline. Over the medium term, investment is set to gather pace.</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4.4.2:</w:t>
            </w:r>
            <w:r>
              <w:rPr>
                <w:b/>
                <w:noProof/>
              </w:rPr>
              <w:tab/>
              <w:t>Investment and its components</w:t>
            </w:r>
          </w:p>
        </w:tc>
      </w:tr>
      <w:tr w:rsidR="00BB0B51">
        <w:trPr>
          <w:cantSplit/>
        </w:trPr>
        <w:tc>
          <w:tcPr>
            <w:tcW w:w="4110" w:type="dxa"/>
            <w:shd w:val="clear" w:color="auto" w:fill="auto"/>
          </w:tcPr>
          <w:p w:rsidR="00BB0B51" w:rsidRDefault="00AA53B1">
            <w:pPr>
              <w:pStyle w:val="GraphShape"/>
              <w:rPr>
                <w:noProof/>
                <w:sz w:val="2"/>
              </w:rPr>
            </w:pPr>
            <w:bookmarkStart w:id="36" w:name="_Toc474773079"/>
            <w:bookmarkEnd w:id="36"/>
            <w:r>
              <w:rPr>
                <w:noProof/>
                <w:sz w:val="2"/>
                <w:lang w:eastAsia="en-GB"/>
              </w:rPr>
              <w:drawing>
                <wp:inline distT="0" distB="0" distL="0" distR="0" wp14:anchorId="58450FA6" wp14:editId="6C764B6A">
                  <wp:extent cx="2597595" cy="2440702"/>
                  <wp:effectExtent l="0" t="0" r="0" b="0"/>
                  <wp:docPr id="32" name="Picture 32" descr="&lt;_DISABLED_nbr_DISABLED_&gt;&lt;GETTEXTFROMWORD&gt;&lt;/nbr&gt;&#10;&lt;title&gt;&lt;GETTEXTFROMWORD&gt;&lt;/title&gt;&#10;&lt;_DISABLED_id_DISABLED_&gt;dc458b07-50e4-4c51-bbf1-64292030bda3&lt;/id&gt;&#10;&lt;srcType&gt;EXCEL&lt;/srcType&gt;&#10;&lt;srcPath&gt;O:\2017 CRs\22 PT\Graphs\&lt;/srcPath&gt;&#10;&lt;srcName&gt;PT CR_2017_Graphs_and_Tables.xlsx&lt;/srcName&gt;&#10;&lt;type&gt;graph&lt;/type&gt;&#10; &lt;srcSheet&gt;Graph 3.4.15-GKF_by_typ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Greenfield foreign direct</w:t>
      </w:r>
      <w:r>
        <w:rPr>
          <w:b/>
          <w:noProof/>
        </w:rPr>
        <w:t xml:space="preserve"> investment (FDI) remains below pre</w:t>
      </w:r>
      <w:r>
        <w:rPr>
          <w:b/>
          <w:noProof/>
        </w:rPr>
        <w:noBreakHyphen/>
        <w:t>crisis levels in Portugal.</w:t>
      </w:r>
      <w:r>
        <w:rPr>
          <w:noProof/>
        </w:rPr>
        <w:t xml:space="preserve"> The empirical results show that FDI can have a significant positive impact on growth by enhancing domestic capital accumulation, particularly in the most productive areas. In this respect, an a</w:t>
      </w:r>
      <w:r>
        <w:rPr>
          <w:noProof/>
        </w:rPr>
        <w:t>dequate public infrastructure and an investment</w:t>
      </w:r>
      <w:r>
        <w:rPr>
          <w:noProof/>
        </w:rPr>
        <w:noBreakHyphen/>
        <w:t>friendly labour market and reduction in the cost of doing business could raise the marginal return of capital in general and stimulate foreign direct investment inflow.</w:t>
      </w:r>
    </w:p>
    <w:p w:rsidR="00BB0B51" w:rsidRDefault="00AA53B1">
      <w:pPr>
        <w:rPr>
          <w:noProof/>
        </w:rPr>
      </w:pPr>
      <w:r>
        <w:rPr>
          <w:b/>
          <w:noProof/>
        </w:rPr>
        <w:t>Subdued public investment has also play</w:t>
      </w:r>
      <w:r>
        <w:rPr>
          <w:b/>
          <w:noProof/>
        </w:rPr>
        <w:t>ed a role in holding back private investment.</w:t>
      </w:r>
      <w:r>
        <w:rPr>
          <w:noProof/>
        </w:rPr>
        <w:t xml:space="preserve"> From a theoretical perspective, public investment can have both positive and negative effects on private investment. According to empirical evidence, expansionary effects and crowding</w:t>
      </w:r>
      <w:r>
        <w:rPr>
          <w:noProof/>
        </w:rPr>
        <w:noBreakHyphen/>
        <w:t>in prevailed in Portugal i</w:t>
      </w:r>
      <w:r>
        <w:rPr>
          <w:noProof/>
        </w:rPr>
        <w:t>n the past (Afonso and Aubyn 2008). Thus, taking into account the delay in budget execution processes over the first half of 2016 and the likely increase in implementation of projects co-financed by EU funds, a more positive outcome in public investment an</w:t>
      </w:r>
      <w:r>
        <w:rPr>
          <w:noProof/>
        </w:rPr>
        <w:t>d some positive spillover to the private sector could be expected over the forecast horizon.</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4.4.3:</w:t>
            </w:r>
            <w:r>
              <w:rPr>
                <w:b/>
                <w:noProof/>
              </w:rPr>
              <w:tab/>
              <w:t>Private and public investments</w:t>
            </w:r>
          </w:p>
        </w:tc>
      </w:tr>
      <w:tr w:rsidR="00BB0B51">
        <w:trPr>
          <w:cantSplit/>
        </w:trPr>
        <w:tc>
          <w:tcPr>
            <w:tcW w:w="4110" w:type="dxa"/>
            <w:shd w:val="clear" w:color="auto" w:fill="auto"/>
          </w:tcPr>
          <w:p w:rsidR="00BB0B51" w:rsidRDefault="00AA53B1">
            <w:pPr>
              <w:pStyle w:val="GraphShape"/>
              <w:rPr>
                <w:noProof/>
                <w:sz w:val="2"/>
              </w:rPr>
            </w:pPr>
            <w:bookmarkStart w:id="37" w:name="_Toc474773080"/>
            <w:bookmarkEnd w:id="37"/>
            <w:r>
              <w:rPr>
                <w:noProof/>
                <w:sz w:val="2"/>
                <w:lang w:eastAsia="en-GB"/>
              </w:rPr>
              <w:drawing>
                <wp:inline distT="0" distB="0" distL="0" distR="0" wp14:anchorId="113801DE" wp14:editId="2CAC6BC1">
                  <wp:extent cx="2597595" cy="2440702"/>
                  <wp:effectExtent l="0" t="0" r="0" b="0"/>
                  <wp:docPr id="19" name="Picture 19" descr="&lt;_DISABLED_nbr_DISABLED_&gt;&lt;GETTEXTFROMWORD&gt;&lt;/nbr&gt;&#10;&lt;title&gt;&lt;GETTEXTFROMWORD&gt;&lt;/title&gt;&#10;&lt;_DISABLED_id_DISABLED_&gt;68c2dc03-2811-4b46-9366-cb5917ddbdbe&lt;/id&gt;&#10;&lt;srcType&gt;EXCEL&lt;/srcType&gt;&#10;&lt;srcPath&gt;O:\2017 CRs\22 PT\Graphs\&lt;/srcPath&gt;&#10;&lt;srcName&gt;PT CR_2017_Graphs_and_Tables.xlsx&lt;/srcName&gt;&#10;&lt;type&gt;graph&lt;/type&gt;&#10; &lt;srcSheet&gt;Graph 3.4.16- Invest_pub+priv&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pStyle w:val="NumberedHeading1"/>
        <w:tabs>
          <w:tab w:val="left" w:pos="567"/>
        </w:tabs>
        <w:rPr>
          <w:noProof/>
        </w:rPr>
      </w:pPr>
      <w:r>
        <w:rPr>
          <w:noProof/>
        </w:rPr>
        <w:t>4.4.2.</w:t>
      </w:r>
      <w:r>
        <w:rPr>
          <w:noProof/>
        </w:rPr>
        <w:tab/>
        <w:t>ACCESS TO FINANCE AND INVESTMENT INCENTIVES *</w:t>
      </w:r>
    </w:p>
    <w:p w:rsidR="00BB0B51" w:rsidRDefault="00AA53B1">
      <w:pPr>
        <w:rPr>
          <w:noProof/>
        </w:rPr>
      </w:pPr>
      <w:r>
        <w:rPr>
          <w:b/>
          <w:noProof/>
        </w:rPr>
        <w:t xml:space="preserve">Credit conditions have been </w:t>
      </w:r>
      <w:r>
        <w:rPr>
          <w:b/>
          <w:noProof/>
        </w:rPr>
        <w:t>gradually improving on the demand and the supply side but access to finance remains a major concern for small and medium</w:t>
      </w:r>
      <w:r>
        <w:rPr>
          <w:b/>
          <w:noProof/>
        </w:rPr>
        <w:noBreakHyphen/>
        <w:t>sized enterprises (SMEs).</w:t>
      </w:r>
      <w:r>
        <w:rPr>
          <w:noProof/>
        </w:rPr>
        <w:t xml:space="preserve"> According to the 2016 European Central Bank Survey on access to finance (SAFE), 27 % of Portuguese SMEs repor</w:t>
      </w:r>
      <w:r>
        <w:rPr>
          <w:noProof/>
        </w:rPr>
        <w:t>ted an increase in bank loan availability in 2015, while in 2016 this percentage fell to 24 % (against a growing EU average of 21 %). Access to finance, however, remains the fourth most important (and growing) concern of 11 % of Portuguese SMEs (compared t</w:t>
      </w:r>
      <w:r>
        <w:rPr>
          <w:noProof/>
        </w:rPr>
        <w:t>o an average of 9 % at EU level, which is falling). Bank loans remain the most relevant form of external financing for 57 % of Portuguese SMEs (50 % at EU level). Demand for credit went up as the percentage of SMEs who applied for a bank loan rose substant</w:t>
      </w:r>
      <w:r>
        <w:rPr>
          <w:noProof/>
        </w:rPr>
        <w:t xml:space="preserve">ially, from 22 % to 27 %, against a stable EU average of 27 %. At the same time, supply restrictions also seem to have eased as the loan application rejection went down dramatically: while, in 2015, 11 % of Portuguese SMEs applied for a bank loan but were </w:t>
      </w:r>
      <w:r>
        <w:rPr>
          <w:noProof/>
        </w:rPr>
        <w:t>rejected, in 2016 the number decreased to 4 %, against a stable EU average of 7 %. However, the percentage of Portuguese SMEs which did not manage to get the full amount of loan rose from 34 % to 42 %, against a falling EU average that reached 30 % in 2016</w:t>
      </w:r>
      <w:r>
        <w:rPr>
          <w:noProof/>
        </w:rPr>
        <w:t>.</w:t>
      </w:r>
    </w:p>
    <w:p w:rsidR="00BB0B51" w:rsidRDefault="00AA53B1">
      <w:pPr>
        <w:rPr>
          <w:noProof/>
        </w:rPr>
      </w:pPr>
      <w:r>
        <w:rPr>
          <w:b/>
          <w:noProof/>
        </w:rPr>
        <w:t>In July 2016, the authorities have launched the Capitalizar Programme designed mainly to encourage private investment.</w:t>
      </w:r>
      <w:r>
        <w:rPr>
          <w:noProof/>
        </w:rPr>
        <w:t xml:space="preserve"> The programme establishes new credit lines for SMEs, the creation of specialised funds that would participate in private investments an</w:t>
      </w:r>
      <w:r>
        <w:rPr>
          <w:noProof/>
        </w:rPr>
        <w:t>d changes in the tax regime to support investment. Credit lines are managed by the Financial Institute of Development (FDI) and financed by the European Structural and Investment Funds jointly with the public counterpart. The new lines enacted entail state</w:t>
      </w:r>
      <w:r>
        <w:rPr>
          <w:noProof/>
        </w:rPr>
        <w:t xml:space="preserve"> guarantees and higher amounts of credit than those granted in the past, plus — in some cases— the involvement of financial intermediaries which would co</w:t>
      </w:r>
      <w:r>
        <w:rPr>
          <w:noProof/>
        </w:rPr>
        <w:noBreakHyphen/>
        <w:t>invest in SMEs. Investments in such businesses would benefit from co</w:t>
      </w:r>
      <w:r>
        <w:rPr>
          <w:noProof/>
        </w:rPr>
        <w:noBreakHyphen/>
        <w:t xml:space="preserve">participation from public funds, </w:t>
      </w:r>
      <w:r>
        <w:rPr>
          <w:noProof/>
        </w:rPr>
        <w:t>such as the Equity and Quasi</w:t>
      </w:r>
      <w:r>
        <w:rPr>
          <w:noProof/>
        </w:rPr>
        <w:noBreakHyphen/>
        <w:t>Equity Funds, or Fundo 200M, which seek to create synergies with local and foreign private investors, including through venture capital and business angels schemes. As regards taxation, changes (also included in the Budget Law)</w:t>
      </w:r>
      <w:r>
        <w:rPr>
          <w:noProof/>
        </w:rPr>
        <w:t xml:space="preserve"> entail provisions that confer neutrality on the tax treatment between debt and equity financing; expand of the amount of investment benefiting from tax credit and defer and simplify the VAT payment for the import of raw materials. Finally, the programme a</w:t>
      </w:r>
      <w:r>
        <w:rPr>
          <w:noProof/>
        </w:rPr>
        <w:t>lso grants tax reliefs to individual investors who purchase shares in start</w:t>
      </w:r>
      <w:r>
        <w:rPr>
          <w:noProof/>
        </w:rPr>
        <w:noBreakHyphen/>
        <w:t>ups or small enterprises for at least four</w:t>
      </w:r>
      <w:r>
        <w:rPr>
          <w:noProof/>
        </w:rPr>
        <w:noBreakHyphen/>
        <w:t>years.</w:t>
      </w:r>
    </w:p>
    <w:p w:rsidR="00BB0B51" w:rsidRDefault="00AA53B1">
      <w:pPr>
        <w:pStyle w:val="NumberedHeading1"/>
        <w:tabs>
          <w:tab w:val="left" w:pos="567"/>
        </w:tabs>
        <w:rPr>
          <w:noProof/>
        </w:rPr>
      </w:pPr>
      <w:r>
        <w:rPr>
          <w:noProof/>
        </w:rPr>
        <w:t>4.4.3.</w:t>
      </w:r>
      <w:r>
        <w:rPr>
          <w:noProof/>
        </w:rPr>
        <w:tab/>
        <w:t xml:space="preserve">Business environment/third pillar of the </w:t>
      </w:r>
      <w:r>
        <w:rPr>
          <w:rFonts w:eastAsia="Calibri"/>
          <w:noProof/>
        </w:rPr>
        <w:t>investment</w:t>
      </w:r>
      <w:r>
        <w:rPr>
          <w:noProof/>
        </w:rPr>
        <w:t xml:space="preserve"> plan*</w:t>
      </w:r>
    </w:p>
    <w:p w:rsidR="00BB0B51" w:rsidRDefault="00AA53B1">
      <w:pPr>
        <w:rPr>
          <w:noProof/>
        </w:rPr>
      </w:pPr>
      <w:r>
        <w:rPr>
          <w:b/>
          <w:noProof/>
        </w:rPr>
        <w:t>After having achieved some catching</w:t>
      </w:r>
      <w:r>
        <w:rPr>
          <w:b/>
          <w:noProof/>
        </w:rPr>
        <w:noBreakHyphen/>
        <w:t>up, Portugal's business envir</w:t>
      </w:r>
      <w:r>
        <w:rPr>
          <w:b/>
          <w:noProof/>
        </w:rPr>
        <w:t>onment weakened recently in international comparison.</w:t>
      </w:r>
      <w:r>
        <w:rPr>
          <w:noProof/>
        </w:rPr>
        <w:t xml:space="preserve"> Compared with the previous report, the 2016</w:t>
      </w:r>
      <w:r>
        <w:rPr>
          <w:noProof/>
        </w:rPr>
        <w:noBreakHyphen/>
        <w:t xml:space="preserve">2017 World Economic Forum's Global Competitiveness Report underscored that Portugal's relative ranking has fallen from 38th to 46th out of 138 countries. The </w:t>
      </w:r>
      <w:r>
        <w:rPr>
          <w:noProof/>
        </w:rPr>
        <w:t xml:space="preserve">most problematic areas for doing business in Portugal include tax rates regulations, inefficient government bureaucracy and policy instability, access to finance and restrictive labour regulation (graph </w:t>
      </w:r>
      <w:r>
        <w:rPr>
          <w:noProof/>
        </w:rPr>
        <w:fldChar w:fldCharType="begin"/>
      </w:r>
      <w:r>
        <w:rPr>
          <w:noProof/>
        </w:rPr>
        <w:instrText xml:space="preserve"> QUOTE "4.4.4" </w:instrText>
      </w:r>
      <w:r>
        <w:rPr>
          <w:noProof/>
        </w:rPr>
        <w:fldChar w:fldCharType="separate"/>
      </w:r>
      <w:r>
        <w:rPr>
          <w:noProof/>
        </w:rPr>
        <w:t>4.4.4</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4.4.4:</w:t>
            </w:r>
            <w:r>
              <w:rPr>
                <w:b/>
                <w:noProof/>
              </w:rPr>
              <w:tab/>
              <w:t>Most problema</w:t>
            </w:r>
            <w:r>
              <w:rPr>
                <w:b/>
                <w:noProof/>
              </w:rPr>
              <w:t>tic factors for doing business</w:t>
            </w:r>
          </w:p>
        </w:tc>
      </w:tr>
      <w:tr w:rsidR="00BB0B51">
        <w:trPr>
          <w:cantSplit/>
        </w:trPr>
        <w:tc>
          <w:tcPr>
            <w:tcW w:w="4110" w:type="dxa"/>
            <w:shd w:val="clear" w:color="auto" w:fill="auto"/>
          </w:tcPr>
          <w:p w:rsidR="00BB0B51" w:rsidRDefault="00AA53B1">
            <w:pPr>
              <w:pStyle w:val="GraphShape"/>
              <w:rPr>
                <w:noProof/>
                <w:sz w:val="2"/>
              </w:rPr>
            </w:pPr>
            <w:bookmarkStart w:id="38" w:name="_Toc474773081"/>
            <w:bookmarkEnd w:id="38"/>
            <w:r>
              <w:rPr>
                <w:noProof/>
                <w:sz w:val="2"/>
                <w:lang w:eastAsia="en-GB"/>
              </w:rPr>
              <w:drawing>
                <wp:inline distT="0" distB="0" distL="0" distR="0" wp14:anchorId="6DAE973D" wp14:editId="5DECEDFA">
                  <wp:extent cx="2597595" cy="2440702"/>
                  <wp:effectExtent l="0" t="0" r="0" b="0"/>
                  <wp:docPr id="50" name="Picture 50" descr="&lt;_DISABLED_nbr_DISABLED_&gt;&lt;GETTEXTFROMWORD&gt;&lt;/nbr&gt;&#10;&lt;title&gt;&lt;GETTEXTFROMWORD&gt;&lt;/title&gt;&#10;&lt;_DISABLED_id_DISABLED_&gt;4680bc71-4d61-42d1-b349-b53728e4177f&lt;/id&gt;&#10;&lt;srcType&gt;EXCEL&lt;/srcType&gt;&#10;&lt;srcPath&gt;O:\2017 CRs\22 PT\Graphs\&lt;/srcPath&gt;&#10;&lt;srcName&gt;PT CR_2017_Graphs_and_Tables.xlsx&lt;/srcName&gt;&#10;&lt;type&gt;graph&lt;/type&gt;&#10; &lt;srcSheet&gt;Graph 3.4.17-Prob_doing_bu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World Economic Forum, Executive Opinion Survey 2016</w:t>
            </w:r>
          </w:p>
        </w:tc>
      </w:tr>
    </w:tbl>
    <w:p w:rsidR="00BB0B51" w:rsidRDefault="00AA53B1">
      <w:pPr>
        <w:widowControl w:val="0"/>
        <w:rPr>
          <w:noProof/>
        </w:rPr>
      </w:pPr>
      <w:r>
        <w:rPr>
          <w:noProof/>
        </w:rPr>
        <w:t xml:space="preserve">According to the report, the main problems still lie with the macroeconomic developments (and related expectations) and financial markets. The underperforming </w:t>
      </w:r>
      <w:r>
        <w:rPr>
          <w:noProof/>
        </w:rPr>
        <w:t xml:space="preserve">macroeconomic environment reflects the fact that Portugal has been recovering unevenly from the global financial crisis with public debt still at a high level. Financial markets in Portugal remain weak with the banking sector still burdened by high levels </w:t>
      </w:r>
      <w:r>
        <w:rPr>
          <w:noProof/>
        </w:rPr>
        <w:t>of non</w:t>
      </w:r>
      <w:r>
        <w:rPr>
          <w:noProof/>
        </w:rPr>
        <w:noBreakHyphen/>
        <w:t>performing loans.</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4.4.5:</w:t>
            </w:r>
            <w:r>
              <w:rPr>
                <w:b/>
                <w:noProof/>
              </w:rPr>
              <w:tab/>
              <w:t>World Economic Forum's 2016</w:t>
            </w:r>
            <w:r>
              <w:rPr>
                <w:b/>
                <w:noProof/>
              </w:rPr>
              <w:noBreakHyphen/>
              <w:t>2017 Global Competitiveness Report, Portugal</w:t>
            </w:r>
          </w:p>
        </w:tc>
      </w:tr>
      <w:tr w:rsidR="00BB0B51">
        <w:trPr>
          <w:cantSplit/>
        </w:trPr>
        <w:tc>
          <w:tcPr>
            <w:tcW w:w="4110" w:type="dxa"/>
            <w:shd w:val="clear" w:color="auto" w:fill="auto"/>
          </w:tcPr>
          <w:p w:rsidR="00BB0B51" w:rsidRDefault="00AA53B1">
            <w:pPr>
              <w:pStyle w:val="GraphShape"/>
              <w:rPr>
                <w:noProof/>
                <w:sz w:val="2"/>
              </w:rPr>
            </w:pPr>
            <w:bookmarkStart w:id="39" w:name="_Toc474773082"/>
            <w:bookmarkEnd w:id="39"/>
            <w:r>
              <w:rPr>
                <w:noProof/>
                <w:sz w:val="2"/>
                <w:lang w:eastAsia="en-GB"/>
              </w:rPr>
              <w:drawing>
                <wp:inline distT="0" distB="0" distL="0" distR="0" wp14:anchorId="65728289" wp14:editId="75069F21">
                  <wp:extent cx="2597595" cy="2118691"/>
                  <wp:effectExtent l="0" t="0" r="0" b="0"/>
                  <wp:docPr id="51" name="Picture 51" descr="&lt;_DISABLED_nbr_DISABLED_&gt;&lt;GETTEXTFROMWORD&gt;&lt;/nbr&gt;&#10;&lt;title&gt;&lt;GETTEXTFROMWORD&gt;&lt;/title&gt;&#10;&lt;_DISABLED_id_DISABLED_&gt;ae30446e-eda8-4967-99da-a8fe849e50b2&lt;/id&gt;&#10;&lt;srcType&gt;EXCEL&lt;/srcType&gt;&#10;&lt;srcPath&gt;O:\2017 CRs\22 PT\Graphs\&lt;/srcPath&gt;&#10;&lt;srcName&gt;PT CR_2017_Graphs_and_Tables.xlsx&lt;/srcName&gt;&#10;&lt;type&gt;graph&lt;/type&gt;&#10; &lt;srcSheet&gt;Graph 3.4.18-Global Compe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118691"/>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World Economic Forum, Executive Opinion Survey 2016</w:t>
            </w:r>
          </w:p>
        </w:tc>
      </w:tr>
    </w:tbl>
    <w:p w:rsidR="00BB0B51" w:rsidRDefault="00AA53B1">
      <w:pPr>
        <w:rPr>
          <w:noProof/>
        </w:rPr>
      </w:pPr>
      <w:r>
        <w:rPr>
          <w:b/>
          <w:noProof/>
        </w:rPr>
        <w:t xml:space="preserve">Reforms implemented in recent years have improved the businesses' perception of </w:t>
      </w:r>
      <w:r>
        <w:rPr>
          <w:b/>
          <w:noProof/>
        </w:rPr>
        <w:t>the environment for doing business, but challenges remain.</w:t>
      </w:r>
      <w:r>
        <w:rPr>
          <w:noProof/>
        </w:rPr>
        <w:t xml:space="preserve"> According to the World Bank's Doing Business Report for 2017, in the last year most of the ratings remained stable with some improvements in resolving insolvency and paying taxes, including by enha</w:t>
      </w:r>
      <w:r>
        <w:rPr>
          <w:noProof/>
        </w:rPr>
        <w:t>ncing the online filing system of taxes and decreasing the corporate income tax rate. However, there are aspects of taxation which may pose difficulties to investors, such as the remaining debt bias, complex tax administration and the risk of unpredictable</w:t>
      </w:r>
      <w:r>
        <w:rPr>
          <w:noProof/>
        </w:rPr>
        <w:t xml:space="preserve"> and instable tax rules. Moreover, challenges persist in various areas including services, regulated professions, and better regulation.</w:t>
      </w:r>
    </w:p>
    <w:p w:rsidR="00BB0B51" w:rsidRDefault="00AA53B1">
      <w:pPr>
        <w:rPr>
          <w:noProof/>
        </w:rPr>
      </w:pPr>
      <w:r>
        <w:rPr>
          <w:b/>
          <w:noProof/>
        </w:rPr>
        <w:t>Regulatory bottlenecks and delays in adopting structural reforms are holding back investment</w:t>
      </w:r>
      <w:r>
        <w:rPr>
          <w:noProof/>
        </w:rPr>
        <w:t xml:space="preserve">. Regulatory and </w:t>
      </w:r>
      <w:r>
        <w:rPr>
          <w:noProof/>
        </w:rPr>
        <w:t xml:space="preserve">administrative barriers as well as cumbersome approval procedures still impede investment and growth potential increase in Portugal. Thus, the decline in greenfield foreign direct investment since 2008 can be explained only partially by a cyclical pattern </w:t>
      </w:r>
      <w:r>
        <w:rPr>
          <w:noProof/>
        </w:rPr>
        <w:t>and financial market distress. Empirical studies suggest that there are other factors, besides the Great Recession and systemic shocks hitting the euro area, behind the collapse in greenfield FDI (</w:t>
      </w:r>
      <w:r>
        <w:rPr>
          <w:noProof/>
          <w:vertAlign w:val="superscript"/>
        </w:rPr>
        <w:footnoteReference w:id="31"/>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4.4.6:</w:t>
            </w:r>
            <w:r>
              <w:rPr>
                <w:b/>
                <w:noProof/>
              </w:rPr>
              <w:tab/>
              <w:t>Foreign direct investment</w:t>
            </w:r>
          </w:p>
        </w:tc>
      </w:tr>
      <w:tr w:rsidR="00BB0B51">
        <w:trPr>
          <w:cantSplit/>
        </w:trPr>
        <w:tc>
          <w:tcPr>
            <w:tcW w:w="4110" w:type="dxa"/>
            <w:shd w:val="clear" w:color="auto" w:fill="auto"/>
          </w:tcPr>
          <w:p w:rsidR="00BB0B51" w:rsidRDefault="00AA53B1">
            <w:pPr>
              <w:pStyle w:val="GraphShape"/>
              <w:rPr>
                <w:noProof/>
                <w:sz w:val="2"/>
              </w:rPr>
            </w:pPr>
            <w:bookmarkStart w:id="40" w:name="_Toc474773083"/>
            <w:bookmarkEnd w:id="40"/>
            <w:r>
              <w:rPr>
                <w:noProof/>
                <w:sz w:val="2"/>
                <w:lang w:eastAsia="en-GB"/>
              </w:rPr>
              <w:drawing>
                <wp:inline distT="0" distB="0" distL="0" distR="0" wp14:anchorId="1A139B45" wp14:editId="7D38574A">
                  <wp:extent cx="2597595" cy="1645607"/>
                  <wp:effectExtent l="0" t="0" r="0" b="0"/>
                  <wp:docPr id="52" name="Picture 52" descr="&lt;_DISABLED_nbr_DISABLED_&gt;&lt;GETTEXTFROMWORD&gt;&lt;/nbr&gt;&#10;&lt;title&gt;&lt;GETTEXTFROMWORD&gt;&lt;/title&gt;&#10;&lt;_DISABLED_id_DISABLED_&gt;182ed631-9fc9-44c6-8c7d-46d5316a74c3&lt;/id&gt;&#10;&lt;srcType&gt;EXCEL&lt;/srcType&gt;&#10;&lt;srcPath&gt;O:\2017 CRs\22 PT\Graphs\&lt;/srcPath&gt;&#10;&lt;srcName&gt;PT CR_2017_Graphs_and_Tables.xlsx&lt;/srcName&gt;&#10;&lt;type&gt;graph&lt;/type&gt;&#10; &lt;srcSheet&gt;Graph x.x-FDI&lt;/srcSheet&gt;&#10; &lt;srcChartTitle&gt;Chart 10&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1645607"/>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w:t>
            </w:r>
            <w:r>
              <w:rPr>
                <w:noProof/>
              </w:rPr>
              <w:t>pean Commission</w:t>
            </w:r>
          </w:p>
        </w:tc>
      </w:tr>
    </w:tbl>
    <w:p w:rsidR="00BB0B51" w:rsidRDefault="00AA53B1">
      <w:pPr>
        <w:rPr>
          <w:noProof/>
        </w:rPr>
      </w:pPr>
      <w:r>
        <w:rPr>
          <w:b/>
          <w:noProof/>
        </w:rPr>
        <w:t>Inefficiencies have been identified in the areas of the judicial system, including insolvency framework implementation, public procurement, sector</w:t>
      </w:r>
      <w:r>
        <w:rPr>
          <w:b/>
          <w:noProof/>
        </w:rPr>
        <w:noBreakHyphen/>
        <w:t>specific regulations, including energy and transport, the business environment and the innov</w:t>
      </w:r>
      <w:r>
        <w:rPr>
          <w:b/>
          <w:noProof/>
        </w:rPr>
        <w:t>ation framework</w:t>
      </w:r>
      <w:r>
        <w:rPr>
          <w:noProof/>
        </w:rPr>
        <w:t>. Efficiency indicators for civil, commercial and tax litigation remain poor and insolvency court proceedings are still long. Despite progress, there are still shortcomings as regards the transparency and reliability of public procurement da</w:t>
      </w:r>
      <w:r>
        <w:rPr>
          <w:noProof/>
        </w:rPr>
        <w:t>ta and procedures. Transparency in concession contracts and public</w:t>
      </w:r>
      <w:r>
        <w:rPr>
          <w:noProof/>
        </w:rPr>
        <w:noBreakHyphen/>
        <w:t>private partnerships is still hindered by contracting authorities' lack of the necessary expertise to manage complex contracts. Reform measures concerning port concessions and the governanc</w:t>
      </w:r>
      <w:r>
        <w:rPr>
          <w:noProof/>
        </w:rPr>
        <w:t xml:space="preserve">e model for urban transports have been stalled. The efficiency and sustainability of the electricity sector are challenging mainly due to a still high tariff debt. </w:t>
      </w:r>
    </w:p>
    <w:p w:rsidR="00BB0B51" w:rsidRDefault="00AA53B1">
      <w:pPr>
        <w:rPr>
          <w:noProof/>
        </w:rPr>
      </w:pPr>
      <w:r>
        <w:rPr>
          <w:b/>
          <w:noProof/>
        </w:rPr>
        <w:t>Low levels of efficiency and transparency persist in the Portuguese public administration</w:t>
      </w:r>
      <w:r>
        <w:rPr>
          <w:noProof/>
        </w:rPr>
        <w:t xml:space="preserve">. </w:t>
      </w:r>
      <w:r>
        <w:rPr>
          <w:noProof/>
        </w:rPr>
        <w:t>Administrative burden and the lack of homogeneous implementing practices across the country are delaying the reform of procedures. The main persistent weaknesses in the business environment are restrictions on business services and regulated professions. T</w:t>
      </w:r>
      <w:r>
        <w:rPr>
          <w:noProof/>
        </w:rPr>
        <w:t>he weak performance of business services hampers a more flexible and efficient allocation of resources, a faster adoption of new technologies and the introduction of innovative business models. All this has a detrimental impact on investment, growth and em</w:t>
      </w:r>
      <w:r>
        <w:rPr>
          <w:noProof/>
        </w:rPr>
        <w:t>ployment. The possible support to the investment environment which EU Funds could provide has not yet been fully exploited either. In particular, financial instruments financed by EU structural funds are still being developed and cannot fully ease access t</w:t>
      </w:r>
      <w:r>
        <w:rPr>
          <w:noProof/>
        </w:rPr>
        <w:t>o finance for start</w:t>
      </w:r>
      <w:r>
        <w:rPr>
          <w:noProof/>
        </w:rPr>
        <w:noBreakHyphen/>
        <w:t>ups and small and medium</w:t>
      </w:r>
      <w:r>
        <w:rPr>
          <w:noProof/>
        </w:rPr>
        <w:noBreakHyphen/>
        <w:t xml:space="preserve">sized enterprises. </w:t>
      </w:r>
    </w:p>
    <w:p w:rsidR="00BB0B51" w:rsidRDefault="00AA53B1">
      <w:pPr>
        <w:rPr>
          <w:noProof/>
        </w:rPr>
      </w:pPr>
      <w:r>
        <w:rPr>
          <w:b/>
          <w:noProof/>
        </w:rPr>
        <w:t>Unfavourable framework conditions and inadequate alternative financial incentives continue to curtail Portugal's performance in the area of innovation.</w:t>
      </w:r>
      <w:r>
        <w:rPr>
          <w:noProof/>
        </w:rPr>
        <w:t xml:space="preserve"> Information and communication technolog</w:t>
      </w:r>
      <w:r>
        <w:rPr>
          <w:noProof/>
        </w:rPr>
        <w:t xml:space="preserve">ies are lagging behind and the cooperation between business and academia is not strong enough. This is having a negative impact on the innovation capacity of the Portuguese economy. </w:t>
      </w:r>
    </w:p>
    <w:p w:rsidR="00BB0B51" w:rsidRDefault="00AA53B1">
      <w:pPr>
        <w:pStyle w:val="NumberedHeading1"/>
        <w:tabs>
          <w:tab w:val="left" w:pos="567"/>
        </w:tabs>
        <w:rPr>
          <w:noProof/>
        </w:rPr>
      </w:pPr>
      <w:r>
        <w:rPr>
          <w:noProof/>
        </w:rPr>
        <w:t>4.4.4.</w:t>
      </w:r>
      <w:r>
        <w:rPr>
          <w:noProof/>
        </w:rPr>
        <w:tab/>
        <w:t>External competitiveness*</w:t>
      </w:r>
    </w:p>
    <w:p w:rsidR="00BB0B51" w:rsidRDefault="00AA53B1">
      <w:pPr>
        <w:rPr>
          <w:noProof/>
        </w:rPr>
      </w:pPr>
      <w:r>
        <w:rPr>
          <w:b/>
          <w:noProof/>
        </w:rPr>
        <w:t>The improvement in the current account o</w:t>
      </w:r>
      <w:r>
        <w:rPr>
          <w:b/>
          <w:noProof/>
        </w:rPr>
        <w:t>ver the past years is still insufficient to bring about a substantial reduction in external imbalances.</w:t>
      </w:r>
      <w:r>
        <w:rPr>
          <w:noProof/>
        </w:rPr>
        <w:t xml:space="preserve"> From a deficit of about 12 % of GDP in 2008, the current account of Portugal was broadly balanced in 2012</w:t>
      </w:r>
      <w:r>
        <w:rPr>
          <w:noProof/>
        </w:rPr>
        <w:noBreakHyphen/>
        <w:t xml:space="preserve">2015 and is projected to post small surpluses </w:t>
      </w:r>
      <w:r>
        <w:rPr>
          <w:noProof/>
        </w:rPr>
        <w:t>in the medium run. However, these are still far below the benchmarks needed for substantial reduction in the large stock of external liabilities. The current account adjustment during the crisis years was driven by a strong drop in investment and the paral</w:t>
      </w:r>
      <w:r>
        <w:rPr>
          <w:noProof/>
        </w:rPr>
        <w:t xml:space="preserve">lel consolidation effort by fiscal policy. A change in the fiscal consolidation strategy since the end of the programme with relaxed structural consolidation efforts and emphasis on nominal deficit targets leads to expectations of at best lower surpluses. </w:t>
      </w:r>
      <w:r>
        <w:rPr>
          <w:noProof/>
        </w:rPr>
        <w:t>This shows the policy dilemma when aiming at surpluses which are sufficient to reduce external liabilities: (Efficient) investment is necessary to push potential growth and help modernise the Portuguese economy. Consequently, a current account surplus call</w:t>
      </w:r>
      <w:r>
        <w:rPr>
          <w:noProof/>
        </w:rPr>
        <w:t>s for increased savings; this necessarily entails a (temporary) decrease of consumption.</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4.4.7:</w:t>
            </w:r>
            <w:r>
              <w:rPr>
                <w:b/>
                <w:noProof/>
              </w:rPr>
              <w:tab/>
              <w:t>Component contributions to change in CA balance 2007</w:t>
            </w:r>
            <w:r>
              <w:rPr>
                <w:b/>
                <w:noProof/>
              </w:rPr>
              <w:noBreakHyphen/>
              <w:t>2015</w:t>
            </w:r>
          </w:p>
        </w:tc>
      </w:tr>
      <w:tr w:rsidR="00BB0B51">
        <w:trPr>
          <w:cantSplit/>
        </w:trPr>
        <w:tc>
          <w:tcPr>
            <w:tcW w:w="4110" w:type="dxa"/>
            <w:shd w:val="clear" w:color="auto" w:fill="auto"/>
          </w:tcPr>
          <w:p w:rsidR="00BB0B51" w:rsidRDefault="00AA53B1">
            <w:pPr>
              <w:pStyle w:val="GraphShape"/>
              <w:rPr>
                <w:noProof/>
                <w:sz w:val="2"/>
              </w:rPr>
            </w:pPr>
            <w:bookmarkStart w:id="41" w:name="_Toc474773084"/>
            <w:bookmarkEnd w:id="41"/>
            <w:r>
              <w:rPr>
                <w:noProof/>
                <w:sz w:val="2"/>
                <w:lang w:eastAsia="en-GB"/>
              </w:rPr>
              <w:drawing>
                <wp:inline distT="0" distB="0" distL="0" distR="0" wp14:anchorId="7579BF0B" wp14:editId="5AA3114A">
                  <wp:extent cx="2597595" cy="2440702"/>
                  <wp:effectExtent l="0" t="0" r="0" b="0"/>
                  <wp:docPr id="53" name="Picture 53" descr="&lt;_DISABLED_nbr_DISABLED_&gt;&lt;GETTEXTFROMWORD&gt;&lt;/nbr&gt;&#10;&lt;title&gt;&lt;GETTEXTFROMWORD&gt;&lt;/title&gt;&#10;&lt;_DISABLED_id_DISABLED_&gt;c1406f6e-4ef8-4bcf-b7ea-f23f43b4b184&lt;/id&gt;&#10;&lt;srcType&gt;EXCEL&lt;/srcType&gt;&#10;&lt;srcPath&gt;O:\2017 CRs\22 PT\Graphs\&lt;/srcPath&gt;&#10;&lt;srcName&gt;PT CR_2017_Graphs_and_Tables.xlsx&lt;/srcName&gt;&#10;&lt;type&gt;graph&lt;/type&gt;&#10; &lt;srcSheet&gt;Graph 3.4.19-Contrib_CA_chang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GraphShape"/>
        <w:rPr>
          <w:noProof/>
        </w:rPr>
      </w:pPr>
    </w:p>
    <w:p w:rsidR="00BB0B51" w:rsidRDefault="00AA53B1">
      <w:pPr>
        <w:rPr>
          <w:noProof/>
        </w:rPr>
      </w:pPr>
      <w:r>
        <w:rPr>
          <w:b/>
          <w:noProof/>
        </w:rPr>
        <w:t>The trade balance adjustment is underway though it is proceedi</w:t>
      </w:r>
      <w:r>
        <w:rPr>
          <w:b/>
          <w:noProof/>
        </w:rPr>
        <w:t>ng at a moderate pace</w:t>
      </w:r>
      <w:r>
        <w:rPr>
          <w:noProof/>
        </w:rPr>
        <w:t>. It was composed largely of improvements in exports, mainly services and in particular tourism, against some import compression resulting from weak domestic demand at a time of low disposable income. An improvement in the terms of tra</w:t>
      </w:r>
      <w:r>
        <w:rPr>
          <w:noProof/>
        </w:rPr>
        <w:t>de has had a positive impact on the trade balance. The process started in 2008 with significant improvements in export performance. This was especially visible for goods, whose share in GDP rose from 19 % in 2009 to 28 % in 2015. Between 2010 and 2013, imp</w:t>
      </w:r>
      <w:r>
        <w:rPr>
          <w:noProof/>
        </w:rPr>
        <w:t>rovements in export price competitiveness and product quality contributed to the trade balance adjustment. Within this, the improvement in price competitiveness was facilitated largely by a reduction in unit labour costs in the tradable sector vis</w:t>
      </w:r>
      <w:r>
        <w:rPr>
          <w:noProof/>
        </w:rPr>
        <w:noBreakHyphen/>
        <w:t>à</w:t>
      </w:r>
      <w:r>
        <w:rPr>
          <w:noProof/>
        </w:rPr>
        <w:noBreakHyphen/>
        <w:t>vis th</w:t>
      </w:r>
      <w:r>
        <w:rPr>
          <w:noProof/>
        </w:rPr>
        <w:t>e non</w:t>
      </w:r>
      <w:r>
        <w:rPr>
          <w:noProof/>
        </w:rPr>
        <w:noBreakHyphen/>
        <w:t>tradable. After 2013, following sustained import growth, the trade balance stabilised. Nonetheless, recent data point to some adverse changes in price competitiveness, as unit labour costs started growing again towards the end of 2015 and accelerated</w:t>
      </w:r>
      <w:r>
        <w:rPr>
          <w:noProof/>
        </w:rPr>
        <w:t xml:space="preserve"> further to 2.5 % year</w:t>
      </w:r>
      <w:r>
        <w:rPr>
          <w:noProof/>
        </w:rPr>
        <w:noBreakHyphen/>
        <w:t>on</w:t>
      </w:r>
      <w:r>
        <w:rPr>
          <w:noProof/>
        </w:rPr>
        <w:noBreakHyphen/>
        <w:t>year in the third quarter of 2016. Despite some progress achieved in 2012</w:t>
      </w:r>
      <w:r>
        <w:rPr>
          <w:noProof/>
        </w:rPr>
        <w:noBreakHyphen/>
        <w:t xml:space="preserve">2013, the quality of exports seems to have deteriorated especially as regards food products. In addition, despite the increase in the share of exports over </w:t>
      </w:r>
      <w:r>
        <w:rPr>
          <w:noProof/>
        </w:rPr>
        <w:t>GDP, the market share of many Portuguese products continues to fall. Data show that Portugal has lost market share in 8 of the largest 10 sectors of its economy between 2013 and 2015. In gross terms, the country's export market share improved substantially</w:t>
      </w:r>
      <w:r>
        <w:rPr>
          <w:noProof/>
        </w:rPr>
        <w:t xml:space="preserve"> in 2013 and 2014 but fell by 1 % in 2015.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4.4.8:</w:t>
            </w:r>
            <w:r>
              <w:rPr>
                <w:b/>
                <w:noProof/>
              </w:rPr>
              <w:tab/>
              <w:t>Nominal unit wage costs by sector</w:t>
            </w:r>
          </w:p>
        </w:tc>
      </w:tr>
      <w:tr w:rsidR="00BB0B51">
        <w:trPr>
          <w:cantSplit/>
        </w:trPr>
        <w:tc>
          <w:tcPr>
            <w:tcW w:w="4110" w:type="dxa"/>
            <w:shd w:val="clear" w:color="auto" w:fill="auto"/>
          </w:tcPr>
          <w:p w:rsidR="00BB0B51" w:rsidRDefault="00AA53B1">
            <w:pPr>
              <w:pStyle w:val="GraphShape"/>
              <w:rPr>
                <w:noProof/>
                <w:sz w:val="2"/>
              </w:rPr>
            </w:pPr>
            <w:bookmarkStart w:id="42" w:name="_Toc474773085"/>
            <w:bookmarkEnd w:id="42"/>
            <w:r>
              <w:rPr>
                <w:noProof/>
                <w:sz w:val="2"/>
                <w:lang w:eastAsia="en-GB"/>
              </w:rPr>
              <w:drawing>
                <wp:inline distT="0" distB="0" distL="0" distR="0" wp14:anchorId="3CDB2D4F" wp14:editId="3F65F8FB">
                  <wp:extent cx="2597595" cy="2440702"/>
                  <wp:effectExtent l="0" t="0" r="0" b="0"/>
                  <wp:docPr id="55" name="Picture 55" descr="&lt;_DISABLED_nbr_DISABLED_&gt;&lt;GETTEXTFROMWORD&gt;&lt;/nbr&gt;&#10;&lt;title&gt;&lt;GETTEXTFROMWORD&gt;&lt;/title&gt;&#10;&lt;_DISABLED_id_DISABLED_&gt;adba757f-1221-4aa0-afd0-409b9062891d&lt;/id&gt;&#10;&lt;srcType&gt;EXCEL&lt;/srcType&gt;&#10;&lt;srcPath&gt;O:\2017 CRs\22 PT\Graphs\&lt;/srcPath&gt;&#10;&lt;srcName&gt;PT CR_2017_Graphs_and_Tables.xlsx&lt;/srcName&gt;&#10;&lt;type&gt;graph&lt;/type&gt;&#10; &lt;srcSheet&gt;Graph 3.4.22-sectoral_AMECO&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bookmarkStart w:id="43" w:name="_Toc474773092"/>
            <w:bookmarkEnd w:id="43"/>
            <w:r>
              <w:rPr>
                <w:noProof/>
              </w:rPr>
              <w:t>Graph 4.4.9:</w:t>
            </w:r>
            <w:r>
              <w:rPr>
                <w:b/>
                <w:noProof/>
              </w:rPr>
              <w:tab/>
              <w:t>Average Quality Rank in the 5 biggest exporting manufacturing sectors</w:t>
            </w:r>
          </w:p>
        </w:tc>
      </w:tr>
      <w:tr w:rsidR="00BB0B51">
        <w:trPr>
          <w:cantSplit/>
        </w:trPr>
        <w:tc>
          <w:tcPr>
            <w:tcW w:w="4110" w:type="dxa"/>
            <w:shd w:val="clear" w:color="auto" w:fill="auto"/>
          </w:tcPr>
          <w:p w:rsidR="00BB0B51" w:rsidRDefault="00AA53B1">
            <w:pPr>
              <w:pStyle w:val="GraphShape"/>
              <w:rPr>
                <w:noProof/>
                <w:sz w:val="2"/>
              </w:rPr>
            </w:pPr>
            <w:bookmarkStart w:id="44" w:name="_Toc474773086"/>
            <w:bookmarkEnd w:id="44"/>
            <w:r>
              <w:rPr>
                <w:noProof/>
                <w:sz w:val="2"/>
                <w:lang w:eastAsia="en-GB"/>
              </w:rPr>
              <w:drawing>
                <wp:inline distT="0" distB="0" distL="0" distR="0" wp14:anchorId="460D8163" wp14:editId="0F298264">
                  <wp:extent cx="2597595" cy="2440702"/>
                  <wp:effectExtent l="0" t="0" r="0" b="0"/>
                  <wp:docPr id="56" name="Picture 56" descr="&lt;_DISABLED_nbr_DISABLED_&gt;&lt;GETTEXTFROMWORD&gt;&lt;/nbr&gt;&#10;&lt;title&gt;&lt;GETTEXTFROMWORD&gt;&lt;/title&gt;&#10;&lt;_DISABLED_id_DISABLED_&gt;a22d64c5-dace-4576-a69e-9b31770064f6&lt;/id&gt;&#10;&lt;srcType&gt;EXCEL&lt;/srcType&gt;&#10;&lt;srcPath&gt;O:\2017 CRs\22 PT\Graphs\&lt;/srcPath&gt;&#10;&lt;srcName&gt;PT CR_2017_Graphs_and_Tables.xlsx&lt;/srcName&gt;&#10;&lt;type&gt;graph&lt;/type&gt;&#10; &lt;srcSheet&gt;Graph 3.4.23-Av_Qual_exp_manuf&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4.4.10:</w:t>
            </w:r>
            <w:r>
              <w:rPr>
                <w:b/>
                <w:noProof/>
              </w:rPr>
              <w:tab/>
            </w:r>
            <w:r>
              <w:rPr>
                <w:b/>
                <w:noProof/>
              </w:rPr>
              <w:t>Dynamism and Competitiveness of Exports (goods) on top</w:t>
            </w:r>
            <w:r>
              <w:rPr>
                <w:b/>
                <w:noProof/>
              </w:rPr>
              <w:noBreakHyphen/>
              <w:t>10 sector destinations (2013</w:t>
            </w:r>
            <w:r>
              <w:rPr>
                <w:b/>
                <w:noProof/>
              </w:rPr>
              <w:noBreakHyphen/>
              <w:t>2015)</w:t>
            </w:r>
          </w:p>
        </w:tc>
      </w:tr>
      <w:tr w:rsidR="00BB0B51">
        <w:trPr>
          <w:cantSplit/>
        </w:trPr>
        <w:tc>
          <w:tcPr>
            <w:tcW w:w="4110" w:type="dxa"/>
            <w:shd w:val="clear" w:color="auto" w:fill="auto"/>
          </w:tcPr>
          <w:p w:rsidR="00BB0B51" w:rsidRDefault="00AA53B1">
            <w:pPr>
              <w:pStyle w:val="GraphShape"/>
              <w:rPr>
                <w:noProof/>
                <w:sz w:val="2"/>
              </w:rPr>
            </w:pPr>
            <w:bookmarkStart w:id="45" w:name="_Toc474773087"/>
            <w:bookmarkEnd w:id="45"/>
            <w:r>
              <w:rPr>
                <w:noProof/>
                <w:sz w:val="2"/>
                <w:lang w:eastAsia="en-GB"/>
              </w:rPr>
              <w:drawing>
                <wp:inline distT="0" distB="0" distL="0" distR="0" wp14:anchorId="467BFE7C" wp14:editId="1DDEB1D1">
                  <wp:extent cx="2597595" cy="2440702"/>
                  <wp:effectExtent l="0" t="0" r="0" b="0"/>
                  <wp:docPr id="57" name="Picture 57" descr="&lt;_DISABLED_nbr_DISABLED_&gt;&lt;GETTEXTFROMWORD&gt;&lt;/nbr&gt;&#10;&lt;title&gt;&lt;GETTEXTFROMWORD&gt;&lt;/title&gt;&#10;&lt;_DISABLED_id_DISABLED_&gt;8d6f7849-f44f-45da-912f-216230390422&lt;/id&gt;&#10;&lt;srcType&gt;EXCEL&lt;/srcType&gt;&#10;&lt;srcPath&gt;O:\2017 CRs\22 PT\Graphs\&lt;/srcPath&gt;&#10;&lt;srcName&gt;PT CR_2017_Graphs_and_Tables.xlsx&lt;/srcName&gt;&#10;&lt;type&gt;graph&lt;/type&gt;&#10; &lt;srcSheet&gt;Graph 3.4.24-dynamism_sctr&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Footnote"/>
              <w:keepNext/>
              <w:rPr>
                <w:noProof/>
              </w:rPr>
            </w:pPr>
            <w:r>
              <w:rPr>
                <w:noProof/>
              </w:rPr>
              <w:t>(1) The size of the bubble indicates the share in total exports. Market dynamism is the difference between the annualised growth rates of world exports per market</w:t>
            </w:r>
            <w:r>
              <w:rPr>
                <w:noProof/>
              </w:rPr>
              <w:t xml:space="preserve"> and global world exports. Competitiveness is the difference between the annualised growth rates of Portugal’s exports per market and world exports per market.</w:t>
            </w:r>
            <w:r>
              <w:rPr>
                <w:noProof/>
              </w:rPr>
              <w:br/>
              <w:t>(2) The numbers inside the bubbles identify the sectors according to sections of HS Commodity Cl</w:t>
            </w:r>
            <w:r>
              <w:rPr>
                <w:noProof/>
              </w:rPr>
              <w:t>assification as follows: 4. Prepared Food stuffs, Beverages, Tobacco; 5. Mineral Products; 6. Chemical Products; 7. Plastics and Rubber; 10. Pulp Of Wood And Paper; 11.Textiles And Textile Articles; 12. Footwear, Headgear, Umbrellas; 15. Base Metals; 16. M</w:t>
            </w:r>
            <w:r>
              <w:rPr>
                <w:noProof/>
              </w:rPr>
              <w:t>achinery; Electrical Equipment; 17. Vehicles, Aircraft, Vessels ;</w:t>
            </w:r>
          </w:p>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Pr>
        <w:tc>
          <w:tcPr>
            <w:tcW w:w="8505" w:type="dxa"/>
            <w:shd w:val="clear" w:color="auto" w:fill="F7FCFF"/>
          </w:tcPr>
          <w:p w:rsidR="00BB0B51" w:rsidRDefault="00AA53B1">
            <w:pPr>
              <w:pStyle w:val="BoxShape"/>
              <w:rPr>
                <w:noProof/>
                <w:sz w:val="2"/>
              </w:rPr>
            </w:pPr>
            <w:r>
              <w:rPr>
                <w:noProof/>
                <w:sz w:val="2"/>
                <w:lang w:eastAsia="en-GB"/>
              </w:rPr>
              <w:drawing>
                <wp:inline distT="0" distB="0" distL="0" distR="0" wp14:anchorId="03585F71" wp14:editId="70523496">
                  <wp:extent cx="5040929" cy="6733300"/>
                  <wp:effectExtent l="0" t="0" r="7620" b="0"/>
                  <wp:docPr id="58" name="Picture 58" descr="&lt;_DISABLED_nbr_DISABLED_&gt;4.4.1&lt;/nbr&gt;&#10;&lt;title&gt;Investment Box&lt;/title&gt;&#10;&lt;_DISABLED_id_DISABLED_&gt;905bb32a-21c7-4133-a03e-3b73f875f797&lt;/id&gt;&#10;&lt;srcType&gt;WORD&lt;/srcType&gt;&#10;&lt;srcPath&gt;O:\2017 CRs\22 PT\Boxes\&lt;/srcPath&gt;&#10;&lt;srcName&gt;BOX-Investment.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3T18:11:1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0929" cy="6733300"/>
                          </a:xfrm>
                          <a:prstGeom prst="rect">
                            <a:avLst/>
                          </a:prstGeom>
                          <a:noFill/>
                          <a:ln>
                            <a:noFill/>
                          </a:ln>
                        </pic:spPr>
                      </pic:pic>
                    </a:graphicData>
                  </a:graphic>
                </wp:inline>
              </w:drawing>
            </w:r>
          </w:p>
        </w:tc>
      </w:tr>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Height w:val="20"/>
        </w:trPr>
        <w:tc>
          <w:tcPr>
            <w:tcW w:w="8505" w:type="dxa"/>
            <w:shd w:val="clear" w:color="auto" w:fill="F7FCFF"/>
          </w:tcPr>
          <w:p w:rsidR="00BB0B51" w:rsidRDefault="00BB0B51">
            <w:pPr>
              <w:pStyle w:val="SlimCell"/>
              <w:rPr>
                <w:noProof/>
              </w:rPr>
            </w:pPr>
          </w:p>
        </w:tc>
      </w:tr>
    </w:tbl>
    <w:p w:rsidR="00BB0B51" w:rsidRDefault="00BB0B51">
      <w:pPr>
        <w:rPr>
          <w:noProof/>
        </w:rPr>
        <w:sectPr w:rsidR="00BB0B51">
          <w:headerReference w:type="even" r:id="rId100"/>
          <w:headerReference w:type="default" r:id="rId101"/>
          <w:footerReference w:type="even" r:id="rId102"/>
          <w:footerReference w:type="default" r:id="rId103"/>
          <w:headerReference w:type="first" r:id="rId104"/>
          <w:footerReference w:type="first" r:id="rId105"/>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9"/>
        <w:framePr w:wrap="notBeside"/>
        <w:rPr>
          <w:noProof/>
        </w:rPr>
      </w:pPr>
      <w:bookmarkStart w:id="46" w:name="_Toc474773042"/>
      <w:bookmarkEnd w:id="46"/>
      <w:r>
        <w:rPr>
          <w:noProof/>
        </w:rPr>
        <w:t xml:space="preserve">4.5. Sectoral </w:t>
      </w:r>
      <w:r>
        <w:rPr>
          <w:noProof/>
        </w:rPr>
        <w:t>policies</w:t>
      </w:r>
    </w:p>
    <w:p w:rsidR="00BB0B51" w:rsidRDefault="00AA53B1">
      <w:pPr>
        <w:pStyle w:val="NumberedHeading1"/>
        <w:tabs>
          <w:tab w:val="left" w:pos="567"/>
        </w:tabs>
        <w:rPr>
          <w:noProof/>
        </w:rPr>
      </w:pPr>
      <w:r>
        <w:rPr>
          <w:noProof/>
        </w:rPr>
        <w:t>4.5.1.</w:t>
      </w:r>
      <w:r>
        <w:rPr>
          <w:noProof/>
        </w:rPr>
        <w:tab/>
        <w:t>R&amp;D and innovation*</w:t>
      </w:r>
    </w:p>
    <w:p w:rsidR="00BB0B51" w:rsidRDefault="00AA53B1">
      <w:pPr>
        <w:rPr>
          <w:noProof/>
        </w:rPr>
      </w:pPr>
      <w:r>
        <w:rPr>
          <w:b/>
          <w:noProof/>
        </w:rPr>
        <w:t>Despite some progress, the economy does not make the most of its scientific production and related human resources</w:t>
      </w:r>
      <w:r>
        <w:rPr>
          <w:noProof/>
        </w:rPr>
        <w:t>. R&amp;D intensity fell from 1.58 % of GDP in 2009 to 1.28 % in 2015, diverging further from the EU average o</w:t>
      </w:r>
      <w:r>
        <w:rPr>
          <w:noProof/>
        </w:rPr>
        <w:t>f 2.04 % and the national target. The main reason for the decline was a contraction of business enterprise R&amp;D expenditures from 0.75 % of GDP in 2009 to 0.60 % in 2015. Public R&amp;D intensity fell after 2009, but there are signs of recovery (2009: 0.69 %; 2</w:t>
      </w:r>
      <w:r>
        <w:rPr>
          <w:noProof/>
        </w:rPr>
        <w:t>015: 0.66 %). This reduction of R&amp;D investments adversely affected productivity growth (</w:t>
      </w:r>
      <w:r>
        <w:rPr>
          <w:noProof/>
          <w:vertAlign w:val="superscript"/>
        </w:rPr>
        <w:footnoteReference w:id="32"/>
      </w:r>
      <w:r>
        <w:rPr>
          <w:noProof/>
        </w:rPr>
        <w:t>). Portugal has made much progress in improving its human resources base in science and technology and its scientific excellence. The country produces more science and</w:t>
      </w:r>
      <w:r>
        <w:rPr>
          <w:noProof/>
        </w:rPr>
        <w:t xml:space="preserve"> engineering graduates and has more researchers in the labour force than the EU average (Eurostat). Highly cited scientific publications increased from 7.6 % in 2006 to 9.0 % in 2013 but the country still ranks only 16</w:t>
      </w:r>
      <w:r>
        <w:rPr>
          <w:noProof/>
          <w:vertAlign w:val="superscript"/>
        </w:rPr>
        <w:t>th</w:t>
      </w:r>
      <w:r>
        <w:rPr>
          <w:noProof/>
        </w:rPr>
        <w:t xml:space="preserve"> in the EU. However, Portugal ranks </w:t>
      </w:r>
      <w:r>
        <w:rPr>
          <w:noProof/>
        </w:rPr>
        <w:t>low (around one fifth of the EU average) on public</w:t>
      </w:r>
      <w:r>
        <w:rPr>
          <w:noProof/>
        </w:rPr>
        <w:noBreakHyphen/>
        <w:t>private scientific co</w:t>
      </w:r>
      <w:r>
        <w:rPr>
          <w:noProof/>
        </w:rPr>
        <w:noBreakHyphen/>
        <w:t>publications and patent applications. This shows that there are difficulties in developing technological outputs from R&amp;D activities. Portugal occupies a very low (24</w:t>
      </w:r>
      <w:r>
        <w:rPr>
          <w:noProof/>
          <w:vertAlign w:val="superscript"/>
        </w:rPr>
        <w:t>th</w:t>
      </w:r>
      <w:r>
        <w:rPr>
          <w:noProof/>
        </w:rPr>
        <w:t>) position as r</w:t>
      </w:r>
      <w:r>
        <w:rPr>
          <w:noProof/>
        </w:rPr>
        <w:t>egards the Innovation Output Indicator, which measures the extent to which ideas from innovative sectors are able to reach the market. This constrains the transition towards a more innovation</w:t>
      </w:r>
      <w:r>
        <w:rPr>
          <w:noProof/>
        </w:rPr>
        <w:noBreakHyphen/>
        <w:t>driven economy.</w:t>
      </w:r>
    </w:p>
    <w:p w:rsidR="00BB0B51" w:rsidRDefault="00AA53B1">
      <w:pPr>
        <w:rPr>
          <w:noProof/>
        </w:rPr>
      </w:pPr>
      <w:r>
        <w:rPr>
          <w:b/>
          <w:noProof/>
        </w:rPr>
        <w:t xml:space="preserve">There is no integrated strategy for cooperation </w:t>
      </w:r>
      <w:r>
        <w:rPr>
          <w:b/>
          <w:noProof/>
        </w:rPr>
        <w:t>between academia and business to deliver the skills and knowledge needed for innovation</w:t>
      </w:r>
      <w:r>
        <w:rPr>
          <w:noProof/>
        </w:rPr>
        <w:t>. The governance and finance systems of Portuguese universities do not provide the most efficient environment for university</w:t>
      </w:r>
      <w:r>
        <w:rPr>
          <w:noProof/>
        </w:rPr>
        <w:noBreakHyphen/>
        <w:t xml:space="preserve">business cooperation and innovation. Career </w:t>
      </w:r>
      <w:r>
        <w:rPr>
          <w:noProof/>
        </w:rPr>
        <w:t>paths in academia are based mainly on publications, and cooperation with the private sector or work within it is seen as a career gap with no impact on career progress (</w:t>
      </w:r>
      <w:r>
        <w:rPr>
          <w:noProof/>
          <w:vertAlign w:val="superscript"/>
        </w:rPr>
        <w:footnoteReference w:id="33"/>
      </w:r>
      <w:r>
        <w:rPr>
          <w:noProof/>
        </w:rPr>
        <w:t>). The tertiary education attainment rate for 30</w:t>
      </w:r>
      <w:r>
        <w:rPr>
          <w:noProof/>
        </w:rPr>
        <w:noBreakHyphen/>
        <w:t>34</w:t>
      </w:r>
      <w:r>
        <w:rPr>
          <w:noProof/>
        </w:rPr>
        <w:noBreakHyphen/>
        <w:t>year</w:t>
      </w:r>
      <w:r>
        <w:rPr>
          <w:noProof/>
        </w:rPr>
        <w:noBreakHyphen/>
        <w:t xml:space="preserve">olds has risen substantially </w:t>
      </w:r>
      <w:r>
        <w:rPr>
          <w:noProof/>
        </w:rPr>
        <w:t>over the past decade. Yet the country ranked only 23</w:t>
      </w:r>
      <w:r>
        <w:rPr>
          <w:noProof/>
          <w:vertAlign w:val="superscript"/>
        </w:rPr>
        <w:t>rd</w:t>
      </w:r>
      <w:r>
        <w:rPr>
          <w:noProof/>
        </w:rPr>
        <w:t xml:space="preserve"> within the EU in 2015. The high emigration rate of graduates (see Section 4.3) further reduces the number actually reaching the labour market. Moreover, many businesses lack absorption capacity for the</w:t>
      </w:r>
      <w:r>
        <w:rPr>
          <w:noProof/>
        </w:rPr>
        <w:t xml:space="preserve"> highly educated. For the relatively few firms in knowledge</w:t>
      </w:r>
      <w:r>
        <w:rPr>
          <w:noProof/>
        </w:rPr>
        <w:noBreakHyphen/>
        <w:t>intensive sectors that do have the absorption capacity, universities do not seem to be supplying enough of the skills needed. The Digital Skills and Jobs coalition addresses the issue. The country</w:t>
      </w:r>
      <w:r>
        <w:rPr>
          <w:noProof/>
        </w:rPr>
        <w:t xml:space="preserve"> is among the EUs' worst performers as regards new computer science graduates among the 25</w:t>
      </w:r>
      <w:r>
        <w:rPr>
          <w:noProof/>
        </w:rPr>
        <w:noBreakHyphen/>
        <w:t>34</w:t>
      </w:r>
      <w:r>
        <w:rPr>
          <w:noProof/>
        </w:rPr>
        <w:noBreakHyphen/>
        <w:t>year</w:t>
      </w:r>
      <w:r>
        <w:rPr>
          <w:noProof/>
        </w:rPr>
        <w:noBreakHyphen/>
        <w:t>olds (Eurostat). The increasing demand for ICT professionals is not being met by the current supply (</w:t>
      </w:r>
      <w:r>
        <w:rPr>
          <w:noProof/>
          <w:vertAlign w:val="superscript"/>
        </w:rPr>
        <w:footnoteReference w:id="34"/>
      </w:r>
      <w:r>
        <w:rPr>
          <w:noProof/>
        </w:rPr>
        <w:t>). Firms perceive universities as being too bureaucrati</w:t>
      </w:r>
      <w:r>
        <w:rPr>
          <w:noProof/>
        </w:rPr>
        <w:t xml:space="preserve">c to invest in. Companies contract only a small amount of R&amp;D services from other institutional sectors and R&amp;D spending financed by national business enterprises is only 35 % of the EU average. Additionally, firms do not perceive academic publications as </w:t>
      </w:r>
      <w:r>
        <w:rPr>
          <w:noProof/>
        </w:rPr>
        <w:t>relevant sources of information for innovation (FCT, 2013). Nor are they inclined to take on more qualified human resources such as PhD holders despite the tax incentives in place for companies employing PhD holders (</w:t>
      </w:r>
      <w:r>
        <w:rPr>
          <w:noProof/>
          <w:vertAlign w:val="superscript"/>
        </w:rPr>
        <w:footnoteReference w:id="35"/>
      </w:r>
      <w:r>
        <w:rPr>
          <w:noProof/>
        </w:rPr>
        <w:t>). The new diploma ‘Fostering Scientif</w:t>
      </w:r>
      <w:r>
        <w:rPr>
          <w:noProof/>
        </w:rPr>
        <w:t>ic Employment’ (Decree</w:t>
      </w:r>
      <w:r>
        <w:rPr>
          <w:noProof/>
        </w:rPr>
        <w:noBreakHyphen/>
        <w:t xml:space="preserve">Law 57/2016) was adopted in 2016 with the aim of improving researchers' working conditions and career prospects. This is important in a context of highly unstable research careers. </w:t>
      </w:r>
    </w:p>
    <w:p w:rsidR="00BB0B51" w:rsidRDefault="00AA53B1">
      <w:pPr>
        <w:rPr>
          <w:noProof/>
        </w:rPr>
      </w:pPr>
      <w:r>
        <w:rPr>
          <w:b/>
          <w:noProof/>
        </w:rPr>
        <w:t>In spite of the efforts made, there is still a lack</w:t>
      </w:r>
      <w:r>
        <w:rPr>
          <w:b/>
          <w:noProof/>
        </w:rPr>
        <w:t xml:space="preserve"> of structured coordination between the various incentives for commercialising research outputs.</w:t>
      </w:r>
      <w:r>
        <w:rPr>
          <w:noProof/>
        </w:rPr>
        <w:t xml:space="preserve"> Portuguese regional clusters encourage knowledge and technology transfer between universities and low</w:t>
      </w:r>
      <w:r>
        <w:rPr>
          <w:noProof/>
        </w:rPr>
        <w:noBreakHyphen/>
        <w:t>medium technology</w:t>
      </w:r>
      <w:r>
        <w:rPr>
          <w:noProof/>
        </w:rPr>
        <w:noBreakHyphen/>
        <w:t>intensive manufacturing industries. The</w:t>
      </w:r>
      <w:r>
        <w:rPr>
          <w:noProof/>
        </w:rPr>
        <w:t xml:space="preserve"> Recognition of Competitiveness Clusters (Decree 2909/2015) reshaped cluster policy to instigate public</w:t>
      </w:r>
      <w:r>
        <w:rPr>
          <w:noProof/>
        </w:rPr>
        <w:noBreakHyphen/>
        <w:t>private collaborative partnerships and networks (OECD, 2016). But value added in high</w:t>
      </w:r>
      <w:r>
        <w:rPr>
          <w:noProof/>
        </w:rPr>
        <w:noBreakHyphen/>
        <w:t>tech manufacturing is only 0.57 % of total value added (EU average</w:t>
      </w:r>
      <w:r>
        <w:rPr>
          <w:noProof/>
        </w:rPr>
        <w:t xml:space="preserve"> 1.69 % 2014 Eurostat). The National Innovation Agency funds R&amp;D programmes that promote cooperation between universities, firms and R&amp;D performing organisations. The National Reform Programme 2016 also includes a set of initiatives to foster knowledge tra</w:t>
      </w:r>
      <w:r>
        <w:rPr>
          <w:noProof/>
        </w:rPr>
        <w:t xml:space="preserve">nsfer and strengthen the link between R&amp;D and innovation in companies. The 2016 programme for modernising and upgrading polytechnic institutes focuses on matching R&amp;D activities to regional needs. Tax credits to business R&amp;D (SIFIDE) rose between 2006 and </w:t>
      </w:r>
      <w:r>
        <w:rPr>
          <w:noProof/>
        </w:rPr>
        <w:t xml:space="preserve">2014 (OECD R&amp;D Tax Incentives). Yet there is no regular and consistent monitoring to assess whether the initiatives are effective. </w:t>
      </w:r>
    </w:p>
    <w:p w:rsidR="00BB0B51" w:rsidRDefault="00AA53B1">
      <w:pPr>
        <w:rPr>
          <w:noProof/>
        </w:rPr>
      </w:pPr>
      <w:r>
        <w:rPr>
          <w:b/>
          <w:noProof/>
        </w:rPr>
        <w:t>Framework conditions are not conducive to an innovation</w:t>
      </w:r>
      <w:r>
        <w:rPr>
          <w:b/>
          <w:noProof/>
        </w:rPr>
        <w:noBreakHyphen/>
        <w:t>friendly environment, as barriers to competitiveness still persist</w:t>
      </w:r>
      <w:r>
        <w:rPr>
          <w:noProof/>
        </w:rPr>
        <w:t xml:space="preserve">. </w:t>
      </w:r>
      <w:r>
        <w:rPr>
          <w:noProof/>
        </w:rPr>
        <w:t>Portugal is a "Moderate Innovator" in the European Innovation Scoreboard but ranks in the top 10 in terms of SMEs innovating in</w:t>
      </w:r>
      <w:r>
        <w:rPr>
          <w:noProof/>
        </w:rPr>
        <w:noBreakHyphen/>
        <w:t>house. The government aims to foster balanced development of the collaborative economy showing willingness to accommodate innova</w:t>
      </w:r>
      <w:r>
        <w:rPr>
          <w:noProof/>
        </w:rPr>
        <w:t>tive business models in the regulatory framework. A framework for short</w:t>
      </w:r>
      <w:r>
        <w:rPr>
          <w:noProof/>
        </w:rPr>
        <w:noBreakHyphen/>
        <w:t xml:space="preserve">term rental activities for tourists has been introduced, and legislation to enable platforms to provide passenger transport services is being prepared. Portugal stands out from the EU </w:t>
      </w:r>
      <w:r>
        <w:rPr>
          <w:noProof/>
        </w:rPr>
        <w:t>average in entrepreneurial activity, especially in enterprise birth rates and entrepreneurial intention (</w:t>
      </w:r>
      <w:r>
        <w:rPr>
          <w:noProof/>
          <w:vertAlign w:val="superscript"/>
        </w:rPr>
        <w:footnoteReference w:id="36"/>
      </w:r>
      <w:r>
        <w:rPr>
          <w:noProof/>
        </w:rPr>
        <w:t>). This is in line with the remarkable progress in "Starting a Business" from the World Bank Doing Business Report 2016. Nevertheless, business surviv</w:t>
      </w:r>
      <w:r>
        <w:rPr>
          <w:noProof/>
        </w:rPr>
        <w:t>al rates are below 50 % reflecting unfavourable framework conditions for business growth, innovation and scale</w:t>
      </w:r>
      <w:r>
        <w:rPr>
          <w:noProof/>
        </w:rPr>
        <w:noBreakHyphen/>
        <w:t>up. High</w:t>
      </w:r>
      <w:r>
        <w:rPr>
          <w:noProof/>
        </w:rPr>
        <w:noBreakHyphen/>
        <w:t xml:space="preserve">growth innovative enterprises (HGIEs) represented only 0.07 % of firms in 2014, half the EU average and the country dropped 8 positions </w:t>
      </w:r>
      <w:r>
        <w:rPr>
          <w:noProof/>
        </w:rPr>
        <w:t>in the 2016 Global Competitiveness Report. Firms' technological and managerial capabilities are still holding back competitiveness, especially in SMEs (European Commission, 2017c). The National Strategy for Entrepreneurship (</w:t>
      </w:r>
      <w:r>
        <w:rPr>
          <w:i/>
          <w:noProof/>
        </w:rPr>
        <w:t>Startup Portugal)</w:t>
      </w:r>
      <w:r>
        <w:rPr>
          <w:noProof/>
        </w:rPr>
        <w:t xml:space="preserve"> launched in 2</w:t>
      </w:r>
      <w:r>
        <w:rPr>
          <w:noProof/>
        </w:rPr>
        <w:t>016 aims to improve the business ecosystem, provide alternative ways of financing, and promote the internationalisation of start</w:t>
      </w:r>
      <w:r>
        <w:rPr>
          <w:noProof/>
        </w:rPr>
        <w:noBreakHyphen/>
        <w:t>ups.</w:t>
      </w:r>
    </w:p>
    <w:p w:rsidR="00BB0B51" w:rsidRDefault="00AA53B1">
      <w:pPr>
        <w:pStyle w:val="NumberedHeading1"/>
        <w:tabs>
          <w:tab w:val="left" w:pos="567"/>
        </w:tabs>
        <w:rPr>
          <w:noProof/>
        </w:rPr>
      </w:pPr>
      <w:r>
        <w:rPr>
          <w:noProof/>
        </w:rPr>
        <w:t>4.5.2.</w:t>
      </w:r>
      <w:r>
        <w:rPr>
          <w:noProof/>
        </w:rPr>
        <w:tab/>
        <w:t>Competition in product and services markets*</w:t>
      </w:r>
    </w:p>
    <w:p w:rsidR="00BB0B51" w:rsidRDefault="00AA53B1">
      <w:pPr>
        <w:rPr>
          <w:noProof/>
        </w:rPr>
      </w:pPr>
      <w:r>
        <w:rPr>
          <w:b/>
          <w:noProof/>
        </w:rPr>
        <w:t>Administrative and regulatory barriers still restrict competition in t</w:t>
      </w:r>
      <w:r>
        <w:rPr>
          <w:b/>
          <w:noProof/>
        </w:rPr>
        <w:t>he market for professional services.</w:t>
      </w:r>
      <w:r>
        <w:rPr>
          <w:noProof/>
        </w:rPr>
        <w:t xml:space="preserve"> The by</w:t>
      </w:r>
      <w:r>
        <w:rPr>
          <w:noProof/>
        </w:rPr>
        <w:noBreakHyphen/>
        <w:t xml:space="preserve">laws regulating certain professions are less ambitious than the framework law in terms of opening up these sectors to competition. They also raise concerns as regards the direct or indirect effect of restricting </w:t>
      </w:r>
      <w:r>
        <w:rPr>
          <w:noProof/>
        </w:rPr>
        <w:t>competition in the market for professional services thereby increasing prices, reducing offer choice and innovation and lowering the overall quality of services. According to a new indicator developed by the Commission (</w:t>
      </w:r>
      <w:r>
        <w:rPr>
          <w:noProof/>
          <w:vertAlign w:val="superscript"/>
        </w:rPr>
        <w:footnoteReference w:id="37"/>
      </w:r>
      <w:r>
        <w:rPr>
          <w:noProof/>
        </w:rPr>
        <w:t xml:space="preserve">), the level of restrictiveness in </w:t>
      </w:r>
      <w:r>
        <w:rPr>
          <w:noProof/>
        </w:rPr>
        <w:t>Portugal is higher than the EU average for civil engineers, architects, accountants, and tourist guides. It is lower than the EU average for patent agents and lawyers, although access to the latter profession is more tightly restricted than for any other p</w:t>
      </w:r>
      <w:r>
        <w:rPr>
          <w:noProof/>
        </w:rPr>
        <w:t>rofession in Portugal. Furthermore, the business churn (or turnover) rate for legal activities is lower than both the EU average and the overall Portuguese economy as a whole, thus pointing to relatively low dynamism and competition in the sector. However,</w:t>
      </w:r>
      <w:r>
        <w:rPr>
          <w:noProof/>
        </w:rPr>
        <w:t xml:space="preserve"> according to the national action plan submitted in the context of the mutual evaluation exercise, Portugal is not planning any major reforms of regulated professions. At the same time, there is an ongoing study by the National Competition Authority, in co</w:t>
      </w:r>
      <w:r>
        <w:rPr>
          <w:noProof/>
        </w:rPr>
        <w:t>operation with the OECD, on the nature and impact of persistent barriers, the results of which are due in early 2018. The regulatory burden on service providers remains high; this includes reforms not covered in the context of the EU</w:t>
      </w:r>
      <w:r>
        <w:rPr>
          <w:noProof/>
        </w:rPr>
        <w:noBreakHyphen/>
        <w:t>IMF programme of finan</w:t>
      </w:r>
      <w:r>
        <w:rPr>
          <w:noProof/>
        </w:rPr>
        <w:t>cial assistance or agreed upon under that programme and not yet approved or implemented (</w:t>
      </w:r>
      <w:r>
        <w:rPr>
          <w:noProof/>
          <w:vertAlign w:val="superscript"/>
        </w:rPr>
        <w:footnoteReference w:id="38"/>
      </w:r>
      <w:r>
        <w:rPr>
          <w:noProof/>
        </w:rPr>
        <w:t>). In turn, these regulatory barriers give rise to lengthy, complex, and expensive administrative procedures put in place to control compliance with substantive requi</w:t>
      </w:r>
      <w:r>
        <w:rPr>
          <w:noProof/>
        </w:rPr>
        <w:t>rements. Particular problems in business services stem from restrictive reserved activities, as well as from legal form, shareholding, management, multidisciplinary and advertising restrictions. Corporate groups of professional companies are banned. Innova</w:t>
      </w:r>
      <w:r>
        <w:rPr>
          <w:noProof/>
        </w:rPr>
        <w:t>tion and investment are stifled.</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4.5.1:</w:t>
            </w:r>
            <w:r>
              <w:rPr>
                <w:b/>
                <w:noProof/>
              </w:rPr>
              <w:tab/>
              <w:t>Restrictiveness indicator, 2016, Portugal and the EU</w:t>
            </w:r>
          </w:p>
        </w:tc>
      </w:tr>
      <w:tr w:rsidR="00BB0B51">
        <w:trPr>
          <w:cantSplit/>
        </w:trPr>
        <w:tc>
          <w:tcPr>
            <w:tcW w:w="4110" w:type="dxa"/>
            <w:shd w:val="clear" w:color="auto" w:fill="auto"/>
          </w:tcPr>
          <w:p w:rsidR="00BB0B51" w:rsidRDefault="00AA53B1">
            <w:pPr>
              <w:pStyle w:val="GraphShape"/>
              <w:rPr>
                <w:noProof/>
                <w:sz w:val="2"/>
              </w:rPr>
            </w:pPr>
            <w:bookmarkStart w:id="47" w:name="_Toc474773088"/>
            <w:bookmarkEnd w:id="47"/>
            <w:r>
              <w:rPr>
                <w:noProof/>
                <w:sz w:val="2"/>
                <w:lang w:eastAsia="en-GB"/>
              </w:rPr>
              <w:drawing>
                <wp:inline distT="0" distB="0" distL="0" distR="0" wp14:anchorId="1CB843B9" wp14:editId="640AD2F7">
                  <wp:extent cx="2597595" cy="2457783"/>
                  <wp:effectExtent l="0" t="0" r="0" b="0"/>
                  <wp:docPr id="59" name="Picture 59" descr="&lt;_DISABLED_nbr_DISABLED_&gt;&lt;GETTEXTFROMWORD&gt;&lt;/nbr&gt;&#10;&lt;title&gt;&lt;GETTEXTFROMWORD&gt;&lt;/title&gt;&#10;&lt;_DISABLED_id_DISABLED_&gt;4a2ed491-be02-4ec2-847a-7f2b5ece45a1&lt;/id&gt;&#10;&lt;srcType&gt;EXCEL&lt;/srcType&gt;&#10;&lt;srcPath&gt;O:\2017 CRs\22 PT\Graphs\&lt;/srcPath&gt;&#10;&lt;srcName&gt;PT CR_2017_Graphs_and_Tables.xlsx&lt;/srcName&gt;&#10;&lt;type&gt;graph&lt;/type&gt;&#10; &lt;srcSheet&gt;CHARTS_fin&lt;/srcSheet&gt;&#10; &lt;srcChartTitle&gt;Chart 17&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457783"/>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highlight w:val="yellow"/>
        </w:rPr>
      </w:pPr>
      <w:r>
        <w:rPr>
          <w:b/>
          <w:noProof/>
        </w:rPr>
        <w:t>Land regulation and construction fees might create obstacles to investment.</w:t>
      </w:r>
      <w:r>
        <w:rPr>
          <w:noProof/>
        </w:rPr>
        <w:t xml:space="preserve"> Municipalities retain great discretionary power when it comes to implementing land use rules. Consequently, the time needed to obtain licenses varies across municipalities depending on their effectiveness and administrative capacity. There is no consisten</w:t>
      </w:r>
      <w:r>
        <w:rPr>
          <w:noProof/>
        </w:rPr>
        <w:t>t implementation strategy applicable nationwide. Fees for access to and operating on the construction market are higher than in other EU countries. Moreover, there is no direct link with the underlying administrative costs. This hampers new investment in c</w:t>
      </w:r>
      <w:r>
        <w:rPr>
          <w:noProof/>
        </w:rPr>
        <w:t>onstruction. At a national level, an evaluation of the fees and permit procedures will not be available until mid</w:t>
      </w:r>
      <w:r>
        <w:rPr>
          <w:noProof/>
        </w:rPr>
        <w:noBreakHyphen/>
        <w:t>2017 which is later than was initially agreed between the European Commission and the Portuguese authorities (i.e. by the end of 2016). Accord</w:t>
      </w:r>
      <w:r>
        <w:rPr>
          <w:noProof/>
        </w:rPr>
        <w:t>ing to a recent study(</w:t>
      </w:r>
      <w:r>
        <w:rPr>
          <w:noProof/>
          <w:vertAlign w:val="superscript"/>
        </w:rPr>
        <w:footnoteReference w:id="39"/>
      </w:r>
      <w:r>
        <w:rPr>
          <w:noProof/>
        </w:rPr>
        <w:t>), the system of fees imposed on construction service providers in Portugal for initial registration and subsequent renewal is complex, linked both to the category of construction works to be performed and to a percentage of the wage</w:t>
      </w:r>
      <w:r>
        <w:rPr>
          <w:noProof/>
        </w:rPr>
        <w:t xml:space="preserve"> salary index for public administration officials. Changing the category of construction works is subject to a fee based on a calculation methodology similar to that applicable to the initial fee. A recent reform has simplified calculation and partially re</w:t>
      </w:r>
      <w:r>
        <w:rPr>
          <w:noProof/>
        </w:rPr>
        <w:t>duced fees, but they remain high and linked to the category of construction works to be performed, with no direct link to the underlying administrative costs.</w:t>
      </w:r>
    </w:p>
    <w:p w:rsidR="00BB0B51" w:rsidRDefault="00AA53B1">
      <w:pPr>
        <w:pStyle w:val="NumberedHeading1"/>
        <w:tabs>
          <w:tab w:val="left" w:pos="567"/>
        </w:tabs>
        <w:rPr>
          <w:noProof/>
        </w:rPr>
      </w:pPr>
      <w:r>
        <w:rPr>
          <w:noProof/>
        </w:rPr>
        <w:t>4.5.3.</w:t>
      </w:r>
      <w:r>
        <w:rPr>
          <w:noProof/>
        </w:rPr>
        <w:tab/>
        <w:t>Energy, environment and climate change</w:t>
      </w:r>
    </w:p>
    <w:p w:rsidR="00BB0B51" w:rsidRDefault="00AA53B1">
      <w:pPr>
        <w:rPr>
          <w:noProof/>
          <w:highlight w:val="yellow"/>
        </w:rPr>
      </w:pPr>
      <w:r>
        <w:rPr>
          <w:b/>
          <w:noProof/>
        </w:rPr>
        <w:t xml:space="preserve">The elimination of the electricity tariff debt and </w:t>
      </w:r>
      <w:r>
        <w:rPr>
          <w:b/>
          <w:noProof/>
        </w:rPr>
        <w:t>phasing</w:t>
      </w:r>
      <w:r>
        <w:rPr>
          <w:b/>
          <w:noProof/>
        </w:rPr>
        <w:noBreakHyphen/>
        <w:t>out of regulated prices are taking longer than initially planned.</w:t>
      </w:r>
      <w:r>
        <w:rPr>
          <w:noProof/>
        </w:rPr>
        <w:t xml:space="preserve"> According to the government's calculations, the outstanding electricity tariff debt will be eliminated at the earliest in 2022. It might however derail to 2026 in a pessimistic scena</w:t>
      </w:r>
      <w:r>
        <w:rPr>
          <w:noProof/>
        </w:rPr>
        <w:t>rio diverting even further from the original 2020 elimination target and keeping the upward pressure on energy prices. The phasing</w:t>
      </w:r>
      <w:r>
        <w:rPr>
          <w:noProof/>
        </w:rPr>
        <w:noBreakHyphen/>
        <w:t>out of regulated prices has been postponed once more, this time to 2020 instead of 2017. The consequences are uncertain. On t</w:t>
      </w:r>
      <w:r>
        <w:rPr>
          <w:noProof/>
        </w:rPr>
        <w:t>he one hand, as there is a fixed end date for the regulated price, consumers are forced to change and might simply remain with the incumbent player. On the other hand, keeping the regulated price means that there is a reference price around which energy re</w:t>
      </w:r>
      <w:r>
        <w:rPr>
          <w:noProof/>
        </w:rPr>
        <w:t xml:space="preserve">tailers can set their own price which might decrease the price variety offered by energy retailers.  </w:t>
      </w:r>
    </w:p>
    <w:p w:rsidR="00BB0B51" w:rsidRDefault="00AA53B1">
      <w:pPr>
        <w:rPr>
          <w:noProof/>
        </w:rPr>
      </w:pPr>
      <w:r>
        <w:rPr>
          <w:b/>
          <w:noProof/>
        </w:rPr>
        <w:t>Efforts are being made to make the energy system more sustainable.</w:t>
      </w:r>
      <w:r>
        <w:rPr>
          <w:noProof/>
        </w:rPr>
        <w:t xml:space="preserve"> The remuneration method for electricity capacity mechanisms is being changed to cut sys</w:t>
      </w:r>
      <w:r>
        <w:rPr>
          <w:noProof/>
        </w:rPr>
        <w:t>tem costs. Instead of a regulated capacity payment, a more market</w:t>
      </w:r>
      <w:r>
        <w:rPr>
          <w:noProof/>
        </w:rPr>
        <w:noBreakHyphen/>
        <w:t>based approach will be established based on auctions that will have a ceiling price in order to control the overall cost. Capacity payments will no longer cover investment costs due to the c</w:t>
      </w:r>
      <w:r>
        <w:rPr>
          <w:noProof/>
        </w:rPr>
        <w:t>urrent overcapacity, but will be used to ensure short</w:t>
      </w:r>
      <w:r>
        <w:rPr>
          <w:noProof/>
        </w:rPr>
        <w:noBreakHyphen/>
        <w:t>term generation adequacy. The government is also considering reducing the structural costs associated with the current interruptibility schemes by setting a competitive mechanism for the remuneration of</w:t>
      </w:r>
      <w:r>
        <w:rPr>
          <w:noProof/>
        </w:rPr>
        <w:t xml:space="preserve"> this service. New contracts for renewable energy capacity are being remunerated at market price based on the result of tendering schemes with no feed</w:t>
      </w:r>
      <w:r>
        <w:rPr>
          <w:noProof/>
        </w:rPr>
        <w:noBreakHyphen/>
        <w:t xml:space="preserve">in tariff. The interest rate paid for the accumulated tariff debt has fallen following renegotiation. An </w:t>
      </w:r>
      <w:r>
        <w:rPr>
          <w:noProof/>
        </w:rPr>
        <w:t>independent audit requested by the Government gave indications of market manipulation by electricity incumbent EDP. As a result the Portuguese energy regulator together with the competition authority proposed to the Government a recuperation of the overcom</w:t>
      </w:r>
      <w:r>
        <w:rPr>
          <w:noProof/>
        </w:rPr>
        <w:t>pensation to guaranteed production of EDP's hydro</w:t>
      </w:r>
      <w:r>
        <w:rPr>
          <w:noProof/>
        </w:rPr>
        <w:noBreakHyphen/>
        <w:t>electric power plants. These measures could help containing energy prices and improve the functioning of the electricity market. Nevertheless, they will most likely have a small impact on the tariff debt re</w:t>
      </w:r>
      <w:r>
        <w:rPr>
          <w:noProof/>
        </w:rPr>
        <w:t>duction. A growing demand for electricity and decreasing renewable production cost seem to be the only factors large enough to front</w:t>
      </w:r>
      <w:r>
        <w:rPr>
          <w:noProof/>
        </w:rPr>
        <w:noBreakHyphen/>
        <w:t>load the tariff debt elimination without price increases.</w:t>
      </w:r>
    </w:p>
    <w:p w:rsidR="00BB0B51" w:rsidRDefault="00AA53B1">
      <w:pPr>
        <w:rPr>
          <w:noProof/>
        </w:rPr>
      </w:pPr>
      <w:r>
        <w:rPr>
          <w:b/>
          <w:noProof/>
        </w:rPr>
        <w:t>Limited electricity interconnection with the EU and fossil fuel s</w:t>
      </w:r>
      <w:r>
        <w:rPr>
          <w:b/>
          <w:noProof/>
        </w:rPr>
        <w:t>ubsidies remain a barrier to decrease overcapacity in the energy system.</w:t>
      </w:r>
      <w:r>
        <w:rPr>
          <w:noProof/>
        </w:rPr>
        <w:t xml:space="preserve"> The Iberian electricity market is well integrated with price convergence between the two countries as a result of their market coupling. Electricity interconnection with the rest of E</w:t>
      </w:r>
      <w:r>
        <w:rPr>
          <w:noProof/>
        </w:rPr>
        <w:t>urope however remains limited, which poses obstacles to exporting the overcapacity resulting from growing renewable production and falling demand. The transport sector could absorb part of this production as it currently uses quite a small share of electri</w:t>
      </w:r>
      <w:r>
        <w:rPr>
          <w:noProof/>
        </w:rPr>
        <w:t>city. The Government is introducing an open market regulation for an automobile electric charging network which could be a step in this direction. Fossil fuels remain the main source of energy used, which makes it difficult for Portugal to reduce its energ</w:t>
      </w:r>
      <w:r>
        <w:rPr>
          <w:noProof/>
        </w:rPr>
        <w:t>y dependency. The high level of environmentally harmful subsidies (EHS) in Portugal also favours fossil</w:t>
      </w:r>
      <w:r>
        <w:rPr>
          <w:noProof/>
        </w:rPr>
        <w:noBreakHyphen/>
        <w:t>fuel based solutions, such as company cars and diesel over petrol. In 2016, Portugal had the EU's third largest tax exemption for diesel compared with p</w:t>
      </w:r>
      <w:r>
        <w:rPr>
          <w:noProof/>
        </w:rPr>
        <w:t>etrol and subsidies to fossil fuels accounted for 0.2 % of total government expenditure in 2014 (Eurostat). Fossil fuel subsidies and other EHS hold back the use of more sustainable energy sources such as renewables. In doing so, they also stand in the way</w:t>
      </w:r>
      <w:r>
        <w:rPr>
          <w:noProof/>
        </w:rPr>
        <w:t xml:space="preserve"> of using the existing excess capacity in terms of electricity production delaying the elimination of the tariff debt. The measure announced in the 2017 Budget Law intended to increase tax on diesel while cutting on petrol help reduce EHS. Portugal is also</w:t>
      </w:r>
      <w:r>
        <w:rPr>
          <w:noProof/>
        </w:rPr>
        <w:t xml:space="preserve"> implementing a Framework for Climate Policy and a national programme for climate change for the period 2013</w:t>
      </w:r>
      <w:r>
        <w:rPr>
          <w:noProof/>
        </w:rPr>
        <w:noBreakHyphen/>
        <w:t>2020.</w:t>
      </w:r>
    </w:p>
    <w:p w:rsidR="00BB0B51" w:rsidRDefault="00AA53B1">
      <w:pPr>
        <w:rPr>
          <w:noProof/>
        </w:rPr>
      </w:pPr>
      <w:r>
        <w:rPr>
          <w:b/>
          <w:noProof/>
        </w:rPr>
        <w:t>Waste management impedes more efficient resource use.</w:t>
      </w:r>
      <w:r>
        <w:rPr>
          <w:noProof/>
        </w:rPr>
        <w:t xml:space="preserve"> Portugal underperforms in terms of waste management. In 2014 49 % of municipal waste wa</w:t>
      </w:r>
      <w:r>
        <w:rPr>
          <w:noProof/>
        </w:rPr>
        <w:t xml:space="preserve">s landfilled (EU average: 28 %). Portugal's resource productivity is half the EU average. The opportunities for waste prevention and in particular for recycling, that would improve the resource efficiency and therefor the competitiveness of the Portuguese </w:t>
      </w:r>
      <w:r>
        <w:rPr>
          <w:noProof/>
        </w:rPr>
        <w:t>economy, are not fully developed. The waste management tax also seems to fall short of providing the right incentives for reducing waste for landfill or incineration. At the current pace (16 % recycled and 14 % composted), Portugal would need to make an ex</w:t>
      </w:r>
      <w:r>
        <w:rPr>
          <w:noProof/>
        </w:rPr>
        <w:t>traordinary effort to go from 30 % to the recycling target of 50 % of municipal waste by 2020.</w:t>
      </w:r>
    </w:p>
    <w:p w:rsidR="00BB0B51" w:rsidRDefault="00AA53B1">
      <w:pPr>
        <w:pStyle w:val="NumberedHeading1"/>
        <w:tabs>
          <w:tab w:val="left" w:pos="567"/>
        </w:tabs>
        <w:rPr>
          <w:rFonts w:eastAsia="Calibri"/>
          <w:noProof/>
        </w:rPr>
      </w:pPr>
      <w:r>
        <w:rPr>
          <w:rFonts w:eastAsia="Calibri"/>
          <w:noProof/>
        </w:rPr>
        <w:t>4.5.4.</w:t>
      </w:r>
      <w:r>
        <w:rPr>
          <w:rFonts w:eastAsia="Calibri"/>
          <w:noProof/>
        </w:rPr>
        <w:tab/>
        <w:t>Other network industries</w:t>
      </w:r>
    </w:p>
    <w:p w:rsidR="00BB0B51" w:rsidRDefault="00AA53B1">
      <w:pPr>
        <w:rPr>
          <w:noProof/>
        </w:rPr>
      </w:pPr>
      <w:r>
        <w:rPr>
          <w:b/>
          <w:noProof/>
        </w:rPr>
        <w:t>Performance indicators for Portuguese ports remain low in international comparison.</w:t>
      </w:r>
      <w:r>
        <w:rPr>
          <w:noProof/>
        </w:rPr>
        <w:t xml:space="preserve"> Portuguese commercial ports continue to incre</w:t>
      </w:r>
      <w:r>
        <w:rPr>
          <w:noProof/>
        </w:rPr>
        <w:t>ase their freight throughput. It totalled 60 million tonnes of freight in the first three quarters of 2016, a 5 % increase over the same period in 2015. Labour productivity increased in 2013 and 2014, as value added was higher compared to average personnel</w:t>
      </w:r>
      <w:r>
        <w:rPr>
          <w:noProof/>
        </w:rPr>
        <w:t xml:space="preserve"> costs. This improvement may be a result of revising the port labour law which aligned it with the general law. However, Portuguese commercial ports have not yet managed to exploit their strategic geographical position to the full. Their EU share in goods </w:t>
      </w:r>
      <w:r>
        <w:rPr>
          <w:noProof/>
        </w:rPr>
        <w:t>handled is relatively low even by comparison with ports in neighbouring countries. Thanks to the 2014 increase port labour productivity is now higher in Portugal by comparison with its peers, though it is lagging behind German and Belgian ports. In interna</w:t>
      </w:r>
      <w:r>
        <w:rPr>
          <w:noProof/>
        </w:rPr>
        <w:t>tional rankings Portuguese ports are particularly lengthy in import and export procedures (</w:t>
      </w:r>
      <w:r>
        <w:rPr>
          <w:noProof/>
          <w:vertAlign w:val="superscript"/>
        </w:rPr>
        <w:footnoteReference w:id="40"/>
      </w:r>
      <w:r>
        <w:rPr>
          <w:noProof/>
        </w:rPr>
        <w:t>). The quality of port infrastructure ranks lower than for most of Portugal's European peers. The elimination of the port user tax (TUP Carga) did not contribute fu</w:t>
      </w:r>
      <w:r>
        <w:rPr>
          <w:noProof/>
        </w:rPr>
        <w:t>lly to reduce port user fees as at least part of the savings seem to have been absorbed by port operators. The renegotiation of port concessions has re</w:t>
      </w:r>
      <w:r>
        <w:rPr>
          <w:noProof/>
        </w:rPr>
        <w:noBreakHyphen/>
        <w:t>started in the second half of 2016. It could improve competitiveness and freight throughput if it genuin</w:t>
      </w:r>
      <w:r>
        <w:rPr>
          <w:noProof/>
        </w:rPr>
        <w:t>ely brings down costs for port users not only for operators. Concession contracts that provide the correct incentives to maximise throughput and create capacity to handle a wide range of cargo sizes may help increase port competitiveness (</w:t>
      </w:r>
      <w:r>
        <w:rPr>
          <w:noProof/>
          <w:vertAlign w:val="superscript"/>
        </w:rPr>
        <w:footnoteReference w:id="41"/>
      </w:r>
      <w:r>
        <w:rPr>
          <w:noProof/>
        </w:rPr>
        <w:t>). A general fra</w:t>
      </w:r>
      <w:r>
        <w:rPr>
          <w:noProof/>
        </w:rPr>
        <w:t xml:space="preserve">mework for port concessions that would contribute to a better concession contract design is expected but still not in place. </w:t>
      </w: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4.5.2:</w:t>
            </w:r>
            <w:r>
              <w:rPr>
                <w:b/>
                <w:noProof/>
              </w:rPr>
              <w:tab/>
              <w:t>Shares for selected countries of total EU maritime transport of goods, 2014</w:t>
            </w:r>
          </w:p>
        </w:tc>
      </w:tr>
      <w:tr w:rsidR="00BB0B51">
        <w:trPr>
          <w:cantSplit/>
        </w:trPr>
        <w:tc>
          <w:tcPr>
            <w:tcW w:w="4110" w:type="dxa"/>
            <w:shd w:val="clear" w:color="auto" w:fill="auto"/>
          </w:tcPr>
          <w:p w:rsidR="00BB0B51" w:rsidRDefault="00AA53B1">
            <w:pPr>
              <w:pStyle w:val="GraphShape"/>
              <w:rPr>
                <w:noProof/>
                <w:sz w:val="2"/>
              </w:rPr>
            </w:pPr>
            <w:bookmarkStart w:id="48" w:name="_Toc474773089"/>
            <w:bookmarkEnd w:id="48"/>
            <w:r>
              <w:rPr>
                <w:noProof/>
                <w:sz w:val="2"/>
                <w:lang w:eastAsia="en-GB"/>
              </w:rPr>
              <w:drawing>
                <wp:inline distT="0" distB="0" distL="0" distR="0" wp14:anchorId="0E4C47DE" wp14:editId="1F6DC5F9">
                  <wp:extent cx="2597595" cy="2448926"/>
                  <wp:effectExtent l="0" t="0" r="0" b="0"/>
                  <wp:docPr id="61" name="Picture 61" descr="&lt;_DISABLED_nbr_DISABLED_&gt;&lt;GETTEXTFROMWORD&gt;&lt;/nbr&gt;&#10;&lt;title&gt;&lt;GETTEXTFROMWORD&gt;&lt;/title&gt;&#10;&lt;_DISABLED_id_DISABLED_&gt;43662495-5bfc-45a4-ad77-2b5172c66490&lt;/id&gt;&#10;&lt;srcType&gt;EXCEL&lt;/srcType&gt;&#10;&lt;srcPath&gt;O:\2017 CRs\22 PT\Graphs\&lt;/srcPath&gt;&#10;&lt;srcName&gt;PT CR_2017_Graphs_and_Tables.xlsx&lt;/srcName&gt;&#10;&lt;type&gt;graph&lt;/type&gt;&#10; &lt;srcSheet&gt;Graph x.x - MAR_share_trans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448926"/>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BB0B51">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B0B51">
        <w:trPr>
          <w:cantSplit/>
        </w:trPr>
        <w:tc>
          <w:tcPr>
            <w:tcW w:w="4110" w:type="dxa"/>
            <w:shd w:val="clear" w:color="auto" w:fill="auto"/>
          </w:tcPr>
          <w:p w:rsidR="00BB0B51" w:rsidRDefault="00AA53B1">
            <w:pPr>
              <w:pStyle w:val="GraphTitle"/>
              <w:rPr>
                <w:b/>
                <w:noProof/>
              </w:rPr>
            </w:pPr>
            <w:r>
              <w:rPr>
                <w:noProof/>
              </w:rPr>
              <w:t>Graph 4.5.3:</w:t>
            </w:r>
            <w:r>
              <w:rPr>
                <w:b/>
                <w:noProof/>
              </w:rPr>
              <w:tab/>
              <w:t>Wage</w:t>
            </w:r>
            <w:r>
              <w:rPr>
                <w:b/>
                <w:noProof/>
              </w:rPr>
              <w:noBreakHyphen/>
              <w:t>adjusted labour productivity of the ports sector</w:t>
            </w:r>
          </w:p>
        </w:tc>
      </w:tr>
      <w:tr w:rsidR="00BB0B51">
        <w:trPr>
          <w:cantSplit/>
        </w:trPr>
        <w:tc>
          <w:tcPr>
            <w:tcW w:w="4110" w:type="dxa"/>
            <w:shd w:val="clear" w:color="auto" w:fill="auto"/>
          </w:tcPr>
          <w:p w:rsidR="00BB0B51" w:rsidRDefault="00AA53B1">
            <w:pPr>
              <w:pStyle w:val="GraphShape"/>
              <w:rPr>
                <w:noProof/>
                <w:sz w:val="2"/>
              </w:rPr>
            </w:pPr>
            <w:bookmarkStart w:id="49" w:name="_Toc474773090"/>
            <w:bookmarkEnd w:id="49"/>
            <w:r>
              <w:rPr>
                <w:noProof/>
                <w:sz w:val="2"/>
                <w:lang w:eastAsia="en-GB"/>
              </w:rPr>
              <w:drawing>
                <wp:inline distT="0" distB="0" distL="0" distR="0" wp14:anchorId="5150AF62" wp14:editId="1F6518D9">
                  <wp:extent cx="2597595" cy="2834833"/>
                  <wp:effectExtent l="0" t="0" r="0" b="0"/>
                  <wp:docPr id="62" name="Picture 62" descr="&lt;_DISABLED_nbr_DISABLED_&gt;&lt;GETTEXTFROMWORD&gt;&lt;/nbr&gt;&#10;&lt;title&gt;&lt;GETTEXTFROMWORD&gt;&lt;/title&gt;&#10;&lt;_DISABLED_id_DISABLED_&gt;446fab21-b681-44df-8ca6-dd8bc0d23264&lt;/id&gt;&#10;&lt;srcType&gt;EXCEL&lt;/srcType&gt;&#10;&lt;srcPath&gt;O:\2017 CRs\22 PT\Graphs\&lt;/srcPath&gt;&#10;&lt;srcName&gt;PT CR_2017_Graphs_and_Tables.xlsx&lt;/srcName&gt;&#10;&lt;type&gt;graph&lt;/type&gt;&#10; &lt;srcSheet&gt;Graph x.x-MAR_labour_produc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04:0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834833"/>
                          </a:xfrm>
                          <a:prstGeom prst="rect">
                            <a:avLst/>
                          </a:prstGeom>
                          <a:noFill/>
                          <a:ln>
                            <a:noFill/>
                          </a:ln>
                        </pic:spPr>
                      </pic:pic>
                    </a:graphicData>
                  </a:graphic>
                </wp:inline>
              </w:drawing>
            </w:r>
          </w:p>
        </w:tc>
      </w:tr>
      <w:tr w:rsidR="00BB0B51">
        <w:trPr>
          <w:cantSplit/>
        </w:trPr>
        <w:tc>
          <w:tcPr>
            <w:tcW w:w="4110" w:type="dxa"/>
            <w:shd w:val="clear" w:color="auto" w:fill="auto"/>
            <w:tcMar>
              <w:bottom w:w="240" w:type="dxa"/>
            </w:tcMar>
          </w:tcPr>
          <w:p w:rsidR="00BB0B51" w:rsidRDefault="00AA53B1">
            <w:pPr>
              <w:pStyle w:val="GraphSource"/>
              <w:keepNext/>
              <w:rPr>
                <w:noProof/>
              </w:rPr>
            </w:pPr>
            <w:r>
              <w:rPr>
                <w:b/>
                <w:i/>
                <w:noProof/>
              </w:rPr>
              <w:t>Source:</w:t>
            </w:r>
            <w:r>
              <w:rPr>
                <w:noProof/>
              </w:rPr>
              <w:t xml:space="preserve"> European Commission</w:t>
            </w:r>
          </w:p>
        </w:tc>
      </w:tr>
    </w:tbl>
    <w:p w:rsidR="00BB0B51" w:rsidRDefault="00AA53B1">
      <w:pPr>
        <w:rPr>
          <w:noProof/>
        </w:rPr>
      </w:pPr>
      <w:r>
        <w:rPr>
          <w:b/>
          <w:noProof/>
        </w:rPr>
        <w:t>Investment in rail infrastructure is not optimising the performance of the freight sector.</w:t>
      </w:r>
      <w:r>
        <w:rPr>
          <w:noProof/>
        </w:rPr>
        <w:t xml:space="preserve"> Total rail density in Portugal is low and it has been falling, wi</w:t>
      </w:r>
      <w:r>
        <w:rPr>
          <w:noProof/>
        </w:rPr>
        <w:t>th rail freight traffic intensity among the lowest in Europe. The density of electrified rail lines is also low despite the overcapacity in electricity production. Rail investment has also been below the country</w:t>
      </w:r>
      <w:r>
        <w:rPr>
          <w:noProof/>
        </w:rPr>
        <w:noBreakHyphen/>
        <w:t>specific estimated trends in recent years (E</w:t>
      </w:r>
      <w:r>
        <w:rPr>
          <w:noProof/>
        </w:rPr>
        <w:t>uropean Commission 2016e). Restrictions on operating of long freight trains in port rail access remain, decreasing the efficiency of both rail and maritime transport. These findings suggest possible benefits from improving the networks, in particular if in</w:t>
      </w:r>
      <w:r>
        <w:rPr>
          <w:noProof/>
        </w:rPr>
        <w:t>vestments are well</w:t>
      </w:r>
      <w:r>
        <w:rPr>
          <w:noProof/>
        </w:rPr>
        <w:noBreakHyphen/>
        <w:t>targeted and take advantage of interconnections with the already dense network of roads. The Government's investment plan in the rail network might be positive step in this direction.</w:t>
      </w:r>
    </w:p>
    <w:p w:rsidR="00BB0B51" w:rsidRDefault="00AA53B1">
      <w:pPr>
        <w:rPr>
          <w:noProof/>
        </w:rPr>
      </w:pPr>
      <w:r>
        <w:rPr>
          <w:b/>
          <w:noProof/>
        </w:rPr>
        <w:t xml:space="preserve">Portugal has witnessed a vast improvement in water </w:t>
      </w:r>
      <w:r>
        <w:rPr>
          <w:b/>
          <w:noProof/>
        </w:rPr>
        <w:t>infrastructure but is lagging behind in terms of asset management efficiency and economic and financial sustainability.</w:t>
      </w:r>
      <w:r>
        <w:rPr>
          <w:noProof/>
        </w:rPr>
        <w:t xml:space="preserve"> Some municipalities have accumulated high tariff deficits and debts through economically and financially unsustainable operations. There</w:t>
      </w:r>
      <w:r>
        <w:rPr>
          <w:noProof/>
        </w:rPr>
        <w:t xml:space="preserve"> are also visible inequalities between prices of services in inland and coastal regions, hampering social and territorial cohesion. The authorities remain committed to the goal of water and sewerage sector reforms, but they are being delayed. The second st</w:t>
      </w:r>
      <w:r>
        <w:rPr>
          <w:noProof/>
        </w:rPr>
        <w:t xml:space="preserve">age of the water sector reform would help shift the emphasis from building infrastructure to efficient asset management. The aim is to merge water and sewerage municipal retail management services and promote the integration of bulk and retail activities. </w:t>
      </w:r>
      <w:r>
        <w:rPr>
          <w:noProof/>
        </w:rPr>
        <w:t>This would help ensure the financial sustainability of the system, including arrears. The reform would allow for tariff harmonisation at national level plus economies of scale and scope stemming from higher synergies in the value chain. Contrary to what pr</w:t>
      </w:r>
      <w:r>
        <w:rPr>
          <w:noProof/>
        </w:rPr>
        <w:t xml:space="preserve">evious intentions however, the State Budget contains no commitment to meet the 2017 reform deadlines. </w:t>
      </w:r>
    </w:p>
    <w:p w:rsidR="00BB0B51" w:rsidRDefault="00BB0B51">
      <w:pPr>
        <w:rPr>
          <w:noProof/>
        </w:rPr>
        <w:sectPr w:rsidR="00BB0B51">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endnotePr>
          <w:pgSz w:w="11907" w:h="16839"/>
          <w:pgMar w:top="2693" w:right="1701" w:bottom="1417" w:left="1701" w:header="709" w:footer="1191" w:gutter="0"/>
          <w:cols w:num="2" w:space="283"/>
          <w:titlePg/>
          <w:docGrid w:linePitch="360"/>
        </w:sectPr>
      </w:pPr>
    </w:p>
    <w:p w:rsidR="00BB0B51" w:rsidRDefault="00AA53B1">
      <w:pPr>
        <w:pStyle w:val="SectionTitleFramed10"/>
        <w:framePr w:wrap="notBeside"/>
        <w:rPr>
          <w:noProof/>
        </w:rPr>
      </w:pPr>
      <w:bookmarkStart w:id="50" w:name="_Toc474773043"/>
      <w:bookmarkEnd w:id="50"/>
      <w:r>
        <w:rPr>
          <w:noProof/>
        </w:rPr>
        <w:t xml:space="preserve">4.6. Public </w:t>
      </w:r>
      <w:r>
        <w:rPr>
          <w:noProof/>
        </w:rPr>
        <w:t>administration</w:t>
      </w:r>
    </w:p>
    <w:p w:rsidR="00BB0B51" w:rsidRDefault="00AA53B1">
      <w:pPr>
        <w:pStyle w:val="Heading"/>
        <w:rPr>
          <w:noProof/>
        </w:rPr>
      </w:pPr>
      <w:r>
        <w:rPr>
          <w:noProof/>
        </w:rPr>
        <w:t>Efficiency of public administration*</w:t>
      </w:r>
    </w:p>
    <w:p w:rsidR="00BB0B51" w:rsidRDefault="00AA53B1">
      <w:pPr>
        <w:keepNext/>
        <w:rPr>
          <w:noProof/>
        </w:rPr>
      </w:pPr>
      <w:r>
        <w:rPr>
          <w:b/>
          <w:noProof/>
        </w:rPr>
        <w:t>Despite progress in reducing the administrative burden on businesses, there are hurdles in easing procedures across the country.</w:t>
      </w:r>
      <w:r>
        <w:rPr>
          <w:noProof/>
        </w:rPr>
        <w:t xml:space="preserve"> A number of measures have been brought in under the economic adjustment pro</w:t>
      </w:r>
      <w:r>
        <w:rPr>
          <w:noProof/>
        </w:rPr>
        <w:t>gramme, the aim being to improve the business climate and boost investment, by lowering firms' costs and increasing the return on their investment. Despite some progress, there have been delays in simplifying local and central administrative procedures wit</w:t>
      </w:r>
      <w:r>
        <w:rPr>
          <w:noProof/>
        </w:rPr>
        <w:t>h little coordination between the various layers of the public administration. At a central level, there is the need to request visa and approvals by various ministries on a single procedure. At a local level, reforms seem to have been implemented in diffe</w:t>
      </w:r>
      <w:r>
        <w:rPr>
          <w:noProof/>
        </w:rPr>
        <w:t xml:space="preserve">rent ways, resulting in different quality standards for municipal services. Moreover, not enough has yet been done to ascertain the impact of the reform agenda implemented so far, so it is impossible to assess the extent to which this matches the original </w:t>
      </w:r>
      <w:r>
        <w:rPr>
          <w:noProof/>
        </w:rPr>
        <w:t xml:space="preserve">goals and to tackle corrective action if necessary. </w:t>
      </w:r>
    </w:p>
    <w:p w:rsidR="00BB0B51" w:rsidRDefault="00AA53B1">
      <w:pPr>
        <w:pStyle w:val="Heading"/>
        <w:rPr>
          <w:noProof/>
        </w:rPr>
      </w:pPr>
      <w:r>
        <w:rPr>
          <w:noProof/>
        </w:rPr>
        <w:t>Regulatory framework*</w:t>
      </w:r>
    </w:p>
    <w:p w:rsidR="00BB0B51" w:rsidRDefault="00AA53B1">
      <w:pPr>
        <w:keepNext/>
        <w:rPr>
          <w:noProof/>
        </w:rPr>
      </w:pPr>
      <w:r>
        <w:rPr>
          <w:b/>
          <w:noProof/>
        </w:rPr>
        <w:t>The implementation of the new administrative simplification programme seems to be lagging behind ambitions.</w:t>
      </w:r>
      <w:r>
        <w:rPr>
          <w:noProof/>
        </w:rPr>
        <w:t xml:space="preserve"> The Portuguese authorities have approved a new simplification programme, </w:t>
      </w:r>
      <w:r>
        <w:rPr>
          <w:noProof/>
        </w:rPr>
        <w:t>called SIMPLEX+. This contains a fairly ambitious package of measures for citizens and businesses. As regards business, the programme introduces a cross</w:t>
      </w:r>
      <w:r>
        <w:rPr>
          <w:noProof/>
        </w:rPr>
        <w:noBreakHyphen/>
        <w:t>cutting approach including provisions to simplify business inventory, ease business information, reduce</w:t>
      </w:r>
      <w:r>
        <w:rPr>
          <w:noProof/>
        </w:rPr>
        <w:t xml:space="preserve"> red tape for exporters and simplify tax declaration procedures. Responsible declarations by qualified professionals and companies are also replacing authorisations of electricity and gas installations in buildings. Although these measures are promising, i</w:t>
      </w:r>
      <w:r>
        <w:rPr>
          <w:noProof/>
        </w:rPr>
        <w:t>mplementation of the SIMPLEX + package seems to be lagging behind ambitions. Most of those measures relevant to businesses are only to be implemented from 2017 onwards. Sector</w:t>
      </w:r>
      <w:r>
        <w:rPr>
          <w:noProof/>
        </w:rPr>
        <w:noBreakHyphen/>
        <w:t>specific reforms are not included. The methodology for quantifying the costs ass</w:t>
      </w:r>
      <w:r>
        <w:rPr>
          <w:noProof/>
        </w:rPr>
        <w:t>ociated with administrative procedures has not been published yet,but a scientific study is being developed by a Portuguese public University in order to assess the impact of SIMPLEX measures, addressing administrative burdens reduction, compliance improve</w:t>
      </w:r>
      <w:r>
        <w:rPr>
          <w:noProof/>
        </w:rPr>
        <w:t>ment, savings generated (time and money), among others. No detailed ex</w:t>
      </w:r>
      <w:r>
        <w:rPr>
          <w:noProof/>
        </w:rPr>
        <w:noBreakHyphen/>
        <w:t>ante impact assessment has yet been conducted to select the adopted measures, on the basis of criteria including priority and benefits. Nor is there any robust ex</w:t>
      </w:r>
      <w:r>
        <w:rPr>
          <w:noProof/>
        </w:rPr>
        <w:noBreakHyphen/>
        <w:t>post evaluation system</w:t>
      </w:r>
      <w:r>
        <w:rPr>
          <w:noProof/>
        </w:rPr>
        <w:t xml:space="preserve"> to assess whether they really help to contribute to boost competitiveness and growth. However, a process called "Monitoring +" is being implemented, aiming to ensure a better interaction between public entities and both companies and citizens; a better as</w:t>
      </w:r>
      <w:r>
        <w:rPr>
          <w:noProof/>
        </w:rPr>
        <w:t>sessment of private stakeholders’ perception on changes; as well as to measure the impact of SIMPLEX on people's lives and business activity.</w:t>
      </w:r>
    </w:p>
    <w:p w:rsidR="00BB0B51" w:rsidRDefault="00AA53B1">
      <w:pPr>
        <w:pStyle w:val="Heading"/>
        <w:rPr>
          <w:noProof/>
        </w:rPr>
      </w:pPr>
      <w:r>
        <w:rPr>
          <w:noProof/>
        </w:rPr>
        <w:t>Transparency and public procurement*</w:t>
      </w:r>
    </w:p>
    <w:p w:rsidR="00BB0B51" w:rsidRDefault="00AA53B1">
      <w:pPr>
        <w:keepNext/>
        <w:rPr>
          <w:noProof/>
        </w:rPr>
      </w:pPr>
      <w:r>
        <w:rPr>
          <w:b/>
          <w:noProof/>
        </w:rPr>
        <w:t>Portugal is making progress with increasing transparency and combating corrup</w:t>
      </w:r>
      <w:r>
        <w:rPr>
          <w:b/>
          <w:noProof/>
        </w:rPr>
        <w:t>tion in public administration, but there is no overarching strategy</w:t>
      </w:r>
      <w:r>
        <w:rPr>
          <w:i/>
          <w:noProof/>
        </w:rPr>
        <w:t>.</w:t>
      </w:r>
      <w:r>
        <w:rPr>
          <w:noProof/>
        </w:rPr>
        <w:t xml:space="preserve"> In March 2016, an ad</w:t>
      </w:r>
      <w:r>
        <w:rPr>
          <w:noProof/>
        </w:rPr>
        <w:noBreakHyphen/>
        <w:t xml:space="preserve">hoc parliamentary committee for improving transparency in public office was set up to examine revisions of existing legislation. Although the results of its activity </w:t>
      </w:r>
      <w:r>
        <w:rPr>
          <w:noProof/>
        </w:rPr>
        <w:t>are not yet available, it seems reasonable to expect that some legislative improvements may be necessary (e.g. in the field of whistle</w:t>
      </w:r>
      <w:r>
        <w:rPr>
          <w:noProof/>
        </w:rPr>
        <w:noBreakHyphen/>
        <w:t>blower protection, asset declarations, conflict of interests and revolving doors). The biggest challenges so far in makin</w:t>
      </w:r>
      <w:r>
        <w:rPr>
          <w:noProof/>
        </w:rPr>
        <w:t>g the integrity framework work have been enforcing existing provisions and building up adequate monitoring and sanctioning capacity. Progress has been made on the prosecution side. Anti</w:t>
      </w:r>
      <w:r>
        <w:rPr>
          <w:noProof/>
        </w:rPr>
        <w:noBreakHyphen/>
        <w:t>corruption appears to have become a real priority for the national pro</w:t>
      </w:r>
      <w:r>
        <w:rPr>
          <w:noProof/>
        </w:rPr>
        <w:t>secution services and more efficient processes for case and resource management have been put in place (</w:t>
      </w:r>
      <w:r>
        <w:rPr>
          <w:noProof/>
          <w:vertAlign w:val="superscript"/>
        </w:rPr>
        <w:footnoteReference w:id="42"/>
      </w:r>
      <w:r>
        <w:rPr>
          <w:noProof/>
        </w:rPr>
        <w:t>). Yet, it remains to be seen whether these will be reflected by improvements in final conviction rates for high</w:t>
      </w:r>
      <w:r>
        <w:rPr>
          <w:noProof/>
        </w:rPr>
        <w:noBreakHyphen/>
        <w:t>level corruption and the application o</w:t>
      </w:r>
      <w:r>
        <w:rPr>
          <w:noProof/>
        </w:rPr>
        <w:t>f penalties that provide stronger deterrents (</w:t>
      </w:r>
      <w:r>
        <w:rPr>
          <w:noProof/>
          <w:vertAlign w:val="superscript"/>
        </w:rPr>
        <w:footnoteReference w:id="43"/>
      </w:r>
      <w:r>
        <w:rPr>
          <w:noProof/>
        </w:rPr>
        <w:t>). On the preventive side, the corruption prevention plans set up in each public institution have so far been largely formalistic. They are not fully adapted to each organisation nor are they complemented by a</w:t>
      </w:r>
      <w:r>
        <w:rPr>
          <w:noProof/>
        </w:rPr>
        <w:t xml:space="preserve">dequate monitoring. </w:t>
      </w:r>
    </w:p>
    <w:p w:rsidR="00BB0B51" w:rsidRDefault="00AA53B1">
      <w:pPr>
        <w:keepNext/>
        <w:rPr>
          <w:noProof/>
        </w:rPr>
      </w:pPr>
      <w:r>
        <w:rPr>
          <w:b/>
          <w:noProof/>
        </w:rPr>
        <w:t>Transparency and reliability of public procurement data is improving while the use of direct awards remains high.</w:t>
      </w:r>
      <w:r>
        <w:rPr>
          <w:noProof/>
        </w:rPr>
        <w:t xml:space="preserve"> The authorities are making efforts to improve data quality and reliability in the dedicated online public procurement pla</w:t>
      </w:r>
      <w:r>
        <w:rPr>
          <w:noProof/>
        </w:rPr>
        <w:t>tform (BASE). The Institute for monitoring public procurement (IMPIC) is now playing a more important role using a more systematic and automated system to correct data in BASE. Warnings mechanisms are being introduced to reduce entry errors and filling mis</w:t>
      </w:r>
      <w:r>
        <w:rPr>
          <w:noProof/>
        </w:rPr>
        <w:t>takes that, nevertheless, remain significant. According to the 2015 report on Public procurement in Portugal, published in November 2016 by IMPIC, e</w:t>
      </w:r>
      <w:r>
        <w:rPr>
          <w:noProof/>
        </w:rPr>
        <w:noBreakHyphen/>
        <w:t>procurement is well developed in the country. Nevertheless, the e</w:t>
      </w:r>
      <w:r>
        <w:rPr>
          <w:noProof/>
        </w:rPr>
        <w:noBreakHyphen/>
        <w:t>procurement platforms are not yet genuine</w:t>
      </w:r>
      <w:r>
        <w:rPr>
          <w:noProof/>
        </w:rPr>
        <w:t>ly interoperable and the costs for using these platforms appear to be high for small companies, according to the Government Computer Systems Administration (CEGER) which has received a number of complaints. The authorities have proposed measures designed t</w:t>
      </w:r>
      <w:r>
        <w:rPr>
          <w:noProof/>
        </w:rPr>
        <w:t>o remedy these shortcomings, within the SIMPLEX + Programme. According to the 2015 IMPIC report which uses BASE data (</w:t>
      </w:r>
      <w:r>
        <w:rPr>
          <w:noProof/>
          <w:vertAlign w:val="superscript"/>
        </w:rPr>
        <w:footnoteReference w:id="44"/>
      </w:r>
      <w:r>
        <w:rPr>
          <w:noProof/>
        </w:rPr>
        <w:t>), contracting authorities in Portugal often make use of the direct award procedure. This holds both for contracts covering goods and ser</w:t>
      </w:r>
      <w:r>
        <w:rPr>
          <w:noProof/>
        </w:rPr>
        <w:t>vices (90.3 %) and for public works contracts (87.0 %). Portugal is still in the process of implementing the 2014 EU Directives on Public Procurement. The relevant draft legislation includes a number of provisions to increase the mandatory number of bidder</w:t>
      </w:r>
      <w:r>
        <w:rPr>
          <w:noProof/>
        </w:rPr>
        <w:t xml:space="preserve">s and to restrict the use of direct award. If effectively set up as prescribed by the draft legislation, biennial procurement plans would also be a key tool in limiting the use of direct awards to exceptional circumstances. </w:t>
      </w:r>
    </w:p>
    <w:p w:rsidR="00BB0B51" w:rsidRDefault="00AA53B1">
      <w:pPr>
        <w:keepNext/>
        <w:rPr>
          <w:noProof/>
        </w:rPr>
      </w:pPr>
      <w:r>
        <w:rPr>
          <w:b/>
          <w:noProof/>
        </w:rPr>
        <w:t>Ex</w:t>
      </w:r>
      <w:r>
        <w:rPr>
          <w:b/>
          <w:noProof/>
        </w:rPr>
        <w:noBreakHyphen/>
        <w:t>ante and ex</w:t>
      </w:r>
      <w:r>
        <w:rPr>
          <w:b/>
          <w:noProof/>
        </w:rPr>
        <w:noBreakHyphen/>
        <w:t>post public proc</w:t>
      </w:r>
      <w:r>
        <w:rPr>
          <w:b/>
          <w:noProof/>
        </w:rPr>
        <w:t>urement controls remain limited.</w:t>
      </w:r>
      <w:r>
        <w:rPr>
          <w:noProof/>
        </w:rPr>
        <w:t xml:space="preserve"> Audit authorities in Portugal believe that there are deficiencies in the monitoring and control capacities at the execution phase of contracts. This applies in particular to public</w:t>
      </w:r>
      <w:r>
        <w:rPr>
          <w:noProof/>
        </w:rPr>
        <w:noBreakHyphen/>
        <w:t>private partnerships where contracting aut</w:t>
      </w:r>
      <w:r>
        <w:rPr>
          <w:noProof/>
        </w:rPr>
        <w:t>horities lack the expertise needed to structure, negotiate and monitor complex contracts. The mandate of the Ministry of Finance's unit for PPPs (UTAP) is restricted to public</w:t>
      </w:r>
      <w:r>
        <w:rPr>
          <w:noProof/>
        </w:rPr>
        <w:noBreakHyphen/>
        <w:t>private partnerships managed by the central administration. There are no plans t</w:t>
      </w:r>
      <w:r>
        <w:rPr>
          <w:noProof/>
        </w:rPr>
        <w:t>o expand its remit to cover concessions, regional and local public</w:t>
      </w:r>
      <w:r>
        <w:rPr>
          <w:noProof/>
        </w:rPr>
        <w:noBreakHyphen/>
        <w:t>private partnerships.  Since April 2016, it has been obligatory for all local authorities to report all public</w:t>
      </w:r>
      <w:r>
        <w:rPr>
          <w:noProof/>
        </w:rPr>
        <w:noBreakHyphen/>
        <w:t xml:space="preserve">private partnerships and concession contracts to a central registry set up to </w:t>
      </w:r>
      <w:r>
        <w:rPr>
          <w:noProof/>
        </w:rPr>
        <w:t>map those contracts more satisfactorily. This exercise is still ongoing. The Central Purchasing Body (eSPap) has awarded Framework Agreements that include several suppliers to increase the transparency and competition in the public purchase of the contract</w:t>
      </w:r>
      <w:r>
        <w:rPr>
          <w:noProof/>
        </w:rPr>
        <w:t>ing authorities entering into these agreements. However, in a broader perspective, Portugal still lacks a comprehensive public procurement policy covering all layers of the public administration. To fill this policy gap, increase openness and avoid collusi</w:t>
      </w:r>
      <w:r>
        <w:rPr>
          <w:noProof/>
        </w:rPr>
        <w:t>on in public tenders, the Portuguese Competition Authority, in co</w:t>
      </w:r>
      <w:r>
        <w:rPr>
          <w:noProof/>
        </w:rPr>
        <w:noBreakHyphen/>
        <w:t xml:space="preserve">operation with eSPap, is making efforts to disseminate best practices and raise awareness of public procurement issues within public bodies However it is doing this in its advocacy capacity </w:t>
      </w:r>
      <w:r>
        <w:rPr>
          <w:noProof/>
        </w:rPr>
        <w:t>which is non</w:t>
      </w:r>
      <w:r>
        <w:rPr>
          <w:noProof/>
        </w:rPr>
        <w:noBreakHyphen/>
        <w:t>mandatory.</w:t>
      </w:r>
    </w:p>
    <w:p w:rsidR="00BB0B51" w:rsidRDefault="00AA53B1">
      <w:pPr>
        <w:pStyle w:val="Heading"/>
        <w:rPr>
          <w:noProof/>
        </w:rPr>
      </w:pPr>
      <w:r>
        <w:rPr>
          <w:noProof/>
        </w:rPr>
        <w:t>Judicial system*</w:t>
      </w:r>
    </w:p>
    <w:p w:rsidR="00BB0B51" w:rsidRDefault="00AA53B1">
      <w:pPr>
        <w:keepNext/>
        <w:rPr>
          <w:noProof/>
        </w:rPr>
      </w:pPr>
      <w:r>
        <w:rPr>
          <w:b/>
          <w:noProof/>
        </w:rPr>
        <w:t>The performance of the Portuguese justice system is still below the EU average.</w:t>
      </w:r>
      <w:r>
        <w:rPr>
          <w:noProof/>
        </w:rPr>
        <w:t xml:space="preserve"> In Portugal efficiency indicators for civil, commercial and tax litigation cases remain poor with a negative impact on business dynamic</w:t>
      </w:r>
      <w:r>
        <w:rPr>
          <w:noProof/>
        </w:rPr>
        <w:t>s and attracting foreign direct investment. The efficiency of the tax and administrative courts remains challenging in terms of resolution rate and length of proceedings that are still long (</w:t>
      </w:r>
      <w:r>
        <w:rPr>
          <w:noProof/>
          <w:vertAlign w:val="superscript"/>
        </w:rPr>
        <w:footnoteReference w:id="45"/>
      </w:r>
      <w:r>
        <w:rPr>
          <w:noProof/>
        </w:rPr>
        <w:t>). Weaknesses also remain in the enforcement process where claim</w:t>
      </w:r>
      <w:r>
        <w:rPr>
          <w:noProof/>
        </w:rPr>
        <w:t>s enforcement and the capacity to resolving court backlogs are still below the EU standards (</w:t>
      </w:r>
      <w:r>
        <w:rPr>
          <w:noProof/>
          <w:vertAlign w:val="superscript"/>
        </w:rPr>
        <w:footnoteReference w:id="46"/>
      </w:r>
      <w:r>
        <w:rPr>
          <w:noProof/>
        </w:rPr>
        <w:t>). During the economic adjustment programme, the Portuguese authorities reformed the corporate insolvency and restructuring frameworks, resulting in a stronger fo</w:t>
      </w:r>
      <w:r>
        <w:rPr>
          <w:noProof/>
        </w:rPr>
        <w:t>cus on firms' recovery rather than their liquidation by introducing out</w:t>
      </w:r>
      <w:r>
        <w:rPr>
          <w:noProof/>
        </w:rPr>
        <w:noBreakHyphen/>
        <w:t>of</w:t>
      </w:r>
      <w:r>
        <w:rPr>
          <w:noProof/>
        </w:rPr>
        <w:noBreakHyphen/>
        <w:t>court insolvency frameworks (PER and SIREVE). According to the national statistics from the Ministry of Justice for Q2</w:t>
      </w:r>
      <w:r>
        <w:rPr>
          <w:noProof/>
        </w:rPr>
        <w:noBreakHyphen/>
        <w:t>2016, PER proceedings took an average of 4 months and 19 days.</w:t>
      </w:r>
      <w:r>
        <w:rPr>
          <w:noProof/>
        </w:rPr>
        <w:t xml:space="preserve"> The implementation of PER appears to be in line with the benchmark duration indicated in the law (a total of 35 procedural days and 2 or 3 months for negotiations between the debtor and the creditors). SIREVE frameworks have raised some doubts about their</w:t>
      </w:r>
      <w:r>
        <w:rPr>
          <w:noProof/>
        </w:rPr>
        <w:t xml:space="preserve"> efficiency. It still takes up to 40 months to conclude insolvency court proceedings. To address implementation shortfalls, the Ministry of Justice published an initial evaluation of the insolvency tools PER and SIREVE in May 2016. This also contained a se</w:t>
      </w:r>
      <w:r>
        <w:rPr>
          <w:noProof/>
        </w:rPr>
        <w:t>t of recommendations designed to tackle their implementation shortfall and inefficiencies. The availability of judicial statistics remains limited and they still do not cover tax and administrative tribunals. The High Council for Tax and Administrative Cou</w:t>
      </w:r>
      <w:r>
        <w:rPr>
          <w:noProof/>
        </w:rPr>
        <w:t>rts still produce no statistical data, which impedes any in</w:t>
      </w:r>
      <w:r>
        <w:rPr>
          <w:noProof/>
        </w:rPr>
        <w:noBreakHyphen/>
        <w:t>depth analysis of case</w:t>
      </w:r>
      <w:r>
        <w:rPr>
          <w:noProof/>
        </w:rPr>
        <w:noBreakHyphen/>
        <w:t>load metrics.</w:t>
      </w:r>
    </w:p>
    <w:p w:rsidR="00BB0B51" w:rsidRDefault="00BB0B51">
      <w:pPr>
        <w:pStyle w:val="BoxShape"/>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bookmarkStart w:id="51" w:name="_Toc474773093"/>
      <w:bookmarkEnd w:id="51"/>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p w:rsidR="00BB0B51" w:rsidRDefault="00BB0B51">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Pr>
        <w:tc>
          <w:tcPr>
            <w:tcW w:w="8505" w:type="dxa"/>
            <w:shd w:val="clear" w:color="auto" w:fill="F7FCFF"/>
          </w:tcPr>
          <w:p w:rsidR="00BB0B51" w:rsidRDefault="00AA53B1">
            <w:pPr>
              <w:pStyle w:val="BoxShape"/>
              <w:rPr>
                <w:noProof/>
                <w:sz w:val="2"/>
              </w:rPr>
            </w:pPr>
            <w:r>
              <w:rPr>
                <w:noProof/>
                <w:sz w:val="2"/>
                <w:lang w:eastAsia="en-GB"/>
              </w:rPr>
              <w:drawing>
                <wp:inline distT="0" distB="0" distL="0" distR="0" wp14:anchorId="0476F2EF" wp14:editId="625273D8">
                  <wp:extent cx="5040929" cy="5474824"/>
                  <wp:effectExtent l="0" t="0" r="7620" b="0"/>
                  <wp:docPr id="63" name="Picture 63" descr="&lt;_DISABLED_nbr_DISABLED_&gt;4.6.1&lt;/nbr&gt;&#10;&lt;title&gt;Selected highlights&lt;/title&gt;&#10;&lt;_DISABLED_id_DISABLED_&gt;ad603e18-d00d-4f48-a640-4b88e8d2880e&lt;/id&gt;&#10;&lt;srcType&gt;WORD&lt;/srcType&gt;&#10;&lt;srcPath&gt;O:\2017 CRs\22 PT\Boxes\&lt;/srcPath&gt;&#10;&lt;srcName&gt;BOX-best practice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9T10:38:4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40929" cy="5474824"/>
                          </a:xfrm>
                          <a:prstGeom prst="rect">
                            <a:avLst/>
                          </a:prstGeom>
                          <a:noFill/>
                          <a:ln>
                            <a:noFill/>
                          </a:ln>
                        </pic:spPr>
                      </pic:pic>
                    </a:graphicData>
                  </a:graphic>
                </wp:inline>
              </w:drawing>
            </w:r>
          </w:p>
        </w:tc>
      </w:tr>
      <w:tr w:rsidR="00BB0B51">
        <w:trPr>
          <w:cantSplit/>
          <w:trHeight w:val="20"/>
        </w:trPr>
        <w:tc>
          <w:tcPr>
            <w:tcW w:w="8505" w:type="dxa"/>
            <w:shd w:val="clear" w:color="auto" w:fill="F7FCFF"/>
          </w:tcPr>
          <w:p w:rsidR="00BB0B51" w:rsidRDefault="00BB0B51">
            <w:pPr>
              <w:pStyle w:val="SlimCell"/>
              <w:keepNext/>
              <w:rPr>
                <w:noProof/>
              </w:rPr>
            </w:pPr>
          </w:p>
        </w:tc>
      </w:tr>
      <w:tr w:rsidR="00BB0B51">
        <w:trPr>
          <w:cantSplit/>
          <w:trHeight w:val="20"/>
        </w:trPr>
        <w:tc>
          <w:tcPr>
            <w:tcW w:w="8505" w:type="dxa"/>
            <w:shd w:val="clear" w:color="auto" w:fill="F7FCFF"/>
          </w:tcPr>
          <w:p w:rsidR="00BB0B51" w:rsidRDefault="00BB0B51">
            <w:pPr>
              <w:pStyle w:val="SlimCell"/>
              <w:rPr>
                <w:noProof/>
              </w:rPr>
            </w:pPr>
          </w:p>
        </w:tc>
      </w:tr>
    </w:tbl>
    <w:p w:rsidR="00BB0B51" w:rsidRDefault="00BB0B51">
      <w:pPr>
        <w:rPr>
          <w:noProof/>
        </w:rPr>
        <w:sectPr w:rsidR="00BB0B51">
          <w:headerReference w:type="even" r:id="rId116"/>
          <w:headerReference w:type="default" r:id="rId117"/>
          <w:footerReference w:type="even" r:id="rId118"/>
          <w:footerReference w:type="default" r:id="rId119"/>
          <w:headerReference w:type="first" r:id="rId120"/>
          <w:footerReference w:type="first" r:id="rId121"/>
          <w:footnotePr>
            <w:pos w:val="beneathText"/>
          </w:footnotePr>
          <w:endnotePr>
            <w:numFmt w:val="decimal"/>
          </w:endnotePr>
          <w:pgSz w:w="11907" w:h="16839"/>
          <w:pgMar w:top="2693" w:right="1701" w:bottom="1417" w:left="1701" w:header="709" w:footer="1191" w:gutter="0"/>
          <w:cols w:num="2" w:space="283"/>
          <w:titlePg/>
          <w:docGrid w:linePitch="360"/>
        </w:sectPr>
      </w:pPr>
    </w:p>
    <w:tbl>
      <w:tblPr>
        <w:tblW w:w="0" w:type="auto"/>
        <w:tblInd w:w="108" w:type="dxa"/>
        <w:tblBorders>
          <w:bottom w:val="single" w:sz="4" w:space="0" w:color="auto"/>
        </w:tblBorders>
        <w:tblLayout w:type="fixed"/>
        <w:tblLook w:val="01E0" w:firstRow="1" w:lastRow="1" w:firstColumn="1" w:lastColumn="1" w:noHBand="0" w:noVBand="0"/>
      </w:tblPr>
      <w:tblGrid>
        <w:gridCol w:w="3544"/>
        <w:gridCol w:w="4961"/>
      </w:tblGrid>
      <w:tr w:rsidR="00BB0B51">
        <w:trPr>
          <w:trHeight w:val="170"/>
        </w:trPr>
        <w:tc>
          <w:tcPr>
            <w:tcW w:w="3544" w:type="dxa"/>
            <w:shd w:val="clear" w:color="auto" w:fill="auto"/>
            <w:vAlign w:val="bottom"/>
          </w:tcPr>
          <w:p w:rsidR="00BB0B51" w:rsidRDefault="00AA53B1">
            <w:pPr>
              <w:pStyle w:val="SectionTitleFramedtwolines"/>
              <w:framePr w:wrap="notBeside"/>
              <w:rPr>
                <w:noProof/>
              </w:rPr>
            </w:pPr>
            <w:bookmarkStart w:id="52" w:name="_Toc474773044"/>
            <w:bookmarkEnd w:id="52"/>
            <w:r>
              <w:rPr>
                <w:noProof/>
              </w:rPr>
              <w:t>Annex A</w:t>
            </w:r>
          </w:p>
          <w:p w:rsidR="00BB0B51" w:rsidRDefault="00AA53B1">
            <w:pPr>
              <w:pStyle w:val="AnnexTitleFramed"/>
              <w:framePr w:wrap="notBeside"/>
              <w:rPr>
                <w:noProof/>
              </w:rPr>
            </w:pPr>
            <w:r>
              <w:rPr>
                <w:noProof/>
              </w:rPr>
              <w:t>Overview table</w:t>
            </w:r>
          </w:p>
          <w:p w:rsidR="00BB0B51" w:rsidRDefault="00AA53B1">
            <w:pPr>
              <w:jc w:val="left"/>
              <w:rPr>
                <w:b/>
                <w:noProof/>
              </w:rPr>
            </w:pPr>
            <w:r>
              <w:rPr>
                <w:b/>
                <w:noProof/>
              </w:rPr>
              <w:t>Commitments</w:t>
            </w:r>
          </w:p>
        </w:tc>
        <w:tc>
          <w:tcPr>
            <w:tcW w:w="4961" w:type="dxa"/>
            <w:shd w:val="clear" w:color="auto" w:fill="auto"/>
            <w:vAlign w:val="bottom"/>
          </w:tcPr>
          <w:p w:rsidR="00BB0B51" w:rsidRDefault="00AA53B1">
            <w:pPr>
              <w:jc w:val="left"/>
              <w:rPr>
                <w:b/>
                <w:noProof/>
                <w:vertAlign w:val="superscript"/>
              </w:rPr>
            </w:pPr>
            <w:r>
              <w:rPr>
                <w:b/>
                <w:noProof/>
              </w:rPr>
              <w:t>Summary assessment(</w:t>
            </w:r>
            <w:r>
              <w:rPr>
                <w:noProof/>
                <w:vertAlign w:val="superscript"/>
              </w:rPr>
              <w:footnoteReference w:id="47"/>
            </w:r>
            <w:r>
              <w:rPr>
                <w:b/>
                <w:noProof/>
              </w:rPr>
              <w:t>)</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4961"/>
      </w:tblGrid>
      <w:tr w:rsidR="00BB0B51">
        <w:trPr>
          <w:trHeight w:val="170"/>
        </w:trPr>
        <w:tc>
          <w:tcPr>
            <w:tcW w:w="8505" w:type="dxa"/>
            <w:gridSpan w:val="2"/>
            <w:tcBorders>
              <w:top w:val="single" w:sz="4" w:space="0" w:color="auto"/>
              <w:left w:val="single" w:sz="4" w:space="0" w:color="auto"/>
              <w:bottom w:val="dashed" w:sz="4" w:space="0" w:color="auto"/>
            </w:tcBorders>
            <w:shd w:val="clear" w:color="auto" w:fill="auto"/>
            <w:vAlign w:val="center"/>
          </w:tcPr>
          <w:p w:rsidR="00BB0B51" w:rsidRDefault="00AA53B1">
            <w:pPr>
              <w:rPr>
                <w:b/>
                <w:noProof/>
              </w:rPr>
            </w:pPr>
            <w:r>
              <w:rPr>
                <w:b/>
                <w:noProof/>
              </w:rPr>
              <w:t>2016 Country specific recommendations (CSRs)</w:t>
            </w:r>
          </w:p>
        </w:tc>
      </w:tr>
      <w:tr w:rsidR="00BB0B51">
        <w:trPr>
          <w:trHeight w:val="147"/>
        </w:trPr>
        <w:tc>
          <w:tcPr>
            <w:tcW w:w="3544" w:type="dxa"/>
            <w:tcBorders>
              <w:top w:val="dashed" w:sz="4" w:space="0" w:color="auto"/>
              <w:left w:val="single" w:sz="4" w:space="0" w:color="auto"/>
              <w:bottom w:val="nil"/>
            </w:tcBorders>
            <w:shd w:val="clear" w:color="auto" w:fill="auto"/>
          </w:tcPr>
          <w:p w:rsidR="00BB0B51" w:rsidRDefault="00AA53B1">
            <w:pPr>
              <w:rPr>
                <w:b/>
                <w:noProof/>
              </w:rPr>
            </w:pPr>
            <w:r>
              <w:rPr>
                <w:b/>
                <w:noProof/>
              </w:rPr>
              <w:t xml:space="preserve">CSR1: </w:t>
            </w:r>
          </w:p>
          <w:p w:rsidR="00BB0B51" w:rsidRDefault="00AA53B1">
            <w:pPr>
              <w:rPr>
                <w:noProof/>
              </w:rPr>
            </w:pPr>
            <w:r>
              <w:rPr>
                <w:noProof/>
              </w:rPr>
              <w:t xml:space="preserve">Ensure a durable correction of the excessive deficit, in accordance with the relevant </w:t>
            </w:r>
            <w:r>
              <w:rPr>
                <w:noProof/>
              </w:rPr>
              <w:t>decisions or recommendations under the excessive deficit procedure, by taking the necessary structural measures and by using all windfall gains for deficit and debt reduction. Thereafter, achieve an annual fiscal adjustment of at least 0,6 % of GDP. Conduc</w:t>
            </w:r>
            <w:r>
              <w:rPr>
                <w:noProof/>
              </w:rPr>
              <w:t>t, by February 2017, a comprehensive expenditure review and strengthen expenditure control, cost effectiveness and adequate budgeting at all levels of public administration. Ensure the long</w:t>
            </w:r>
            <w:r>
              <w:rPr>
                <w:noProof/>
              </w:rPr>
              <w:noBreakHyphen/>
              <w:t>term sustainability of the health sector, without compromising acc</w:t>
            </w:r>
            <w:r>
              <w:rPr>
                <w:noProof/>
              </w:rPr>
              <w:t>ess to primary healthcare. Reduce the reliance of the pension system on budgetary transfers. By the end of 2016, refocus ongoing restructuring plans of state</w:t>
            </w:r>
            <w:r>
              <w:rPr>
                <w:noProof/>
              </w:rPr>
              <w:noBreakHyphen/>
              <w:t>owned enterprises (SOEs).</w:t>
            </w:r>
          </w:p>
        </w:tc>
        <w:tc>
          <w:tcPr>
            <w:tcW w:w="4961" w:type="dxa"/>
            <w:tcBorders>
              <w:top w:val="dashed" w:sz="4" w:space="0" w:color="auto"/>
              <w:bottom w:val="nil"/>
            </w:tcBorders>
            <w:shd w:val="clear" w:color="auto" w:fill="auto"/>
          </w:tcPr>
          <w:p w:rsidR="00BB0B51" w:rsidRDefault="00AA53B1">
            <w:pPr>
              <w:rPr>
                <w:noProof/>
              </w:rPr>
            </w:pPr>
            <w:r>
              <w:rPr>
                <w:noProof/>
              </w:rPr>
              <w:t xml:space="preserve">Portugal has made </w:t>
            </w:r>
            <w:r>
              <w:rPr>
                <w:b/>
                <w:noProof/>
              </w:rPr>
              <w:t>limited progress</w:t>
            </w:r>
            <w:r>
              <w:rPr>
                <w:noProof/>
              </w:rPr>
              <w:t xml:space="preserve"> in addressing CSR1 (this excludes an </w:t>
            </w:r>
            <w:r>
              <w:rPr>
                <w:noProof/>
              </w:rPr>
              <w:t>assessment of compliance with the Stability and Growth Pact).</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Ensure a durable correction of the excessive deficit, in accordance with the relevant decisions or recommendations under the excessive deficit procedure, by taking the necessary structural meas</w:t>
            </w:r>
            <w:r>
              <w:rPr>
                <w:noProof/>
              </w:rPr>
              <w:t>ures and by using all windfall gains for deficit and debt reduction.</w:t>
            </w:r>
          </w:p>
          <w:p w:rsidR="00BB0B51" w:rsidRDefault="00BB0B51">
            <w:pPr>
              <w:rPr>
                <w:b/>
                <w:noProof/>
              </w:rPr>
            </w:pPr>
          </w:p>
        </w:tc>
        <w:tc>
          <w:tcPr>
            <w:tcW w:w="4961" w:type="dxa"/>
            <w:tcBorders>
              <w:top w:val="nil"/>
              <w:bottom w:val="nil"/>
            </w:tcBorders>
            <w:shd w:val="clear" w:color="auto" w:fill="auto"/>
          </w:tcPr>
          <w:p w:rsidR="00BB0B51" w:rsidRDefault="00AA53B1">
            <w:pPr>
              <w:pStyle w:val="ListBullet"/>
              <w:numPr>
                <w:ilvl w:val="0"/>
                <w:numId w:val="1"/>
              </w:numPr>
              <w:rPr>
                <w:noProof/>
              </w:rPr>
            </w:pPr>
            <w:r>
              <w:rPr>
                <w:noProof/>
              </w:rPr>
              <w:t>The compliance assessment with the Stability and Growth Pact will be included in Spring when final data for 2016 will be available.</w:t>
            </w:r>
          </w:p>
          <w:p w:rsidR="00BB0B51" w:rsidRDefault="00BB0B51">
            <w:pPr>
              <w:rPr>
                <w:b/>
                <w:noProof/>
              </w:rPr>
            </w:pPr>
          </w:p>
          <w:p w:rsidR="00BB0B51" w:rsidRDefault="00BB0B51">
            <w:pPr>
              <w:rPr>
                <w:noProof/>
              </w:rPr>
            </w:pP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 xml:space="preserve">Conduct, by February 2017, a comprehensive </w:t>
            </w:r>
            <w:r>
              <w:rPr>
                <w:noProof/>
              </w:rPr>
              <w:t>expenditure review and strengthen expenditure control, cost effectiveness and adequate budgeting at all levels of public administration</w:t>
            </w:r>
          </w:p>
          <w:p w:rsidR="00BB0B51" w:rsidRDefault="00BB0B51">
            <w:pPr>
              <w:rPr>
                <w:b/>
                <w:noProof/>
              </w:rPr>
            </w:pP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Some progress in conducting a comprehensive expenditure review.</w:t>
            </w:r>
            <w:r>
              <w:rPr>
                <w:noProof/>
              </w:rPr>
              <w:t xml:space="preserve"> The authorities have started a spending review exercise</w:t>
            </w:r>
            <w:r>
              <w:rPr>
                <w:noProof/>
              </w:rPr>
              <w:t>, mainly based on efficiency measures that involve the health and education ministries; state</w:t>
            </w:r>
            <w:r>
              <w:rPr>
                <w:noProof/>
              </w:rPr>
              <w:noBreakHyphen/>
              <w:t>owned enterprises and (centralised) public procurement and real estate management). This spending review still falls short of a comprehensive approach since its s</w:t>
            </w:r>
            <w:r>
              <w:rPr>
                <w:noProof/>
              </w:rPr>
              <w:t>cope only covers the central government and focused on efficiency savings stemming from streamlining services.</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Ensure the long</w:t>
            </w:r>
            <w:r>
              <w:rPr>
                <w:noProof/>
              </w:rPr>
              <w:noBreakHyphen/>
              <w:t>term sustainability of the health sector, without compromising access to primary healthcare</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Some progress in ensuring the long</w:t>
            </w:r>
            <w:r>
              <w:rPr>
                <w:b/>
                <w:noProof/>
              </w:rPr>
              <w:noBreakHyphen/>
              <w:t>t</w:t>
            </w:r>
            <w:r>
              <w:rPr>
                <w:b/>
                <w:noProof/>
              </w:rPr>
              <w:t>erm sustainability of the healthcare sector.</w:t>
            </w:r>
            <w:r>
              <w:rPr>
                <w:noProof/>
              </w:rPr>
              <w:t xml:space="preserve"> As Portugal is expected to have the highest increase in healthcare costs in the EU by 2060, more efforts for cost compression should be pursued including by integrating primary care, hospital services and contin</w:t>
            </w:r>
            <w:r>
              <w:rPr>
                <w:noProof/>
              </w:rPr>
              <w:t>uous care. However, health care prevention and access to primary health care have been improved which will definitely help Portugal meet the long term challenges facing its health care sector, Nonetheless, the increase stock of arrears adds strain to the s</w:t>
            </w:r>
            <w:r>
              <w:rPr>
                <w:noProof/>
              </w:rPr>
              <w:t>ystem's fiscal sustainability in the short</w:t>
            </w:r>
            <w:r>
              <w:rPr>
                <w:noProof/>
              </w:rPr>
              <w:noBreakHyphen/>
              <w:t>term.</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 xml:space="preserve">Reduce the reliance of the pension system on budgetary transfers. </w:t>
            </w:r>
          </w:p>
          <w:p w:rsidR="00BB0B51" w:rsidRDefault="00BB0B51">
            <w:pPr>
              <w:rPr>
                <w:b/>
                <w:noProof/>
              </w:rPr>
            </w:pP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Limited progress in reducing the reliance of pension system on budgetary transfers.</w:t>
            </w:r>
            <w:r>
              <w:rPr>
                <w:noProof/>
              </w:rPr>
              <w:t xml:space="preserve"> The draft budget for 2017 includes the earmarking of a</w:t>
            </w:r>
            <w:r>
              <w:rPr>
                <w:noProof/>
              </w:rPr>
              <w:t xml:space="preserve"> new progressive tax on real estate portfolios (on top of the IMI) to the social security's Financial Stabilization Fund (worth EUR 160 million in 2017 according to the 2017 draft budgetary plan 2017). Although this earmarking is being presented by the gov</w:t>
            </w:r>
            <w:r>
              <w:rPr>
                <w:noProof/>
              </w:rPr>
              <w:t>ernment as an alternative to the excessive reliance on classical budgetary transfers, this does not address the expenditure side of the pension system sustainability.</w:t>
            </w:r>
          </w:p>
          <w:p w:rsidR="00BB0B51" w:rsidRDefault="00BB0B51">
            <w:pPr>
              <w:rPr>
                <w:noProof/>
              </w:rPr>
            </w:pPr>
          </w:p>
        </w:tc>
      </w:tr>
      <w:tr w:rsidR="00BB0B51">
        <w:trPr>
          <w:trHeight w:val="147"/>
        </w:trPr>
        <w:tc>
          <w:tcPr>
            <w:tcW w:w="3544" w:type="dxa"/>
            <w:tcBorders>
              <w:top w:val="nil"/>
              <w:left w:val="single" w:sz="4" w:space="0" w:color="auto"/>
              <w:bottom w:val="dashed" w:sz="4" w:space="0" w:color="auto"/>
            </w:tcBorders>
            <w:shd w:val="clear" w:color="auto" w:fill="auto"/>
          </w:tcPr>
          <w:p w:rsidR="00BB0B51" w:rsidRDefault="00AA53B1">
            <w:pPr>
              <w:rPr>
                <w:noProof/>
              </w:rPr>
            </w:pPr>
            <w:r>
              <w:rPr>
                <w:noProof/>
              </w:rPr>
              <w:t>By the end of 2016, refocus ongoing restructuring plans of state</w:t>
            </w:r>
            <w:r>
              <w:rPr>
                <w:noProof/>
              </w:rPr>
              <w:noBreakHyphen/>
              <w:t xml:space="preserve">owned enterprises </w:t>
            </w:r>
            <w:r>
              <w:rPr>
                <w:noProof/>
              </w:rPr>
              <w:t>(SOEs).</w:t>
            </w:r>
          </w:p>
        </w:tc>
        <w:tc>
          <w:tcPr>
            <w:tcW w:w="4961" w:type="dxa"/>
            <w:tcBorders>
              <w:top w:val="nil"/>
              <w:bottom w:val="dashed" w:sz="4" w:space="0" w:color="auto"/>
            </w:tcBorders>
            <w:shd w:val="clear" w:color="auto" w:fill="auto"/>
          </w:tcPr>
          <w:p w:rsidR="00BB0B51" w:rsidRDefault="00AA53B1">
            <w:pPr>
              <w:pStyle w:val="ListBullet"/>
              <w:numPr>
                <w:ilvl w:val="0"/>
                <w:numId w:val="1"/>
              </w:numPr>
              <w:rPr>
                <w:noProof/>
              </w:rPr>
            </w:pPr>
            <w:r>
              <w:rPr>
                <w:b/>
                <w:noProof/>
              </w:rPr>
              <w:t>No progress in refocusing restructuring plans of state</w:t>
            </w:r>
            <w:r>
              <w:rPr>
                <w:b/>
                <w:noProof/>
              </w:rPr>
              <w:noBreakHyphen/>
              <w:t>owned enterprises.</w:t>
            </w:r>
            <w:r>
              <w:rPr>
                <w:noProof/>
              </w:rPr>
              <w:t xml:space="preserve"> In terms of their operational performance state</w:t>
            </w:r>
            <w:r>
              <w:rPr>
                <w:noProof/>
              </w:rPr>
              <w:noBreakHyphen/>
              <w:t>owned enterprises fared well in 2016, as shown by their positive EBIDTA (earnings before interest, tax, depreciation and amort</w:t>
            </w:r>
            <w:r>
              <w:rPr>
                <w:noProof/>
              </w:rPr>
              <w:t>ization). However, indebtedness remains very high resulting in persistent negative net income. The government so far has not presented any concrete measures to significantly restructure state</w:t>
            </w:r>
            <w:r>
              <w:rPr>
                <w:noProof/>
              </w:rPr>
              <w:noBreakHyphen/>
              <w:t>owned enterprises.</w:t>
            </w:r>
          </w:p>
        </w:tc>
      </w:tr>
      <w:tr w:rsidR="00BB0B51">
        <w:trPr>
          <w:trHeight w:val="1550"/>
        </w:trPr>
        <w:tc>
          <w:tcPr>
            <w:tcW w:w="3544" w:type="dxa"/>
            <w:tcBorders>
              <w:top w:val="dashed" w:sz="4" w:space="0" w:color="auto"/>
              <w:left w:val="single" w:sz="4" w:space="0" w:color="auto"/>
              <w:bottom w:val="dashed" w:sz="4" w:space="0" w:color="auto"/>
            </w:tcBorders>
            <w:shd w:val="clear" w:color="auto" w:fill="auto"/>
          </w:tcPr>
          <w:p w:rsidR="00BB0B51" w:rsidRDefault="00AA53B1">
            <w:pPr>
              <w:rPr>
                <w:b/>
                <w:noProof/>
              </w:rPr>
            </w:pPr>
            <w:r>
              <w:rPr>
                <w:b/>
                <w:noProof/>
              </w:rPr>
              <w:t xml:space="preserve">CSR2: </w:t>
            </w:r>
          </w:p>
          <w:p w:rsidR="00BB0B51" w:rsidRDefault="00AA53B1">
            <w:pPr>
              <w:rPr>
                <w:noProof/>
              </w:rPr>
            </w:pPr>
            <w:r>
              <w:rPr>
                <w:noProof/>
              </w:rPr>
              <w:t>In consultation with social partners,</w:t>
            </w:r>
            <w:r>
              <w:rPr>
                <w:noProof/>
              </w:rPr>
              <w:t xml:space="preserve"> ensure that the minimum wage is consistent with the objectives of promoting employment and competitiveness across sectors.</w:t>
            </w:r>
          </w:p>
        </w:tc>
        <w:tc>
          <w:tcPr>
            <w:tcW w:w="4961" w:type="dxa"/>
            <w:tcBorders>
              <w:top w:val="dashed" w:sz="4" w:space="0" w:color="auto"/>
              <w:bottom w:val="dashed" w:sz="4" w:space="0" w:color="auto"/>
            </w:tcBorders>
            <w:shd w:val="clear" w:color="auto" w:fill="auto"/>
          </w:tcPr>
          <w:p w:rsidR="00BB0B51" w:rsidRDefault="00AA53B1">
            <w:pPr>
              <w:rPr>
                <w:b/>
                <w:noProof/>
              </w:rPr>
            </w:pPr>
            <w:r>
              <w:rPr>
                <w:b/>
                <w:noProof/>
              </w:rPr>
              <w:t xml:space="preserve">Portugal has made limited progress in addressing CSR2: </w:t>
            </w:r>
          </w:p>
          <w:p w:rsidR="00BB0B51" w:rsidRDefault="00AA53B1">
            <w:pPr>
              <w:pStyle w:val="ListBullet"/>
              <w:numPr>
                <w:ilvl w:val="0"/>
                <w:numId w:val="1"/>
              </w:numPr>
              <w:rPr>
                <w:noProof/>
              </w:rPr>
            </w:pPr>
            <w:r>
              <w:rPr>
                <w:b/>
                <w:noProof/>
              </w:rPr>
              <w:t>Limited progress in ensuring that the minimum wage is consistent with promot</w:t>
            </w:r>
            <w:r>
              <w:rPr>
                <w:b/>
                <w:noProof/>
              </w:rPr>
              <w:t>ion of employment and competitiveness.</w:t>
            </w:r>
            <w:r>
              <w:rPr>
                <w:noProof/>
              </w:rPr>
              <w:t xml:space="preserve"> The minimum wage was raised most recently in January 2017, from EUR 530 to EUR 557 i.e. above expected inflation and average productivity increases. While increasing aggregate demand and reducing in</w:t>
            </w:r>
            <w:r>
              <w:rPr>
                <w:noProof/>
              </w:rPr>
              <w:noBreakHyphen/>
              <w:t>work poverty, in a</w:t>
            </w:r>
            <w:r>
              <w:rPr>
                <w:noProof/>
              </w:rPr>
              <w:t xml:space="preserve"> context of low inflation and high unemployment, continued increases in the minimum wage above productivity might put upward pressures on the overall wage structure, with the risk of affecting employment and competitiveness perspectives. The government est</w:t>
            </w:r>
            <w:r>
              <w:rPr>
                <w:noProof/>
              </w:rPr>
              <w:t>ablished a structure to monitor the impact of minimum wage developments, through quarterly reports which are published and discussed with social partners.</w:t>
            </w:r>
          </w:p>
        </w:tc>
      </w:tr>
      <w:tr w:rsidR="00BB0B51">
        <w:trPr>
          <w:trHeight w:val="147"/>
        </w:trPr>
        <w:tc>
          <w:tcPr>
            <w:tcW w:w="3544" w:type="dxa"/>
            <w:tcBorders>
              <w:top w:val="dashed" w:sz="4" w:space="0" w:color="auto"/>
              <w:left w:val="single" w:sz="4" w:space="0" w:color="auto"/>
              <w:bottom w:val="nil"/>
            </w:tcBorders>
            <w:shd w:val="clear" w:color="auto" w:fill="auto"/>
          </w:tcPr>
          <w:p w:rsidR="00BB0B51" w:rsidRDefault="00AA53B1">
            <w:pPr>
              <w:rPr>
                <w:b/>
                <w:noProof/>
              </w:rPr>
            </w:pPr>
            <w:r>
              <w:rPr>
                <w:b/>
                <w:noProof/>
              </w:rPr>
              <w:t xml:space="preserve">CSR3: </w:t>
            </w:r>
          </w:p>
          <w:p w:rsidR="00BB0B51" w:rsidRDefault="00AA53B1">
            <w:pPr>
              <w:rPr>
                <w:noProof/>
              </w:rPr>
            </w:pPr>
            <w:r>
              <w:rPr>
                <w:noProof/>
              </w:rPr>
              <w:t>Ensure the effective activation of the long</w:t>
            </w:r>
            <w:r>
              <w:rPr>
                <w:noProof/>
              </w:rPr>
              <w:noBreakHyphen/>
              <w:t xml:space="preserve">term unemployed and improve the coordination </w:t>
            </w:r>
            <w:r>
              <w:rPr>
                <w:noProof/>
              </w:rPr>
              <w:t>between employment and social services. Strengthen incentives for firms to hire through permanent contracts.</w:t>
            </w:r>
          </w:p>
        </w:tc>
        <w:tc>
          <w:tcPr>
            <w:tcW w:w="4961" w:type="dxa"/>
            <w:tcBorders>
              <w:top w:val="dashed" w:sz="4" w:space="0" w:color="auto"/>
              <w:bottom w:val="nil"/>
            </w:tcBorders>
            <w:shd w:val="clear" w:color="auto" w:fill="auto"/>
          </w:tcPr>
          <w:p w:rsidR="00BB0B51" w:rsidRDefault="00AA53B1">
            <w:pPr>
              <w:rPr>
                <w:b/>
                <w:noProof/>
              </w:rPr>
            </w:pPr>
            <w:r>
              <w:rPr>
                <w:b/>
                <w:noProof/>
              </w:rPr>
              <w:t>Portugal has made some progress in addressing CSR3</w:t>
            </w:r>
          </w:p>
          <w:p w:rsidR="00BB0B51" w:rsidRDefault="00BB0B51">
            <w:pPr>
              <w:rPr>
                <w:noProof/>
              </w:rPr>
            </w:pP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Ensure the effective activation of the long</w:t>
            </w:r>
            <w:r>
              <w:rPr>
                <w:noProof/>
              </w:rPr>
              <w:noBreakHyphen/>
              <w:t xml:space="preserve">term unemployed and improve the coordination </w:t>
            </w:r>
            <w:r>
              <w:rPr>
                <w:noProof/>
              </w:rPr>
              <w:t>between employment and social services</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Limited progress in ensuring effective activation of long</w:t>
            </w:r>
            <w:r>
              <w:rPr>
                <w:b/>
                <w:noProof/>
              </w:rPr>
              <w:noBreakHyphen/>
              <w:t>term unemployed and in improving coordination between employment and social services</w:t>
            </w:r>
            <w:r>
              <w:rPr>
                <w:noProof/>
              </w:rPr>
              <w:t>. The rate of long</w:t>
            </w:r>
            <w:r>
              <w:rPr>
                <w:noProof/>
              </w:rPr>
              <w:noBreakHyphen/>
              <w:t xml:space="preserve">term unemployment remains one of the highest in the EU, </w:t>
            </w:r>
            <w:r>
              <w:rPr>
                <w:noProof/>
              </w:rPr>
              <w:t>despite active labour market measures targeted at long</w:t>
            </w:r>
            <w:r>
              <w:rPr>
                <w:noProof/>
              </w:rPr>
              <w:noBreakHyphen/>
              <w:t>term unemployed which have been developed in recent years. To address this, the government produced an assessment of active labour market policies. However, no specific measures targeted at integrating</w:t>
            </w:r>
            <w:r>
              <w:rPr>
                <w:noProof/>
              </w:rPr>
              <w:t xml:space="preserve"> the long</w:t>
            </w:r>
            <w:r>
              <w:rPr>
                <w:noProof/>
              </w:rPr>
              <w:noBreakHyphen/>
              <w:t>term unemployed into the labour market have been adopted since then. The public employment service’s planned increased use of online platforms instead of face</w:t>
            </w:r>
            <w:r>
              <w:rPr>
                <w:noProof/>
              </w:rPr>
              <w:noBreakHyphen/>
              <w:t>to</w:t>
            </w:r>
            <w:r>
              <w:rPr>
                <w:noProof/>
              </w:rPr>
              <w:noBreakHyphen/>
              <w:t>face</w:t>
            </w:r>
            <w:r>
              <w:rPr>
                <w:noProof/>
              </w:rPr>
              <w:noBreakHyphen/>
              <w:t>services should enable staff to focus on more personalised services for the lon</w:t>
            </w:r>
            <w:r>
              <w:rPr>
                <w:noProof/>
              </w:rPr>
              <w:t>g</w:t>
            </w:r>
            <w:r>
              <w:rPr>
                <w:noProof/>
              </w:rPr>
              <w:noBreakHyphen/>
              <w:t>term unemployed. As part of the ongoing administrative simplification process, one</w:t>
            </w:r>
            <w:r>
              <w:rPr>
                <w:noProof/>
              </w:rPr>
              <w:noBreakHyphen/>
              <w:t>stop shops for the long</w:t>
            </w:r>
            <w:r>
              <w:rPr>
                <w:noProof/>
              </w:rPr>
              <w:noBreakHyphen/>
              <w:t>term unemployed are being developed, although this initiative has not yet reached the implementation phase.</w:t>
            </w:r>
          </w:p>
          <w:p w:rsidR="00BB0B51" w:rsidRDefault="00BB0B51">
            <w:pPr>
              <w:rPr>
                <w:b/>
                <w:noProof/>
              </w:rPr>
            </w:pPr>
          </w:p>
        </w:tc>
      </w:tr>
      <w:tr w:rsidR="00BB0B51">
        <w:trPr>
          <w:trHeight w:val="147"/>
        </w:trPr>
        <w:tc>
          <w:tcPr>
            <w:tcW w:w="3544" w:type="dxa"/>
            <w:tcBorders>
              <w:top w:val="nil"/>
              <w:left w:val="single" w:sz="4" w:space="0" w:color="auto"/>
              <w:bottom w:val="dashed" w:sz="4" w:space="0" w:color="auto"/>
            </w:tcBorders>
            <w:shd w:val="clear" w:color="auto" w:fill="auto"/>
          </w:tcPr>
          <w:p w:rsidR="00BB0B51" w:rsidRDefault="00AA53B1">
            <w:pPr>
              <w:rPr>
                <w:noProof/>
              </w:rPr>
            </w:pPr>
            <w:r>
              <w:rPr>
                <w:noProof/>
              </w:rPr>
              <w:t>Strengthen incentives for firms to hi</w:t>
            </w:r>
            <w:r>
              <w:rPr>
                <w:noProof/>
              </w:rPr>
              <w:t>re through permanent contracts.</w:t>
            </w:r>
          </w:p>
        </w:tc>
        <w:tc>
          <w:tcPr>
            <w:tcW w:w="4961" w:type="dxa"/>
            <w:tcBorders>
              <w:top w:val="nil"/>
              <w:bottom w:val="dashed" w:sz="4" w:space="0" w:color="auto"/>
            </w:tcBorders>
            <w:shd w:val="clear" w:color="auto" w:fill="auto"/>
          </w:tcPr>
          <w:p w:rsidR="00BB0B51" w:rsidRDefault="00AA53B1">
            <w:pPr>
              <w:pStyle w:val="ListBullet"/>
              <w:numPr>
                <w:ilvl w:val="0"/>
                <w:numId w:val="1"/>
              </w:numPr>
              <w:rPr>
                <w:noProof/>
              </w:rPr>
            </w:pPr>
            <w:r>
              <w:rPr>
                <w:b/>
                <w:noProof/>
              </w:rPr>
              <w:t>Some progress in strengthening incentives for firms to hire through permanent contracts.</w:t>
            </w:r>
            <w:r>
              <w:rPr>
                <w:noProof/>
              </w:rPr>
              <w:t xml:space="preserve"> The Government redesigned its employment support programme to promote hiring on open</w:t>
            </w:r>
            <w:r>
              <w:rPr>
                <w:noProof/>
              </w:rPr>
              <w:noBreakHyphen/>
              <w:t>ended contracts while restricting the financial su</w:t>
            </w:r>
            <w:r>
              <w:rPr>
                <w:noProof/>
              </w:rPr>
              <w:t>pport for temporary contracts to specific cases such as the very long</w:t>
            </w:r>
            <w:r>
              <w:rPr>
                <w:noProof/>
              </w:rPr>
              <w:noBreakHyphen/>
              <w:t>term unemployed. However, the expected impact of the new measure in reducing segmentation is limited in view of the low number of people to be covered.</w:t>
            </w:r>
          </w:p>
        </w:tc>
      </w:tr>
      <w:tr w:rsidR="00BB0B51">
        <w:trPr>
          <w:trHeight w:val="147"/>
        </w:trPr>
        <w:tc>
          <w:tcPr>
            <w:tcW w:w="3544" w:type="dxa"/>
            <w:tcBorders>
              <w:top w:val="dashed" w:sz="4" w:space="0" w:color="auto"/>
              <w:left w:val="single" w:sz="4" w:space="0" w:color="auto"/>
              <w:bottom w:val="nil"/>
            </w:tcBorders>
            <w:shd w:val="clear" w:color="auto" w:fill="auto"/>
          </w:tcPr>
          <w:p w:rsidR="00BB0B51" w:rsidRDefault="00AA53B1">
            <w:pPr>
              <w:rPr>
                <w:b/>
                <w:noProof/>
              </w:rPr>
            </w:pPr>
            <w:r>
              <w:rPr>
                <w:b/>
                <w:noProof/>
              </w:rPr>
              <w:t xml:space="preserve">CSR4: </w:t>
            </w:r>
          </w:p>
          <w:p w:rsidR="00BB0B51" w:rsidRDefault="00AA53B1">
            <w:pPr>
              <w:rPr>
                <w:noProof/>
              </w:rPr>
            </w:pPr>
            <w:r>
              <w:rPr>
                <w:noProof/>
              </w:rPr>
              <w:t xml:space="preserve">Take measures, by October </w:t>
            </w:r>
            <w:r>
              <w:rPr>
                <w:noProof/>
              </w:rPr>
              <w:t>2016, to facilitate the cleaning up of the balance sheets of credit institutions and address the high level of non</w:t>
            </w:r>
            <w:r>
              <w:rPr>
                <w:noProof/>
              </w:rPr>
              <w:noBreakHyphen/>
              <w:t>performing loans. Reduce the debt bias in corporate taxation and improve the access to finance for start</w:t>
            </w:r>
            <w:r>
              <w:rPr>
                <w:noProof/>
              </w:rPr>
              <w:noBreakHyphen/>
              <w:t>ups and small and medium</w:t>
            </w:r>
            <w:r>
              <w:rPr>
                <w:noProof/>
              </w:rPr>
              <w:noBreakHyphen/>
              <w:t>sized enter</w:t>
            </w:r>
            <w:r>
              <w:rPr>
                <w:noProof/>
              </w:rPr>
              <w:t>prises via the capital market.</w:t>
            </w:r>
          </w:p>
        </w:tc>
        <w:tc>
          <w:tcPr>
            <w:tcW w:w="4961" w:type="dxa"/>
            <w:tcBorders>
              <w:top w:val="dashed" w:sz="4" w:space="0" w:color="auto"/>
              <w:bottom w:val="nil"/>
            </w:tcBorders>
            <w:shd w:val="clear" w:color="auto" w:fill="auto"/>
          </w:tcPr>
          <w:p w:rsidR="00BB0B51" w:rsidRDefault="00AA53B1">
            <w:pPr>
              <w:rPr>
                <w:b/>
                <w:noProof/>
              </w:rPr>
            </w:pPr>
            <w:r>
              <w:rPr>
                <w:b/>
                <w:noProof/>
              </w:rPr>
              <w:t>Portugal has made limited progress in addressing CSR 4</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Take measures, by October 2016, to facilitate the cleaning up of the balance sheets of credit institutions and address the high level of non</w:t>
            </w:r>
            <w:r>
              <w:rPr>
                <w:noProof/>
              </w:rPr>
              <w:noBreakHyphen/>
              <w:t>performing loans</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 xml:space="preserve">Limited </w:t>
            </w:r>
            <w:r>
              <w:rPr>
                <w:b/>
                <w:noProof/>
              </w:rPr>
              <w:t>progress in facilitating the clean</w:t>
            </w:r>
            <w:r>
              <w:rPr>
                <w:b/>
                <w:noProof/>
              </w:rPr>
              <w:noBreakHyphen/>
              <w:t>up of credit institutions' balance sheets and addressing the high level of non</w:t>
            </w:r>
            <w:r>
              <w:rPr>
                <w:b/>
                <w:noProof/>
              </w:rPr>
              <w:noBreakHyphen/>
              <w:t>performing loans</w:t>
            </w:r>
            <w:r>
              <w:rPr>
                <w:noProof/>
              </w:rPr>
              <w:t>.</w:t>
            </w:r>
          </w:p>
          <w:p w:rsidR="00BB0B51" w:rsidRDefault="00AA53B1">
            <w:pPr>
              <w:pStyle w:val="ListBullet"/>
              <w:numPr>
                <w:ilvl w:val="0"/>
                <w:numId w:val="1"/>
              </w:numPr>
              <w:rPr>
                <w:noProof/>
              </w:rPr>
            </w:pPr>
            <w:r>
              <w:rPr>
                <w:noProof/>
              </w:rPr>
              <w:t xml:space="preserve">By Resolution of the Council of Ministers N. 42/2016 of 18 August 2016, the government approved the </w:t>
            </w:r>
            <w:r>
              <w:rPr>
                <w:i/>
                <w:noProof/>
              </w:rPr>
              <w:t>Capitalizar</w:t>
            </w:r>
            <w:r>
              <w:rPr>
                <w:noProof/>
              </w:rPr>
              <w:t xml:space="preserve"> Programme</w:t>
            </w:r>
            <w:r>
              <w:rPr>
                <w:b/>
                <w:noProof/>
              </w:rPr>
              <w:t>.</w:t>
            </w:r>
            <w:r>
              <w:rPr>
                <w:noProof/>
              </w:rPr>
              <w:t xml:space="preserve"> U</w:t>
            </w:r>
            <w:r>
              <w:rPr>
                <w:noProof/>
              </w:rPr>
              <w:t xml:space="preserve">nder the programmes's "corporate restructuring" strand, the government intends to improve existing mechanisms for restructuring the balance of viable economic enterprises and the recovery of credits. The government is also taking action to revise its </w:t>
            </w:r>
            <w:r>
              <w:rPr>
                <w:b/>
                <w:noProof/>
              </w:rPr>
              <w:t>insol</w:t>
            </w:r>
            <w:r>
              <w:rPr>
                <w:b/>
                <w:noProof/>
              </w:rPr>
              <w:t>vency regime</w:t>
            </w:r>
            <w:r>
              <w:rPr>
                <w:noProof/>
              </w:rPr>
              <w:t xml:space="preserve"> through the following</w:t>
            </w:r>
            <w:r>
              <w:rPr>
                <w:b/>
                <w:noProof/>
              </w:rPr>
              <w:t>:</w:t>
            </w:r>
            <w:r>
              <w:rPr>
                <w:noProof/>
              </w:rPr>
              <w:t xml:space="preserve"> mechanisms to control the access to the PER (implementation period: first quarter of 2017); access of judicial administrators to the Citius dataset, the IT system to support the activities of the courts) (fully implement</w:t>
            </w:r>
            <w:r>
              <w:rPr>
                <w:noProof/>
              </w:rPr>
              <w:t>ed); the right of judicial administrators to directly access the various databases (implementation planned for the first quarter of 2017); creation of electronic certificates (expected to be implemented in the first quarter of 2017); possibility of exempti</w:t>
            </w:r>
            <w:r>
              <w:rPr>
                <w:noProof/>
              </w:rPr>
              <w:t>on from holding a meeting of creditors; changes to the legal framework to the new registration rules on cross</w:t>
            </w:r>
            <w:r>
              <w:rPr>
                <w:noProof/>
              </w:rPr>
              <w:noBreakHyphen/>
              <w:t>border insolvencies and interconnection of registries.</w:t>
            </w:r>
          </w:p>
          <w:p w:rsidR="00BB0B51" w:rsidRDefault="00AA53B1">
            <w:pPr>
              <w:pStyle w:val="ListBullet"/>
              <w:numPr>
                <w:ilvl w:val="0"/>
                <w:numId w:val="1"/>
              </w:numPr>
              <w:rPr>
                <w:noProof/>
              </w:rPr>
            </w:pPr>
            <w:r>
              <w:rPr>
                <w:noProof/>
              </w:rPr>
              <w:t>The tax law has been changed to remove disincentives to write</w:t>
            </w:r>
            <w:r>
              <w:rPr>
                <w:noProof/>
              </w:rPr>
              <w:noBreakHyphen/>
              <w:t>off. The central bank is cond</w:t>
            </w:r>
            <w:r>
              <w:rPr>
                <w:noProof/>
              </w:rPr>
              <w:t>ucting additional supervisory work, including by assessing banks' capability to manage non</w:t>
            </w:r>
            <w:r>
              <w:rPr>
                <w:noProof/>
              </w:rPr>
              <w:noBreakHyphen/>
              <w:t>performing loans, The central bank is also providing guidance to banks on how to screen different types of non</w:t>
            </w:r>
            <w:r>
              <w:rPr>
                <w:noProof/>
              </w:rPr>
              <w:noBreakHyphen/>
              <w:t>performing loans, and how to manage them. They are als</w:t>
            </w:r>
            <w:r>
              <w:rPr>
                <w:noProof/>
              </w:rPr>
              <w:t>o considering an external servicing of loans, although the details have not been provided as to whether this would entail the creation of a market of distressed assets. Overall, a comprehensive strategy appears to be lacking.</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Reduce the debt bias in corpo</w:t>
            </w:r>
            <w:r>
              <w:rPr>
                <w:noProof/>
              </w:rPr>
              <w:t>rate taxation and</w:t>
            </w:r>
          </w:p>
          <w:p w:rsidR="00BB0B51" w:rsidRDefault="00BB0B51">
            <w:pPr>
              <w:rPr>
                <w:b/>
                <w:noProof/>
              </w:rPr>
            </w:pP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Some progress in reducing the debt bias in corporate taxation</w:t>
            </w:r>
            <w:r>
              <w:rPr>
                <w:noProof/>
              </w:rPr>
              <w:t>. The 2017 draft budgetary plan includes broadening the scope of the allowance for corporate equity (ACE) regime. The regime now applies to all companies (previously it applied</w:t>
            </w:r>
            <w:r>
              <w:rPr>
                <w:noProof/>
              </w:rPr>
              <w:t xml:space="preserve"> only to small and medium</w:t>
            </w:r>
            <w:r>
              <w:rPr>
                <w:noProof/>
              </w:rPr>
              <w:noBreakHyphen/>
              <w:t>sized enterprises) and shareholders (not only individuals and venture capital investors). In addition, the allowance has been increased from 5 % during 4 years to 7 % during 6 years.</w:t>
            </w:r>
          </w:p>
        </w:tc>
      </w:tr>
      <w:tr w:rsidR="00BB0B51">
        <w:trPr>
          <w:trHeight w:val="147"/>
        </w:trPr>
        <w:tc>
          <w:tcPr>
            <w:tcW w:w="3544" w:type="dxa"/>
            <w:tcBorders>
              <w:top w:val="nil"/>
              <w:left w:val="single" w:sz="4" w:space="0" w:color="auto"/>
              <w:bottom w:val="dashed" w:sz="4" w:space="0" w:color="auto"/>
            </w:tcBorders>
            <w:shd w:val="clear" w:color="auto" w:fill="auto"/>
          </w:tcPr>
          <w:p w:rsidR="00BB0B51" w:rsidRDefault="00AA53B1">
            <w:pPr>
              <w:rPr>
                <w:noProof/>
              </w:rPr>
            </w:pPr>
            <w:r>
              <w:rPr>
                <w:noProof/>
              </w:rPr>
              <w:t>improve the access to finance for start</w:t>
            </w:r>
            <w:r>
              <w:rPr>
                <w:noProof/>
              </w:rPr>
              <w:noBreakHyphen/>
              <w:t>ups an</w:t>
            </w:r>
            <w:r>
              <w:rPr>
                <w:noProof/>
              </w:rPr>
              <w:t>d small and medium</w:t>
            </w:r>
            <w:r>
              <w:rPr>
                <w:noProof/>
              </w:rPr>
              <w:noBreakHyphen/>
              <w:t>sized enterprises via the capital market.</w:t>
            </w:r>
          </w:p>
        </w:tc>
        <w:tc>
          <w:tcPr>
            <w:tcW w:w="4961" w:type="dxa"/>
            <w:tcBorders>
              <w:top w:val="nil"/>
              <w:bottom w:val="dashed" w:sz="4" w:space="0" w:color="auto"/>
            </w:tcBorders>
            <w:shd w:val="clear" w:color="auto" w:fill="auto"/>
          </w:tcPr>
          <w:p w:rsidR="00BB0B51" w:rsidRDefault="00AA53B1">
            <w:pPr>
              <w:pStyle w:val="ListBullet"/>
              <w:numPr>
                <w:ilvl w:val="0"/>
                <w:numId w:val="1"/>
              </w:numPr>
              <w:rPr>
                <w:noProof/>
              </w:rPr>
            </w:pPr>
            <w:r>
              <w:rPr>
                <w:b/>
                <w:noProof/>
              </w:rPr>
              <w:t>Limited progress in improving the access to finance for start</w:t>
            </w:r>
            <w:r>
              <w:rPr>
                <w:b/>
                <w:noProof/>
              </w:rPr>
              <w:noBreakHyphen/>
              <w:t>ups and small and medium</w:t>
            </w:r>
            <w:r>
              <w:rPr>
                <w:b/>
                <w:noProof/>
              </w:rPr>
              <w:noBreakHyphen/>
              <w:t>sized enterprises via the capital market</w:t>
            </w:r>
            <w:r>
              <w:rPr>
                <w:noProof/>
              </w:rPr>
              <w:t>. Under the Capitalizar Programme, the government has put forward me</w:t>
            </w:r>
            <w:r>
              <w:rPr>
                <w:noProof/>
              </w:rPr>
              <w:t xml:space="preserve">asures to ease businesses' financing needs. A new credit line with a mutual guarantee has been made available and will allow financing to companies of more than EUR 1 billion in financing for companies. In parallel, the government has put in place another </w:t>
            </w:r>
            <w:r>
              <w:rPr>
                <w:noProof/>
              </w:rPr>
              <w:t>programme (</w:t>
            </w:r>
            <w:r>
              <w:rPr>
                <w:i/>
                <w:noProof/>
              </w:rPr>
              <w:t>Programa Semente</w:t>
            </w:r>
            <w:r>
              <w:rPr>
                <w:noProof/>
              </w:rPr>
              <w:t xml:space="preserve">) to finance for start ups and small enterprises in their early stages (seed capital), helping them to raise equity finance by offering tax reliefs, for at least two years, to individual investors who purchase new shares in such </w:t>
            </w:r>
            <w:r>
              <w:rPr>
                <w:noProof/>
              </w:rPr>
              <w:t>companies, These programmes are expected to improve the financing of companies in Portugal, provided that they are swiftly and fully implemented.</w:t>
            </w:r>
          </w:p>
        </w:tc>
      </w:tr>
      <w:tr w:rsidR="00BB0B51">
        <w:trPr>
          <w:trHeight w:val="147"/>
        </w:trPr>
        <w:tc>
          <w:tcPr>
            <w:tcW w:w="3544" w:type="dxa"/>
            <w:tcBorders>
              <w:top w:val="dashed" w:sz="4" w:space="0" w:color="auto"/>
              <w:left w:val="single" w:sz="4" w:space="0" w:color="auto"/>
              <w:bottom w:val="nil"/>
            </w:tcBorders>
            <w:shd w:val="clear" w:color="auto" w:fill="auto"/>
          </w:tcPr>
          <w:p w:rsidR="00BB0B51" w:rsidRDefault="00AA53B1">
            <w:pPr>
              <w:rPr>
                <w:b/>
                <w:noProof/>
              </w:rPr>
            </w:pPr>
            <w:r>
              <w:rPr>
                <w:b/>
                <w:noProof/>
              </w:rPr>
              <w:t xml:space="preserve">CSR5: </w:t>
            </w:r>
          </w:p>
          <w:p w:rsidR="00BB0B51" w:rsidRDefault="00AA53B1">
            <w:pPr>
              <w:rPr>
                <w:noProof/>
              </w:rPr>
            </w:pPr>
            <w:r>
              <w:rPr>
                <w:noProof/>
              </w:rPr>
              <w:t xml:space="preserve">Increase transparency and efficiency in public procurement as regards public private partnerships and </w:t>
            </w:r>
            <w:r>
              <w:rPr>
                <w:noProof/>
              </w:rPr>
              <w:t>concessions. By the end of 2016, improve and accelerate administrative and licensing procedures, accelerate tax litigations and reduce regulatory barriers, especially in business services. Incentivise cooperation between universities and the business secto</w:t>
            </w:r>
            <w:r>
              <w:rPr>
                <w:noProof/>
              </w:rPr>
              <w:t>r.</w:t>
            </w:r>
          </w:p>
        </w:tc>
        <w:tc>
          <w:tcPr>
            <w:tcW w:w="4961" w:type="dxa"/>
            <w:tcBorders>
              <w:top w:val="dashed" w:sz="4" w:space="0" w:color="auto"/>
              <w:bottom w:val="nil"/>
            </w:tcBorders>
            <w:shd w:val="clear" w:color="auto" w:fill="auto"/>
          </w:tcPr>
          <w:p w:rsidR="00BB0B51" w:rsidRDefault="00AA53B1">
            <w:pPr>
              <w:rPr>
                <w:b/>
                <w:noProof/>
              </w:rPr>
            </w:pPr>
            <w:r>
              <w:rPr>
                <w:b/>
                <w:noProof/>
              </w:rPr>
              <w:t>Portugal has made some progress in addressing CSR5</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Increase transparency and efficiency in public procurement as regards public private partnerships and concessions</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Some progress in increasing transparency in public procurement.</w:t>
            </w:r>
            <w:r>
              <w:rPr>
                <w:noProof/>
              </w:rPr>
              <w:t xml:space="preserve"> Transparency and reliability of public procurement data is improving. The institute for Monitoring Public Procurement (IMPIC) is moving from a case by case approach on correcting data in BASE to a more systematic and automated system. Access to procuremen</w:t>
            </w:r>
            <w:r>
              <w:rPr>
                <w:noProof/>
              </w:rPr>
              <w:t>t data by control and prosecution authorities is not automatic, because of the legal framework on data protection, which hampers efficient checks and investigations. By Decree N. 18/2016, the government has established quarterly monitoring and reporting pr</w:t>
            </w:r>
            <w:r>
              <w:rPr>
                <w:noProof/>
              </w:rPr>
              <w:t xml:space="preserve">ocedures related for local and regional public private partnerships and concessions. The use of direct awards remains high and there are weaknesses in the tender procedures due to: (i) insufficient justification underpinning the recourse to direct awards; </w:t>
            </w:r>
            <w:r>
              <w:rPr>
                <w:noProof/>
              </w:rPr>
              <w:t>(ii) splitting of contracts; (iii) lack of capacity and professionalization an (iv) limited checks.</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By the end of 2016, improve and accelerate administrative and licensing procedures,</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 xml:space="preserve">Limited progress in improving and accelerating licensing procedures by </w:t>
            </w:r>
            <w:r>
              <w:rPr>
                <w:b/>
                <w:noProof/>
              </w:rPr>
              <w:t>the end of 2016</w:t>
            </w:r>
            <w:r>
              <w:rPr>
                <w:noProof/>
              </w:rPr>
              <w:t>. The SIMPLEX + initiative includes some cross cutting simplification measures, yet to be implemented, but progress in enhancing the business environment has largely stalled in relation to sector specific regulation.</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accelerate tax litigati</w:t>
            </w:r>
            <w:r>
              <w:rPr>
                <w:noProof/>
              </w:rPr>
              <w:t>ons</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Some progress in accelerating tax litigations by the end of 2016.</w:t>
            </w:r>
            <w:r>
              <w:rPr>
                <w:noProof/>
              </w:rPr>
              <w:t xml:space="preserve"> The Tax Administration has drawn up a multiannual plan to combat fraud, improve tax collection and simplify tax procedures. The 2017 draft budgetary plan introduced provisions for the ta</w:t>
            </w:r>
            <w:r>
              <w:rPr>
                <w:noProof/>
              </w:rPr>
              <w:t>x authorities to: reduce response time for issuing binding rulings (Autoridade Tributária) to a maximum of 75 days in all urgent requests, significantly reduce the deadline for urgent requests; also, assess the possibility of reducing the costs of urgent b</w:t>
            </w:r>
            <w:r>
              <w:rPr>
                <w:noProof/>
              </w:rPr>
              <w:t>inding ruling. Despite these efforts, the tax courts' clearance rate remains low.</w:t>
            </w:r>
          </w:p>
        </w:tc>
      </w:tr>
      <w:tr w:rsidR="00BB0B51">
        <w:trPr>
          <w:trHeight w:val="147"/>
        </w:trPr>
        <w:tc>
          <w:tcPr>
            <w:tcW w:w="3544" w:type="dxa"/>
            <w:tcBorders>
              <w:top w:val="nil"/>
              <w:left w:val="single" w:sz="4" w:space="0" w:color="auto"/>
              <w:bottom w:val="nil"/>
            </w:tcBorders>
            <w:shd w:val="clear" w:color="auto" w:fill="auto"/>
          </w:tcPr>
          <w:p w:rsidR="00BB0B51" w:rsidRDefault="00AA53B1">
            <w:pPr>
              <w:rPr>
                <w:noProof/>
              </w:rPr>
            </w:pPr>
            <w:r>
              <w:rPr>
                <w:noProof/>
              </w:rPr>
              <w:t>and reduce regulatory barriers, especially in business services.</w:t>
            </w:r>
          </w:p>
        </w:tc>
        <w:tc>
          <w:tcPr>
            <w:tcW w:w="4961" w:type="dxa"/>
            <w:tcBorders>
              <w:top w:val="nil"/>
              <w:bottom w:val="nil"/>
            </w:tcBorders>
            <w:shd w:val="clear" w:color="auto" w:fill="auto"/>
          </w:tcPr>
          <w:p w:rsidR="00BB0B51" w:rsidRDefault="00AA53B1">
            <w:pPr>
              <w:pStyle w:val="ListBullet"/>
              <w:numPr>
                <w:ilvl w:val="0"/>
                <w:numId w:val="1"/>
              </w:numPr>
              <w:rPr>
                <w:noProof/>
              </w:rPr>
            </w:pPr>
            <w:r>
              <w:rPr>
                <w:b/>
                <w:noProof/>
              </w:rPr>
              <w:t>Limited progress in reducing regulatory barriers especially in business services by the end of 2016</w:t>
            </w:r>
            <w:r>
              <w:rPr>
                <w:noProof/>
              </w:rPr>
              <w:t>. Previou</w:t>
            </w:r>
            <w:r>
              <w:rPr>
                <w:noProof/>
              </w:rPr>
              <w:t>s reform efforts targeting the most restrictive business services, including regulated professions, were halted and, in some cases, reversed. Restrictions on corporate groups for professional firms and restrictive regulation of legal professions (legal for</w:t>
            </w:r>
            <w:r>
              <w:rPr>
                <w:noProof/>
              </w:rPr>
              <w:t>m, shareholding, management, multidisciplinary, advertising restrictions) set to remain in place.</w:t>
            </w:r>
          </w:p>
        </w:tc>
      </w:tr>
      <w:tr w:rsidR="00BB0B51">
        <w:trPr>
          <w:trHeight w:val="147"/>
        </w:trPr>
        <w:tc>
          <w:tcPr>
            <w:tcW w:w="3544" w:type="dxa"/>
            <w:tcBorders>
              <w:top w:val="nil"/>
              <w:left w:val="single" w:sz="4" w:space="0" w:color="auto"/>
              <w:bottom w:val="dashed" w:sz="4" w:space="0" w:color="auto"/>
            </w:tcBorders>
            <w:shd w:val="clear" w:color="auto" w:fill="auto"/>
          </w:tcPr>
          <w:p w:rsidR="00BB0B51" w:rsidRDefault="00AA53B1">
            <w:pPr>
              <w:rPr>
                <w:noProof/>
              </w:rPr>
            </w:pPr>
            <w:r>
              <w:rPr>
                <w:noProof/>
              </w:rPr>
              <w:t>Incentivise cooperation between universities and the business sector.</w:t>
            </w:r>
          </w:p>
        </w:tc>
        <w:tc>
          <w:tcPr>
            <w:tcW w:w="4961" w:type="dxa"/>
            <w:tcBorders>
              <w:top w:val="nil"/>
              <w:bottom w:val="dashed" w:sz="4" w:space="0" w:color="auto"/>
            </w:tcBorders>
            <w:shd w:val="clear" w:color="auto" w:fill="auto"/>
          </w:tcPr>
          <w:p w:rsidR="00BB0B51" w:rsidRDefault="00AA53B1">
            <w:pPr>
              <w:pStyle w:val="ListBullet"/>
              <w:numPr>
                <w:ilvl w:val="0"/>
                <w:numId w:val="1"/>
              </w:numPr>
              <w:rPr>
                <w:noProof/>
              </w:rPr>
            </w:pPr>
            <w:r>
              <w:rPr>
                <w:b/>
                <w:noProof/>
              </w:rPr>
              <w:t>Some progress in incentivising cooperation between universities and the business sector</w:t>
            </w:r>
            <w:r>
              <w:rPr>
                <w:noProof/>
              </w:rPr>
              <w:t>. New initiatives announced include the creation of collaborative laboratories, technological centres for engineering activities and new business innovation contracts. The government is currently preparing a revision of the Higher Education system. The new</w:t>
            </w:r>
            <w:r>
              <w:rPr>
                <w:noProof/>
              </w:rPr>
              <w:t xml:space="preserve"> programme to modernise and revamp polytechnic institutes focuses on matching both R&amp;D activities and dual VET programmes (CTeSPs) with regional needs. The Innovation Agency (ANI) is working to increase knowledge and collaborative innovation and has identi</w:t>
            </w:r>
            <w:r>
              <w:rPr>
                <w:noProof/>
              </w:rPr>
              <w:t>fied further potential players to bring into the innovation eco</w:t>
            </w:r>
            <w:r>
              <w:rPr>
                <w:noProof/>
              </w:rPr>
              <w:noBreakHyphen/>
              <w:t>system (including businesses and research organizations). It is also pushing for more collaboration as a priority for further action. However, there is no overall comprehensive strategy to fos</w:t>
            </w:r>
            <w:r>
              <w:rPr>
                <w:noProof/>
              </w:rPr>
              <w:t>ter cooperation between universities and the business sector: cooperation still relies mostly on isolated initiatives from specific universities or businesses.</w:t>
            </w:r>
          </w:p>
        </w:tc>
      </w:tr>
      <w:tr w:rsidR="00BB0B51">
        <w:tc>
          <w:tcPr>
            <w:tcW w:w="8505" w:type="dxa"/>
            <w:gridSpan w:val="2"/>
            <w:tcBorders>
              <w:top w:val="single" w:sz="4" w:space="0" w:color="auto"/>
              <w:left w:val="single" w:sz="4" w:space="0" w:color="auto"/>
              <w:bottom w:val="dashSmallGap" w:sz="4" w:space="0" w:color="auto"/>
              <w:right w:val="single" w:sz="4" w:space="0" w:color="auto"/>
            </w:tcBorders>
            <w:hideMark/>
          </w:tcPr>
          <w:p w:rsidR="00BB0B51" w:rsidRDefault="00AA53B1">
            <w:pPr>
              <w:rPr>
                <w:b/>
                <w:noProof/>
              </w:rPr>
            </w:pPr>
            <w:r>
              <w:rPr>
                <w:b/>
                <w:noProof/>
              </w:rPr>
              <w:t>Europe 2020 (national targets and progress)</w:t>
            </w:r>
          </w:p>
        </w:tc>
      </w:tr>
      <w:tr w:rsidR="00BB0B51">
        <w:tc>
          <w:tcPr>
            <w:tcW w:w="3544"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Employment rate target (20</w:t>
            </w:r>
            <w:r>
              <w:rPr>
                <w:noProof/>
              </w:rPr>
              <w:noBreakHyphen/>
              <w:t xml:space="preserve">64 years old): 75 % </w:t>
            </w:r>
          </w:p>
        </w:tc>
        <w:tc>
          <w:tcPr>
            <w:tcW w:w="4961"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69.1 % (2015). It increased compared to 2014 (67.6 %) but remains well below the national target for 2020.</w:t>
            </w:r>
          </w:p>
        </w:tc>
      </w:tr>
      <w:tr w:rsidR="00BB0B51">
        <w:tc>
          <w:tcPr>
            <w:tcW w:w="3544" w:type="dxa"/>
            <w:tcBorders>
              <w:top w:val="dashSmallGap" w:sz="4" w:space="0" w:color="auto"/>
              <w:left w:val="single" w:sz="4" w:space="0" w:color="auto"/>
              <w:bottom w:val="dashSmallGap" w:sz="4" w:space="0" w:color="auto"/>
              <w:right w:val="single" w:sz="4" w:space="0" w:color="auto"/>
            </w:tcBorders>
            <w:hideMark/>
          </w:tcPr>
          <w:p w:rsidR="00BB0B51" w:rsidRDefault="00AA53B1">
            <w:pPr>
              <w:rPr>
                <w:noProof/>
              </w:rPr>
            </w:pPr>
            <w:r>
              <w:rPr>
                <w:noProof/>
              </w:rPr>
              <w:t>R&amp;D target: 3 %</w:t>
            </w:r>
          </w:p>
          <w:p w:rsidR="00BB0B51" w:rsidRDefault="00BB0B51">
            <w:pPr>
              <w:rPr>
                <w:noProof/>
              </w:rPr>
            </w:pPr>
          </w:p>
        </w:tc>
        <w:tc>
          <w:tcPr>
            <w:tcW w:w="4961" w:type="dxa"/>
            <w:tcBorders>
              <w:top w:val="dashSmallGap" w:sz="4" w:space="0" w:color="auto"/>
              <w:left w:val="single" w:sz="4" w:space="0" w:color="auto"/>
              <w:bottom w:val="dashSmallGap" w:sz="4" w:space="0" w:color="auto"/>
              <w:right w:val="single" w:sz="4" w:space="0" w:color="auto"/>
            </w:tcBorders>
            <w:hideMark/>
          </w:tcPr>
          <w:p w:rsidR="00BB0B51" w:rsidRDefault="00AA53B1">
            <w:pPr>
              <w:rPr>
                <w:noProof/>
              </w:rPr>
            </w:pPr>
            <w:r>
              <w:rPr>
                <w:noProof/>
              </w:rPr>
              <w:t xml:space="preserve">R&amp;D intensity has been declining since 2009. The situation is particularly worrying for business spending on R&amp;D, which dropped </w:t>
            </w:r>
            <w:r>
              <w:rPr>
                <w:noProof/>
              </w:rPr>
              <w:t>significantly between 2009 and 2015.</w:t>
            </w:r>
          </w:p>
          <w:p w:rsidR="00BB0B51" w:rsidRDefault="00AA53B1">
            <w:pPr>
              <w:rPr>
                <w:noProof/>
              </w:rPr>
            </w:pPr>
            <w:r>
              <w:rPr>
                <w:noProof/>
              </w:rPr>
              <w:t>1.28 % (2015)</w:t>
            </w:r>
          </w:p>
        </w:tc>
      </w:tr>
      <w:tr w:rsidR="00BB0B51">
        <w:tc>
          <w:tcPr>
            <w:tcW w:w="3544"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 xml:space="preserve">Greenhouse gas (GHG) emissions target: </w:t>
            </w:r>
          </w:p>
          <w:p w:rsidR="00BB0B51" w:rsidRDefault="00AA53B1">
            <w:pPr>
              <w:rPr>
                <w:noProof/>
              </w:rPr>
            </w:pPr>
            <w:r>
              <w:rPr>
                <w:noProof/>
              </w:rPr>
              <w:t xml:space="preserve">-National Greenhouse gas (GHG) emissions target: </w:t>
            </w:r>
          </w:p>
          <w:p w:rsidR="00BB0B51" w:rsidRDefault="00AA53B1">
            <w:pPr>
              <w:rPr>
                <w:noProof/>
              </w:rPr>
            </w:pPr>
            <w:r>
              <w:rPr>
                <w:noProof/>
              </w:rPr>
              <w:t>1 % in 2020 compared to 2005 (in non</w:t>
            </w:r>
            <w:r>
              <w:rPr>
                <w:noProof/>
              </w:rPr>
              <w:noBreakHyphen/>
              <w:t>ETS sectors)</w:t>
            </w:r>
          </w:p>
        </w:tc>
        <w:tc>
          <w:tcPr>
            <w:tcW w:w="4961"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Portugal’s non</w:t>
            </w:r>
            <w:r>
              <w:rPr>
                <w:noProof/>
              </w:rPr>
              <w:noBreakHyphen/>
              <w:t xml:space="preserve">ETS emissions decreased by 24 % between 2005 and </w:t>
            </w:r>
            <w:r>
              <w:rPr>
                <w:noProof/>
              </w:rPr>
              <w:t>2015. The country has achieved its 2015 target (a 2 % emission reduction) by a 22 pps. gap. According to the latest national projections based on existing measures, non</w:t>
            </w:r>
            <w:r>
              <w:rPr>
                <w:noProof/>
              </w:rPr>
              <w:noBreakHyphen/>
              <w:t>ETS emissions will decrease by 25 % between 2005 and 2020.</w:t>
            </w:r>
          </w:p>
          <w:p w:rsidR="00BB0B51" w:rsidRDefault="00AA53B1">
            <w:pPr>
              <w:rPr>
                <w:noProof/>
              </w:rPr>
            </w:pPr>
            <w:r>
              <w:rPr>
                <w:noProof/>
              </w:rPr>
              <w:t>The key measures being imple</w:t>
            </w:r>
            <w:r>
              <w:rPr>
                <w:noProof/>
              </w:rPr>
              <w:t>mented are the framework for climate policy (</w:t>
            </w:r>
            <w:r>
              <w:rPr>
                <w:i/>
                <w:noProof/>
              </w:rPr>
              <w:t>QEPiC - Quadro Estratégico da Política Climática</w:t>
            </w:r>
            <w:r>
              <w:rPr>
                <w:noProof/>
              </w:rPr>
              <w:t>) and the 2013</w:t>
            </w:r>
            <w:r>
              <w:rPr>
                <w:noProof/>
              </w:rPr>
              <w:noBreakHyphen/>
              <w:t>2020 national programme for climate change "</w:t>
            </w:r>
            <w:r>
              <w:rPr>
                <w:i/>
                <w:noProof/>
              </w:rPr>
              <w:t>Programa Nacional para as Alterações Climáticas</w:t>
            </w:r>
            <w:r>
              <w:rPr>
                <w:noProof/>
              </w:rPr>
              <w:t>" (PNAC 2020). Portugal is implementing the 2015 green ta</w:t>
            </w:r>
            <w:r>
              <w:rPr>
                <w:noProof/>
              </w:rPr>
              <w:t>x reform that introduced transport</w:t>
            </w:r>
            <w:r>
              <w:rPr>
                <w:noProof/>
              </w:rPr>
              <w:noBreakHyphen/>
              <w:t>related fiscal measures for the 2020 horizon, including carbon tax, higher taxes for vehicles with high CO2 emission factors and tax incentives (Law 82-D, 2014).</w:t>
            </w:r>
          </w:p>
        </w:tc>
      </w:tr>
      <w:tr w:rsidR="00BB0B51">
        <w:tc>
          <w:tcPr>
            <w:tcW w:w="3544" w:type="dxa"/>
            <w:tcBorders>
              <w:top w:val="dashSmallGap" w:sz="4" w:space="0" w:color="auto"/>
              <w:left w:val="single" w:sz="4" w:space="0" w:color="auto"/>
              <w:bottom w:val="dashSmallGap" w:sz="4" w:space="0" w:color="auto"/>
              <w:right w:val="single" w:sz="4" w:space="0" w:color="auto"/>
            </w:tcBorders>
            <w:hideMark/>
          </w:tcPr>
          <w:p w:rsidR="00BB0B51" w:rsidRDefault="00AA53B1">
            <w:pPr>
              <w:rPr>
                <w:noProof/>
              </w:rPr>
            </w:pPr>
            <w:r>
              <w:rPr>
                <w:noProof/>
              </w:rPr>
              <w:t xml:space="preserve">2020 Renewable energy target: </w:t>
            </w:r>
          </w:p>
          <w:p w:rsidR="00BB0B51" w:rsidRDefault="00AA53B1">
            <w:pPr>
              <w:rPr>
                <w:noProof/>
              </w:rPr>
            </w:pPr>
            <w:r>
              <w:rPr>
                <w:noProof/>
              </w:rPr>
              <w:t xml:space="preserve">31 % </w:t>
            </w:r>
          </w:p>
          <w:p w:rsidR="00BB0B51" w:rsidRDefault="00BB0B51">
            <w:pPr>
              <w:rPr>
                <w:noProof/>
              </w:rPr>
            </w:pPr>
          </w:p>
        </w:tc>
        <w:tc>
          <w:tcPr>
            <w:tcW w:w="4961" w:type="dxa"/>
            <w:tcBorders>
              <w:top w:val="dashSmallGap" w:sz="4" w:space="0" w:color="auto"/>
              <w:left w:val="single" w:sz="4" w:space="0" w:color="auto"/>
              <w:bottom w:val="dashSmallGap" w:sz="4" w:space="0" w:color="auto"/>
              <w:right w:val="single" w:sz="4" w:space="0" w:color="auto"/>
            </w:tcBorders>
            <w:hideMark/>
          </w:tcPr>
          <w:p w:rsidR="00BB0B51" w:rsidRDefault="00AA53B1">
            <w:pPr>
              <w:rPr>
                <w:noProof/>
              </w:rPr>
            </w:pPr>
            <w:r>
              <w:rPr>
                <w:noProof/>
              </w:rPr>
              <w:t>With a 27.8 % renewa</w:t>
            </w:r>
            <w:r>
              <w:rPr>
                <w:noProof/>
              </w:rPr>
              <w:t>ble energy share in 2015, Portugal is above its 2015/2016 interim target of 25.2 % as established in the Renewable Energy Directive (</w:t>
            </w:r>
            <w:r>
              <w:rPr>
                <w:noProof/>
                <w:vertAlign w:val="superscript"/>
              </w:rPr>
              <w:footnoteReference w:id="48"/>
            </w:r>
            <w:r>
              <w:rPr>
                <w:noProof/>
              </w:rPr>
              <w:t>).</w:t>
            </w:r>
          </w:p>
        </w:tc>
      </w:tr>
      <w:tr w:rsidR="00BB0B51">
        <w:tc>
          <w:tcPr>
            <w:tcW w:w="3544" w:type="dxa"/>
            <w:tcBorders>
              <w:top w:val="dashSmallGap" w:sz="4" w:space="0" w:color="auto"/>
              <w:left w:val="single" w:sz="4" w:space="0" w:color="auto"/>
              <w:bottom w:val="dashSmallGap" w:sz="4" w:space="0" w:color="auto"/>
              <w:right w:val="single" w:sz="4" w:space="0" w:color="auto"/>
            </w:tcBorders>
            <w:hideMark/>
          </w:tcPr>
          <w:p w:rsidR="00BB0B51" w:rsidRDefault="00AA53B1">
            <w:pPr>
              <w:rPr>
                <w:noProof/>
              </w:rPr>
            </w:pPr>
            <w:r>
              <w:rPr>
                <w:noProof/>
              </w:rPr>
              <w:t>Energy efficiency target.</w:t>
            </w:r>
          </w:p>
          <w:p w:rsidR="00BB0B51" w:rsidRDefault="00AA53B1">
            <w:pPr>
              <w:rPr>
                <w:noProof/>
              </w:rPr>
            </w:pPr>
            <w:r>
              <w:rPr>
                <w:noProof/>
              </w:rPr>
              <w:t xml:space="preserve">Portugal has set an indicative national energy efficiency target of 25 % reduction of final </w:t>
            </w:r>
            <w:r>
              <w:rPr>
                <w:noProof/>
              </w:rPr>
              <w:t>energy consumption in 2020, which implies reaching a 2020 level of 22.5 Mtoe primary consumption and 17.4 Mtoe final energy consumption.</w:t>
            </w:r>
          </w:p>
        </w:tc>
        <w:tc>
          <w:tcPr>
            <w:tcW w:w="4961" w:type="dxa"/>
            <w:tcBorders>
              <w:top w:val="dashSmallGap" w:sz="4" w:space="0" w:color="auto"/>
              <w:left w:val="single" w:sz="4" w:space="0" w:color="auto"/>
              <w:bottom w:val="dashSmallGap" w:sz="4" w:space="0" w:color="auto"/>
              <w:right w:val="single" w:sz="4" w:space="0" w:color="auto"/>
            </w:tcBorders>
            <w:hideMark/>
          </w:tcPr>
          <w:p w:rsidR="00BB0B51" w:rsidRDefault="00AA53B1">
            <w:pPr>
              <w:rPr>
                <w:noProof/>
              </w:rPr>
            </w:pPr>
            <w:r>
              <w:rPr>
                <w:noProof/>
              </w:rPr>
              <w:t xml:space="preserve">Portugal increased its primary energy consumption by 4.9 % from 20.65 Mtoe in 2014 to 21.66 Mtoe in 2015. Final energy </w:t>
            </w:r>
            <w:r>
              <w:rPr>
                <w:noProof/>
              </w:rPr>
              <w:t>consumption increased by 2 % from 15.77 Mtoe in 2014 to 16.04 Mtoe in 2015.</w:t>
            </w:r>
          </w:p>
          <w:p w:rsidR="00BB0B51" w:rsidRDefault="00AA53B1">
            <w:pPr>
              <w:rPr>
                <w:noProof/>
              </w:rPr>
            </w:pPr>
            <w:r>
              <w:rPr>
                <w:noProof/>
              </w:rPr>
              <w:t>Even if Portugal has already achieved levels of primary and final energy consumption which are below the indicative national 2020 targets (22.5 Mtoe in primary energy consumption a</w:t>
            </w:r>
            <w:r>
              <w:rPr>
                <w:noProof/>
              </w:rPr>
              <w:t>nd 17.4 Mtoe in final energy consumption) it would need to make an effort to keep these levels until 2020.</w:t>
            </w:r>
          </w:p>
        </w:tc>
      </w:tr>
      <w:tr w:rsidR="00BB0B51">
        <w:tc>
          <w:tcPr>
            <w:tcW w:w="3544" w:type="dxa"/>
            <w:tcBorders>
              <w:top w:val="dashSmallGap" w:sz="4" w:space="0" w:color="auto"/>
              <w:left w:val="single" w:sz="4" w:space="0" w:color="auto"/>
              <w:bottom w:val="dashSmallGap" w:sz="4" w:space="0" w:color="auto"/>
              <w:right w:val="single" w:sz="4" w:space="0" w:color="auto"/>
            </w:tcBorders>
          </w:tcPr>
          <w:p w:rsidR="00BB0B51" w:rsidRDefault="00AA53B1">
            <w:pPr>
              <w:rPr>
                <w:noProof/>
                <w:highlight w:val="yellow"/>
              </w:rPr>
            </w:pPr>
            <w:r>
              <w:rPr>
                <w:noProof/>
              </w:rPr>
              <w:t>Early school leaving target: 10 %</w:t>
            </w:r>
          </w:p>
        </w:tc>
        <w:tc>
          <w:tcPr>
            <w:tcW w:w="4961"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Portugal is among the three countries that have made most progress in reducing early school leaving since 2012 (Ed</w:t>
            </w:r>
            <w:r>
              <w:rPr>
                <w:noProof/>
              </w:rPr>
              <w:t>ucation and Training Monitor 2016). The continuous positive decreasing trend and the possible impact of the implementation of the National Plan to promote School Success put the target at reach for the country.</w:t>
            </w:r>
          </w:p>
          <w:p w:rsidR="00BB0B51" w:rsidRDefault="00AA53B1">
            <w:pPr>
              <w:rPr>
                <w:noProof/>
              </w:rPr>
            </w:pPr>
            <w:r>
              <w:rPr>
                <w:noProof/>
              </w:rPr>
              <w:t>13.7 % (2015)</w:t>
            </w:r>
          </w:p>
        </w:tc>
      </w:tr>
      <w:tr w:rsidR="00BB0B51">
        <w:tc>
          <w:tcPr>
            <w:tcW w:w="3544" w:type="dxa"/>
            <w:tcBorders>
              <w:top w:val="dashSmallGap" w:sz="4" w:space="0" w:color="auto"/>
              <w:left w:val="single" w:sz="4" w:space="0" w:color="auto"/>
              <w:bottom w:val="dashSmallGap" w:sz="4" w:space="0" w:color="auto"/>
              <w:right w:val="single" w:sz="4" w:space="0" w:color="auto"/>
            </w:tcBorders>
          </w:tcPr>
          <w:p w:rsidR="00BB0B51" w:rsidRDefault="00AA53B1">
            <w:pPr>
              <w:rPr>
                <w:noProof/>
                <w:highlight w:val="yellow"/>
              </w:rPr>
            </w:pPr>
            <w:r>
              <w:rPr>
                <w:noProof/>
              </w:rPr>
              <w:t>Tertiary education target: 40 </w:t>
            </w:r>
            <w:r>
              <w:rPr>
                <w:noProof/>
              </w:rPr>
              <w:t>%</w:t>
            </w:r>
          </w:p>
        </w:tc>
        <w:tc>
          <w:tcPr>
            <w:tcW w:w="4961"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 xml:space="preserve">Tertiary education attainment has been stagnating over the past years. The modernisation of the polytechnic institutes seems to have provided a new boost to tertiary enrolment but the slowdown in the previous increasing trend keeps the target relatively </w:t>
            </w:r>
            <w:r>
              <w:rPr>
                <w:noProof/>
              </w:rPr>
              <w:t>out of reach for 2020.</w:t>
            </w:r>
          </w:p>
          <w:p w:rsidR="00BB0B51" w:rsidRDefault="00AA53B1">
            <w:pPr>
              <w:rPr>
                <w:noProof/>
              </w:rPr>
            </w:pPr>
            <w:r>
              <w:rPr>
                <w:noProof/>
              </w:rPr>
              <w:t>34.9 % (Q2 2016)</w:t>
            </w:r>
          </w:p>
        </w:tc>
      </w:tr>
      <w:tr w:rsidR="00BB0B51">
        <w:tc>
          <w:tcPr>
            <w:tcW w:w="3544" w:type="dxa"/>
            <w:tcBorders>
              <w:top w:val="dashSmallGap" w:sz="4" w:space="0" w:color="auto"/>
              <w:left w:val="single" w:sz="4" w:space="0" w:color="auto"/>
              <w:bottom w:val="dashSmallGap" w:sz="4" w:space="0" w:color="auto"/>
              <w:right w:val="single" w:sz="4" w:space="0" w:color="auto"/>
            </w:tcBorders>
          </w:tcPr>
          <w:p w:rsidR="00BB0B51" w:rsidRDefault="00AA53B1">
            <w:pPr>
              <w:rPr>
                <w:noProof/>
                <w:highlight w:val="yellow"/>
              </w:rPr>
            </w:pPr>
            <w:r>
              <w:rPr>
                <w:noProof/>
              </w:rPr>
              <w:t>Risk of poverty or social exclusion target: the target envisages reducing the number of person in or at risk of poverty and social exclusion by 200 000 persons in 2020.</w:t>
            </w:r>
          </w:p>
        </w:tc>
        <w:tc>
          <w:tcPr>
            <w:tcW w:w="4961" w:type="dxa"/>
            <w:tcBorders>
              <w:top w:val="dashSmallGap" w:sz="4" w:space="0" w:color="auto"/>
              <w:left w:val="single" w:sz="4" w:space="0" w:color="auto"/>
              <w:bottom w:val="dashSmallGap" w:sz="4" w:space="0" w:color="auto"/>
              <w:right w:val="single" w:sz="4" w:space="0" w:color="auto"/>
            </w:tcBorders>
          </w:tcPr>
          <w:p w:rsidR="00BB0B51" w:rsidRDefault="00AA53B1">
            <w:pPr>
              <w:rPr>
                <w:noProof/>
              </w:rPr>
            </w:pPr>
            <w:r>
              <w:rPr>
                <w:noProof/>
              </w:rPr>
              <w:t>The number of people at risk of poverty or soc</w:t>
            </w:r>
            <w:r>
              <w:rPr>
                <w:noProof/>
              </w:rPr>
              <w:t xml:space="preserve">ial exclusion rose by 72 000 between 2010 and 2015. Despite a decrease between 2013 and 2015, the national target remains far from reach. </w:t>
            </w:r>
          </w:p>
        </w:tc>
      </w:tr>
    </w:tbl>
    <w:p w:rsidR="00BB0B51" w:rsidRDefault="00BB0B51">
      <w:pPr>
        <w:rPr>
          <w:noProof/>
        </w:rPr>
        <w:sectPr w:rsidR="00BB0B51">
          <w:headerReference w:type="even" r:id="rId122"/>
          <w:headerReference w:type="default" r:id="rId123"/>
          <w:footerReference w:type="even" r:id="rId124"/>
          <w:footerReference w:type="default" r:id="rId125"/>
          <w:headerReference w:type="first" r:id="rId126"/>
          <w:footerReference w:type="first" r:id="rId127"/>
          <w:footnotePr>
            <w:pos w:val="beneathText"/>
          </w:footnotePr>
          <w:endnotePr>
            <w:numFmt w:val="decimal"/>
          </w:endnotePr>
          <w:pgSz w:w="11907" w:h="16839"/>
          <w:pgMar w:top="2693" w:right="1701" w:bottom="1417" w:left="1701" w:header="709" w:footer="1191" w:gutter="0"/>
          <w:cols w:space="708"/>
          <w:titlePg/>
          <w:docGrid w:linePitch="360"/>
        </w:sectPr>
      </w:pPr>
    </w:p>
    <w:p w:rsidR="00BB0B51" w:rsidRDefault="00AA53B1">
      <w:pPr>
        <w:pStyle w:val="SectionTitleFramedtwolines1"/>
        <w:framePr w:wrap="notBeside"/>
        <w:rPr>
          <w:noProof/>
        </w:rPr>
      </w:pPr>
      <w:bookmarkStart w:id="53" w:name="_Toc474773051"/>
      <w:bookmarkStart w:id="54" w:name="_Toc474773045"/>
      <w:bookmarkEnd w:id="53"/>
      <w:bookmarkEnd w:id="54"/>
      <w:r>
        <w:rPr>
          <w:noProof/>
        </w:rPr>
        <w:t>Annex B</w:t>
      </w:r>
    </w:p>
    <w:p w:rsidR="00BB0B51" w:rsidRDefault="00AA53B1">
      <w:pPr>
        <w:pStyle w:val="AnnexTitleFramed1"/>
        <w:framePr w:wrap="notBeside"/>
        <w:rPr>
          <w:noProof/>
        </w:rPr>
      </w:pPr>
      <w:r>
        <w:rPr>
          <w:noProof/>
        </w:rPr>
        <w:t>MIP Scoreboard</w:t>
      </w:r>
    </w:p>
    <w:p w:rsidR="00BB0B51" w:rsidRDefault="00BB0B51">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p>
        </w:tc>
      </w:tr>
      <w:tr w:rsidR="00BB0B51">
        <w:trPr>
          <w:cantSplit/>
        </w:trPr>
        <w:tc>
          <w:tcPr>
            <w:tcW w:w="8505" w:type="dxa"/>
            <w:shd w:val="clear" w:color="auto" w:fill="auto"/>
          </w:tcPr>
          <w:p w:rsidR="00BB0B51" w:rsidRDefault="00AA53B1">
            <w:pPr>
              <w:pStyle w:val="TableTitle"/>
              <w:rPr>
                <w:b/>
                <w:noProof/>
              </w:rPr>
            </w:pPr>
            <w:r>
              <w:rPr>
                <w:noProof/>
              </w:rPr>
              <w:t>Table B.1:</w:t>
            </w:r>
            <w:r>
              <w:rPr>
                <w:b/>
                <w:noProof/>
              </w:rPr>
              <w:tab/>
              <w:t>The MIP Scoreboard for Portugal</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10330814" wp14:editId="10C99C3E">
                  <wp:extent cx="5400929" cy="5094029"/>
                  <wp:effectExtent l="0" t="0" r="9525" b="0"/>
                  <wp:docPr id="64" name="Picture 64" descr="&lt;_DISABLED_nbr_DISABLED_&gt;&lt;GETTEXTFROMWORD&gt;&lt;/nbr&gt;&#10;&lt;title&gt;&lt;GETTEXTFROMWORD&gt;&lt;/title&gt;&#10;&lt;_DISABLED_id_DISABLED_&gt;27214a45-60f1-452b-abbf-5c94b2f415b3&lt;/id&gt;&#10;&lt;srcType&gt;EXCEL&lt;/srcType&gt;&#10;&lt;srcPath&gt;O:\2017 CRs\22 PT\Tables\&lt;/srcPath&gt;&#10;&lt;srcName&gt;22 PT MIP Table 2017.xlsx&lt;/srcName&gt;&#10;&lt;type&gt;table&lt;/type&gt;&#10; &lt;srcSheet&gt;Sheet1&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1:58: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929" cy="5094029"/>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Footnote"/>
              <w:rPr>
                <w:noProof/>
              </w:rPr>
            </w:pPr>
            <w:r>
              <w:rPr>
                <w:noProof/>
              </w:rPr>
              <w:t xml:space="preserve">(1)Figures highlighted are the ones falling outside the threshold established by EC Alert Mechanism Report. For REER and ULC, the first threshold concerns </w:t>
            </w:r>
            <w:r>
              <w:rPr>
                <w:noProof/>
              </w:rPr>
              <w:t>Euro Area Member States. (1) Figures in italic are not published by Eurostat, due to being according to the old standards (ESA95/BPM5), or forecasts.</w:t>
            </w:r>
            <w:r>
              <w:rPr>
                <w:noProof/>
              </w:rPr>
              <w:br/>
              <w:t xml:space="preserve">Flags: empty: not available, c: confidential; b: break in series; e: estimate; f: forecast (DG ECFIN); k: </w:t>
            </w:r>
            <w:r>
              <w:rPr>
                <w:noProof/>
              </w:rPr>
              <w:t xml:space="preserve">backcast (DG ECFIN); j: note; o: outdated; p: provisional; u: unreliable </w:t>
            </w:r>
          </w:p>
          <w:p w:rsidR="00BB0B51" w:rsidRDefault="00AA53B1">
            <w:pPr>
              <w:pStyle w:val="TableSource"/>
              <w:rPr>
                <w:noProof/>
              </w:rPr>
            </w:pPr>
            <w:r>
              <w:rPr>
                <w:b/>
                <w:i/>
                <w:noProof/>
              </w:rPr>
              <w:t>Source:</w:t>
            </w:r>
            <w:r>
              <w:rPr>
                <w:noProof/>
              </w:rPr>
              <w:t xml:space="preserve">  European Commission, Eurostat and DG ECFIN (for the indicators on the REER)</w:t>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rPr>
          <w:noProof/>
        </w:rPr>
        <w:sectPr w:rsidR="00BB0B51">
          <w:headerReference w:type="even" r:id="rId129"/>
          <w:headerReference w:type="default" r:id="rId130"/>
          <w:footerReference w:type="even" r:id="rId131"/>
          <w:footerReference w:type="default" r:id="rId132"/>
          <w:headerReference w:type="first" r:id="rId133"/>
          <w:footerReference w:type="first" r:id="rId134"/>
          <w:footnotePr>
            <w:pos w:val="beneathText"/>
          </w:footnotePr>
          <w:endnotePr>
            <w:numFmt w:val="decimal"/>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AA53B1">
            <w:pPr>
              <w:pStyle w:val="SectionTitleFramedtwolines2"/>
              <w:framePr w:w="0" w:hRule="auto" w:wrap="auto" w:vAnchor="margin" w:yAlign="inline"/>
              <w:rPr>
                <w:noProof/>
              </w:rPr>
            </w:pPr>
            <w:bookmarkStart w:id="55" w:name="_Toc474773052"/>
            <w:bookmarkStart w:id="56" w:name="_Toc474773046"/>
            <w:bookmarkEnd w:id="55"/>
            <w:bookmarkEnd w:id="56"/>
            <w:r>
              <w:rPr>
                <w:noProof/>
              </w:rPr>
              <w:t>Annex C</w:t>
            </w:r>
          </w:p>
          <w:p w:rsidR="00BB0B51" w:rsidRDefault="00AA53B1">
            <w:pPr>
              <w:pStyle w:val="AnnexTitleFramed2"/>
              <w:framePr w:w="0" w:hRule="auto" w:wrap="auto" w:vAnchor="margin" w:yAlign="inline"/>
              <w:rPr>
                <w:noProof/>
              </w:rPr>
            </w:pPr>
            <w:r>
              <w:rPr>
                <w:noProof/>
              </w:rPr>
              <w:t>Standard tables</w:t>
            </w:r>
          </w:p>
          <w:p w:rsidR="00BB0B51" w:rsidRDefault="00BB0B51">
            <w:pPr>
              <w:pStyle w:val="SlimCell"/>
              <w:keepNext/>
              <w:rPr>
                <w:noProof/>
              </w:rPr>
            </w:pPr>
          </w:p>
        </w:tc>
      </w:tr>
      <w:tr w:rsidR="00BB0B51">
        <w:trPr>
          <w:cantSplit/>
        </w:trPr>
        <w:tc>
          <w:tcPr>
            <w:tcW w:w="8505" w:type="dxa"/>
            <w:shd w:val="clear" w:color="auto" w:fill="auto"/>
          </w:tcPr>
          <w:p w:rsidR="00BB0B51" w:rsidRDefault="00AA53B1">
            <w:pPr>
              <w:pStyle w:val="TableTitle"/>
              <w:rPr>
                <w:b/>
                <w:noProof/>
              </w:rPr>
            </w:pPr>
            <w:r>
              <w:rPr>
                <w:noProof/>
              </w:rPr>
              <w:t>Table C.1:</w:t>
            </w:r>
            <w:r>
              <w:rPr>
                <w:b/>
                <w:noProof/>
              </w:rPr>
              <w:tab/>
              <w:t>Financial market indicators</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217BBA1C" wp14:editId="229F97DE">
                  <wp:extent cx="5400929" cy="2034091"/>
                  <wp:effectExtent l="0" t="0" r="0" b="4445"/>
                  <wp:docPr id="65" name="Picture 65" descr="&lt;_DISABLED_nbr_DISABLED_&gt;&lt;GETTEXTFROMWORD&gt;&lt;/nbr&gt;&#10;&lt;title&gt;&lt;GETTEXTFROMWORD&gt;&lt;/title&gt;&#10;&lt;_DISABLED_id_DISABLED_&gt;430484d1-4025-4f7f-b3ef-137fa528687d&lt;/id&gt;&#10;&lt;srcType&gt;EXCEL&lt;/srcType&gt;&#10;&lt;srcPath&gt;O:\2017 CRs\22 PT\Tables\Annex C\&lt;/srcPath&gt;&#10;&lt;srcName&gt;22 PT Standard tables_revised_20170126.xls&lt;/srcName&gt;&#10;&lt;type&gt;table&lt;/type&gt;&#10; &lt;srcSheet&gt;PT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9T18:22:3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929" cy="2034091"/>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Footnote"/>
              <w:rPr>
                <w:noProof/>
              </w:rPr>
            </w:pPr>
            <w:r>
              <w:rPr>
                <w:noProof/>
              </w:rPr>
              <w:t>(1) Latest data Q2 2016.</w:t>
            </w:r>
            <w:r>
              <w:rPr>
                <w:noProof/>
              </w:rPr>
              <w:br/>
              <w:t>(2) Quarterly values are not annualised</w:t>
            </w:r>
            <w:r>
              <w:rPr>
                <w:noProof/>
              </w:rPr>
              <w:br/>
              <w:t>* Measured in basis points.</w:t>
            </w:r>
          </w:p>
          <w:p w:rsidR="00BB0B51" w:rsidRDefault="00AA53B1">
            <w:pPr>
              <w:pStyle w:val="TableSource"/>
              <w:rPr>
                <w:noProof/>
              </w:rPr>
            </w:pPr>
            <w:r>
              <w:rPr>
                <w:b/>
                <w:i/>
                <w:noProof/>
              </w:rPr>
              <w:t>Source:</w:t>
            </w:r>
            <w:r>
              <w:rPr>
                <w:noProof/>
              </w:rPr>
              <w:t xml:space="preserve"> European Commission (long-term interest rates); World Bank (gross external debt); Eurostat (private debt); ECB (all other indicators).</w:t>
            </w:r>
            <w:r>
              <w:rPr>
                <w:noProof/>
              </w:rPr>
              <w:br/>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p>
        </w:tc>
      </w:tr>
    </w:tbl>
    <w:p w:rsidR="00BB0B51" w:rsidRDefault="00BB0B51">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bookmarkStart w:id="57" w:name="_Toc474773053"/>
            <w:bookmarkEnd w:id="57"/>
          </w:p>
        </w:tc>
      </w:tr>
      <w:tr w:rsidR="00BB0B51">
        <w:trPr>
          <w:cantSplit/>
        </w:trPr>
        <w:tc>
          <w:tcPr>
            <w:tcW w:w="8505" w:type="dxa"/>
            <w:shd w:val="clear" w:color="auto" w:fill="auto"/>
          </w:tcPr>
          <w:p w:rsidR="00BB0B51" w:rsidRDefault="00AA53B1">
            <w:pPr>
              <w:pStyle w:val="TableTitle"/>
              <w:rPr>
                <w:b/>
                <w:noProof/>
              </w:rPr>
            </w:pPr>
            <w:r>
              <w:rPr>
                <w:noProof/>
              </w:rPr>
              <w:t>Table C.2:</w:t>
            </w:r>
            <w:r>
              <w:rPr>
                <w:b/>
                <w:noProof/>
              </w:rPr>
              <w:tab/>
              <w:t>Labour market and social indicators</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5F91F55D" wp14:editId="7D7EE931">
                  <wp:extent cx="5400929" cy="4255856"/>
                  <wp:effectExtent l="0" t="0" r="9525" b="0"/>
                  <wp:docPr id="66" name="Picture 66" descr="&lt;_DISABLED_nbr_DISABLED_&gt;&lt;GETTEXTFROMWORD&gt;&lt;/nbr&gt;&#10;&lt;title&gt;&lt;GETTEXTFROMWORD&gt;&lt;/title&gt;&#10;&lt;_DISABLED_id_DISABLED_&gt;1cf2f130-767b-4815-b6e6-750ce3f887fe&lt;/id&gt;&#10;&lt;srcType&gt;EXCEL&lt;/srcType&gt;&#10;&lt;srcPath&gt;P:\European Semester\2017\Working space for country desks\06 Country Reports\08 Statistical Annex tables- standard tables\03 Compiled by MS\22 PT\&lt;/srcPath&gt;&#10;&lt;srcName&gt;22 PT Standard tables.xls&lt;/srcName&gt;&#10;&lt;type&gt;table&lt;/type&gt;&#10; &lt;srcSheet&gt;PT Table II-A&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15:3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0929" cy="4255856"/>
                          </a:xfrm>
                          <a:prstGeom prst="rect">
                            <a:avLst/>
                          </a:prstGeom>
                          <a:noFill/>
                          <a:ln>
                            <a:noFill/>
                          </a:ln>
                        </pic:spPr>
                      </pic:pic>
                    </a:graphicData>
                  </a:graphic>
                </wp:inline>
              </w:drawing>
            </w:r>
          </w:p>
        </w:tc>
      </w:tr>
      <w:tr w:rsidR="00BB0B51" w:rsidRPr="002F50D7">
        <w:trPr>
          <w:cantSplit/>
        </w:trPr>
        <w:tc>
          <w:tcPr>
            <w:tcW w:w="8505" w:type="dxa"/>
            <w:shd w:val="clear" w:color="auto" w:fill="auto"/>
          </w:tcPr>
          <w:p w:rsidR="00BB0B51" w:rsidRDefault="00AA53B1">
            <w:pPr>
              <w:pStyle w:val="TableFootnote"/>
              <w:rPr>
                <w:noProof/>
              </w:rPr>
            </w:pPr>
            <w:r>
              <w:rPr>
                <w:noProof/>
              </w:rPr>
              <w:t xml:space="preserve">1 Unemployed persons are all those who were not employed but had actively sought work and were ready to begin working immediately or within 2 weeks.      </w:t>
            </w:r>
            <w:r>
              <w:rPr>
                <w:noProof/>
              </w:rPr>
              <w:br/>
              <w:t xml:space="preserve">2 Long-term unemployed are peoples who have been unemployed for at least 12 months.      </w:t>
            </w:r>
            <w:r>
              <w:rPr>
                <w:noProof/>
              </w:rPr>
              <w:br/>
              <w:t>3 Not in ed</w:t>
            </w:r>
            <w:r>
              <w:rPr>
                <w:noProof/>
              </w:rPr>
              <w:t xml:space="preserve">ucation employment or training.      </w:t>
            </w:r>
            <w:r>
              <w:rPr>
                <w:noProof/>
              </w:rPr>
              <w:br/>
              <w:t xml:space="preserve">4 Average of first three quarters of 2016. Data for total unemployment and youth unemployment rates are seasonally adjusted.      </w:t>
            </w:r>
          </w:p>
          <w:p w:rsidR="00BB0B51" w:rsidRDefault="00AA53B1">
            <w:pPr>
              <w:pStyle w:val="TableSource"/>
              <w:rPr>
                <w:noProof/>
                <w:lang w:val="fr-FR"/>
              </w:rPr>
            </w:pPr>
            <w:r>
              <w:rPr>
                <w:b/>
                <w:i/>
                <w:noProof/>
                <w:lang w:val="fr-FR"/>
              </w:rPr>
              <w:t>Source:</w:t>
            </w:r>
            <w:r>
              <w:rPr>
                <w:noProof/>
                <w:lang w:val="fr-FR"/>
              </w:rPr>
              <w:t xml:space="preserve"> European Commission (EU Labour Force Survey).</w:t>
            </w:r>
          </w:p>
        </w:tc>
      </w:tr>
      <w:tr w:rsidR="00BB0B51" w:rsidRPr="002F50D7">
        <w:trPr>
          <w:cantSplit/>
          <w:trHeight w:val="20"/>
        </w:trPr>
        <w:tc>
          <w:tcPr>
            <w:tcW w:w="8505" w:type="dxa"/>
            <w:shd w:val="clear" w:color="auto" w:fill="auto"/>
          </w:tcPr>
          <w:p w:rsidR="00BB0B51" w:rsidRDefault="00BB0B51">
            <w:pPr>
              <w:pStyle w:val="SlimCell"/>
              <w:rPr>
                <w:noProof/>
                <w:lang w:val="fr-FR"/>
              </w:rPr>
            </w:pPr>
          </w:p>
        </w:tc>
      </w:tr>
    </w:tbl>
    <w:p w:rsidR="00BB0B51" w:rsidRDefault="00BB0B51">
      <w:pPr>
        <w:pStyle w:val="MultipageDelimite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rsidRPr="002F50D7">
        <w:trPr>
          <w:cantSplit/>
          <w:trHeight w:val="20"/>
        </w:trPr>
        <w:tc>
          <w:tcPr>
            <w:tcW w:w="8505" w:type="dxa"/>
            <w:shd w:val="clear" w:color="auto" w:fill="auto"/>
          </w:tcPr>
          <w:p w:rsidR="00BB0B51" w:rsidRDefault="00BB0B51">
            <w:pPr>
              <w:pStyle w:val="SlimCell"/>
              <w:keepNext/>
              <w:rPr>
                <w:noProof/>
                <w:lang w:val="fr-FR"/>
              </w:rPr>
            </w:pPr>
            <w:bookmarkStart w:id="58" w:name="_Toc474773054"/>
            <w:bookmarkEnd w:id="58"/>
          </w:p>
        </w:tc>
      </w:tr>
      <w:tr w:rsidR="00BB0B51">
        <w:trPr>
          <w:cantSplit/>
        </w:trPr>
        <w:tc>
          <w:tcPr>
            <w:tcW w:w="8505" w:type="dxa"/>
            <w:shd w:val="clear" w:color="auto" w:fill="auto"/>
          </w:tcPr>
          <w:p w:rsidR="00BB0B51" w:rsidRDefault="00AA53B1">
            <w:pPr>
              <w:pStyle w:val="TableTitle"/>
              <w:rPr>
                <w:b/>
                <w:noProof/>
              </w:rPr>
            </w:pPr>
            <w:r>
              <w:rPr>
                <w:noProof/>
              </w:rPr>
              <w:t>Table C.3:</w:t>
            </w:r>
            <w:r>
              <w:rPr>
                <w:b/>
                <w:noProof/>
              </w:rPr>
              <w:tab/>
              <w:t xml:space="preserve">Expenditure on </w:t>
            </w:r>
            <w:r>
              <w:rPr>
                <w:b/>
                <w:noProof/>
              </w:rPr>
              <w:t>social protection benefits (% of GDP)</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08C4F909" wp14:editId="079287E5">
                  <wp:extent cx="5400675" cy="4057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Footnote"/>
              <w:rPr>
                <w:noProof/>
              </w:rPr>
            </w:pPr>
            <w:r>
              <w:rPr>
                <w:noProof/>
              </w:rPr>
              <w:t xml:space="preserve">1 People at risk of poverty or social exclusion : individuals who are at risk of poverty and/or suffering from severe material deprivation and/or living in households with zero or very low work intensity.      </w:t>
            </w:r>
            <w:r>
              <w:rPr>
                <w:noProof/>
              </w:rPr>
              <w:br/>
              <w:t>2 A</w:t>
            </w:r>
            <w:r>
              <w:rPr>
                <w:noProof/>
              </w:rPr>
              <w:t>t-risk-of-poverty rate : proportion of people with an equivalised disposable income below 60</w:t>
            </w:r>
            <w:r>
              <w:rPr>
                <w:rFonts w:ascii="Arial" w:hAnsi="Arial" w:cs="Arial"/>
                <w:noProof/>
              </w:rPr>
              <w:t> </w:t>
            </w:r>
            <w:r>
              <w:rPr>
                <w:noProof/>
              </w:rPr>
              <w:t xml:space="preserve">% of the national equivalised median income.       </w:t>
            </w:r>
            <w:r>
              <w:rPr>
                <w:noProof/>
              </w:rPr>
              <w:br/>
              <w:t>3 Proportion of people who experience at least four of the following forms of deprivation: not being able to af</w:t>
            </w:r>
            <w:r>
              <w:rPr>
                <w:noProof/>
              </w:rPr>
              <w:t xml:space="preserve">ford to i) pay their rent or utility bills, ii) keep their home adequately warm, iii) face unexpected expenses, iv) eat meat, fish or a protein equivalent every second day, v) enjoy a week of holiday away from home once a year, vi) have a car, vii) have a </w:t>
            </w:r>
            <w:r>
              <w:rPr>
                <w:noProof/>
              </w:rPr>
              <w:t xml:space="preserve">washing machine, viii) have a colour TV, or ix) have a telephone.      </w:t>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of</w:t>
            </w:r>
            <w:r>
              <w:rPr>
                <w:noProof/>
              </w:rPr>
              <w:t xml:space="preserve"> their total work-time potential in the previous 12 months.      </w:t>
            </w:r>
            <w:r>
              <w:rPr>
                <w:noProof/>
              </w:rPr>
              <w:br/>
              <w:t>5 For EE, CY, MT, SI and SK, thresholds in nominal values in euros; harmonised index of consumer prices = 100 in 2006 (2007 survey refers to 2006 incomes)</w:t>
            </w:r>
          </w:p>
          <w:p w:rsidR="00BB0B51" w:rsidRDefault="00AA53B1">
            <w:pPr>
              <w:pStyle w:val="TableSource"/>
              <w:rPr>
                <w:noProof/>
              </w:rPr>
            </w:pPr>
            <w:r>
              <w:rPr>
                <w:b/>
                <w:i/>
                <w:noProof/>
              </w:rPr>
              <w:t>Source:</w:t>
            </w:r>
            <w:r>
              <w:rPr>
                <w:noProof/>
              </w:rPr>
              <w:t xml:space="preserve"> For expenditure for social </w:t>
            </w:r>
            <w:r>
              <w:rPr>
                <w:noProof/>
              </w:rPr>
              <w:t>protection benefits ESSPROS; for social inclusion EU-SILC.</w:t>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bookmarkStart w:id="59" w:name="_Toc474773055"/>
            <w:bookmarkEnd w:id="59"/>
          </w:p>
        </w:tc>
      </w:tr>
      <w:tr w:rsidR="00BB0B51">
        <w:trPr>
          <w:cantSplit/>
        </w:trPr>
        <w:tc>
          <w:tcPr>
            <w:tcW w:w="8505" w:type="dxa"/>
            <w:shd w:val="clear" w:color="auto" w:fill="auto"/>
          </w:tcPr>
          <w:p w:rsidR="00BB0B51" w:rsidRDefault="00AA53B1">
            <w:pPr>
              <w:pStyle w:val="TableTitle"/>
              <w:rPr>
                <w:b/>
                <w:noProof/>
              </w:rPr>
            </w:pPr>
            <w:r>
              <w:rPr>
                <w:noProof/>
              </w:rPr>
              <w:t>Table C.4:</w:t>
            </w:r>
            <w:r>
              <w:rPr>
                <w:b/>
                <w:noProof/>
              </w:rPr>
              <w:tab/>
              <w:t>Product market performance and policy indicators</w:t>
            </w:r>
          </w:p>
        </w:tc>
      </w:tr>
      <w:tr w:rsidR="00BB0B51">
        <w:trPr>
          <w:cantSplit/>
        </w:trPr>
        <w:tc>
          <w:tcPr>
            <w:tcW w:w="8505" w:type="dxa"/>
            <w:shd w:val="clear" w:color="auto" w:fill="auto"/>
          </w:tcPr>
          <w:p w:rsidR="00BB0B51" w:rsidRDefault="00AA53B1">
            <w:pPr>
              <w:pStyle w:val="TableShape"/>
              <w:rPr>
                <w:noProof/>
                <w:sz w:val="2"/>
              </w:rPr>
            </w:pPr>
            <w:r>
              <w:rPr>
                <w:noProof/>
                <w:sz w:val="2"/>
                <w:lang w:eastAsia="en-GB"/>
              </w:rPr>
              <w:drawing>
                <wp:inline distT="0" distB="0" distL="0" distR="0" wp14:anchorId="1B740375" wp14:editId="4CB559DF">
                  <wp:extent cx="5400929" cy="3581569"/>
                  <wp:effectExtent l="0" t="0" r="0" b="0"/>
                  <wp:docPr id="68" name="Picture 68" descr="&lt;_DISABLED_nbr_DISABLED_&gt;&lt;GETTEXTFROMWORD&gt;&lt;/nbr&gt;&#10;&lt;title&gt;&lt;GETTEXTFROMWORD&gt;&lt;/title&gt;&#10;&lt;_DISABLED_id_DISABLED_&gt;24b8ecd9-fcbf-402b-8aa2-f1600d32f692&lt;/id&gt;&#10;&lt;srcType&gt;EXCEL&lt;/srcType&gt;&#10;&lt;srcPath&gt;P:\European Semester\2017\Working space for country desks\06 Country Reports\08 Statistical Annex tables- standard tables\03 Compiled by MS\22 PT\&lt;/srcPath&gt;&#10;&lt;srcName&gt;22 PT Standard tables.xls&lt;/srcName&gt;&#10;&lt;type&gt;table&lt;/type&gt;&#10; &lt;srcSheet&gt;PT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7:15:3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929" cy="3581569"/>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Footnote"/>
              <w:rPr>
                <w:noProof/>
              </w:rPr>
            </w:pPr>
            <w:r>
              <w:rPr>
                <w:noProof/>
              </w:rPr>
              <w:t xml:space="preserve">1 The methodologies, including the assumptions, for this indicator are shown in detail at: http://www.doingbusiness.org/methodology.       </w:t>
            </w:r>
            <w:r>
              <w:rPr>
                <w:noProof/>
              </w:rPr>
              <w:br/>
              <w:t>2 Average of the answer to question Q7B_a. "[Bank loan]: If you applied and tried to negotiate for this type of fina</w:t>
            </w:r>
            <w:r>
              <w:rPr>
                <w:noProof/>
              </w:rPr>
              <w:t xml:space="preserve">ncing over the past six months, what was the outcome?". Answers were codified as follows: zero if received everything, one if received most of it, two if only received a limited part of it, three if refused or rejected and treated as missing values if the </w:t>
            </w:r>
            <w:r>
              <w:rPr>
                <w:noProof/>
              </w:rPr>
              <w:t xml:space="preserve">application is still pending or if the outcome is not known.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5 Index: 0 = not r</w:t>
            </w:r>
            <w:r>
              <w:rPr>
                <w:noProof/>
              </w:rPr>
              <w:t xml:space="preserve">egulated; 6 = most regulated. The methodologies of the OECD product market regulation indicators are shown in detail at: http://www.oecd.org/competition/reform/indicatorsofproductmarketregulationhomepage.htm      </w:t>
            </w:r>
            <w:r>
              <w:rPr>
                <w:noProof/>
              </w:rPr>
              <w:br/>
              <w:t xml:space="preserve">6 Aggregate OECD indicators of regulation </w:t>
            </w:r>
            <w:r>
              <w:rPr>
                <w:noProof/>
              </w:rPr>
              <w:t>in energy, transport and communications.</w:t>
            </w:r>
          </w:p>
          <w:p w:rsidR="00BB0B51" w:rsidRDefault="00AA53B1">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B0B51">
        <w:trPr>
          <w:cantSplit/>
          <w:trHeight w:val="20"/>
        </w:trPr>
        <w:tc>
          <w:tcPr>
            <w:tcW w:w="8505" w:type="dxa"/>
            <w:shd w:val="clear" w:color="auto" w:fill="auto"/>
          </w:tcPr>
          <w:p w:rsidR="00BB0B51" w:rsidRDefault="00BB0B51">
            <w:pPr>
              <w:pStyle w:val="SlimCell"/>
              <w:keepNext/>
              <w:rPr>
                <w:noProof/>
              </w:rPr>
            </w:pPr>
            <w:bookmarkStart w:id="60" w:name="_Toc474773056"/>
            <w:bookmarkEnd w:id="60"/>
          </w:p>
        </w:tc>
      </w:tr>
      <w:tr w:rsidR="00BB0B51">
        <w:trPr>
          <w:cantSplit/>
        </w:trPr>
        <w:tc>
          <w:tcPr>
            <w:tcW w:w="8505" w:type="dxa"/>
            <w:shd w:val="clear" w:color="auto" w:fill="auto"/>
          </w:tcPr>
          <w:p w:rsidR="00BB0B51" w:rsidRDefault="00AA53B1">
            <w:pPr>
              <w:pStyle w:val="TableTitle"/>
              <w:rPr>
                <w:b/>
                <w:noProof/>
              </w:rPr>
            </w:pPr>
            <w:r>
              <w:rPr>
                <w:noProof/>
              </w:rPr>
              <w:t>Table C.5:</w:t>
            </w:r>
            <w:r>
              <w:rPr>
                <w:b/>
                <w:noProof/>
              </w:rPr>
              <w:tab/>
              <w:t>Green growth</w:t>
            </w:r>
          </w:p>
        </w:tc>
      </w:tr>
      <w:tr w:rsidR="00BB0B51">
        <w:trPr>
          <w:cantSplit/>
        </w:trPr>
        <w:tc>
          <w:tcPr>
            <w:tcW w:w="8505" w:type="dxa"/>
            <w:shd w:val="clear" w:color="auto" w:fill="auto"/>
          </w:tcPr>
          <w:p w:rsidR="00BB0B51" w:rsidRDefault="00AA53B1">
            <w:pPr>
              <w:pStyle w:val="TableShape"/>
              <w:rPr>
                <w:noProof/>
                <w:sz w:val="2"/>
              </w:rPr>
            </w:pPr>
            <w:r>
              <w:rPr>
                <w:noProof/>
                <w:lang w:eastAsia="en-GB"/>
              </w:rPr>
              <w:drawing>
                <wp:inline distT="0" distB="0" distL="0" distR="0" wp14:anchorId="6445ACF5" wp14:editId="600910E3">
                  <wp:extent cx="5145206" cy="38295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45477" cy="3829714"/>
                          </a:xfrm>
                          <a:prstGeom prst="rect">
                            <a:avLst/>
                          </a:prstGeom>
                          <a:noFill/>
                          <a:ln>
                            <a:noFill/>
                          </a:ln>
                        </pic:spPr>
                      </pic:pic>
                    </a:graphicData>
                  </a:graphic>
                </wp:inline>
              </w:drawing>
            </w:r>
          </w:p>
        </w:tc>
      </w:tr>
      <w:tr w:rsidR="00BB0B51">
        <w:trPr>
          <w:cantSplit/>
        </w:trPr>
        <w:tc>
          <w:tcPr>
            <w:tcW w:w="8505" w:type="dxa"/>
            <w:shd w:val="clear" w:color="auto" w:fill="auto"/>
          </w:tcPr>
          <w:p w:rsidR="00BB0B51" w:rsidRDefault="00AA53B1">
            <w:pPr>
              <w:pStyle w:val="TableFootnote"/>
              <w:rPr>
                <w:noProof/>
              </w:rPr>
            </w:pPr>
            <w:r>
              <w:rPr>
                <w:noProof/>
              </w:rPr>
              <w:t xml:space="preserve">All macro intensity indicators are expressed as a ratio of a physical quantity to GDP (in 2005 prices) </w:t>
            </w:r>
            <w:r>
              <w:rPr>
                <w:noProof/>
              </w:rPr>
              <w:br/>
              <w:t xml:space="preserve">          Energy intensity: gross inland energy consumption (in kgoe) divided by GDP (in EUR) </w:t>
            </w:r>
            <w:r>
              <w:rPr>
                <w:noProof/>
              </w:rPr>
              <w:br/>
              <w:t xml:space="preserve">          Carbon intensity: greenhouse gas emissions (in </w:t>
            </w:r>
            <w:r>
              <w:rPr>
                <w:noProof/>
              </w:rPr>
              <w:t xml:space="preserve">kg CO2 equivalents) divided by GDP (in EUR) </w:t>
            </w:r>
            <w:r>
              <w:rPr>
                <w:noProof/>
              </w:rPr>
              <w:br/>
              <w:t xml:space="preserve">          Resource intensity: domestic material consumption (in kg) divided by GDP (in EUR) </w:t>
            </w:r>
            <w:r>
              <w:rPr>
                <w:noProof/>
              </w:rPr>
              <w:br/>
              <w:t xml:space="preserve">          Waste intensity: waste (in kg) divided by GDP (in EUR) </w:t>
            </w:r>
            <w:r>
              <w:rPr>
                <w:noProof/>
              </w:rPr>
              <w:br/>
              <w:t>Energy balance of trade: the balance of energy expor</w:t>
            </w:r>
            <w:r>
              <w:rPr>
                <w:noProof/>
              </w:rPr>
              <w:t xml:space="preserve">ts and imports, expressed as % of GDP   </w:t>
            </w:r>
            <w:r>
              <w:rPr>
                <w:noProof/>
              </w:rPr>
              <w:br/>
              <w:t xml:space="preserve">Weighting of energy in HICP: the proportion of 'energy' items in the consumption basket used for the construction of the HICP </w:t>
            </w:r>
            <w:r>
              <w:rPr>
                <w:noProof/>
              </w:rPr>
              <w:br/>
              <w:t>Difference between energy price change and inflation: energy component of HICP, and tota</w:t>
            </w:r>
            <w:r>
              <w:rPr>
                <w:noProof/>
              </w:rPr>
              <w:t xml:space="preserve">l HICP inflation (annual % change) </w:t>
            </w:r>
            <w:r>
              <w:rPr>
                <w:noProof/>
              </w:rPr>
              <w:br/>
              <w:t xml:space="preserve">Real unit energy cost: real energy costs as a percentage of total value added for the economy </w:t>
            </w:r>
            <w:r>
              <w:rPr>
                <w:noProof/>
              </w:rPr>
              <w:br/>
              <w:t xml:space="preserve">Environmental taxes over labour taxes and GDP: from European Commission's database, ‘Taxation trends in the European Union’ </w:t>
            </w:r>
            <w:r>
              <w:rPr>
                <w:noProof/>
              </w:rPr>
              <w:br/>
            </w:r>
            <w:r>
              <w:rPr>
                <w:noProof/>
              </w:rPr>
              <w:t xml:space="preserve">Industry energy intensity: final energy consumption of industry (in kgoe) divided by gross value added of industry (in 2005 EUR)  </w:t>
            </w:r>
            <w:r>
              <w:rPr>
                <w:noProof/>
              </w:rPr>
              <w:br/>
              <w:t>Real unit energy costs for manufacturing industry excluding refining : real costs as a percentage of value added for  manufac</w:t>
            </w:r>
            <w:r>
              <w:rPr>
                <w:noProof/>
              </w:rPr>
              <w:t xml:space="preserve">turing sectors </w:t>
            </w:r>
            <w:r>
              <w:rPr>
                <w:noProof/>
              </w:rPr>
              <w:br/>
              <w:t xml:space="preserve">Share of energy-intensive industries in the economy: share of gross value added of the energy-intensive industries in GDP </w:t>
            </w:r>
            <w:r>
              <w:rPr>
                <w:noProof/>
              </w:rPr>
              <w:br/>
              <w:t>Electricity and gas prices for medium-sized industrial users: consumption band 500–20 00MWh and 10 000–100 000 GJ; fi</w:t>
            </w:r>
            <w:r>
              <w:rPr>
                <w:noProof/>
              </w:rPr>
              <w:t xml:space="preserve">gures excl. VAT. </w:t>
            </w:r>
            <w:r>
              <w:rPr>
                <w:noProof/>
              </w:rPr>
              <w:br/>
              <w:t xml:space="preserve">Recycling rate of municipal waste: ratio of recycled and composted municipal waste to total municipal waste </w:t>
            </w:r>
            <w:r>
              <w:rPr>
                <w:noProof/>
              </w:rPr>
              <w:br/>
              <w:t xml:space="preserve">Public R&amp;D for energy or for the environment: government spending on R&amp;D for these categories as % of GDP </w:t>
            </w:r>
            <w:r>
              <w:rPr>
                <w:noProof/>
              </w:rPr>
              <w:br/>
              <w:t>Proportion of GHG emis</w:t>
            </w:r>
            <w:r>
              <w:rPr>
                <w:noProof/>
              </w:rPr>
              <w:t xml:space="preserve">sions covered by EU Emissions Trading System (ETS) (excluding aviation): based on greenhouse gas emissions </w:t>
            </w:r>
            <w:r>
              <w:rPr>
                <w:noProof/>
              </w:rPr>
              <w:br/>
              <w:t xml:space="preserve">(excl land use, land use change and forestry) as reported by Member States to the European Environment Agency. </w:t>
            </w:r>
            <w:r>
              <w:rPr>
                <w:noProof/>
              </w:rPr>
              <w:br/>
              <w:t>Transport energy intensity: final en</w:t>
            </w:r>
            <w:r>
              <w:rPr>
                <w:noProof/>
              </w:rPr>
              <w:t xml:space="preserve">ergy consumption of transport activity (kgoe) divided by transport industry gross value added (in 2005 EUR) </w:t>
            </w:r>
            <w:r>
              <w:rPr>
                <w:noProof/>
              </w:rPr>
              <w:br/>
              <w:t xml:space="preserve">Transport carbon intensity: GHG emissions in transport activity divided by gross value added of the transport sector </w:t>
            </w:r>
            <w:r>
              <w:rPr>
                <w:noProof/>
              </w:rPr>
              <w:br/>
              <w:t>Energy import dependency: net</w:t>
            </w:r>
            <w:r>
              <w:rPr>
                <w:noProof/>
              </w:rPr>
              <w:t xml:space="preserve"> energy imports divided by gross inland energy consumption incl. consumption of international bunker fuels </w:t>
            </w:r>
            <w:r>
              <w:rPr>
                <w:noProof/>
              </w:rPr>
              <w:br/>
              <w:t xml:space="preserve">Aggregated supplier concentration index:  covers oil, gas and coal. Smaller values indicate larger diversification and hence lower risk. </w:t>
            </w:r>
            <w:r>
              <w:rPr>
                <w:noProof/>
              </w:rPr>
              <w:br/>
              <w:t>Diversific</w:t>
            </w:r>
            <w:r>
              <w:rPr>
                <w:noProof/>
              </w:rPr>
              <w:t xml:space="preserve">ation of the energy mix: Herfindahl index over natural gas, total petrol products, nuclear heat, renewable energies and solid fuels </w:t>
            </w:r>
            <w:r>
              <w:rPr>
                <w:noProof/>
              </w:rPr>
              <w:br/>
              <w:t xml:space="preserve">* European Commission and European Environment Agency </w:t>
            </w:r>
          </w:p>
          <w:p w:rsidR="00BB0B51" w:rsidRDefault="00AA53B1">
            <w:pPr>
              <w:pStyle w:val="TableSource"/>
              <w:rPr>
                <w:noProof/>
              </w:rPr>
            </w:pPr>
            <w:r>
              <w:rPr>
                <w:b/>
                <w:i/>
                <w:noProof/>
              </w:rPr>
              <w:t>Source:</w:t>
            </w:r>
            <w:r>
              <w:rPr>
                <w:noProof/>
              </w:rPr>
              <w:t xml:space="preserve"> European Commission (Eurostat) unless indicated otherwise</w:t>
            </w:r>
          </w:p>
        </w:tc>
      </w:tr>
      <w:tr w:rsidR="00BB0B51">
        <w:trPr>
          <w:cantSplit/>
          <w:trHeight w:val="20"/>
        </w:trPr>
        <w:tc>
          <w:tcPr>
            <w:tcW w:w="8505" w:type="dxa"/>
            <w:shd w:val="clear" w:color="auto" w:fill="auto"/>
          </w:tcPr>
          <w:p w:rsidR="00BB0B51" w:rsidRDefault="00BB0B51">
            <w:pPr>
              <w:pStyle w:val="SlimCell"/>
              <w:rPr>
                <w:noProof/>
              </w:rPr>
            </w:pPr>
          </w:p>
        </w:tc>
      </w:tr>
    </w:tbl>
    <w:p w:rsidR="00BB0B51" w:rsidRDefault="00BB0B51">
      <w:pPr>
        <w:rPr>
          <w:noProof/>
        </w:rPr>
        <w:sectPr w:rsidR="00BB0B51">
          <w:headerReference w:type="even" r:id="rId140"/>
          <w:headerReference w:type="default" r:id="rId141"/>
          <w:footerReference w:type="even" r:id="rId142"/>
          <w:footerReference w:type="default" r:id="rId143"/>
          <w:headerReference w:type="first" r:id="rId144"/>
          <w:footerReference w:type="first" r:id="rId145"/>
          <w:footnotePr>
            <w:pos w:val="beneathText"/>
          </w:footnotePr>
          <w:endnotePr>
            <w:numFmt w:val="decimal"/>
          </w:endnotePr>
          <w:pgSz w:w="11907" w:h="16839"/>
          <w:pgMar w:top="2693" w:right="1701" w:bottom="1417" w:left="1701" w:header="709" w:footer="1191" w:gutter="0"/>
          <w:cols w:space="708"/>
          <w:titlePg/>
          <w:docGrid w:linePitch="360"/>
        </w:sectPr>
      </w:pPr>
    </w:p>
    <w:p w:rsidR="00BB0B51" w:rsidRDefault="00AA53B1">
      <w:pPr>
        <w:pStyle w:val="SectionTitleFramed11"/>
        <w:framePr w:wrap="notBeside"/>
        <w:rPr>
          <w:noProof/>
        </w:rPr>
      </w:pPr>
      <w:bookmarkStart w:id="61" w:name="_Toc474773047"/>
      <w:bookmarkEnd w:id="61"/>
      <w:r>
        <w:rPr>
          <w:noProof/>
        </w:rPr>
        <w:t>References</w:t>
      </w:r>
    </w:p>
    <w:p w:rsidR="00BB0B51" w:rsidRDefault="00AA53B1">
      <w:pPr>
        <w:rPr>
          <w:noProof/>
          <w:lang w:val="it-IT"/>
        </w:rPr>
      </w:pPr>
      <w:r>
        <w:rPr>
          <w:noProof/>
        </w:rPr>
        <w:t xml:space="preserve">Arpaia, A. and A. Kiss, (2015), “Analytical Web Note 2/2015 - Benchmarks for the assessment of wage developments: Spring 2015”, Analytical web note 2/2015, European Commission, Directorate-General for Employment, Social Affairs and Inclusion. </w:t>
      </w:r>
      <w:r>
        <w:rPr>
          <w:noProof/>
          <w:lang w:val="it-IT"/>
        </w:rPr>
        <w:t xml:space="preserve">URL: </w:t>
      </w:r>
      <w:hyperlink r:id="rId146" w:history="1">
        <w:r>
          <w:rPr>
            <w:rStyle w:val="Hyperlink"/>
            <w:noProof/>
            <w:lang w:val="it-IT"/>
          </w:rPr>
          <w:t>http://ec.europa.eu/social/BlobServlet?docId=14070&amp;langId=en</w:t>
        </w:r>
      </w:hyperlink>
      <w:r>
        <w:rPr>
          <w:noProof/>
          <w:lang w:val="it-IT"/>
        </w:rPr>
        <w:t xml:space="preserve">. </w:t>
      </w:r>
    </w:p>
    <w:p w:rsidR="00BB0B51" w:rsidRDefault="00AA53B1">
      <w:pPr>
        <w:rPr>
          <w:noProof/>
        </w:rPr>
      </w:pPr>
      <w:r>
        <w:rPr>
          <w:noProof/>
          <w:lang w:val="it-IT"/>
        </w:rPr>
        <w:t xml:space="preserve">Berkes E, Panizza U.  </w:t>
      </w:r>
      <w:r>
        <w:rPr>
          <w:noProof/>
        </w:rPr>
        <w:t>(2012), ''Too Much Finance?'', IMF Working Papers No 161</w:t>
      </w:r>
    </w:p>
    <w:p w:rsidR="00BB0B51" w:rsidRDefault="00AA53B1">
      <w:pPr>
        <w:rPr>
          <w:noProof/>
        </w:rPr>
      </w:pPr>
      <w:r>
        <w:rPr>
          <w:noProof/>
        </w:rPr>
        <w:t>Canton E., Solera I, (2016), "Greenfield fore</w:t>
      </w:r>
      <w:r>
        <w:rPr>
          <w:noProof/>
        </w:rPr>
        <w:t xml:space="preserve">ign direct investment and structural reforms in Europe: what factors determine investments?", European Commission, Discussion paper 033. Available at: </w:t>
      </w:r>
      <w:hyperlink r:id="rId147" w:history="1">
        <w:r>
          <w:rPr>
            <w:rStyle w:val="Hyperlink"/>
            <w:noProof/>
          </w:rPr>
          <w:t>http://ec.europa.e</w:t>
        </w:r>
        <w:r>
          <w:rPr>
            <w:rStyle w:val="Hyperlink"/>
            <w:noProof/>
          </w:rPr>
          <w:t>u/economy_finance/publications/eedp/pdf/dp033_en.pdf</w:t>
        </w:r>
      </w:hyperlink>
      <w:r>
        <w:rPr>
          <w:noProof/>
        </w:rPr>
        <w:t xml:space="preserve"> </w:t>
      </w:r>
    </w:p>
    <w:p w:rsidR="00BB0B51" w:rsidRDefault="00AA53B1">
      <w:pPr>
        <w:rPr>
          <w:noProof/>
        </w:rPr>
      </w:pPr>
      <w:r>
        <w:rPr>
          <w:noProof/>
        </w:rPr>
        <w:t>CASE – Center for Social and Economic Research, Institute for Advances Studies, Study and reports on the VAT Gap in the EU-28 Member States: 2016 Final report, TAXUD/2015/CC/131, Warsaw, 23 August</w:t>
      </w:r>
    </w:p>
    <w:p w:rsidR="00BB0B51" w:rsidRDefault="00AA53B1">
      <w:pPr>
        <w:rPr>
          <w:noProof/>
        </w:rPr>
      </w:pPr>
      <w:r>
        <w:rPr>
          <w:noProof/>
        </w:rPr>
        <w:t>Cecch</w:t>
      </w:r>
      <w:r>
        <w:rPr>
          <w:noProof/>
        </w:rPr>
        <w:t xml:space="preserve">etti, S. G., M. S. Mohanty and F. Zampolli (2011). “The real effects of debt”, BIS Working Papers No 352; Jean-Louis Arcand J.L., </w:t>
      </w:r>
    </w:p>
    <w:p w:rsidR="00BB0B51" w:rsidRDefault="00AA53B1">
      <w:pPr>
        <w:rPr>
          <w:noProof/>
        </w:rPr>
      </w:pPr>
      <w:r>
        <w:rPr>
          <w:noProof/>
        </w:rPr>
        <w:t>ECB (2016), The Household Finance and Consumption Survey, Statistics paper 18, December 2016</w:t>
      </w:r>
    </w:p>
    <w:p w:rsidR="00BB0B51" w:rsidRDefault="00AA53B1">
      <w:pPr>
        <w:rPr>
          <w:i/>
          <w:noProof/>
        </w:rPr>
      </w:pPr>
      <w:r>
        <w:rPr>
          <w:noProof/>
        </w:rPr>
        <w:t>Empirica (2014),</w:t>
      </w:r>
      <w:r>
        <w:rPr>
          <w:i/>
          <w:noProof/>
        </w:rPr>
        <w:t> </w:t>
      </w:r>
      <w:r>
        <w:rPr>
          <w:noProof/>
        </w:rPr>
        <w:t>e-SKILLS in Eur</w:t>
      </w:r>
      <w:r>
        <w:rPr>
          <w:noProof/>
        </w:rPr>
        <w:t>ope-Country report for Portugal</w:t>
      </w:r>
    </w:p>
    <w:p w:rsidR="00BB0B51" w:rsidRDefault="00AA53B1">
      <w:pPr>
        <w:rPr>
          <w:noProof/>
        </w:rPr>
      </w:pPr>
      <w:r>
        <w:rPr>
          <w:noProof/>
        </w:rPr>
        <w:t xml:space="preserve">European Commission (2013 [LMD]), “Labour market developments in Europe 2013”, Directorate-General for Economic and Financial Affairs, European Economy series, No. 6. URL: </w:t>
      </w:r>
      <w:hyperlink r:id="rId148" w:history="1">
        <w:r>
          <w:rPr>
            <w:rStyle w:val="Hyperlink"/>
            <w:noProof/>
          </w:rPr>
          <w:t>http://ec.europa.eu/economy_finance/publications/european_economy/2013/ee6_en.htm</w:t>
        </w:r>
      </w:hyperlink>
      <w:r>
        <w:rPr>
          <w:noProof/>
        </w:rPr>
        <w:t xml:space="preserve">.  </w:t>
      </w:r>
    </w:p>
    <w:p w:rsidR="00BB0B51" w:rsidRDefault="00AA53B1">
      <w:pPr>
        <w:rPr>
          <w:i/>
          <w:noProof/>
        </w:rPr>
      </w:pPr>
      <w:r>
        <w:rPr>
          <w:noProof/>
        </w:rPr>
        <w:t>European Commission, DG Education and Culture (2013), The State of University-Business Cooperation in Portugal</w:t>
      </w:r>
    </w:p>
    <w:p w:rsidR="00BB0B51" w:rsidRDefault="00AA53B1">
      <w:pPr>
        <w:rPr>
          <w:noProof/>
        </w:rPr>
      </w:pPr>
      <w:r>
        <w:rPr>
          <w:noProof/>
        </w:rPr>
        <w:t>European Commi</w:t>
      </w:r>
      <w:r>
        <w:rPr>
          <w:noProof/>
        </w:rPr>
        <w:t xml:space="preserve">ssion (2015 [ESDE]), “Employment and Social Developments in Europe, 2015” Directorate-General for Employment, Social Affairs and Inclusion. URL: </w:t>
      </w:r>
      <w:hyperlink r:id="rId149" w:history="1">
        <w:r>
          <w:rPr>
            <w:rStyle w:val="Hyperlink"/>
            <w:noProof/>
          </w:rPr>
          <w:t>http://ec.eu</w:t>
        </w:r>
        <w:r>
          <w:rPr>
            <w:rStyle w:val="Hyperlink"/>
            <w:noProof/>
          </w:rPr>
          <w:t>ropa.eu/social/main.jsp?langId=en&amp;catId=89&amp;newsId=2437&amp;furtherNews=yes</w:t>
        </w:r>
      </w:hyperlink>
      <w:r>
        <w:rPr>
          <w:noProof/>
        </w:rPr>
        <w:t xml:space="preserve">. </w:t>
      </w:r>
    </w:p>
    <w:p w:rsidR="00BB0B51" w:rsidRDefault="00AA53B1">
      <w:pPr>
        <w:rPr>
          <w:noProof/>
          <w:highlight w:val="yellow"/>
        </w:rPr>
      </w:pPr>
      <w:r>
        <w:rPr>
          <w:noProof/>
        </w:rPr>
        <w:t>European Commission (2014), Economic adjustment programme for Portugal 2011-2014, Occasional paper 202. Available at: http://ec.europa.eu/economy_finance/publications/occasional_paper</w:t>
      </w:r>
      <w:r>
        <w:rPr>
          <w:noProof/>
        </w:rPr>
        <w:t>/2014/pdf/ocp202_en.pdf</w:t>
      </w:r>
    </w:p>
    <w:p w:rsidR="00BB0B51" w:rsidRDefault="00AA53B1">
      <w:pPr>
        <w:rPr>
          <w:noProof/>
        </w:rPr>
      </w:pPr>
      <w:r>
        <w:rPr>
          <w:noProof/>
        </w:rPr>
        <w:t>European Commission (2015a) Ageing Report 2015.</w:t>
      </w:r>
    </w:p>
    <w:p w:rsidR="00BB0B51" w:rsidRDefault="00AA53B1">
      <w:pPr>
        <w:rPr>
          <w:noProof/>
        </w:rPr>
      </w:pPr>
      <w:r>
        <w:rPr>
          <w:noProof/>
        </w:rPr>
        <w:t>European Commission (2015b) Fiscal Sustainability Report 2015.</w:t>
      </w:r>
    </w:p>
    <w:p w:rsidR="00BB0B51" w:rsidRDefault="00AA53B1">
      <w:pPr>
        <w:rPr>
          <w:i/>
          <w:noProof/>
        </w:rPr>
      </w:pPr>
      <w:r>
        <w:rPr>
          <w:noProof/>
        </w:rPr>
        <w:t>European Commission, (2015c), Rio Country Report – Portugal</w:t>
      </w:r>
    </w:p>
    <w:p w:rsidR="00BB0B51" w:rsidRDefault="00AA53B1">
      <w:pPr>
        <w:rPr>
          <w:noProof/>
        </w:rPr>
      </w:pPr>
      <w:r>
        <w:rPr>
          <w:noProof/>
        </w:rPr>
        <w:t>European Commission (2015d), Challenges to Member States’ Inv</w:t>
      </w:r>
      <w:r>
        <w:rPr>
          <w:noProof/>
        </w:rPr>
        <w:t xml:space="preserve">estment Environments, Staff working document, available at: </w:t>
      </w:r>
      <w:hyperlink r:id="rId150" w:history="1">
        <w:r>
          <w:rPr>
            <w:rStyle w:val="Hyperlink"/>
            <w:noProof/>
          </w:rPr>
          <w:t>http://ec.europa.eu/europe2020/pdf/2016/ags2016_challenges_romania_en.pdf</w:t>
        </w:r>
      </w:hyperlink>
      <w:r>
        <w:rPr>
          <w:noProof/>
        </w:rPr>
        <w:t xml:space="preserve"> </w:t>
      </w:r>
      <w:hyperlink r:id="rId151" w:history="1">
        <w:r>
          <w:rPr>
            <w:rStyle w:val="Hyperlink"/>
            <w:noProof/>
          </w:rPr>
          <w:t>http://ec.europa.eu/europe2020/pdf/csr2016/cr2016_romania_en.pdf</w:t>
        </w:r>
      </w:hyperlink>
    </w:p>
    <w:p w:rsidR="00BB0B51" w:rsidRDefault="00AA53B1">
      <w:pPr>
        <w:rPr>
          <w:noProof/>
        </w:rPr>
      </w:pPr>
      <w:r>
        <w:rPr>
          <w:noProof/>
        </w:rPr>
        <w:t>European Commission (2016), Ex-post evaluation of the economic adjustment programme, Portugal 2011-2014, Institu</w:t>
      </w:r>
      <w:r>
        <w:rPr>
          <w:noProof/>
        </w:rPr>
        <w:t xml:space="preserve">tional paper 040, Available at: </w:t>
      </w:r>
      <w:hyperlink r:id="rId152" w:history="1">
        <w:r>
          <w:rPr>
            <w:rStyle w:val="Hyperlink"/>
            <w:noProof/>
          </w:rPr>
          <w:t>http://ec.europa.eu/economy_finance/publications/eeip/pdf/ip040_en.pdf</w:t>
        </w:r>
      </w:hyperlink>
      <w:r>
        <w:rPr>
          <w:noProof/>
        </w:rPr>
        <w:t xml:space="preserve"> </w:t>
      </w:r>
    </w:p>
    <w:p w:rsidR="00BB0B51" w:rsidRDefault="00AA53B1">
      <w:pPr>
        <w:rPr>
          <w:i/>
          <w:noProof/>
        </w:rPr>
      </w:pPr>
      <w:r>
        <w:rPr>
          <w:noProof/>
        </w:rPr>
        <w:t>European Commission, (2016) Strategic use of public procurement i</w:t>
      </w:r>
      <w:r>
        <w:rPr>
          <w:noProof/>
        </w:rPr>
        <w:t>n promoting green, social and innovation policies: PT country report</w:t>
      </w:r>
    </w:p>
    <w:p w:rsidR="00BB0B51" w:rsidRDefault="00AA53B1">
      <w:pPr>
        <w:rPr>
          <w:noProof/>
        </w:rPr>
      </w:pPr>
      <w:r>
        <w:rPr>
          <w:noProof/>
        </w:rPr>
        <w:t>European Commission (2016), European and investment funds, Country data for Portugal. Available at: https://cohesiondata.ec.europa.eu/countries/PT</w:t>
      </w:r>
    </w:p>
    <w:p w:rsidR="00BB0B51" w:rsidRDefault="00AA53B1">
      <w:pPr>
        <w:rPr>
          <w:noProof/>
        </w:rPr>
      </w:pPr>
      <w:r>
        <w:rPr>
          <w:noProof/>
        </w:rPr>
        <w:t xml:space="preserve">European Commission 2016b. Joint Report </w:t>
      </w:r>
      <w:r>
        <w:rPr>
          <w:noProof/>
        </w:rPr>
        <w:t xml:space="preserve">on Health Care and Long Term Care Systems and Fiscal Sustainability – Vol. 2 Country Documents: Health Care Systems, Portugal (2016), prepared by the Commission (DG ECFIN) and the Economic Policy Committee (Ageing Working Group).  </w:t>
      </w:r>
    </w:p>
    <w:p w:rsidR="00BB0B51" w:rsidRDefault="00AA53B1">
      <w:pPr>
        <w:rPr>
          <w:noProof/>
        </w:rPr>
      </w:pPr>
      <w:r>
        <w:rPr>
          <w:noProof/>
        </w:rPr>
        <w:t>European Commission (201</w:t>
      </w:r>
      <w:r>
        <w:rPr>
          <w:noProof/>
        </w:rPr>
        <w:t>6c), EU Tax Policies: 2016 Scoreboard, Publications Office of the European Union, Luxembourg.</w:t>
      </w:r>
    </w:p>
    <w:p w:rsidR="00BB0B51" w:rsidRDefault="00AA53B1">
      <w:pPr>
        <w:rPr>
          <w:noProof/>
        </w:rPr>
      </w:pPr>
      <w:r>
        <w:rPr>
          <w:noProof/>
        </w:rPr>
        <w:t>European Commission (2016d), European Innovation Scoreboard. Available at: http://ec.europa.eu/growth/industry/innovation/facts-figures/scoreboards_it</w:t>
      </w:r>
    </w:p>
    <w:p w:rsidR="00BB0B51" w:rsidRDefault="00AA53B1">
      <w:pPr>
        <w:rPr>
          <w:noProof/>
        </w:rPr>
      </w:pPr>
      <w:r>
        <w:rPr>
          <w:noProof/>
        </w:rPr>
        <w:t>European Co</w:t>
      </w:r>
      <w:r>
        <w:rPr>
          <w:noProof/>
        </w:rPr>
        <w:t xml:space="preserve">mmission, European Semester thematic factsheet, Anti-corruption, 2016 available at the following link: </w:t>
      </w:r>
      <w:hyperlink r:id="rId153" w:history="1">
        <w:r>
          <w:rPr>
            <w:rStyle w:val="Hyperlink"/>
            <w:noProof/>
          </w:rPr>
          <w:t>https://ec.europa.eu/info/european-semester/them</w:t>
        </w:r>
        <w:r>
          <w:rPr>
            <w:rStyle w:val="Hyperlink"/>
            <w:noProof/>
          </w:rPr>
          <w:t>atic-factsheets/public-administration_en</w:t>
        </w:r>
      </w:hyperlink>
      <w:r>
        <w:rPr>
          <w:noProof/>
        </w:rPr>
        <w:t>.</w:t>
      </w:r>
    </w:p>
    <w:p w:rsidR="00BB0B51" w:rsidRDefault="00AA53B1">
      <w:pPr>
        <w:rPr>
          <w:noProof/>
        </w:rPr>
      </w:pPr>
      <w:r>
        <w:rPr>
          <w:noProof/>
        </w:rPr>
        <w:t>European Commission (2016a), “Labour Market and Wage Developments in Europe 2016”, Directorate-General for Employment, Social Affairs and Inclusion, forthcoming.</w:t>
      </w:r>
    </w:p>
    <w:p w:rsidR="00BB0B51" w:rsidRDefault="00AA53B1">
      <w:pPr>
        <w:rPr>
          <w:noProof/>
        </w:rPr>
      </w:pPr>
      <w:r>
        <w:rPr>
          <w:noProof/>
        </w:rPr>
        <w:t xml:space="preserve">European Commission (2016b), Education and Training </w:t>
      </w:r>
      <w:r>
        <w:rPr>
          <w:noProof/>
        </w:rPr>
        <w:t>Monitor 2016 — Country Analysis, Portugal, Publications Office of the European Union, Luxembourg.</w:t>
      </w:r>
    </w:p>
    <w:p w:rsidR="00BB0B51" w:rsidRDefault="00AA53B1">
      <w:pPr>
        <w:rPr>
          <w:noProof/>
        </w:rPr>
      </w:pPr>
      <w:r>
        <w:rPr>
          <w:noProof/>
        </w:rPr>
        <w:t>European Commission (2016d). Employment and Social Developments in Europe Review 2015, Publications Office of the European Union, Luxembourg.</w:t>
      </w:r>
    </w:p>
    <w:p w:rsidR="00BB0B51" w:rsidRDefault="00AA53B1">
      <w:pPr>
        <w:rPr>
          <w:noProof/>
        </w:rPr>
      </w:pPr>
      <w:r>
        <w:rPr>
          <w:noProof/>
        </w:rPr>
        <w:t>European Commiss</w:t>
      </w:r>
      <w:r>
        <w:rPr>
          <w:noProof/>
        </w:rPr>
        <w:t xml:space="preserve">ion (2016d), Portugal Country Report 2016. </w:t>
      </w:r>
    </w:p>
    <w:p w:rsidR="00BB0B51" w:rsidRDefault="00AA53B1">
      <w:pPr>
        <w:rPr>
          <w:noProof/>
        </w:rPr>
      </w:pPr>
      <w:r>
        <w:rPr>
          <w:noProof/>
        </w:rPr>
        <w:t>European Commission (2016e), Investment Challenges in Energy, Transport &amp; Digital Markets, European Economy Institutional Paper 041, November.</w:t>
      </w:r>
    </w:p>
    <w:p w:rsidR="00BB0B51" w:rsidRDefault="00AA53B1">
      <w:pPr>
        <w:rPr>
          <w:noProof/>
        </w:rPr>
      </w:pPr>
      <w:r>
        <w:rPr>
          <w:noProof/>
        </w:rPr>
        <w:t xml:space="preserve">European Commission , Taxation Trends in the European Union, 2016 </w:t>
      </w:r>
      <w:r>
        <w:rPr>
          <w:noProof/>
        </w:rPr>
        <w:t>edition, Publications Office of the European Union, Luxembourg.</w:t>
      </w:r>
    </w:p>
    <w:p w:rsidR="00BB0B51" w:rsidRDefault="00AA53B1">
      <w:pPr>
        <w:rPr>
          <w:noProof/>
        </w:rPr>
      </w:pPr>
      <w:r>
        <w:rPr>
          <w:noProof/>
        </w:rPr>
        <w:t>European Commission  (2017a), Debt Sustainability Monitor 2016</w:t>
      </w:r>
    </w:p>
    <w:p w:rsidR="00BB0B51" w:rsidRDefault="00AA53B1">
      <w:pPr>
        <w:rPr>
          <w:i/>
          <w:noProof/>
        </w:rPr>
      </w:pPr>
      <w:r>
        <w:rPr>
          <w:noProof/>
        </w:rPr>
        <w:t>European Commission forthcoming (2017b) Framework Conditions for High Growth Innovative Enterprises</w:t>
      </w:r>
    </w:p>
    <w:p w:rsidR="00BB0B51" w:rsidRDefault="00AA53B1">
      <w:pPr>
        <w:rPr>
          <w:i/>
          <w:noProof/>
        </w:rPr>
      </w:pPr>
      <w:r>
        <w:rPr>
          <w:noProof/>
        </w:rPr>
        <w:t>European Commission, (2017c),</w:t>
      </w:r>
      <w:r>
        <w:rPr>
          <w:noProof/>
        </w:rPr>
        <w:t xml:space="preserve"> Rio Country Report – Portugal</w:t>
      </w:r>
    </w:p>
    <w:p w:rsidR="00BB0B51" w:rsidRDefault="00AA53B1">
      <w:pPr>
        <w:rPr>
          <w:noProof/>
        </w:rPr>
      </w:pPr>
      <w:r>
        <w:rPr>
          <w:noProof/>
        </w:rPr>
        <w:t>European Commission (2017), Digital Scoreboard 2017</w:t>
      </w:r>
    </w:p>
    <w:p w:rsidR="00BB0B51" w:rsidRDefault="00AA53B1">
      <w:pPr>
        <w:rPr>
          <w:noProof/>
          <w:lang w:val="pt-PT"/>
        </w:rPr>
      </w:pPr>
      <w:r>
        <w:rPr>
          <w:noProof/>
        </w:rPr>
        <w:t>Kiss, A. and A. Vandeplas (2015), “Measuring skills mismatch”, Analytical web note 7/2015, European Commission, Directorate-General for Employment, Social Affairs and Inclus</w:t>
      </w:r>
      <w:r>
        <w:rPr>
          <w:noProof/>
        </w:rPr>
        <w:t xml:space="preserve">ion. </w:t>
      </w:r>
      <w:r>
        <w:rPr>
          <w:noProof/>
          <w:lang w:val="pt-PT"/>
        </w:rPr>
        <w:t xml:space="preserve">URL: </w:t>
      </w:r>
      <w:hyperlink r:id="rId154" w:history="1">
        <w:r>
          <w:rPr>
            <w:rStyle w:val="Hyperlink"/>
            <w:noProof/>
            <w:lang w:val="pt-PT"/>
          </w:rPr>
          <w:t>http://ec.europa.eu/social/main.jsp?catId=738&amp;langId=en&amp;pubId=7860</w:t>
        </w:r>
      </w:hyperlink>
      <w:r>
        <w:rPr>
          <w:noProof/>
          <w:lang w:val="pt-PT"/>
        </w:rPr>
        <w:t xml:space="preserve">. </w:t>
      </w:r>
    </w:p>
    <w:p w:rsidR="00BB0B51" w:rsidRDefault="00AA53B1">
      <w:pPr>
        <w:rPr>
          <w:noProof/>
          <w:lang w:val="pt-PT"/>
        </w:rPr>
      </w:pPr>
      <w:r>
        <w:rPr>
          <w:noProof/>
          <w:lang w:val="pt-PT"/>
        </w:rPr>
        <w:t>National Education Council (2015a), Relatório Técnico, Retenção Escolar nos Ensinos Básico e S</w:t>
      </w:r>
      <w:r>
        <w:rPr>
          <w:noProof/>
          <w:lang w:val="pt-PT"/>
        </w:rPr>
        <w:t>ecundário.</w:t>
      </w:r>
    </w:p>
    <w:p w:rsidR="00BB0B51" w:rsidRDefault="00AA53B1">
      <w:pPr>
        <w:rPr>
          <w:noProof/>
        </w:rPr>
      </w:pPr>
      <w:r>
        <w:rPr>
          <w:noProof/>
        </w:rPr>
        <w:t>National Education Council (2015b), Estado da Educação, 2015 OECD (2012) – Grade Expectations: How marks and Education Policies Shape Students'Ambitions</w:t>
      </w:r>
    </w:p>
    <w:p w:rsidR="00BB0B51" w:rsidRDefault="00AA53B1">
      <w:pPr>
        <w:rPr>
          <w:noProof/>
          <w:lang w:val="pt-PT"/>
        </w:rPr>
      </w:pPr>
      <w:r>
        <w:rPr>
          <w:noProof/>
          <w:lang w:val="pt-PT"/>
        </w:rPr>
        <w:t>OECD (2016), R&amp;D Tax Incentives Indicators</w:t>
      </w:r>
    </w:p>
    <w:p w:rsidR="00BB0B51" w:rsidRDefault="00AA53B1">
      <w:pPr>
        <w:rPr>
          <w:noProof/>
          <w:lang w:val="pt-PT"/>
        </w:rPr>
      </w:pPr>
      <w:r>
        <w:rPr>
          <w:noProof/>
          <w:lang w:val="pt-PT"/>
        </w:rPr>
        <w:t>Portuguese institute for monitoring public procur</w:t>
      </w:r>
      <w:r>
        <w:rPr>
          <w:noProof/>
          <w:lang w:val="pt-PT"/>
        </w:rPr>
        <w:t xml:space="preserve">ement (IMPIC) (2016), " Public procurement in Portugal 2015". Available at: </w:t>
      </w:r>
      <w:hyperlink r:id="rId155" w:history="1">
        <w:r>
          <w:rPr>
            <w:rStyle w:val="Hyperlink"/>
            <w:noProof/>
            <w:lang w:val="pt-PT"/>
          </w:rPr>
          <w:t>http://www.base.gov.pt/Base/pt/Homepage</w:t>
        </w:r>
      </w:hyperlink>
      <w:r>
        <w:rPr>
          <w:noProof/>
          <w:lang w:val="pt-PT"/>
        </w:rPr>
        <w:t xml:space="preserve"> </w:t>
      </w:r>
    </w:p>
    <w:p w:rsidR="00BB0B51" w:rsidRDefault="00AA53B1">
      <w:pPr>
        <w:rPr>
          <w:noProof/>
        </w:rPr>
      </w:pPr>
      <w:r>
        <w:rPr>
          <w:noProof/>
        </w:rPr>
        <w:t>World Bank (2016). Doing Business 2016: Measuring Regulatory Quality and Efficiency</w:t>
      </w:r>
      <w:r>
        <w:rPr>
          <w:noProof/>
        </w:rPr>
        <w:t>, Washington, DC: World Bank.</w:t>
      </w:r>
    </w:p>
    <w:p w:rsidR="00BB0B51" w:rsidRDefault="00AA53B1">
      <w:pPr>
        <w:rPr>
          <w:noProof/>
        </w:rPr>
      </w:pPr>
      <w:r>
        <w:rPr>
          <w:noProof/>
        </w:rPr>
        <w:t xml:space="preserve">World Economic Forum (2016) , The global competitiveness report 2016-2017, available at: </w:t>
      </w:r>
      <w:hyperlink r:id="rId156" w:history="1">
        <w:r>
          <w:rPr>
            <w:rStyle w:val="Hyperlink"/>
            <w:noProof/>
          </w:rPr>
          <w:t>http://www3.wefo</w:t>
        </w:r>
        <w:r>
          <w:rPr>
            <w:rStyle w:val="Hyperlink"/>
            <w:noProof/>
          </w:rPr>
          <w:t>rum.org/docs/GCR2016-2017/05FullReport/TheGlobalCompetitivenessReport2016-2017_FINAL.pdf</w:t>
        </w:r>
      </w:hyperlink>
      <w:r>
        <w:rPr>
          <w:noProof/>
        </w:rPr>
        <w:t xml:space="preserve"> </w:t>
      </w:r>
    </w:p>
    <w:p w:rsidR="00BB0B51" w:rsidRDefault="00BB0B51">
      <w:pPr>
        <w:rPr>
          <w:noProof/>
        </w:rPr>
      </w:pPr>
    </w:p>
    <w:sectPr w:rsidR="00BB0B51">
      <w:headerReference w:type="even" r:id="rId157"/>
      <w:headerReference w:type="default" r:id="rId158"/>
      <w:footerReference w:type="even" r:id="rId159"/>
      <w:footerReference w:type="default" r:id="rId160"/>
      <w:headerReference w:type="first" r:id="rId161"/>
      <w:footerReference w:type="first" r:id="rId162"/>
      <w:footnotePr>
        <w:pos w:val="beneathText"/>
      </w:footnotePr>
      <w:endnotePr>
        <w:numFmt w:val="decimal"/>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B51" w:rsidRDefault="00AA53B1">
      <w:pPr>
        <w:spacing w:after="0"/>
      </w:pPr>
      <w:r>
        <w:separator/>
      </w:r>
    </w:p>
  </w:endnote>
  <w:endnote w:type="continuationSeparator" w:id="0">
    <w:p w:rsidR="00BB0B51" w:rsidRDefault="00AA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B1" w:rsidRDefault="00AA53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0D7" w:rsidRPr="002F50D7" w:rsidRDefault="002F50D7" w:rsidP="002F50D7">
    <w:pPr>
      <w:pStyle w:val="FooterCoverPage"/>
      <w:rPr>
        <w:rFonts w:ascii="Arial" w:hAnsi="Arial" w:cs="Arial"/>
        <w:b/>
        <w:sz w:val="48"/>
      </w:rPr>
    </w:pPr>
    <w:r w:rsidRPr="002F50D7">
      <w:rPr>
        <w:rFonts w:ascii="Arial" w:hAnsi="Arial" w:cs="Arial"/>
        <w:b/>
        <w:sz w:val="48"/>
      </w:rPr>
      <w:t>EN</w:t>
    </w:r>
    <w:r w:rsidRPr="002F50D7">
      <w:rPr>
        <w:rFonts w:ascii="Arial" w:hAnsi="Arial" w:cs="Arial"/>
        <w:b/>
        <w:sz w:val="48"/>
      </w:rPr>
      <w:tab/>
    </w:r>
    <w:r w:rsidRPr="002F50D7">
      <w:rPr>
        <w:rFonts w:ascii="Arial" w:hAnsi="Arial" w:cs="Arial"/>
        <w:b/>
        <w:sz w:val="48"/>
      </w:rPr>
      <w:tab/>
    </w:r>
    <w:fldSimple w:instr=" DOCVARIABLE &quot;LW_Confidence&quot; \* MERGEFORMAT ">
      <w:r w:rsidR="00AA53B1">
        <w:t xml:space="preserve"> </w:t>
      </w:r>
    </w:fldSimple>
    <w:r w:rsidRPr="002F50D7">
      <w:tab/>
    </w:r>
    <w:r w:rsidRPr="002F50D7">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4</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6</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B1" w:rsidRDefault="00AA53B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3</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62</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1</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63</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68</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71</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69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
    </w:pPr>
    <w:r>
      <w:fldChar w:fldCharType="begin"/>
    </w:r>
    <w:r>
      <w:instrText xml:space="preserve"> PAGE  \* MERGEFORMAT </w:instrText>
    </w:r>
    <w:r>
      <w:fldChar w:fldCharType="separate"/>
    </w:r>
    <w:r>
      <w:rPr>
        <w:noProof/>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Footer"/>
    </w:pPr>
  </w:p>
  <w:p w:rsidR="00BB0B51" w:rsidRDefault="00AA53B1">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B51" w:rsidRDefault="00AA53B1">
      <w:pPr>
        <w:spacing w:after="0"/>
      </w:pPr>
      <w:r>
        <w:separator/>
      </w:r>
    </w:p>
  </w:footnote>
  <w:footnote w:type="continuationSeparator" w:id="0">
    <w:p w:rsidR="00BB0B51" w:rsidRDefault="00AA53B1">
      <w:r>
        <w:continuationSeparator/>
      </w:r>
    </w:p>
  </w:footnote>
  <w:footnote w:id="1">
    <w:p w:rsidR="00BB0B51" w:rsidRDefault="00AA53B1">
      <w:pPr>
        <w:pStyle w:val="FootnoteText"/>
      </w:pPr>
      <w:r>
        <w:t>(</w:t>
      </w:r>
      <w:r>
        <w:rPr>
          <w:vertAlign w:val="superscript"/>
        </w:rPr>
        <w:footnoteRef/>
      </w:r>
      <w:r>
        <w:t>)</w:t>
      </w:r>
      <w:r>
        <w:tab/>
        <w:t xml:space="preserve">Provisional figures from the national statistical institute for 2016 point to a </w:t>
      </w:r>
      <w:r>
        <w:t>further decrease in the at-risk-of-poverty or social exclusion rate to 25.1% and to a stable in-work poverty rate at 10.9%.</w:t>
      </w:r>
    </w:p>
  </w:footnote>
  <w:footnote w:id="2">
    <w:p w:rsidR="00BB0B51" w:rsidRDefault="00AA53B1">
      <w:pPr>
        <w:pStyle w:val="FootnoteText"/>
        <w:rPr>
          <w:szCs w:val="16"/>
        </w:rPr>
      </w:pPr>
      <w:r>
        <w:t>(</w:t>
      </w:r>
      <w:r>
        <w:rPr>
          <w:vertAlign w:val="superscript"/>
        </w:rPr>
        <w:footnoteRef/>
      </w:r>
      <w:r>
        <w:t>)</w:t>
      </w:r>
      <w:r>
        <w:tab/>
        <w:t xml:space="preserve">The ratio of total income received by the 20 % of the population with the highest income (top quintile) to that received by the </w:t>
      </w:r>
      <w:r>
        <w:t>20 % of the population with the lowest income (bottom quintile).</w:t>
      </w:r>
    </w:p>
  </w:footnote>
  <w:footnote w:id="3">
    <w:p w:rsidR="00BB0B51" w:rsidRDefault="00AA53B1">
      <w:pPr>
        <w:pStyle w:val="FootnoteText"/>
      </w:pPr>
      <w:r>
        <w:t>(</w:t>
      </w:r>
      <w:r>
        <w:rPr>
          <w:vertAlign w:val="superscript"/>
        </w:rPr>
        <w:footnoteRef/>
      </w:r>
      <w:r>
        <w:t>)</w:t>
      </w:r>
      <w:r>
        <w:tab/>
        <w:t>From 1995 to 2002, the income of the 10 % poorest  %households rose by 12.3 % and continued rising until 2007 but have been falling steadily since.</w:t>
      </w:r>
    </w:p>
  </w:footnote>
  <w:footnote w:id="4">
    <w:p w:rsidR="00BB0B51" w:rsidRDefault="00AA53B1">
      <w:pPr>
        <w:pStyle w:val="FootnoteText"/>
      </w:pPr>
      <w:r>
        <w:t>(</w:t>
      </w:r>
      <w:r>
        <w:rPr>
          <w:vertAlign w:val="superscript"/>
        </w:rPr>
        <w:footnoteRef/>
      </w:r>
      <w:r>
        <w:t>)</w:t>
      </w:r>
      <w:r>
        <w:tab/>
        <w:t xml:space="preserve">The gap between the Gini </w:t>
      </w:r>
      <w:r>
        <w:t>coefficient before taxes and benefits and the Gini after taxes and benefits was 21.5, greater than the EU average (19.3, EU</w:t>
      </w:r>
      <w:r>
        <w:noBreakHyphen/>
        <w:t>SILC 2015). The Gini coefficient is a value between 0 and 1. Lower values indicate higher equality.</w:t>
      </w:r>
    </w:p>
  </w:footnote>
  <w:footnote w:id="5">
    <w:p w:rsidR="00BB0B51" w:rsidRDefault="00AA53B1">
      <w:pPr>
        <w:pStyle w:val="FootnoteText"/>
      </w:pPr>
      <w:r>
        <w:t>(</w:t>
      </w:r>
      <w:r>
        <w:rPr>
          <w:vertAlign w:val="superscript"/>
        </w:rPr>
        <w:footnoteRef/>
      </w:r>
      <w:r>
        <w:t>)</w:t>
      </w:r>
      <w:r>
        <w:tab/>
        <w:t>Difference between total ass</w:t>
      </w:r>
      <w:r>
        <w:t>ets and total liabilities.</w:t>
      </w:r>
    </w:p>
  </w:footnote>
  <w:footnote w:id="6">
    <w:p w:rsidR="00BB0B51" w:rsidRDefault="00AA53B1">
      <w:pPr>
        <w:pStyle w:val="FootnoteText"/>
      </w:pPr>
      <w:r>
        <w:t>(</w:t>
      </w:r>
      <w:r>
        <w:rPr>
          <w:vertAlign w:val="superscript"/>
        </w:rPr>
        <w:footnoteRef/>
      </w:r>
      <w:r>
        <w:t>)</w:t>
      </w:r>
      <w:r>
        <w:tab/>
        <w:t>According to empirical estimates, a private debt</w:t>
      </w:r>
      <w:r>
        <w:noBreakHyphen/>
        <w:t>to</w:t>
      </w:r>
      <w:r>
        <w:noBreakHyphen/>
        <w:t>GDP level that is higher than 90 % of GDP or 110 % according to some other studies is negatively associated with growth performance</w:t>
      </w:r>
      <w:r>
        <w:rPr>
          <w:lang w:bidi="en-US"/>
        </w:rPr>
        <w:t xml:space="preserve"> (Cecchetti et al. (2011); </w:t>
      </w:r>
      <w:r>
        <w:t>Arcand et al. (</w:t>
      </w:r>
      <w:r>
        <w:t>2012))</w:t>
      </w:r>
      <w:r>
        <w:rPr>
          <w:lang w:bidi="en-US"/>
        </w:rPr>
        <w:t>.</w:t>
      </w:r>
    </w:p>
    <w:p w:rsidR="00BB0B51" w:rsidRDefault="00BB0B51">
      <w:pPr>
        <w:pStyle w:val="FootnoteText"/>
        <w:rPr>
          <w:szCs w:val="16"/>
        </w:rPr>
      </w:pPr>
    </w:p>
  </w:footnote>
  <w:footnote w:id="7">
    <w:p w:rsidR="00BB0B51" w:rsidRDefault="00AA53B1">
      <w:pPr>
        <w:pStyle w:val="FootnoteText"/>
      </w:pPr>
      <w:r>
        <w:t>(</w:t>
      </w:r>
      <w:r>
        <w:rPr>
          <w:vertAlign w:val="superscript"/>
        </w:rPr>
        <w:footnoteRef/>
      </w:r>
      <w:r>
        <w:t>)</w:t>
      </w:r>
      <w:r>
        <w:tab/>
        <w:t>For the assessment of other reforms implemented in the past, see in particular section 4.</w:t>
      </w:r>
    </w:p>
  </w:footnote>
  <w:footnote w:id="8">
    <w:p w:rsidR="00BB0B51" w:rsidRDefault="00AA53B1">
      <w:pPr>
        <w:pStyle w:val="FootnoteText"/>
      </w:pPr>
      <w:r>
        <w:t>(</w:t>
      </w:r>
      <w:r>
        <w:rPr>
          <w:vertAlign w:val="superscript"/>
        </w:rPr>
        <w:footnoteRef/>
      </w:r>
      <w:r>
        <w:t>)</w:t>
      </w:r>
      <w:r>
        <w:tab/>
        <w:t>European Commission, Ex</w:t>
      </w:r>
      <w:r>
        <w:noBreakHyphen/>
        <w:t>post evaluation of the economic adjustment programme, Portugal 2011</w:t>
      </w:r>
      <w:r>
        <w:noBreakHyphen/>
        <w:t>2014, Institutional paper 040, November 2016</w:t>
      </w:r>
    </w:p>
  </w:footnote>
  <w:footnote w:id="9">
    <w:p w:rsidR="00BB0B51" w:rsidRDefault="00AA53B1">
      <w:pPr>
        <w:pStyle w:val="FootnoteText"/>
      </w:pPr>
      <w:r>
        <w:t>(</w:t>
      </w:r>
      <w:r>
        <w:rPr>
          <w:vertAlign w:val="superscript"/>
        </w:rPr>
        <w:footnoteRef/>
      </w:r>
      <w:r>
        <w:t>)</w:t>
      </w:r>
      <w:r>
        <w:tab/>
        <w:t>Informat</w:t>
      </w:r>
      <w:r>
        <w:t>ion on the level of progress and the actions taken to address the policy advice in each respective subpart of a CSR is presented in the Overview Table in the Annex. This overall assessment does not include an assessment of compliance with the Stability and</w:t>
      </w:r>
      <w:r>
        <w:t xml:space="preserve"> Growth Pact.</w:t>
      </w:r>
    </w:p>
  </w:footnote>
  <w:footnote w:id="10">
    <w:p w:rsidR="00BB0B51" w:rsidRDefault="00AA53B1">
      <w:pPr>
        <w:pStyle w:val="FootnoteText"/>
      </w:pPr>
      <w:r>
        <w:t>(</w:t>
      </w:r>
      <w:r>
        <w:rPr>
          <w:vertAlign w:val="superscript"/>
        </w:rPr>
        <w:footnoteRef/>
      </w:r>
      <w:r>
        <w:t>)</w:t>
      </w:r>
      <w:r>
        <w:tab/>
        <w:t>Although the exact figures differ among studies, it is estimated that a private debt</w:t>
      </w:r>
      <w:r>
        <w:noBreakHyphen/>
        <w:t>to</w:t>
      </w:r>
      <w:r>
        <w:noBreakHyphen/>
        <w:t>GDP level that is higher than 90 % of GDP or 110 % according to some other studies is negatively associated with growth performance</w:t>
      </w:r>
      <w:r>
        <w:rPr>
          <w:lang w:bidi="en-US"/>
        </w:rPr>
        <w:t xml:space="preserve"> (Cecchetti et al. </w:t>
      </w:r>
      <w:r>
        <w:rPr>
          <w:lang w:bidi="en-US"/>
        </w:rPr>
        <w:t xml:space="preserve">(2011); </w:t>
      </w:r>
      <w:r>
        <w:t>Arcand et al. (2012))</w:t>
      </w:r>
      <w:r>
        <w:rPr>
          <w:lang w:bidi="en-US"/>
        </w:rPr>
        <w:t>.</w:t>
      </w:r>
    </w:p>
    <w:p w:rsidR="00BB0B51" w:rsidRDefault="00BB0B51">
      <w:pPr>
        <w:pStyle w:val="FootnoteText"/>
      </w:pPr>
    </w:p>
  </w:footnote>
  <w:footnote w:id="11">
    <w:p w:rsidR="00BB0B51" w:rsidRDefault="00AA53B1">
      <w:pPr>
        <w:pStyle w:val="FootnoteText"/>
      </w:pPr>
      <w:r>
        <w:t>(</w:t>
      </w:r>
      <w:r>
        <w:rPr>
          <w:vertAlign w:val="superscript"/>
        </w:rPr>
        <w:footnoteRef/>
      </w:r>
      <w:r>
        <w:t>)</w:t>
      </w:r>
      <w:r>
        <w:tab/>
        <w:t>* MIP relevant</w:t>
      </w:r>
    </w:p>
  </w:footnote>
  <w:footnote w:id="12">
    <w:p w:rsidR="00BB0B51" w:rsidRDefault="00AA53B1">
      <w:pPr>
        <w:pStyle w:val="FootnoteText"/>
      </w:pPr>
      <w:r>
        <w:t>(</w:t>
      </w:r>
      <w:r>
        <w:rPr>
          <w:vertAlign w:val="superscript"/>
        </w:rPr>
        <w:footnoteRef/>
      </w:r>
      <w:r>
        <w:t>)</w:t>
      </w:r>
      <w:r>
        <w:tab/>
        <w:t>A structural primary fiscal balance, before cost of ageing, at 1.7 % of GDP surplus as of 2019; inflation converging to 2.0 % by 2021 and the nominal long</w:t>
      </w:r>
      <w:r>
        <w:noBreakHyphen/>
        <w:t>term interest rate on new and rolled</w:t>
      </w:r>
      <w:r>
        <w:noBreakHyphen/>
        <w:t>over debt</w:t>
      </w:r>
      <w:r>
        <w:t xml:space="preserve"> converging linearly to 5 % by the end of the 10</w:t>
      </w:r>
      <w:r>
        <w:noBreakHyphen/>
        <w:t>year projection horizon; real GDP growth rates of around 1 %; ageing costs in line with the European Commission's 2015 Ageing Report</w:t>
      </w:r>
      <w:r>
        <w:rPr>
          <w:szCs w:val="18"/>
        </w:rPr>
        <w:t>. More details of the assumptions in the different scenarios can be found i</w:t>
      </w:r>
      <w:r>
        <w:rPr>
          <w:szCs w:val="18"/>
        </w:rPr>
        <w:t>n the Debt Sustainability Monitor 2016.</w:t>
      </w:r>
    </w:p>
  </w:footnote>
  <w:footnote w:id="13">
    <w:p w:rsidR="00BB0B51" w:rsidRDefault="00AA53B1">
      <w:pPr>
        <w:pStyle w:val="FootnoteText"/>
      </w:pPr>
      <w:r>
        <w:t>(</w:t>
      </w:r>
      <w:r>
        <w:rPr>
          <w:vertAlign w:val="superscript"/>
        </w:rPr>
        <w:footnoteRef/>
      </w:r>
      <w:r>
        <w:t>)</w:t>
      </w:r>
      <w:r>
        <w:tab/>
        <w:t>The Portuguese Public Finance Council in its capacity as an independent institution for the monitoring of public finance issues is to participate in the technical committee of the new Budget Framework Law impleme</w:t>
      </w:r>
      <w:r>
        <w:t xml:space="preserve">ntation unit. </w:t>
      </w:r>
    </w:p>
  </w:footnote>
  <w:footnote w:id="14">
    <w:p w:rsidR="00BB0B51" w:rsidRDefault="00AA53B1">
      <w:pPr>
        <w:pStyle w:val="FootnoteText"/>
      </w:pPr>
      <w:r>
        <w:t>(</w:t>
      </w:r>
      <w:r>
        <w:rPr>
          <w:vertAlign w:val="superscript"/>
        </w:rPr>
        <w:footnoteRef/>
      </w:r>
      <w:r>
        <w:t>)</w:t>
      </w:r>
      <w:r>
        <w:tab/>
        <w:t>In September 2016, the Eurogroup endorsed a set of shared principles for improving the quality of public finances through spending. http://www.consilium.europa.eu/en/press/press-releases/2016/09/09-eurogroup-statement/</w:t>
      </w:r>
    </w:p>
  </w:footnote>
  <w:footnote w:id="15">
    <w:p w:rsidR="00BB0B51" w:rsidRDefault="00AA53B1">
      <w:pPr>
        <w:pStyle w:val="FootnoteText"/>
      </w:pPr>
      <w:r>
        <w:t>(</w:t>
      </w:r>
      <w:r>
        <w:rPr>
          <w:vertAlign w:val="superscript"/>
        </w:rPr>
        <w:footnoteRef/>
      </w:r>
      <w:r>
        <w:t>)</w:t>
      </w:r>
      <w:r>
        <w:tab/>
        <w:t>CASE, 2016, St</w:t>
      </w:r>
      <w:r>
        <w:t xml:space="preserve">udy and Reports on the VAT Gap in the EU Member States:2016 Final Report TAXUD/2015/CC/131 </w:t>
      </w:r>
      <w:hyperlink r:id="rId1" w:history="1">
        <w:r>
          <w:rPr>
            <w:rStyle w:val="Hyperlink"/>
          </w:rPr>
          <w:t>https://ec.europa.eu/taxation_customs/sites/taxation/files/2016-09_vat-gap-report_final.pdf</w:t>
        </w:r>
      </w:hyperlink>
    </w:p>
  </w:footnote>
  <w:footnote w:id="16">
    <w:p w:rsidR="00BB0B51" w:rsidRDefault="00AA53B1">
      <w:pPr>
        <w:pStyle w:val="FootnoteText"/>
      </w:pPr>
      <w:r>
        <w:t>(</w:t>
      </w:r>
      <w:r>
        <w:rPr>
          <w:vertAlign w:val="superscript"/>
        </w:rPr>
        <w:footnoteRef/>
      </w:r>
      <w:r>
        <w:rPr>
          <w:rStyle w:val="Hyperlink"/>
          <w:color w:val="auto"/>
          <w:sz w:val="18"/>
        </w:rPr>
        <w:t>)</w:t>
      </w:r>
      <w:r>
        <w:tab/>
      </w:r>
      <w:hyperlink r:id="rId2" w:history="1">
        <w:r>
          <w:rPr>
            <w:rStyle w:val="Hyperlink"/>
          </w:rPr>
          <w:t>https://ec.europa.eu/taxation_customs/sites/taxation/files/</w:t>
        </w:r>
      </w:hyperlink>
      <w:r>
        <w:rPr>
          <w:rStyle w:val="Hyperlink"/>
        </w:rPr>
        <w:t xml:space="preserve"> final_report_2016_taxud.</w:t>
      </w:r>
      <w:r>
        <w:rPr>
          <w:rStyle w:val="Hyperlink"/>
        </w:rPr>
        <w:t>pdf</w:t>
      </w:r>
    </w:p>
  </w:footnote>
  <w:footnote w:id="17">
    <w:p w:rsidR="00BB0B51" w:rsidRDefault="00AA53B1">
      <w:pPr>
        <w:pStyle w:val="FootnoteText"/>
      </w:pPr>
      <w:r>
        <w:t>(</w:t>
      </w:r>
      <w:r>
        <w:rPr>
          <w:vertAlign w:val="superscript"/>
        </w:rPr>
        <w:footnoteRef/>
      </w:r>
      <w:r>
        <w:t>)</w:t>
      </w:r>
      <w:r>
        <w:tab/>
        <w:t>European Commission (2016a), Impact assessment accompanying the proposals for a Council Directive on a Common Corporate Tax Base and a Common Consolidated Corporate Tax Base (CCCTB), SWD(2016) 341 final. European Commission (2016b), Communication f</w:t>
      </w:r>
      <w:r>
        <w:t>rom the Commission to the European Parliament and the Council, 'Building a fair, competitive and stable corporate tax system for the EU', COM(2016) 682 final.</w:t>
      </w:r>
    </w:p>
  </w:footnote>
  <w:footnote w:id="18">
    <w:p w:rsidR="00BB0B51" w:rsidRDefault="00AA53B1">
      <w:pPr>
        <w:pStyle w:val="FootnoteText"/>
        <w:rPr>
          <w:szCs w:val="16"/>
        </w:rPr>
      </w:pPr>
      <w:r>
        <w:t>(</w:t>
      </w:r>
      <w:r>
        <w:rPr>
          <w:vertAlign w:val="superscript"/>
        </w:rPr>
        <w:footnoteRef/>
      </w:r>
      <w:r>
        <w:t>)</w:t>
      </w:r>
      <w:r>
        <w:tab/>
        <w:t xml:space="preserve">European Banking Authority (EBA) data. Note that the EBA definition of NPLs here corresponds </w:t>
      </w:r>
      <w:r>
        <w:t>to the share of non</w:t>
      </w:r>
      <w:r>
        <w:noBreakHyphen/>
        <w:t>performing loans over total loans and is then different from the EBA non</w:t>
      </w:r>
      <w:r>
        <w:noBreakHyphen/>
        <w:t xml:space="preserve">performing exposure (NPE) indicator which encompasses both loans and debts. </w:t>
      </w:r>
    </w:p>
  </w:footnote>
  <w:footnote w:id="19">
    <w:p w:rsidR="00BB0B51" w:rsidRDefault="00AA53B1">
      <w:pPr>
        <w:pStyle w:val="FootnoteText"/>
      </w:pPr>
      <w:r>
        <w:t>(</w:t>
      </w:r>
      <w:r>
        <w:rPr>
          <w:vertAlign w:val="superscript"/>
        </w:rPr>
        <w:footnoteRef/>
      </w:r>
      <w:r>
        <w:rPr>
          <w:szCs w:val="18"/>
        </w:rPr>
        <w:t>)</w:t>
      </w:r>
      <w:r>
        <w:rPr>
          <w:szCs w:val="18"/>
        </w:rPr>
        <w:tab/>
      </w:r>
      <w:r>
        <w:t>European Commission, Post</w:t>
      </w:r>
      <w:r>
        <w:noBreakHyphen/>
        <w:t>Programme Surveillance Reports, Portugal, Winter 2015/20</w:t>
      </w:r>
      <w:r>
        <w:t>16 (p. 31) and Summer 2016 (pp. 30-31)</w:t>
      </w:r>
    </w:p>
  </w:footnote>
  <w:footnote w:id="20">
    <w:p w:rsidR="00BB0B51" w:rsidRDefault="00AA53B1">
      <w:pPr>
        <w:pStyle w:val="FootnoteText"/>
      </w:pPr>
      <w:r>
        <w:t>(</w:t>
      </w:r>
      <w:r>
        <w:rPr>
          <w:vertAlign w:val="superscript"/>
        </w:rPr>
        <w:footnoteRef/>
      </w:r>
      <w:r>
        <w:t>)</w:t>
      </w:r>
      <w:r>
        <w:tab/>
        <w:t>Employers’ perception about flexibility in hiring and firing practices (World Economic Forum's survey of business leaders) has improved after the 2012 reform. From 2.38 in 2012 to 3.27 in 2016 (7 being the least r</w:t>
      </w:r>
      <w:r>
        <w:t>igid), the largest increase in the EU over that period. It is now close to the (unweighted) EU average of 3.6.</w:t>
      </w:r>
    </w:p>
  </w:footnote>
  <w:footnote w:id="21">
    <w:p w:rsidR="00BB0B51" w:rsidRDefault="00AA53B1">
      <w:pPr>
        <w:pStyle w:val="FootnoteText"/>
      </w:pPr>
      <w:r>
        <w:t>(</w:t>
      </w:r>
      <w:r>
        <w:rPr>
          <w:vertAlign w:val="superscript"/>
        </w:rPr>
        <w:footnoteRef/>
      </w:r>
      <w:r>
        <w:t>)</w:t>
      </w:r>
      <w:r>
        <w:tab/>
        <w:t>Severance payments per year of work amount to 12 days for open</w:t>
      </w:r>
      <w:r>
        <w:noBreakHyphen/>
        <w:t>ended contracts and 18 days for temporary contracts in the event of fair dismi</w:t>
      </w:r>
      <w:r>
        <w:t>ssal, and between 15 and 45 days in the event of unfair dismissal.</w:t>
      </w:r>
    </w:p>
  </w:footnote>
  <w:footnote w:id="22">
    <w:p w:rsidR="00BB0B51" w:rsidRDefault="00AA53B1">
      <w:pPr>
        <w:pStyle w:val="FootnoteText"/>
      </w:pPr>
      <w:r>
        <w:t>(</w:t>
      </w:r>
      <w:r>
        <w:rPr>
          <w:vertAlign w:val="superscript"/>
        </w:rPr>
        <w:footnoteRef/>
      </w:r>
      <w:r>
        <w:t>)</w:t>
      </w:r>
      <w:r>
        <w:tab/>
        <w:t>Portugal had the third highest litigation rate in Europe in 2013 (European Commission, 2016c).</w:t>
      </w:r>
    </w:p>
  </w:footnote>
  <w:footnote w:id="23">
    <w:p w:rsidR="00BB0B51" w:rsidRDefault="00AA53B1">
      <w:pPr>
        <w:pStyle w:val="FootnoteText"/>
      </w:pPr>
      <w:r>
        <w:t>(</w:t>
      </w:r>
      <w:r>
        <w:rPr>
          <w:vertAlign w:val="superscript"/>
        </w:rPr>
        <w:footnoteRef/>
      </w:r>
      <w:r>
        <w:t>)</w:t>
      </w:r>
      <w:r>
        <w:tab/>
        <w:t>Between 2011 and 2014 the minimum wage was frozen. See the 2016 Country Report (Europe</w:t>
      </w:r>
      <w:r>
        <w:t>an Commission, 2016) for a detailed comparison of minimum wage developments with relevant economic variables.</w:t>
      </w:r>
    </w:p>
  </w:footnote>
  <w:footnote w:id="24">
    <w:p w:rsidR="00BB0B51" w:rsidRDefault="00AA53B1">
      <w:pPr>
        <w:pStyle w:val="FootnoteText"/>
      </w:pPr>
      <w:r>
        <w:t>(</w:t>
      </w:r>
      <w:r>
        <w:rPr>
          <w:vertAlign w:val="superscript"/>
        </w:rPr>
        <w:footnoteRef/>
      </w:r>
      <w:r>
        <w:t>)</w:t>
      </w:r>
      <w:r>
        <w:tab/>
        <w:t>The impact on average unit labour cost could even be negative, if increases in the minimum wage eventually have a negative effect on low</w:t>
      </w:r>
      <w:r>
        <w:noBreakHyphen/>
        <w:t>produ</w:t>
      </w:r>
      <w:r>
        <w:t>ctivity jobs.</w:t>
      </w:r>
    </w:p>
  </w:footnote>
  <w:footnote w:id="25">
    <w:p w:rsidR="00BB0B51" w:rsidRDefault="00AA53B1">
      <w:pPr>
        <w:pStyle w:val="FootnoteText"/>
      </w:pPr>
      <w:r>
        <w:t>(</w:t>
      </w:r>
      <w:r>
        <w:rPr>
          <w:vertAlign w:val="superscript"/>
        </w:rPr>
        <w:footnoteRef/>
      </w:r>
      <w:r>
        <w:t>)</w:t>
      </w:r>
      <w:r>
        <w:tab/>
        <w:t>The incidence of this effect cannot be assessed yet, as the most recent in</w:t>
      </w:r>
      <w:r>
        <w:noBreakHyphen/>
        <w:t>work poverty figures reflect 2014 incomes (i.e. before the latest increases in minimum wages). See Section 4.3.2 for details.</w:t>
      </w:r>
    </w:p>
  </w:footnote>
  <w:footnote w:id="26">
    <w:p w:rsidR="00BB0B51" w:rsidRDefault="00AA53B1">
      <w:pPr>
        <w:pStyle w:val="FootnoteText"/>
      </w:pPr>
      <w:r>
        <w:t>(</w:t>
      </w:r>
      <w:r>
        <w:rPr>
          <w:vertAlign w:val="superscript"/>
        </w:rPr>
        <w:footnoteRef/>
      </w:r>
      <w:r>
        <w:t>)</w:t>
      </w:r>
      <w:r>
        <w:tab/>
        <w:t>The data refer to 2014 incomes.</w:t>
      </w:r>
    </w:p>
  </w:footnote>
  <w:footnote w:id="27">
    <w:p w:rsidR="00BB0B51" w:rsidRDefault="00AA53B1">
      <w:pPr>
        <w:pStyle w:val="FootnoteText"/>
      </w:pPr>
      <w:r>
        <w:t>(</w:t>
      </w:r>
      <w:r>
        <w:rPr>
          <w:vertAlign w:val="superscript"/>
        </w:rPr>
        <w:footnoteRef/>
      </w:r>
      <w:r>
        <w:t>)</w:t>
      </w:r>
      <w:r>
        <w:tab/>
        <w:t>In January, the reference value of the Social Support Index was increased from 42.5 to 43.2 % and the equivalence scale for calculating the minimum income scheme was reinstated, widening its coverage.</w:t>
      </w:r>
    </w:p>
  </w:footnote>
  <w:footnote w:id="28">
    <w:p w:rsidR="00BB0B51" w:rsidRDefault="00AA53B1">
      <w:pPr>
        <w:pStyle w:val="FootnoteText"/>
      </w:pPr>
      <w:r>
        <w:t>(</w:t>
      </w:r>
      <w:r>
        <w:rPr>
          <w:vertAlign w:val="superscript"/>
        </w:rPr>
        <w:footnoteRef/>
      </w:r>
      <w:r>
        <w:t>)</w:t>
      </w:r>
      <w:r>
        <w:tab/>
        <w:t>The household should not have movable assets wor</w:t>
      </w:r>
      <w:r>
        <w:t>th more than EUR 100 613. Its monthly income per capita should be under EUR 335.</w:t>
      </w:r>
    </w:p>
  </w:footnote>
  <w:footnote w:id="29">
    <w:p w:rsidR="00BB0B51" w:rsidRDefault="00AA53B1">
      <w:pPr>
        <w:pStyle w:val="FootnoteText"/>
      </w:pPr>
      <w:r>
        <w:t>(</w:t>
      </w:r>
      <w:r>
        <w:rPr>
          <w:vertAlign w:val="superscript"/>
        </w:rPr>
        <w:footnoteRef/>
      </w:r>
      <w:r>
        <w:t>)</w:t>
      </w:r>
      <w:r>
        <w:tab/>
        <w:t>Eurostat data (lfsq_ergaed) referring to Q3 2016.</w:t>
      </w:r>
    </w:p>
  </w:footnote>
  <w:footnote w:id="30">
    <w:p w:rsidR="00BB0B51" w:rsidRDefault="00AA53B1">
      <w:pPr>
        <w:pStyle w:val="FootnoteText"/>
      </w:pPr>
      <w:r>
        <w:t>(</w:t>
      </w:r>
      <w:r>
        <w:rPr>
          <w:vertAlign w:val="superscript"/>
        </w:rPr>
        <w:footnoteRef/>
      </w:r>
      <w:r>
        <w:t>)</w:t>
      </w:r>
      <w:r>
        <w:tab/>
        <w:t xml:space="preserve">Of Portuguese households 68 % subscribe to fixed broadband (EU 74 %). There are 55 subscriptions to mobile broadband </w:t>
      </w:r>
      <w:r>
        <w:t>per 100 people (average of 84 in the EU).</w:t>
      </w:r>
    </w:p>
  </w:footnote>
  <w:footnote w:id="31">
    <w:p w:rsidR="00BB0B51" w:rsidRDefault="00AA53B1">
      <w:pPr>
        <w:pStyle w:val="FootnoteText"/>
      </w:pPr>
      <w:r>
        <w:t>(</w:t>
      </w:r>
      <w:r>
        <w:rPr>
          <w:vertAlign w:val="superscript"/>
        </w:rPr>
        <w:footnoteRef/>
      </w:r>
      <w:r>
        <w:t>)</w:t>
      </w:r>
      <w:r>
        <w:tab/>
        <w:t xml:space="preserve">Canton E., Solera I, (2016), "Greenfield foreign direct investment and structural reforms in Europe: what factors determine investments?", European Commission, Discussion paper 033. Available at: </w:t>
      </w:r>
      <w:hyperlink r:id="rId3" w:history="1">
        <w:r>
          <w:rPr>
            <w:rStyle w:val="Hyperlink"/>
          </w:rPr>
          <w:t>http://ec.europa.eu/economy_finance/publications/eedp/pdf/dp033_en.pdf</w:t>
        </w:r>
      </w:hyperlink>
      <w:r>
        <w:t xml:space="preserve"> </w:t>
      </w:r>
    </w:p>
    <w:p w:rsidR="00BB0B51" w:rsidRDefault="00BB0B51">
      <w:pPr>
        <w:pStyle w:val="FootnoteText"/>
      </w:pPr>
    </w:p>
  </w:footnote>
  <w:footnote w:id="32">
    <w:p w:rsidR="00BB0B51" w:rsidRDefault="00AA53B1">
      <w:pPr>
        <w:pStyle w:val="FootnoteText"/>
      </w:pPr>
      <w:r>
        <w:t>(</w:t>
      </w:r>
      <w:r>
        <w:rPr>
          <w:vertAlign w:val="superscript"/>
        </w:rPr>
        <w:footnoteRef/>
      </w:r>
      <w:r>
        <w:t>)</w:t>
      </w:r>
      <w:r>
        <w:tab/>
        <w:t>During the period 2007-2016 total factor productivity has declined and then registered a small</w:t>
      </w:r>
      <w:r>
        <w:t xml:space="preserve"> recovery (AMECO).</w:t>
      </w:r>
    </w:p>
  </w:footnote>
  <w:footnote w:id="33">
    <w:p w:rsidR="00BB0B51" w:rsidRDefault="00AA53B1">
      <w:pPr>
        <w:pStyle w:val="FootnoteText"/>
      </w:pPr>
      <w:r>
        <w:t>(</w:t>
      </w:r>
      <w:r>
        <w:rPr>
          <w:vertAlign w:val="superscript"/>
        </w:rPr>
        <w:footnoteRef/>
      </w:r>
      <w:r>
        <w:t>)</w:t>
      </w:r>
      <w:r>
        <w:tab/>
        <w:t>The State of University</w:t>
      </w:r>
      <w:r>
        <w:noBreakHyphen/>
        <w:t>Business Cooperation in Portugal (2013).</w:t>
      </w:r>
    </w:p>
  </w:footnote>
  <w:footnote w:id="34">
    <w:p w:rsidR="00BB0B51" w:rsidRDefault="00AA53B1">
      <w:pPr>
        <w:pStyle w:val="FootnoteText"/>
        <w:rPr>
          <w:sz w:val="18"/>
        </w:rPr>
      </w:pPr>
      <w:r>
        <w:t>(</w:t>
      </w:r>
      <w:r>
        <w:rPr>
          <w:vertAlign w:val="superscript"/>
        </w:rPr>
        <w:footnoteRef/>
      </w:r>
      <w:r>
        <w:t>)</w:t>
      </w:r>
      <w:r>
        <w:tab/>
        <w:t>The study "e</w:t>
      </w:r>
      <w:r>
        <w:noBreakHyphen/>
        <w:t xml:space="preserve">skills in Europe-Portugal" estimates a shortage of 9.600 ICT specialists in 2016, which may expand to 15.000 by 2020. </w:t>
      </w:r>
    </w:p>
  </w:footnote>
  <w:footnote w:id="35">
    <w:p w:rsidR="00BB0B51" w:rsidRDefault="00AA53B1">
      <w:pPr>
        <w:pStyle w:val="FootnoteText"/>
      </w:pPr>
      <w:r>
        <w:t>(</w:t>
      </w:r>
      <w:r>
        <w:rPr>
          <w:vertAlign w:val="superscript"/>
        </w:rPr>
        <w:footnoteRef/>
      </w:r>
      <w:r>
        <w:t>)</w:t>
      </w:r>
      <w:r>
        <w:tab/>
        <w:t>In 2015 Portugal ranked only</w:t>
      </w:r>
      <w:r>
        <w:t xml:space="preserve"> 17</w:t>
      </w:r>
      <w:r>
        <w:rPr>
          <w:vertAlign w:val="superscript"/>
        </w:rPr>
        <w:t>th</w:t>
      </w:r>
      <w:r>
        <w:t xml:space="preserve"> in the EU terms of Researchers (FTE) employed by business as % of total employment.</w:t>
      </w:r>
    </w:p>
  </w:footnote>
  <w:footnote w:id="36">
    <w:p w:rsidR="00BB0B51" w:rsidRDefault="00AA53B1">
      <w:pPr>
        <w:pStyle w:val="FootnoteText"/>
      </w:pPr>
      <w:r>
        <w:t>(</w:t>
      </w:r>
      <w:r>
        <w:rPr>
          <w:vertAlign w:val="superscript"/>
        </w:rPr>
        <w:footnoteRef/>
      </w:r>
      <w:r>
        <w:t>)</w:t>
      </w:r>
      <w:r>
        <w:tab/>
        <w:t>"Framework Conditions for HGIEs" (2017)</w:t>
      </w:r>
    </w:p>
  </w:footnote>
  <w:footnote w:id="37">
    <w:p w:rsidR="00BB0B51" w:rsidRDefault="00AA53B1">
      <w:pPr>
        <w:pStyle w:val="FootnoteText"/>
      </w:pPr>
      <w:r>
        <w:t>(</w:t>
      </w:r>
      <w:r>
        <w:rPr>
          <w:vertAlign w:val="superscript"/>
        </w:rPr>
        <w:footnoteRef/>
      </w:r>
      <w:r>
        <w:t>)</w:t>
      </w:r>
      <w:r>
        <w:tab/>
        <w:t>The European Commission has developed a new composite indicator on the extent to which most existing barriers restrict</w:t>
      </w:r>
      <w:r>
        <w:t xml:space="preserve"> access to and the practice of regulated professions. It is based on data collected from Member States, complemented by desk research. This new indicator has many similarities with the Commission indicator of barriers in business services published in 2015</w:t>
      </w:r>
      <w:r>
        <w:t xml:space="preserve">, but also differs from it in certain ways. COM (2016) 820. </w:t>
      </w:r>
    </w:p>
  </w:footnote>
  <w:footnote w:id="38">
    <w:p w:rsidR="00BB0B51" w:rsidRDefault="00AA53B1">
      <w:pPr>
        <w:pStyle w:val="FootnoteText"/>
      </w:pPr>
      <w:r>
        <w:t>(</w:t>
      </w:r>
      <w:r>
        <w:rPr>
          <w:vertAlign w:val="superscript"/>
        </w:rPr>
        <w:footnoteRef/>
      </w:r>
      <w:r>
        <w:t>)</w:t>
      </w:r>
      <w:r>
        <w:tab/>
        <w:t>Such as the reform of legal services, university and construction services.</w:t>
      </w:r>
    </w:p>
  </w:footnote>
  <w:footnote w:id="39">
    <w:p w:rsidR="00BB0B51" w:rsidRDefault="00AA53B1">
      <w:pPr>
        <w:pStyle w:val="FootnoteText"/>
      </w:pPr>
      <w:r>
        <w:t>(</w:t>
      </w:r>
      <w:r>
        <w:rPr>
          <w:vertAlign w:val="superscript"/>
        </w:rPr>
        <w:footnoteRef/>
      </w:r>
      <w:r>
        <w:t>)</w:t>
      </w:r>
      <w:r>
        <w:tab/>
      </w:r>
      <w:r>
        <w:rPr>
          <w:lang w:eastAsia="ar-SA"/>
        </w:rPr>
        <w:t>European Commission,</w:t>
      </w:r>
      <w:r>
        <w:t xml:space="preserve"> </w:t>
      </w:r>
      <w:r>
        <w:rPr>
          <w:lang w:eastAsia="ar-SA"/>
        </w:rPr>
        <w:t>Simplification and mutual recognition in the construction sector under the Services Direct</w:t>
      </w:r>
      <w:r>
        <w:rPr>
          <w:lang w:eastAsia="ar-SA"/>
        </w:rPr>
        <w:t>ive, MARKT/2014/087/E, Final Report, November 2015</w:t>
      </w:r>
    </w:p>
  </w:footnote>
  <w:footnote w:id="40">
    <w:p w:rsidR="00BB0B51" w:rsidRDefault="00AA53B1">
      <w:pPr>
        <w:pStyle w:val="FootnoteText"/>
      </w:pPr>
      <w:r>
        <w:t>(</w:t>
      </w:r>
      <w:r>
        <w:rPr>
          <w:vertAlign w:val="superscript"/>
        </w:rPr>
        <w:footnoteRef/>
      </w:r>
      <w:r>
        <w:t>)</w:t>
      </w:r>
      <w:r>
        <w:tab/>
        <w:t>Trade by Sea index of the World Bank Doing Business.</w:t>
      </w:r>
    </w:p>
  </w:footnote>
  <w:footnote w:id="41">
    <w:p w:rsidR="00BB0B51" w:rsidRDefault="00AA53B1">
      <w:pPr>
        <w:pStyle w:val="FootnoteText"/>
        <w:rPr>
          <w:lang w:val="pt-BR"/>
        </w:rPr>
      </w:pPr>
      <w:r>
        <w:rPr>
          <w:lang w:val="pt-PT"/>
        </w:rPr>
        <w:t>(</w:t>
      </w:r>
      <w:r>
        <w:rPr>
          <w:vertAlign w:val="superscript"/>
        </w:rPr>
        <w:footnoteRef/>
      </w:r>
      <w:r>
        <w:rPr>
          <w:lang w:val="pt-BR"/>
        </w:rPr>
        <w:t>)</w:t>
      </w:r>
      <w:r>
        <w:rPr>
          <w:lang w:val="pt-BR"/>
        </w:rPr>
        <w:tab/>
        <w:t xml:space="preserve">Estudo sobre concorrencia no setor portuario (July 2015), Portuguese Competition Authority. </w:t>
      </w:r>
    </w:p>
  </w:footnote>
  <w:footnote w:id="42">
    <w:p w:rsidR="00BB0B51" w:rsidRDefault="00AA53B1">
      <w:pPr>
        <w:pStyle w:val="FootnoteText"/>
      </w:pPr>
      <w:r>
        <w:t>(</w:t>
      </w:r>
      <w:r>
        <w:rPr>
          <w:vertAlign w:val="superscript"/>
        </w:rPr>
        <w:footnoteRef/>
      </w:r>
      <w:r>
        <w:t>)</w:t>
      </w:r>
      <w:r>
        <w:tab/>
        <w:t>Examples of measures included in the 2015 Anti</w:t>
      </w:r>
      <w:r>
        <w:noBreakHyphen/>
      </w:r>
      <w:r>
        <w:t>corruption Action Plan of the General Prosecutor's Office are: allocating a single experienced magistrate to complex cases, creating joint investigative units under the coordination of a prosecutor, using secure information gathering and sharing between la</w:t>
      </w:r>
      <w:r>
        <w:t>w enforcement officials, securing continuity of resources between the different phases of the judicial process and specialised recruitment of expert assistance for complex economic and financial crime cases.</w:t>
      </w:r>
    </w:p>
  </w:footnote>
  <w:footnote w:id="43">
    <w:p w:rsidR="00BB0B51" w:rsidRDefault="00AA53B1">
      <w:pPr>
        <w:pStyle w:val="FootnoteText"/>
      </w:pPr>
      <w:r>
        <w:t>(</w:t>
      </w:r>
      <w:r>
        <w:rPr>
          <w:vertAlign w:val="superscript"/>
        </w:rPr>
        <w:footnoteRef/>
      </w:r>
      <w:r>
        <w:t>)</w:t>
      </w:r>
      <w:r>
        <w:tab/>
        <w:t>The number of convictions in corruption</w:t>
      </w:r>
      <w:r>
        <w:noBreakHyphen/>
        <w:t>rela</w:t>
      </w:r>
      <w:r>
        <w:t>ted cases has been relatively consistent over the years 2011</w:t>
      </w:r>
      <w:r>
        <w:noBreakHyphen/>
        <w:t>2014, although there has been a drop in the number of acquittals over the same period (from 63 % in 2011 to 30 % in 2014). The ratio of suspended sentences for corruption</w:t>
      </w:r>
      <w:r>
        <w:noBreakHyphen/>
        <w:t>related offences remains</w:t>
      </w:r>
      <w:r>
        <w:t xml:space="preserve"> high, with 73 % of convictions resulting in suspended sentences in 2011, 61 % in 2012, 74 % in 2013, and 73 % in 2014. Data available at http://ec.europa.eu/transparency/regexpert/index.cfm?do=groupDetail.groupDetailDoc&amp;id=21215&amp;no=2, data from 2014 pendi</w:t>
      </w:r>
      <w:r>
        <w:t>ng publication.</w:t>
      </w:r>
    </w:p>
    <w:p w:rsidR="00BB0B51" w:rsidRDefault="00BB0B51">
      <w:pPr>
        <w:pStyle w:val="FootnoteText"/>
      </w:pPr>
    </w:p>
  </w:footnote>
  <w:footnote w:id="44">
    <w:p w:rsidR="00BB0B51" w:rsidRDefault="00AA53B1">
      <w:pPr>
        <w:pStyle w:val="FootnoteText"/>
      </w:pPr>
      <w:r>
        <w:t>(</w:t>
      </w:r>
      <w:r>
        <w:rPr>
          <w:vertAlign w:val="superscript"/>
        </w:rPr>
        <w:footnoteRef/>
      </w:r>
      <w:r>
        <w:rPr>
          <w:szCs w:val="18"/>
        </w:rPr>
        <w:t>)</w:t>
      </w:r>
      <w:r>
        <w:rPr>
          <w:szCs w:val="18"/>
        </w:rPr>
        <w:tab/>
      </w:r>
      <w:r>
        <w:t xml:space="preserve">BASE dataset does not include the totality of awarded public contracts. </w:t>
      </w:r>
    </w:p>
  </w:footnote>
  <w:footnote w:id="45">
    <w:p w:rsidR="00BB0B51" w:rsidRDefault="00AA53B1">
      <w:pPr>
        <w:pStyle w:val="FootnoteText"/>
      </w:pPr>
      <w:r>
        <w:t>(</w:t>
      </w:r>
      <w:r>
        <w:rPr>
          <w:vertAlign w:val="superscript"/>
        </w:rPr>
        <w:footnoteRef/>
      </w:r>
      <w:r>
        <w:t>)</w:t>
      </w:r>
      <w:r>
        <w:tab/>
      </w:r>
      <w:r>
        <w:rPr>
          <w:lang w:eastAsia="ar-SA"/>
        </w:rPr>
        <w:t>According to most recent data from the Ministry of Justice, in 2015, the courts of first instance counted 34 850 new proceedings and, out of them, only 27 810</w:t>
      </w:r>
      <w:r>
        <w:rPr>
          <w:lang w:eastAsia="ar-SA"/>
        </w:rPr>
        <w:t xml:space="preserve"> were completed. In addition, pending cases amounted to 75 372 at the end of 2015.</w:t>
      </w:r>
    </w:p>
  </w:footnote>
  <w:footnote w:id="46">
    <w:p w:rsidR="00BB0B51" w:rsidRDefault="00AA53B1">
      <w:pPr>
        <w:pStyle w:val="FootnoteText"/>
      </w:pPr>
      <w:r>
        <w:t>(</w:t>
      </w:r>
      <w:r>
        <w:rPr>
          <w:vertAlign w:val="superscript"/>
        </w:rPr>
        <w:footnoteRef/>
      </w:r>
      <w:r>
        <w:t>)</w:t>
      </w:r>
      <w:r>
        <w:tab/>
      </w:r>
      <w:r>
        <w:rPr>
          <w:lang w:eastAsia="ar-SA"/>
        </w:rPr>
        <w:t>The proceedings for civil and commercial cases remain long (lasting on average 17 months) as well as the average duration of enforcement cases that is still 44 months.</w:t>
      </w:r>
    </w:p>
  </w:footnote>
  <w:footnote w:id="47">
    <w:p w:rsidR="00BB0B51" w:rsidRDefault="00AA53B1">
      <w:pPr>
        <w:pStyle w:val="FootnoteText"/>
      </w:pPr>
      <w:r>
        <w:t>(</w:t>
      </w:r>
      <w:r>
        <w:rPr>
          <w:vertAlign w:val="superscript"/>
        </w:rPr>
        <w:footnoteRef/>
      </w:r>
      <w:r>
        <w:t>)</w:t>
      </w:r>
      <w:r>
        <w:tab/>
        <w:t>The following categories are used to assess progress in implementing the 2016 country</w:t>
      </w:r>
      <w:r>
        <w:noBreakHyphen/>
        <w:t>specific recommendations:</w:t>
      </w:r>
    </w:p>
    <w:p w:rsidR="00BB0B51" w:rsidRDefault="00AA53B1">
      <w:pPr>
        <w:pStyle w:val="FootnoteText"/>
      </w:pPr>
      <w:r>
        <w:t>No progress: The Member State has not credibly announced nor adopted any measures to address the CSR. Below a number of non</w:t>
      </w:r>
      <w:r>
        <w:noBreakHyphen/>
        <w:t>exhaustive typica</w:t>
      </w:r>
      <w:r>
        <w:t>l situations that could be covered under this, to be interpreted on a case by case basis taking into account country</w:t>
      </w:r>
      <w:r>
        <w:noBreakHyphen/>
        <w:t>specific conditions:</w:t>
      </w:r>
    </w:p>
    <w:p w:rsidR="00BB0B51" w:rsidRDefault="00AA53B1">
      <w:pPr>
        <w:pStyle w:val="FootnoteText"/>
      </w:pPr>
      <w:r>
        <w:t>• no legal, administrative, or budgetary measures have been announced in the National Reform Programme or in other off</w:t>
      </w:r>
      <w:r>
        <w:t xml:space="preserve">icial communication to the national Parliament / relevant parliamentary committees, the European Commission, or announced in public (e.g. in a press statement, information on government's website); </w:t>
      </w:r>
    </w:p>
    <w:p w:rsidR="00BB0B51" w:rsidRDefault="00AA53B1">
      <w:pPr>
        <w:pStyle w:val="FootnoteText"/>
      </w:pPr>
      <w:r>
        <w:t>• no non</w:t>
      </w:r>
      <w:r>
        <w:noBreakHyphen/>
        <w:t>legislative acts have been presented by the gove</w:t>
      </w:r>
      <w:r>
        <w:t xml:space="preserve">rning or legislator body; </w:t>
      </w:r>
    </w:p>
    <w:p w:rsidR="00BB0B51" w:rsidRDefault="00AA53B1">
      <w:pPr>
        <w:pStyle w:val="FootnoteText"/>
      </w:pPr>
      <w:r>
        <w:t>• the Member State has taken initial steps in addressing the CSR, such as commissioning a study or setting up a study group to analyse possible measures that would need to be taken (unless the CSR explicitly asks for orientations</w:t>
      </w:r>
      <w:r>
        <w:t xml:space="preserve"> or exploratory actions), while clearly</w:t>
      </w:r>
      <w:r>
        <w:noBreakHyphen/>
        <w:t>specified measure(s) to address the CSR has not been proposed.</w:t>
      </w:r>
    </w:p>
    <w:p w:rsidR="00BB0B51" w:rsidRDefault="00AA53B1">
      <w:pPr>
        <w:pStyle w:val="FootnoteText"/>
      </w:pPr>
      <w:r>
        <w:t>Limited progress: The Member State has:</w:t>
      </w:r>
    </w:p>
    <w:p w:rsidR="00BB0B51" w:rsidRDefault="00AA53B1">
      <w:pPr>
        <w:pStyle w:val="FootnoteText"/>
      </w:pPr>
      <w:r>
        <w:t>• announced certain measures but these only address the CSR to a limited extent;</w:t>
      </w:r>
    </w:p>
    <w:p w:rsidR="00BB0B51" w:rsidRDefault="00AA53B1">
      <w:pPr>
        <w:pStyle w:val="FootnoteText"/>
      </w:pPr>
      <w:r>
        <w:t>and/or</w:t>
      </w:r>
    </w:p>
    <w:p w:rsidR="00BB0B51" w:rsidRDefault="00AA53B1">
      <w:pPr>
        <w:pStyle w:val="FootnoteText"/>
      </w:pPr>
      <w:r>
        <w:t>• presented legislative a</w:t>
      </w:r>
      <w:r>
        <w:t>cts in the governing or legislator body but these have not been adopted yet and substantial non</w:t>
      </w:r>
      <w:r>
        <w:noBreakHyphen/>
        <w:t xml:space="preserve">legislative further work is needed before the CSR will be implemented; </w:t>
      </w:r>
    </w:p>
    <w:p w:rsidR="00BB0B51" w:rsidRDefault="00AA53B1">
      <w:pPr>
        <w:pStyle w:val="FootnoteText"/>
      </w:pPr>
      <w:r>
        <w:t>• presented non</w:t>
      </w:r>
      <w:r>
        <w:noBreakHyphen/>
        <w:t>legislative acts, yet with no further follow</w:t>
      </w:r>
      <w:r>
        <w:noBreakHyphen/>
        <w:t>up in terms of implementati</w:t>
      </w:r>
      <w:r>
        <w:t>on which is needed to address the CSR.</w:t>
      </w:r>
    </w:p>
    <w:p w:rsidR="00BB0B51" w:rsidRDefault="00AA53B1">
      <w:pPr>
        <w:pStyle w:val="FootnoteText"/>
      </w:pPr>
      <w:r>
        <w:t xml:space="preserve">Some progress: The Member State has adopted measures that partly address the CSR </w:t>
      </w:r>
    </w:p>
    <w:p w:rsidR="00BB0B51" w:rsidRDefault="00AA53B1">
      <w:pPr>
        <w:pStyle w:val="FootnoteText"/>
      </w:pPr>
      <w:r>
        <w:t xml:space="preserve">and/or </w:t>
      </w:r>
    </w:p>
    <w:p w:rsidR="00BB0B51" w:rsidRDefault="00AA53B1">
      <w:pPr>
        <w:pStyle w:val="FootnoteText"/>
      </w:pPr>
      <w:r>
        <w:t xml:space="preserve">the Member State has adopted measures that address the CSR, but a fair amount of work is still needed to fully address the CSR </w:t>
      </w:r>
      <w:r>
        <w:t>as only a few of the adopted measures have been implemented. For instance: adopted by national parliament; by ministerial decision; but no implementing decisions are in place.</w:t>
      </w:r>
    </w:p>
    <w:p w:rsidR="00BB0B51" w:rsidRDefault="00AA53B1">
      <w:pPr>
        <w:pStyle w:val="FootnoteText"/>
      </w:pPr>
      <w:r>
        <w:t>Substantial progress: The Member State has adopted measures that go a long way i</w:t>
      </w:r>
      <w:r>
        <w:t>n addressing the CSR and most of which have been implemented.</w:t>
      </w:r>
    </w:p>
    <w:p w:rsidR="00BB0B51" w:rsidRDefault="00AA53B1">
      <w:pPr>
        <w:pStyle w:val="FootnoteText"/>
      </w:pPr>
      <w:r>
        <w:t>Full implementation: The Member State has implemented all measures needed to address the CSR appropriately.</w:t>
      </w:r>
    </w:p>
  </w:footnote>
  <w:footnote w:id="48">
    <w:p w:rsidR="00BB0B51" w:rsidRDefault="00AA53B1">
      <w:pPr>
        <w:pStyle w:val="FootnoteText"/>
      </w:pPr>
      <w:r>
        <w:t>(</w:t>
      </w:r>
      <w:r>
        <w:rPr>
          <w:vertAlign w:val="superscript"/>
        </w:rPr>
        <w:footnoteRef/>
      </w:r>
      <w:r>
        <w:t>)</w:t>
      </w:r>
      <w:r>
        <w:tab/>
        <w:t>Renewable energy shares for 2015 are approximations and not official data, reflect</w:t>
      </w:r>
      <w:r>
        <w:t>ing the available data (04.10.2016). See the Öko</w:t>
      </w:r>
      <w:r>
        <w:noBreakHyphen/>
        <w:t>Institut Report: Study on Technical Assistance in Realisation of the 2016 Report on Renewable Energy, http://ec.europa.eu/energy/en/studies</w:t>
      </w:r>
      <w: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B1" w:rsidRDefault="00AA53B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B1" w:rsidRDefault="00AA53B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4.2. Financial sector and indebtedness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4.4.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B1" w:rsidRDefault="00AA53B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4.5. Sectoral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4.6. Public administration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A. Overview table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B. MIP Scoreboard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C. Standard tables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References</w:t>
    </w:r>
  </w:p>
  <w:p w:rsidR="00BB0B51" w:rsidRDefault="00BB0B51">
    <w:pPr>
      <w:pStyle w:val="HeaderSubtitleRight3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AA53B1">
    <w:pPr>
      <w:pStyle w:val="HeaderTitleRight"/>
    </w:pPr>
    <w:r>
      <w:t>Executive summary</w:t>
    </w:r>
  </w:p>
  <w:p w:rsidR="00BB0B51" w:rsidRDefault="00BB0B51">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51" w:rsidRDefault="00BB0B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2F2ABD6A"/>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3"/>
  </w:num>
  <w:num w:numId="6">
    <w:abstractNumId w:val="4"/>
  </w:num>
  <w:num w:numId="7">
    <w:abstractNumId w:val="6"/>
  </w:num>
  <w:num w:numId="8">
    <w:abstractNumId w:val="1"/>
  </w:num>
  <w:num w:numId="9">
    <w:abstractNumId w:val="3"/>
  </w:num>
  <w:num w:numId="10">
    <w:abstractNumId w:val="4"/>
  </w:num>
  <w:num w:numId="11">
    <w:abstractNumId w:val="3"/>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B4C65CE25EA4BFE84B21EF5C13A789C"/>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prevention and correction of macroeconomic imbalances, and results of in-depth reviews_x000b_under Regulation (EU) No 1176/2011_x000b__x000b_{COM(2017) 90 final}_x000b_{SWD(2017) 67 final to SWD(2017) 93 final}"/>
    <w:docVar w:name="LW_PART_NBR" w:val="1"/>
    <w:docVar w:name="LW_PART_NBR_TOTAL" w:val="1"/>
    <w:docVar w:name="LW_REF.INST.NEW" w:val="SWD"/>
    <w:docVar w:name="LW_REF.INST.NEW_ADOPTED" w:val="final"/>
    <w:docVar w:name="LW_REF.INST.NEW_TEXT" w:val="(2017) 87"/>
    <w:docVar w:name="LW_REF.INTERNE" w:val="&lt;UNUSED&gt;"/>
    <w:docVar w:name="LW_SUPERTITRE" w:val="&lt;UNUSED&gt;"/>
    <w:docVar w:name="LW_TITRE.OBJ.CP" w:val="Country Report Portugal 2017_x000b_Including an In-Depth Review on the prevention and correction of macroeconomic_x000b_imbalances "/>
    <w:docVar w:name="LW_TYPE.DOC.CP" w:val="COMMISSION STAFF WORKING DOCUMENT"/>
    <w:docVar w:name="LW_TYPEACTEPRINCIPAL.CP" w:val="COMMUNICATION FROM THE COMMISSION TO THE EUROPEAN PARLIAMENT, THE COUNCIL, THE EUROPEAN CENTRAL BANK AND THE EUROGROUP"/>
  </w:docVars>
  <w:rsids>
    <w:rsidRoot w:val="00BB0B51"/>
    <w:rsid w:val="002F50D7"/>
    <w:rsid w:val="00AA53B1"/>
    <w:rsid w:val="00BB0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pPr>
      <w:spacing w:after="0" w:line="240" w:lineRule="auto"/>
      <w:ind w:left="283" w:hanging="283"/>
    </w:pPr>
    <w:rPr>
      <w:sz w:val="16"/>
      <w:szCs w:val="20"/>
    </w:rPr>
  </w:style>
  <w:style w:type="paragraph" w:styleId="Footer">
    <w:name w:val="footer"/>
    <w:basedOn w:val="Normal"/>
    <w:next w:val="Normal"/>
    <w:link w:val="FooterChar"/>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pPr>
      <w:numPr>
        <w:numId w:val="1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2"/>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pPr>
      <w:spacing w:after="0" w:line="240" w:lineRule="auto"/>
      <w:ind w:left="283" w:hanging="283"/>
    </w:pPr>
    <w:rPr>
      <w:sz w:val="16"/>
      <w:szCs w:val="20"/>
    </w:rPr>
  </w:style>
  <w:style w:type="paragraph" w:styleId="Footer">
    <w:name w:val="footer"/>
    <w:basedOn w:val="Normal"/>
    <w:next w:val="Normal"/>
    <w:link w:val="FooterChar"/>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pPr>
      <w:numPr>
        <w:numId w:val="1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2"/>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1">
    <w:name w:val="Section Title Framed_11"/>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173981">
      <w:bodyDiv w:val="1"/>
      <w:marLeft w:val="0"/>
      <w:marRight w:val="0"/>
      <w:marTop w:val="0"/>
      <w:marBottom w:val="0"/>
      <w:divBdr>
        <w:top w:val="none" w:sz="0" w:space="0" w:color="auto"/>
        <w:left w:val="none" w:sz="0" w:space="0" w:color="auto"/>
        <w:bottom w:val="none" w:sz="0" w:space="0" w:color="auto"/>
        <w:right w:val="none" w:sz="0" w:space="0" w:color="auto"/>
      </w:divBdr>
    </w:div>
    <w:div w:id="1038428542">
      <w:bodyDiv w:val="1"/>
      <w:marLeft w:val="0"/>
      <w:marRight w:val="0"/>
      <w:marTop w:val="0"/>
      <w:marBottom w:val="0"/>
      <w:divBdr>
        <w:top w:val="none" w:sz="0" w:space="0" w:color="auto"/>
        <w:left w:val="none" w:sz="0" w:space="0" w:color="auto"/>
        <w:bottom w:val="none" w:sz="0" w:space="0" w:color="auto"/>
        <w:right w:val="none" w:sz="0" w:space="0" w:color="auto"/>
      </w:divBdr>
    </w:div>
    <w:div w:id="142253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5.xml"/><Relationship Id="rId21" Type="http://schemas.openxmlformats.org/officeDocument/2006/relationships/header" Target="header7.xml"/><Relationship Id="rId42" Type="http://schemas.openxmlformats.org/officeDocument/2006/relationships/header" Target="header12.xml"/><Relationship Id="rId47" Type="http://schemas.openxmlformats.org/officeDocument/2006/relationships/header" Target="header14.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header" Target="header26.xml"/><Relationship Id="rId89" Type="http://schemas.openxmlformats.org/officeDocument/2006/relationships/image" Target="media/image28.emf"/><Relationship Id="rId112" Type="http://schemas.openxmlformats.org/officeDocument/2006/relationships/footer" Target="footer32.xml"/><Relationship Id="rId133" Type="http://schemas.openxmlformats.org/officeDocument/2006/relationships/header" Target="header42.xml"/><Relationship Id="rId138" Type="http://schemas.openxmlformats.org/officeDocument/2006/relationships/image" Target="media/image47.emf"/><Relationship Id="rId154" Type="http://schemas.openxmlformats.org/officeDocument/2006/relationships/hyperlink" Target="http://ec.europa.eu/social/main.jsp?catId=738&amp;langId=en&amp;pubId=7860" TargetMode="External"/><Relationship Id="rId159" Type="http://schemas.openxmlformats.org/officeDocument/2006/relationships/footer" Target="footer46.xml"/><Relationship Id="rId16" Type="http://schemas.openxmlformats.org/officeDocument/2006/relationships/header" Target="header5.xml"/><Relationship Id="rId107" Type="http://schemas.openxmlformats.org/officeDocument/2006/relationships/image" Target="media/image40.emf"/><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footer" Target="footer17.xml"/><Relationship Id="rId74" Type="http://schemas.openxmlformats.org/officeDocument/2006/relationships/image" Target="media/image25.emf"/><Relationship Id="rId79" Type="http://schemas.openxmlformats.org/officeDocument/2006/relationships/header" Target="header24.xml"/><Relationship Id="rId102" Type="http://schemas.openxmlformats.org/officeDocument/2006/relationships/footer" Target="footer28.xml"/><Relationship Id="rId123" Type="http://schemas.openxmlformats.org/officeDocument/2006/relationships/header" Target="header38.xml"/><Relationship Id="rId128" Type="http://schemas.openxmlformats.org/officeDocument/2006/relationships/image" Target="media/image43.emf"/><Relationship Id="rId144" Type="http://schemas.openxmlformats.org/officeDocument/2006/relationships/header" Target="header45.xml"/><Relationship Id="rId149" Type="http://schemas.openxmlformats.org/officeDocument/2006/relationships/hyperlink" Target="http://ec.europa.eu/social/main.jsp?langId=en&amp;catId=89&amp;newsId=2437&amp;furtherNews=yes" TargetMode="External"/><Relationship Id="rId5" Type="http://schemas.openxmlformats.org/officeDocument/2006/relationships/webSettings" Target="webSettings.xml"/><Relationship Id="rId90" Type="http://schemas.openxmlformats.org/officeDocument/2006/relationships/image" Target="media/image29.emf"/><Relationship Id="rId95" Type="http://schemas.openxmlformats.org/officeDocument/2006/relationships/image" Target="media/image34.emf"/><Relationship Id="rId160" Type="http://schemas.openxmlformats.org/officeDocument/2006/relationships/footer" Target="footer47.xm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footer" Target="footer12.xml"/><Relationship Id="rId48" Type="http://schemas.openxmlformats.org/officeDocument/2006/relationships/footer" Target="footer13.xml"/><Relationship Id="rId64" Type="http://schemas.openxmlformats.org/officeDocument/2006/relationships/header" Target="header20.xml"/><Relationship Id="rId69" Type="http://schemas.openxmlformats.org/officeDocument/2006/relationships/image" Target="media/image20.emf"/><Relationship Id="rId113" Type="http://schemas.openxmlformats.org/officeDocument/2006/relationships/header" Target="header33.xml"/><Relationship Id="rId118" Type="http://schemas.openxmlformats.org/officeDocument/2006/relationships/footer" Target="footer34.xml"/><Relationship Id="rId134" Type="http://schemas.openxmlformats.org/officeDocument/2006/relationships/footer" Target="footer42.xml"/><Relationship Id="rId139" Type="http://schemas.openxmlformats.org/officeDocument/2006/relationships/image" Target="media/image48.emf"/><Relationship Id="rId80" Type="http://schemas.openxmlformats.org/officeDocument/2006/relationships/footer" Target="footer24.xml"/><Relationship Id="rId85" Type="http://schemas.openxmlformats.org/officeDocument/2006/relationships/footer" Target="footer25.xml"/><Relationship Id="rId150" Type="http://schemas.openxmlformats.org/officeDocument/2006/relationships/hyperlink" Target="http://ec.europa.eu/europe2020/pdf/2016/ags2016_challenges_romania_en.pdf" TargetMode="External"/><Relationship Id="rId155" Type="http://schemas.openxmlformats.org/officeDocument/2006/relationships/hyperlink" Target="http://www.base.gov.pt/Base/pt/Homepage"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eader" Target="header10.xml"/><Relationship Id="rId59" Type="http://schemas.openxmlformats.org/officeDocument/2006/relationships/header" Target="header18.xml"/><Relationship Id="rId103" Type="http://schemas.openxmlformats.org/officeDocument/2006/relationships/footer" Target="footer29.xml"/><Relationship Id="rId108" Type="http://schemas.openxmlformats.org/officeDocument/2006/relationships/image" Target="media/image41.emf"/><Relationship Id="rId124" Type="http://schemas.openxmlformats.org/officeDocument/2006/relationships/footer" Target="footer37.xml"/><Relationship Id="rId129" Type="http://schemas.openxmlformats.org/officeDocument/2006/relationships/header" Target="header40.xml"/><Relationship Id="rId54" Type="http://schemas.openxmlformats.org/officeDocument/2006/relationships/image" Target="media/image17.emf"/><Relationship Id="rId70" Type="http://schemas.openxmlformats.org/officeDocument/2006/relationships/image" Target="media/image21.emf"/><Relationship Id="rId75" Type="http://schemas.openxmlformats.org/officeDocument/2006/relationships/header" Target="header22.xml"/><Relationship Id="rId91" Type="http://schemas.openxmlformats.org/officeDocument/2006/relationships/image" Target="media/image30.emf"/><Relationship Id="rId96" Type="http://schemas.openxmlformats.org/officeDocument/2006/relationships/image" Target="media/image35.emf"/><Relationship Id="rId140" Type="http://schemas.openxmlformats.org/officeDocument/2006/relationships/header" Target="header43.xml"/><Relationship Id="rId145" Type="http://schemas.openxmlformats.org/officeDocument/2006/relationships/footer" Target="footer45.xml"/><Relationship Id="rId161" Type="http://schemas.openxmlformats.org/officeDocument/2006/relationships/header" Target="header4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footer" Target="footer14.xml"/><Relationship Id="rId57" Type="http://schemas.openxmlformats.org/officeDocument/2006/relationships/footer" Target="footer16.xml"/><Relationship Id="rId106" Type="http://schemas.openxmlformats.org/officeDocument/2006/relationships/image" Target="media/image39.emf"/><Relationship Id="rId114" Type="http://schemas.openxmlformats.org/officeDocument/2006/relationships/footer" Target="footer33.xml"/><Relationship Id="rId119" Type="http://schemas.openxmlformats.org/officeDocument/2006/relationships/footer" Target="footer35.xml"/><Relationship Id="rId127" Type="http://schemas.openxmlformats.org/officeDocument/2006/relationships/footer" Target="footer39.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image" Target="media/image13.emf"/><Relationship Id="rId52" Type="http://schemas.openxmlformats.org/officeDocument/2006/relationships/image" Target="media/image15.emf"/><Relationship Id="rId60" Type="http://schemas.openxmlformats.org/officeDocument/2006/relationships/footer" Target="footer18.xml"/><Relationship Id="rId65" Type="http://schemas.openxmlformats.org/officeDocument/2006/relationships/footer" Target="footer19.xml"/><Relationship Id="rId73" Type="http://schemas.openxmlformats.org/officeDocument/2006/relationships/image" Target="media/image24.emf"/><Relationship Id="rId78" Type="http://schemas.openxmlformats.org/officeDocument/2006/relationships/footer" Target="footer23.xml"/><Relationship Id="rId81" Type="http://schemas.openxmlformats.org/officeDocument/2006/relationships/image" Target="media/image26.emf"/><Relationship Id="rId86" Type="http://schemas.openxmlformats.org/officeDocument/2006/relationships/footer" Target="footer26.xml"/><Relationship Id="rId94" Type="http://schemas.openxmlformats.org/officeDocument/2006/relationships/image" Target="media/image33.emf"/><Relationship Id="rId99" Type="http://schemas.openxmlformats.org/officeDocument/2006/relationships/image" Target="media/image38.emf"/><Relationship Id="rId101" Type="http://schemas.openxmlformats.org/officeDocument/2006/relationships/header" Target="header29.xml"/><Relationship Id="rId122" Type="http://schemas.openxmlformats.org/officeDocument/2006/relationships/header" Target="header37.xml"/><Relationship Id="rId130" Type="http://schemas.openxmlformats.org/officeDocument/2006/relationships/header" Target="header41.xml"/><Relationship Id="rId135" Type="http://schemas.openxmlformats.org/officeDocument/2006/relationships/image" Target="media/image44.emf"/><Relationship Id="rId143" Type="http://schemas.openxmlformats.org/officeDocument/2006/relationships/footer" Target="footer44.xml"/><Relationship Id="rId148" Type="http://schemas.openxmlformats.org/officeDocument/2006/relationships/hyperlink" Target="http://ec.europa.eu/economy_finance/publications/european_economy/2013/ee6_en.htm" TargetMode="External"/><Relationship Id="rId151" Type="http://schemas.openxmlformats.org/officeDocument/2006/relationships/hyperlink" Target="http://ec.europa.eu/europe2020/pdf/csr2016/cr2016_romania_en.pdf" TargetMode="External"/><Relationship Id="rId156" Type="http://schemas.openxmlformats.org/officeDocument/2006/relationships/hyperlink" Target="http://www3.weforum.org/docs/GCR2016-2017/05FullReport/TheGlobalCompetitivenessReport2016-2017_FINAL.pdf"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header" Target="header31.xml"/><Relationship Id="rId34" Type="http://schemas.openxmlformats.org/officeDocument/2006/relationships/image" Target="media/image9.emf"/><Relationship Id="rId50" Type="http://schemas.openxmlformats.org/officeDocument/2006/relationships/header" Target="header15.xml"/><Relationship Id="rId55" Type="http://schemas.openxmlformats.org/officeDocument/2006/relationships/header" Target="header16.xml"/><Relationship Id="rId76" Type="http://schemas.openxmlformats.org/officeDocument/2006/relationships/header" Target="header23.xml"/><Relationship Id="rId97" Type="http://schemas.openxmlformats.org/officeDocument/2006/relationships/image" Target="media/image36.emf"/><Relationship Id="rId104" Type="http://schemas.openxmlformats.org/officeDocument/2006/relationships/header" Target="header30.xml"/><Relationship Id="rId120" Type="http://schemas.openxmlformats.org/officeDocument/2006/relationships/header" Target="header36.xml"/><Relationship Id="rId125" Type="http://schemas.openxmlformats.org/officeDocument/2006/relationships/footer" Target="footer38.xml"/><Relationship Id="rId141" Type="http://schemas.openxmlformats.org/officeDocument/2006/relationships/header" Target="header44.xml"/><Relationship Id="rId146" Type="http://schemas.openxmlformats.org/officeDocument/2006/relationships/hyperlink" Target="http://ec.europa.eu/social/BlobServlet?docId=14070&amp;langId=en" TargetMode="Externa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image" Target="media/image31.emf"/><Relationship Id="rId162" Type="http://schemas.openxmlformats.org/officeDocument/2006/relationships/footer" Target="footer48.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14.emf"/><Relationship Id="rId66" Type="http://schemas.openxmlformats.org/officeDocument/2006/relationships/footer" Target="footer20.xml"/><Relationship Id="rId87" Type="http://schemas.openxmlformats.org/officeDocument/2006/relationships/header" Target="header27.xml"/><Relationship Id="rId110" Type="http://schemas.openxmlformats.org/officeDocument/2006/relationships/header" Target="header32.xml"/><Relationship Id="rId115" Type="http://schemas.openxmlformats.org/officeDocument/2006/relationships/image" Target="media/image42.emf"/><Relationship Id="rId131" Type="http://schemas.openxmlformats.org/officeDocument/2006/relationships/footer" Target="footer40.xml"/><Relationship Id="rId136" Type="http://schemas.openxmlformats.org/officeDocument/2006/relationships/image" Target="media/image45.emf"/><Relationship Id="rId157" Type="http://schemas.openxmlformats.org/officeDocument/2006/relationships/header" Target="header46.xml"/><Relationship Id="rId61" Type="http://schemas.openxmlformats.org/officeDocument/2006/relationships/image" Target="media/image18.emf"/><Relationship Id="rId82" Type="http://schemas.openxmlformats.org/officeDocument/2006/relationships/image" Target="media/image27.emf"/><Relationship Id="rId152" Type="http://schemas.openxmlformats.org/officeDocument/2006/relationships/hyperlink" Target="http://ec.europa.eu/economy_finance/publications/eeip/pdf/ip040_en.pdf"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header" Target="header17.xml"/><Relationship Id="rId77" Type="http://schemas.openxmlformats.org/officeDocument/2006/relationships/footer" Target="footer22.xml"/><Relationship Id="rId100" Type="http://schemas.openxmlformats.org/officeDocument/2006/relationships/header" Target="header28.xml"/><Relationship Id="rId105" Type="http://schemas.openxmlformats.org/officeDocument/2006/relationships/footer" Target="footer30.xml"/><Relationship Id="rId126" Type="http://schemas.openxmlformats.org/officeDocument/2006/relationships/header" Target="header39.xml"/><Relationship Id="rId147" Type="http://schemas.openxmlformats.org/officeDocument/2006/relationships/hyperlink" Target="http://ec.europa.eu/economy_finance/publications/eedp/pdf/dp033_en.pdf" TargetMode="External"/><Relationship Id="rId8" Type="http://schemas.openxmlformats.org/officeDocument/2006/relationships/image" Target="media/image1.emf"/><Relationship Id="rId51" Type="http://schemas.openxmlformats.org/officeDocument/2006/relationships/footer" Target="footer15.xml"/><Relationship Id="rId72" Type="http://schemas.openxmlformats.org/officeDocument/2006/relationships/image" Target="media/image23.emf"/><Relationship Id="rId93" Type="http://schemas.openxmlformats.org/officeDocument/2006/relationships/image" Target="media/image32.emf"/><Relationship Id="rId98" Type="http://schemas.openxmlformats.org/officeDocument/2006/relationships/image" Target="media/image37.emf"/><Relationship Id="rId121" Type="http://schemas.openxmlformats.org/officeDocument/2006/relationships/footer" Target="footer36.xml"/><Relationship Id="rId142" Type="http://schemas.openxmlformats.org/officeDocument/2006/relationships/footer" Target="footer43.xm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header" Target="header13.xml"/><Relationship Id="rId67" Type="http://schemas.openxmlformats.org/officeDocument/2006/relationships/header" Target="header21.xml"/><Relationship Id="rId116" Type="http://schemas.openxmlformats.org/officeDocument/2006/relationships/header" Target="header34.xml"/><Relationship Id="rId137" Type="http://schemas.openxmlformats.org/officeDocument/2006/relationships/image" Target="media/image46.emf"/><Relationship Id="rId158" Type="http://schemas.openxmlformats.org/officeDocument/2006/relationships/header" Target="header47.xml"/><Relationship Id="rId20" Type="http://schemas.openxmlformats.org/officeDocument/2006/relationships/footer" Target="footer6.xml"/><Relationship Id="rId41" Type="http://schemas.openxmlformats.org/officeDocument/2006/relationships/footer" Target="footer11.xml"/><Relationship Id="rId62" Type="http://schemas.openxmlformats.org/officeDocument/2006/relationships/image" Target="media/image19.emf"/><Relationship Id="rId83" Type="http://schemas.openxmlformats.org/officeDocument/2006/relationships/header" Target="header25.xml"/><Relationship Id="rId88" Type="http://schemas.openxmlformats.org/officeDocument/2006/relationships/footer" Target="footer27.xml"/><Relationship Id="rId111" Type="http://schemas.openxmlformats.org/officeDocument/2006/relationships/footer" Target="footer31.xml"/><Relationship Id="rId132" Type="http://schemas.openxmlformats.org/officeDocument/2006/relationships/footer" Target="footer41.xml"/><Relationship Id="rId153" Type="http://schemas.openxmlformats.org/officeDocument/2006/relationships/hyperlink" Target="https://ec.europa.eu/info/european-semester/thematic-factsheets/public-administration_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conomy_finance/publications/eedp/pdf/dp033_en.pdf" TargetMode="External"/><Relationship Id="rId2" Type="http://schemas.openxmlformats.org/officeDocument/2006/relationships/hyperlink" Target="https://ec.europa.eu/taxation_customs/sites/taxation/files/" TargetMode="External"/><Relationship Id="rId1" Type="http://schemas.openxmlformats.org/officeDocument/2006/relationships/hyperlink" Target="https://ec.europa.eu/taxation_customs/sites/taxation/files/2016-09_vat-gap-report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74</Pages>
  <Words>29153</Words>
  <Characters>169124</Characters>
  <Application>Microsoft Office Word</Application>
  <DocSecurity>0</DocSecurity>
  <Lines>4570</Lines>
  <Paragraphs>599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KOUTZIAVASILI Dimitra (BUDG)</cp:lastModifiedBy>
  <cp:revision>18</cp:revision>
  <cp:lastPrinted>2017-02-21T13:48:00Z</cp:lastPrinted>
  <dcterms:created xsi:type="dcterms:W3CDTF">2017-02-21T10:09:00Z</dcterms:created>
  <dcterms:modified xsi:type="dcterms:W3CDTF">2017-02-21T13:49:00Z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