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CB" w:rsidRDefault="0048172E" w:rsidP="0048172E">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453AB69D1AF47C7B9D40E399E22D310" style="width:451pt;height:499.25pt">
            <v:imagedata r:id="rId8" o:title=""/>
          </v:shape>
        </w:pict>
      </w:r>
      <w:bookmarkEnd w:id="1"/>
    </w:p>
    <w:bookmarkEnd w:id="0"/>
    <w:p w:rsidR="002A43CB" w:rsidRDefault="002A43CB">
      <w:pPr>
        <w:pStyle w:val="Pagedecouverture"/>
        <w:rPr>
          <w:noProof/>
        </w:rPr>
        <w:sectPr w:rsidR="002A43CB" w:rsidSect="0048172E">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7" w:h="16839"/>
          <w:pgMar w:top="1134" w:right="1417" w:bottom="1134" w:left="1417" w:header="709" w:footer="709" w:gutter="0"/>
          <w:pgNumType w:start="1"/>
          <w:cols w:space="720"/>
          <w:docGrid w:linePitch="360"/>
        </w:sectPr>
      </w:pPr>
    </w:p>
    <w:p w:rsidR="002A43CB" w:rsidRDefault="0048172E">
      <w:pPr>
        <w:pStyle w:val="SectionTitleFramed"/>
        <w:framePr w:wrap="notBeside"/>
        <w:rPr>
          <w:noProof/>
        </w:rPr>
      </w:pPr>
      <w:r>
        <w:rPr>
          <w:noProof/>
        </w:rPr>
        <w:lastRenderedPageBreak/>
        <w:t>Contents</w:t>
      </w:r>
    </w:p>
    <w:p w:rsidR="002A43CB" w:rsidRDefault="0048172E">
      <w:pPr>
        <w:pStyle w:val="TOC7"/>
        <w:rPr>
          <w:rFonts w:asciiTheme="minorHAnsi" w:eastAsiaTheme="minorEastAsia" w:hAnsiTheme="minorHAnsi" w:cstheme="minorBidi"/>
          <w:noProof/>
          <w:color w:val="auto"/>
          <w:sz w:val="22"/>
          <w:szCs w:val="22"/>
          <w:lang w:eastAsia="zh-CN"/>
        </w:rPr>
      </w:pPr>
      <w:r>
        <w:rPr>
          <w:noProof/>
        </w:rPr>
        <w:t>Executive summary</w:t>
      </w:r>
      <w:r>
        <w:rPr>
          <w:noProof/>
          <w:webHidden/>
        </w:rPr>
        <w:tab/>
      </w:r>
      <w:r>
        <w:rPr>
          <w:noProof/>
          <w:webHidden/>
        </w:rPr>
        <w:fldChar w:fldCharType="begin"/>
      </w:r>
      <w:r>
        <w:rPr>
          <w:noProof/>
          <w:webHidden/>
        </w:rPr>
        <w:instrText xml:space="preserve"> PAGEREF \h _Toc474829367 \* MERGEFORMAT </w:instrText>
      </w:r>
      <w:r>
        <w:rPr>
          <w:noProof/>
          <w:webHidden/>
        </w:rPr>
      </w:r>
      <w:r>
        <w:rPr>
          <w:noProof/>
          <w:webHidden/>
        </w:rPr>
        <w:fldChar w:fldCharType="separate"/>
      </w:r>
      <w:r>
        <w:rPr>
          <w:noProof/>
          <w:webHidden/>
        </w:rPr>
        <w:t>1</w:t>
      </w:r>
      <w:r>
        <w:rPr>
          <w:noProof/>
          <w:webHidden/>
        </w:rPr>
        <w:fldChar w:fldCharType="end"/>
      </w:r>
    </w:p>
    <w:p w:rsidR="002A43CB" w:rsidRDefault="0048172E">
      <w:pPr>
        <w:pStyle w:val="TOC2"/>
        <w:rPr>
          <w:rFonts w:asciiTheme="minorHAnsi" w:eastAsiaTheme="minorEastAsia" w:hAnsiTheme="minorHAnsi" w:cstheme="minorBidi"/>
          <w:noProof/>
          <w:color w:val="auto"/>
          <w:sz w:val="22"/>
          <w:szCs w:val="22"/>
          <w:lang w:eastAsia="zh-CN"/>
        </w:rPr>
      </w:pPr>
      <w:r>
        <w:rPr>
          <w:noProof/>
        </w:rPr>
        <w:t>1.</w:t>
      </w:r>
      <w:r>
        <w:rPr>
          <w:rFonts w:asciiTheme="minorHAnsi" w:eastAsiaTheme="minorEastAsia" w:hAnsiTheme="minorHAnsi" w:cstheme="minorBidi"/>
          <w:noProof/>
          <w:color w:val="auto"/>
          <w:sz w:val="22"/>
          <w:szCs w:val="22"/>
          <w:lang w:eastAsia="zh-CN"/>
        </w:rPr>
        <w:tab/>
      </w:r>
      <w:r>
        <w:rPr>
          <w:noProof/>
        </w:rPr>
        <w:t>Economic situation and outlook</w:t>
      </w:r>
      <w:r>
        <w:rPr>
          <w:noProof/>
          <w:webHidden/>
        </w:rPr>
        <w:tab/>
      </w:r>
      <w:r>
        <w:rPr>
          <w:noProof/>
          <w:webHidden/>
        </w:rPr>
        <w:fldChar w:fldCharType="begin"/>
      </w:r>
      <w:r>
        <w:rPr>
          <w:noProof/>
          <w:webHidden/>
        </w:rPr>
        <w:instrText xml:space="preserve"> PAGEREF \h _Toc474829368 \* MERGEFORMAT </w:instrText>
      </w:r>
      <w:r>
        <w:rPr>
          <w:noProof/>
          <w:webHidden/>
        </w:rPr>
      </w:r>
      <w:r>
        <w:rPr>
          <w:noProof/>
          <w:webHidden/>
        </w:rPr>
        <w:fldChar w:fldCharType="separate"/>
      </w:r>
      <w:r>
        <w:rPr>
          <w:noProof/>
          <w:webHidden/>
        </w:rPr>
        <w:t>4</w:t>
      </w:r>
      <w:r>
        <w:rPr>
          <w:noProof/>
          <w:webHidden/>
        </w:rPr>
        <w:fldChar w:fldCharType="end"/>
      </w:r>
    </w:p>
    <w:p w:rsidR="002A43CB" w:rsidRDefault="0048172E">
      <w:pPr>
        <w:pStyle w:val="TOC2"/>
        <w:rPr>
          <w:rFonts w:asciiTheme="minorHAnsi" w:eastAsiaTheme="minorEastAsia" w:hAnsiTheme="minorHAnsi" w:cstheme="minorBidi"/>
          <w:noProof/>
          <w:color w:val="auto"/>
          <w:sz w:val="22"/>
          <w:szCs w:val="22"/>
          <w:lang w:eastAsia="zh-CN"/>
        </w:rPr>
      </w:pPr>
      <w:r>
        <w:rPr>
          <w:noProof/>
        </w:rPr>
        <w:t>2.</w:t>
      </w:r>
      <w:r>
        <w:rPr>
          <w:rFonts w:asciiTheme="minorHAnsi" w:eastAsiaTheme="minorEastAsia" w:hAnsiTheme="minorHAnsi" w:cstheme="minorBidi"/>
          <w:noProof/>
          <w:color w:val="auto"/>
          <w:sz w:val="22"/>
          <w:szCs w:val="22"/>
          <w:lang w:eastAsia="zh-CN"/>
        </w:rPr>
        <w:tab/>
      </w:r>
      <w:r>
        <w:rPr>
          <w:noProof/>
        </w:rPr>
        <w:t>Progress with country-specific recommendatio</w:t>
      </w:r>
      <w:r>
        <w:rPr>
          <w:noProof/>
        </w:rPr>
        <w:t>ns</w:t>
      </w:r>
      <w:r>
        <w:rPr>
          <w:noProof/>
          <w:webHidden/>
        </w:rPr>
        <w:tab/>
      </w:r>
      <w:r>
        <w:rPr>
          <w:noProof/>
          <w:webHidden/>
        </w:rPr>
        <w:fldChar w:fldCharType="begin"/>
      </w:r>
      <w:r>
        <w:rPr>
          <w:noProof/>
          <w:webHidden/>
        </w:rPr>
        <w:instrText xml:space="preserve"> PAGEREF \h _Toc474829369 \* MERGEFORMAT </w:instrText>
      </w:r>
      <w:r>
        <w:rPr>
          <w:noProof/>
          <w:webHidden/>
        </w:rPr>
      </w:r>
      <w:r>
        <w:rPr>
          <w:noProof/>
          <w:webHidden/>
        </w:rPr>
        <w:fldChar w:fldCharType="separate"/>
      </w:r>
      <w:r>
        <w:rPr>
          <w:noProof/>
          <w:webHidden/>
        </w:rPr>
        <w:t>11</w:t>
      </w:r>
      <w:r>
        <w:rPr>
          <w:noProof/>
          <w:webHidden/>
        </w:rPr>
        <w:fldChar w:fldCharType="end"/>
      </w:r>
    </w:p>
    <w:p w:rsidR="002A43CB" w:rsidRDefault="0048172E">
      <w:pPr>
        <w:pStyle w:val="TOC2"/>
        <w:rPr>
          <w:rFonts w:asciiTheme="minorHAnsi" w:eastAsiaTheme="minorEastAsia" w:hAnsiTheme="minorHAnsi" w:cstheme="minorBidi"/>
          <w:noProof/>
          <w:color w:val="auto"/>
          <w:sz w:val="22"/>
          <w:szCs w:val="22"/>
          <w:lang w:eastAsia="zh-CN"/>
        </w:rPr>
      </w:pPr>
      <w:r>
        <w:rPr>
          <w:noProof/>
        </w:rPr>
        <w:t>3.</w:t>
      </w:r>
      <w:r>
        <w:rPr>
          <w:rFonts w:asciiTheme="minorHAnsi" w:eastAsiaTheme="minorEastAsia" w:hAnsiTheme="minorHAnsi" w:cstheme="minorBidi"/>
          <w:noProof/>
          <w:color w:val="auto"/>
          <w:sz w:val="22"/>
          <w:szCs w:val="22"/>
          <w:lang w:eastAsia="zh-CN"/>
        </w:rPr>
        <w:tab/>
      </w:r>
      <w:r>
        <w:rPr>
          <w:noProof/>
        </w:rPr>
        <w:t>Reform priorities</w:t>
      </w:r>
      <w:r>
        <w:rPr>
          <w:noProof/>
          <w:webHidden/>
        </w:rPr>
        <w:tab/>
      </w:r>
      <w:r>
        <w:rPr>
          <w:noProof/>
          <w:webHidden/>
        </w:rPr>
        <w:fldChar w:fldCharType="begin"/>
      </w:r>
      <w:r>
        <w:rPr>
          <w:noProof/>
          <w:webHidden/>
        </w:rPr>
        <w:instrText xml:space="preserve"> PAGEREF \h _Toc474829370 \* MERGEFORMAT </w:instrText>
      </w:r>
      <w:r>
        <w:rPr>
          <w:noProof/>
          <w:webHidden/>
        </w:rPr>
      </w:r>
      <w:r>
        <w:rPr>
          <w:noProof/>
          <w:webHidden/>
        </w:rPr>
        <w:fldChar w:fldCharType="separate"/>
      </w:r>
      <w:r>
        <w:rPr>
          <w:noProof/>
          <w:webHidden/>
        </w:rPr>
        <w:t>14</w:t>
      </w:r>
      <w:r>
        <w:rPr>
          <w:noProof/>
          <w:webHidden/>
        </w:rPr>
        <w:fldChar w:fldCharType="end"/>
      </w:r>
    </w:p>
    <w:p w:rsidR="002A43CB" w:rsidRDefault="0048172E">
      <w:pPr>
        <w:pStyle w:val="TOC3"/>
        <w:rPr>
          <w:rFonts w:asciiTheme="minorHAnsi" w:eastAsiaTheme="minorEastAsia" w:hAnsiTheme="minorHAnsi" w:cstheme="minorBidi"/>
          <w:noProof/>
          <w:color w:val="auto"/>
          <w:sz w:val="22"/>
          <w:szCs w:val="22"/>
          <w:lang w:eastAsia="zh-CN"/>
        </w:rPr>
      </w:pPr>
      <w:r>
        <w:rPr>
          <w:noProof/>
        </w:rPr>
        <w:t>3.1.</w:t>
      </w:r>
      <w:r>
        <w:rPr>
          <w:rFonts w:asciiTheme="minorHAnsi" w:eastAsiaTheme="minorEastAsia" w:hAnsiTheme="minorHAnsi" w:cstheme="minorBidi"/>
          <w:noProof/>
          <w:color w:val="auto"/>
          <w:sz w:val="22"/>
          <w:szCs w:val="22"/>
          <w:lang w:eastAsia="zh-CN"/>
        </w:rPr>
        <w:tab/>
      </w:r>
      <w:r>
        <w:rPr>
          <w:noProof/>
        </w:rPr>
        <w:t>Public finances and taxation</w:t>
      </w:r>
      <w:r>
        <w:rPr>
          <w:noProof/>
          <w:webHidden/>
        </w:rPr>
        <w:tab/>
      </w:r>
      <w:r>
        <w:rPr>
          <w:noProof/>
          <w:webHidden/>
        </w:rPr>
        <w:fldChar w:fldCharType="begin"/>
      </w:r>
      <w:r>
        <w:rPr>
          <w:noProof/>
          <w:webHidden/>
        </w:rPr>
        <w:instrText xml:space="preserve"> PAGEREF \h _Toc474829371 \* MERGEFORMAT </w:instrText>
      </w:r>
      <w:r>
        <w:rPr>
          <w:noProof/>
          <w:webHidden/>
        </w:rPr>
      </w:r>
      <w:r>
        <w:rPr>
          <w:noProof/>
          <w:webHidden/>
        </w:rPr>
        <w:fldChar w:fldCharType="separate"/>
      </w:r>
      <w:r>
        <w:rPr>
          <w:noProof/>
          <w:webHidden/>
        </w:rPr>
        <w:t>14</w:t>
      </w:r>
      <w:r>
        <w:rPr>
          <w:noProof/>
          <w:webHidden/>
        </w:rPr>
        <w:fldChar w:fldCharType="end"/>
      </w:r>
    </w:p>
    <w:p w:rsidR="002A43CB" w:rsidRDefault="0048172E">
      <w:pPr>
        <w:pStyle w:val="TOC3"/>
        <w:rPr>
          <w:rFonts w:asciiTheme="minorHAnsi" w:eastAsiaTheme="minorEastAsia" w:hAnsiTheme="minorHAnsi" w:cstheme="minorBidi"/>
          <w:noProof/>
          <w:color w:val="auto"/>
          <w:sz w:val="22"/>
          <w:szCs w:val="22"/>
          <w:lang w:eastAsia="zh-CN"/>
        </w:rPr>
      </w:pPr>
      <w:r>
        <w:rPr>
          <w:noProof/>
        </w:rPr>
        <w:t>3.2.</w:t>
      </w:r>
      <w:r>
        <w:rPr>
          <w:rFonts w:asciiTheme="minorHAnsi" w:eastAsiaTheme="minorEastAsia" w:hAnsiTheme="minorHAnsi" w:cstheme="minorBidi"/>
          <w:noProof/>
          <w:color w:val="auto"/>
          <w:sz w:val="22"/>
          <w:szCs w:val="22"/>
          <w:lang w:eastAsia="zh-CN"/>
        </w:rPr>
        <w:tab/>
      </w:r>
      <w:r>
        <w:rPr>
          <w:noProof/>
        </w:rPr>
        <w:t>Financial sector</w:t>
      </w:r>
      <w:r>
        <w:rPr>
          <w:noProof/>
          <w:webHidden/>
        </w:rPr>
        <w:tab/>
      </w:r>
      <w:r>
        <w:rPr>
          <w:noProof/>
          <w:webHidden/>
        </w:rPr>
        <w:fldChar w:fldCharType="begin"/>
      </w:r>
      <w:r>
        <w:rPr>
          <w:noProof/>
          <w:webHidden/>
        </w:rPr>
        <w:instrText xml:space="preserve"> PAGEREF \h _Toc4748293</w:instrText>
      </w:r>
      <w:r>
        <w:rPr>
          <w:noProof/>
          <w:webHidden/>
        </w:rPr>
        <w:instrText xml:space="preserve">72 \* MERGEFORMAT </w:instrText>
      </w:r>
      <w:r>
        <w:rPr>
          <w:noProof/>
          <w:webHidden/>
        </w:rPr>
      </w:r>
      <w:r>
        <w:rPr>
          <w:noProof/>
          <w:webHidden/>
        </w:rPr>
        <w:fldChar w:fldCharType="separate"/>
      </w:r>
      <w:r>
        <w:rPr>
          <w:noProof/>
          <w:webHidden/>
        </w:rPr>
        <w:t>23</w:t>
      </w:r>
      <w:r>
        <w:rPr>
          <w:noProof/>
          <w:webHidden/>
        </w:rPr>
        <w:fldChar w:fldCharType="end"/>
      </w:r>
    </w:p>
    <w:p w:rsidR="002A43CB" w:rsidRDefault="0048172E">
      <w:pPr>
        <w:pStyle w:val="TOC3"/>
        <w:rPr>
          <w:rFonts w:asciiTheme="minorHAnsi" w:eastAsiaTheme="minorEastAsia" w:hAnsiTheme="minorHAnsi" w:cstheme="minorBidi"/>
          <w:noProof/>
          <w:color w:val="auto"/>
          <w:sz w:val="22"/>
          <w:szCs w:val="22"/>
          <w:lang w:eastAsia="zh-CN"/>
        </w:rPr>
      </w:pPr>
      <w:r>
        <w:rPr>
          <w:noProof/>
        </w:rPr>
        <w:t>3.3.</w:t>
      </w:r>
      <w:r>
        <w:rPr>
          <w:rFonts w:asciiTheme="minorHAnsi" w:eastAsiaTheme="minorEastAsia" w:hAnsiTheme="minorHAnsi" w:cstheme="minorBidi"/>
          <w:noProof/>
          <w:color w:val="auto"/>
          <w:sz w:val="22"/>
          <w:szCs w:val="22"/>
          <w:lang w:eastAsia="zh-CN"/>
        </w:rPr>
        <w:tab/>
      </w:r>
      <w:r>
        <w:rPr>
          <w:noProof/>
        </w:rPr>
        <w:t>Labour market, education and social policies</w:t>
      </w:r>
      <w:r>
        <w:rPr>
          <w:noProof/>
          <w:webHidden/>
        </w:rPr>
        <w:tab/>
      </w:r>
      <w:r>
        <w:rPr>
          <w:noProof/>
          <w:webHidden/>
        </w:rPr>
        <w:fldChar w:fldCharType="begin"/>
      </w:r>
      <w:r>
        <w:rPr>
          <w:noProof/>
          <w:webHidden/>
        </w:rPr>
        <w:instrText xml:space="preserve"> PAGEREF \h _Toc474829373 \* MERGEFORMAT </w:instrText>
      </w:r>
      <w:r>
        <w:rPr>
          <w:noProof/>
          <w:webHidden/>
        </w:rPr>
      </w:r>
      <w:r>
        <w:rPr>
          <w:noProof/>
          <w:webHidden/>
        </w:rPr>
        <w:fldChar w:fldCharType="separate"/>
      </w:r>
      <w:r>
        <w:rPr>
          <w:noProof/>
          <w:webHidden/>
        </w:rPr>
        <w:t>28</w:t>
      </w:r>
      <w:r>
        <w:rPr>
          <w:noProof/>
          <w:webHidden/>
        </w:rPr>
        <w:fldChar w:fldCharType="end"/>
      </w:r>
    </w:p>
    <w:p w:rsidR="002A43CB" w:rsidRDefault="0048172E">
      <w:pPr>
        <w:pStyle w:val="TOC3"/>
        <w:rPr>
          <w:rFonts w:asciiTheme="minorHAnsi" w:eastAsiaTheme="minorEastAsia" w:hAnsiTheme="minorHAnsi" w:cstheme="minorBidi"/>
          <w:noProof/>
          <w:color w:val="auto"/>
          <w:sz w:val="22"/>
          <w:szCs w:val="22"/>
          <w:lang w:eastAsia="zh-CN"/>
        </w:rPr>
      </w:pPr>
      <w:r>
        <w:rPr>
          <w:noProof/>
        </w:rPr>
        <w:t>3.4.</w:t>
      </w:r>
      <w:r>
        <w:rPr>
          <w:rFonts w:asciiTheme="minorHAnsi" w:eastAsiaTheme="minorEastAsia" w:hAnsiTheme="minorHAnsi" w:cstheme="minorBidi"/>
          <w:noProof/>
          <w:color w:val="auto"/>
          <w:sz w:val="22"/>
          <w:szCs w:val="22"/>
          <w:lang w:eastAsia="zh-CN"/>
        </w:rPr>
        <w:tab/>
      </w:r>
      <w:r>
        <w:rPr>
          <w:noProof/>
        </w:rPr>
        <w:t>Investment</w:t>
      </w:r>
      <w:r>
        <w:rPr>
          <w:noProof/>
          <w:webHidden/>
        </w:rPr>
        <w:tab/>
      </w:r>
      <w:r>
        <w:rPr>
          <w:noProof/>
          <w:webHidden/>
        </w:rPr>
        <w:fldChar w:fldCharType="begin"/>
      </w:r>
      <w:r>
        <w:rPr>
          <w:noProof/>
          <w:webHidden/>
        </w:rPr>
        <w:instrText xml:space="preserve"> PAGEREF \h _Toc474829374 \* MERGEFORMAT </w:instrText>
      </w:r>
      <w:r>
        <w:rPr>
          <w:noProof/>
          <w:webHidden/>
        </w:rPr>
      </w:r>
      <w:r>
        <w:rPr>
          <w:noProof/>
          <w:webHidden/>
        </w:rPr>
        <w:fldChar w:fldCharType="separate"/>
      </w:r>
      <w:r>
        <w:rPr>
          <w:noProof/>
          <w:webHidden/>
        </w:rPr>
        <w:t>33</w:t>
      </w:r>
      <w:r>
        <w:rPr>
          <w:noProof/>
          <w:webHidden/>
        </w:rPr>
        <w:fldChar w:fldCharType="end"/>
      </w:r>
    </w:p>
    <w:p w:rsidR="002A43CB" w:rsidRDefault="0048172E">
      <w:pPr>
        <w:pStyle w:val="TOC2"/>
        <w:rPr>
          <w:rFonts w:asciiTheme="minorHAnsi" w:eastAsiaTheme="minorEastAsia" w:hAnsiTheme="minorHAnsi" w:cstheme="minorBidi"/>
          <w:noProof/>
          <w:color w:val="auto"/>
          <w:sz w:val="22"/>
          <w:szCs w:val="22"/>
          <w:lang w:eastAsia="zh-CN"/>
        </w:rPr>
      </w:pPr>
      <w:r>
        <w:rPr>
          <w:noProof/>
        </w:rPr>
        <w:t>A.</w:t>
      </w:r>
      <w:r>
        <w:rPr>
          <w:rFonts w:asciiTheme="minorHAnsi" w:eastAsiaTheme="minorEastAsia" w:hAnsiTheme="minorHAnsi" w:cstheme="minorBidi"/>
          <w:noProof/>
          <w:color w:val="auto"/>
          <w:sz w:val="22"/>
          <w:szCs w:val="22"/>
          <w:lang w:eastAsia="zh-CN"/>
        </w:rPr>
        <w:tab/>
      </w:r>
      <w:r>
        <w:rPr>
          <w:noProof/>
        </w:rPr>
        <w:t>Overview Table</w:t>
      </w:r>
      <w:r>
        <w:rPr>
          <w:noProof/>
          <w:webHidden/>
        </w:rPr>
        <w:tab/>
      </w:r>
      <w:r>
        <w:rPr>
          <w:noProof/>
          <w:webHidden/>
        </w:rPr>
        <w:fldChar w:fldCharType="begin"/>
      </w:r>
      <w:r>
        <w:rPr>
          <w:noProof/>
          <w:webHidden/>
        </w:rPr>
        <w:instrText xml:space="preserve"> PAGEREF \h _Toc474829375 \* MERGEFORMAT </w:instrText>
      </w:r>
      <w:r>
        <w:rPr>
          <w:noProof/>
          <w:webHidden/>
        </w:rPr>
      </w:r>
      <w:r>
        <w:rPr>
          <w:noProof/>
          <w:webHidden/>
        </w:rPr>
        <w:fldChar w:fldCharType="separate"/>
      </w:r>
      <w:r>
        <w:rPr>
          <w:noProof/>
          <w:webHidden/>
        </w:rPr>
        <w:t>42</w:t>
      </w:r>
      <w:r>
        <w:rPr>
          <w:noProof/>
          <w:webHidden/>
        </w:rPr>
        <w:fldChar w:fldCharType="end"/>
      </w:r>
    </w:p>
    <w:p w:rsidR="002A43CB" w:rsidRDefault="0048172E">
      <w:pPr>
        <w:pStyle w:val="TOC2"/>
        <w:rPr>
          <w:rFonts w:asciiTheme="minorHAnsi" w:eastAsiaTheme="minorEastAsia" w:hAnsiTheme="minorHAnsi" w:cstheme="minorBidi"/>
          <w:noProof/>
          <w:color w:val="auto"/>
          <w:sz w:val="22"/>
          <w:szCs w:val="22"/>
          <w:lang w:eastAsia="zh-CN"/>
        </w:rPr>
      </w:pPr>
      <w:r>
        <w:rPr>
          <w:noProof/>
        </w:rPr>
        <w:t>B.</w:t>
      </w:r>
      <w:r>
        <w:rPr>
          <w:rFonts w:asciiTheme="minorHAnsi" w:eastAsiaTheme="minorEastAsia" w:hAnsiTheme="minorHAnsi" w:cstheme="minorBidi"/>
          <w:noProof/>
          <w:color w:val="auto"/>
          <w:sz w:val="22"/>
          <w:szCs w:val="22"/>
          <w:lang w:eastAsia="zh-CN"/>
        </w:rPr>
        <w:tab/>
      </w:r>
      <w:r>
        <w:rPr>
          <w:noProof/>
        </w:rPr>
        <w:t>MIP Scoreboard</w:t>
      </w:r>
      <w:r>
        <w:rPr>
          <w:noProof/>
          <w:webHidden/>
        </w:rPr>
        <w:tab/>
      </w:r>
      <w:r>
        <w:rPr>
          <w:noProof/>
          <w:webHidden/>
        </w:rPr>
        <w:fldChar w:fldCharType="begin"/>
      </w:r>
      <w:r>
        <w:rPr>
          <w:noProof/>
          <w:webHidden/>
        </w:rPr>
        <w:instrText xml:space="preserve"> PAGEREF \h _Toc474829376 \* MERGEFORMAT </w:instrText>
      </w:r>
      <w:r>
        <w:rPr>
          <w:noProof/>
          <w:webHidden/>
        </w:rPr>
      </w:r>
      <w:r>
        <w:rPr>
          <w:noProof/>
          <w:webHidden/>
        </w:rPr>
        <w:fldChar w:fldCharType="separate"/>
      </w:r>
      <w:r>
        <w:rPr>
          <w:noProof/>
          <w:webHidden/>
        </w:rPr>
        <w:t>46</w:t>
      </w:r>
      <w:r>
        <w:rPr>
          <w:noProof/>
          <w:webHidden/>
        </w:rPr>
        <w:fldChar w:fldCharType="end"/>
      </w:r>
    </w:p>
    <w:p w:rsidR="002A43CB" w:rsidRDefault="0048172E">
      <w:pPr>
        <w:pStyle w:val="TOC2"/>
        <w:rPr>
          <w:rFonts w:asciiTheme="minorHAnsi" w:eastAsiaTheme="minorEastAsia" w:hAnsiTheme="minorHAnsi" w:cstheme="minorBidi"/>
          <w:noProof/>
          <w:color w:val="auto"/>
          <w:sz w:val="22"/>
          <w:szCs w:val="22"/>
          <w:lang w:eastAsia="zh-CN"/>
        </w:rPr>
      </w:pPr>
      <w:r>
        <w:rPr>
          <w:noProof/>
        </w:rPr>
        <w:t>C.</w:t>
      </w:r>
      <w:r>
        <w:rPr>
          <w:rFonts w:asciiTheme="minorHAnsi" w:eastAsiaTheme="minorEastAsia" w:hAnsiTheme="minorHAnsi" w:cstheme="minorBidi"/>
          <w:noProof/>
          <w:color w:val="auto"/>
          <w:sz w:val="22"/>
          <w:szCs w:val="22"/>
          <w:lang w:eastAsia="zh-CN"/>
        </w:rPr>
        <w:tab/>
      </w:r>
      <w:r>
        <w:rPr>
          <w:noProof/>
        </w:rPr>
        <w:t>Standard Tables</w:t>
      </w:r>
      <w:r>
        <w:rPr>
          <w:noProof/>
          <w:webHidden/>
        </w:rPr>
        <w:tab/>
      </w:r>
      <w:r>
        <w:rPr>
          <w:noProof/>
          <w:webHidden/>
        </w:rPr>
        <w:fldChar w:fldCharType="begin"/>
      </w:r>
      <w:r>
        <w:rPr>
          <w:noProof/>
          <w:webHidden/>
        </w:rPr>
        <w:instrText xml:space="preserve"> PAGEREF \h _Toc474829377 \* MERGEFORMAT </w:instrText>
      </w:r>
      <w:r>
        <w:rPr>
          <w:noProof/>
          <w:webHidden/>
        </w:rPr>
      </w:r>
      <w:r>
        <w:rPr>
          <w:noProof/>
          <w:webHidden/>
        </w:rPr>
        <w:fldChar w:fldCharType="separate"/>
      </w:r>
      <w:r>
        <w:rPr>
          <w:noProof/>
          <w:webHidden/>
        </w:rPr>
        <w:t>47</w:t>
      </w:r>
      <w:r>
        <w:rPr>
          <w:noProof/>
          <w:webHidden/>
        </w:rPr>
        <w:fldChar w:fldCharType="end"/>
      </w:r>
    </w:p>
    <w:p w:rsidR="002A43CB" w:rsidRDefault="0048172E">
      <w:pPr>
        <w:pStyle w:val="TOC7"/>
        <w:rPr>
          <w:rFonts w:asciiTheme="minorHAnsi" w:eastAsiaTheme="minorEastAsia" w:hAnsiTheme="minorHAnsi" w:cstheme="minorBidi"/>
          <w:noProof/>
          <w:color w:val="auto"/>
          <w:sz w:val="22"/>
          <w:szCs w:val="22"/>
          <w:lang w:eastAsia="zh-CN"/>
        </w:rPr>
      </w:pPr>
      <w:r>
        <w:rPr>
          <w:noProof/>
        </w:rPr>
        <w:t>References</w:t>
      </w:r>
      <w:r>
        <w:rPr>
          <w:noProof/>
          <w:webHidden/>
        </w:rPr>
        <w:tab/>
      </w:r>
      <w:r>
        <w:rPr>
          <w:noProof/>
          <w:webHidden/>
        </w:rPr>
        <w:fldChar w:fldCharType="begin"/>
      </w:r>
      <w:r>
        <w:rPr>
          <w:noProof/>
          <w:webHidden/>
        </w:rPr>
        <w:instrText xml:space="preserve"> PAGEREF \h _Toc474829378 \* MERGEFORMAT </w:instrText>
      </w:r>
      <w:r>
        <w:rPr>
          <w:noProof/>
          <w:webHidden/>
        </w:rPr>
      </w:r>
      <w:r>
        <w:rPr>
          <w:noProof/>
          <w:webHidden/>
        </w:rPr>
        <w:fldChar w:fldCharType="separate"/>
      </w:r>
      <w:r>
        <w:rPr>
          <w:noProof/>
          <w:webHidden/>
        </w:rPr>
        <w:t>52</w:t>
      </w:r>
      <w:r>
        <w:rPr>
          <w:noProof/>
          <w:webHidden/>
        </w:rPr>
        <w:fldChar w:fldCharType="end"/>
      </w:r>
    </w:p>
    <w:p w:rsidR="002A43CB" w:rsidRDefault="002A43CB">
      <w:pPr>
        <w:rPr>
          <w:noProof/>
        </w:rPr>
      </w:pPr>
    </w:p>
    <w:p w:rsidR="002A43CB" w:rsidRDefault="0048172E">
      <w:pPr>
        <w:pStyle w:val="HEADINGTOC"/>
        <w:rPr>
          <w:noProof/>
        </w:rPr>
      </w:pPr>
      <w:r>
        <w:rPr>
          <w:noProof/>
        </w:rPr>
        <w:t>LIST OF Tables</w:t>
      </w:r>
    </w:p>
    <w:p w:rsidR="002A43CB" w:rsidRDefault="0048172E">
      <w:pPr>
        <w:pStyle w:val="TOC5"/>
        <w:rPr>
          <w:rFonts w:eastAsiaTheme="minorEastAsia"/>
          <w:noProof/>
        </w:rPr>
      </w:pPr>
      <w:r>
        <w:rPr>
          <w:noProof/>
        </w:rPr>
        <w:t>1.1.</w:t>
      </w:r>
      <w:r>
        <w:rPr>
          <w:rFonts w:eastAsiaTheme="minorEastAsia"/>
          <w:noProof/>
        </w:rPr>
        <w:tab/>
      </w:r>
      <w:r>
        <w:rPr>
          <w:noProof/>
        </w:rPr>
        <w:t>Key economic, financial and social indicators – Luxembourg –</w:t>
      </w:r>
      <w:r>
        <w:rPr>
          <w:noProof/>
          <w:webHidden/>
        </w:rPr>
        <w:tab/>
      </w:r>
      <w:r>
        <w:rPr>
          <w:noProof/>
          <w:webHidden/>
        </w:rPr>
        <w:fldChar w:fldCharType="begin"/>
      </w:r>
      <w:r>
        <w:rPr>
          <w:noProof/>
          <w:webHidden/>
        </w:rPr>
        <w:instrText xml:space="preserve"> PAGEREF \h _Toc474676041 \* MERGEFORMAT </w:instrText>
      </w:r>
      <w:r>
        <w:rPr>
          <w:noProof/>
          <w:webHidden/>
        </w:rPr>
      </w:r>
      <w:r>
        <w:rPr>
          <w:noProof/>
          <w:webHidden/>
        </w:rPr>
        <w:fldChar w:fldCharType="separate"/>
      </w:r>
      <w:r>
        <w:rPr>
          <w:noProof/>
          <w:webHidden/>
        </w:rPr>
        <w:t>10</w:t>
      </w:r>
      <w:r>
        <w:rPr>
          <w:noProof/>
          <w:webHidden/>
        </w:rPr>
        <w:fldChar w:fldCharType="end"/>
      </w:r>
    </w:p>
    <w:p w:rsidR="002A43CB" w:rsidRDefault="0048172E">
      <w:pPr>
        <w:pStyle w:val="TOC5"/>
        <w:rPr>
          <w:rFonts w:eastAsiaTheme="minorEastAsia"/>
          <w:noProof/>
        </w:rPr>
      </w:pPr>
      <w:r>
        <w:rPr>
          <w:noProof/>
        </w:rPr>
        <w:t>2.1.</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_Toc474676042 \* MERGEFORMAT </w:instrText>
      </w:r>
      <w:r>
        <w:rPr>
          <w:noProof/>
          <w:webHidden/>
        </w:rPr>
      </w:r>
      <w:r>
        <w:rPr>
          <w:noProof/>
          <w:webHidden/>
        </w:rPr>
        <w:fldChar w:fldCharType="separate"/>
      </w:r>
      <w:r>
        <w:rPr>
          <w:noProof/>
          <w:webHidden/>
        </w:rPr>
        <w:t>12</w:t>
      </w:r>
      <w:r>
        <w:rPr>
          <w:noProof/>
          <w:webHidden/>
        </w:rPr>
        <w:fldChar w:fldCharType="end"/>
      </w:r>
    </w:p>
    <w:p w:rsidR="002A43CB" w:rsidRDefault="0048172E">
      <w:pPr>
        <w:pStyle w:val="TOC5"/>
        <w:rPr>
          <w:rFonts w:eastAsiaTheme="minorEastAsia"/>
          <w:noProof/>
        </w:rPr>
      </w:pPr>
      <w:r>
        <w:rPr>
          <w:noProof/>
        </w:rPr>
        <w:t>3.2.1.</w:t>
      </w:r>
      <w:r>
        <w:rPr>
          <w:rFonts w:eastAsiaTheme="minorEastAsia"/>
          <w:noProof/>
        </w:rPr>
        <w:tab/>
      </w:r>
      <w:r>
        <w:rPr>
          <w:noProof/>
        </w:rPr>
        <w:t xml:space="preserve">Financial soundness </w:t>
      </w:r>
      <w:r>
        <w:rPr>
          <w:noProof/>
        </w:rPr>
        <w:t>indicators, all banks in Luxembourg</w:t>
      </w:r>
      <w:r>
        <w:rPr>
          <w:noProof/>
          <w:webHidden/>
        </w:rPr>
        <w:tab/>
      </w:r>
      <w:r>
        <w:rPr>
          <w:noProof/>
          <w:webHidden/>
        </w:rPr>
        <w:fldChar w:fldCharType="begin"/>
      </w:r>
      <w:r>
        <w:rPr>
          <w:noProof/>
          <w:webHidden/>
        </w:rPr>
        <w:instrText xml:space="preserve"> PAGEREF \h _Toc474676043 \* MERGEFORMAT </w:instrText>
      </w:r>
      <w:r>
        <w:rPr>
          <w:noProof/>
          <w:webHidden/>
        </w:rPr>
      </w:r>
      <w:r>
        <w:rPr>
          <w:noProof/>
          <w:webHidden/>
        </w:rPr>
        <w:fldChar w:fldCharType="separate"/>
      </w:r>
      <w:r>
        <w:rPr>
          <w:noProof/>
          <w:webHidden/>
        </w:rPr>
        <w:t>24</w:t>
      </w:r>
      <w:r>
        <w:rPr>
          <w:noProof/>
          <w:webHidden/>
        </w:rPr>
        <w:fldChar w:fldCharType="end"/>
      </w:r>
    </w:p>
    <w:p w:rsidR="002A43CB" w:rsidRDefault="0048172E">
      <w:pPr>
        <w:pStyle w:val="TOC5"/>
        <w:rPr>
          <w:rFonts w:eastAsiaTheme="minorEastAsia"/>
          <w:noProof/>
        </w:rPr>
      </w:pPr>
      <w:r>
        <w:rPr>
          <w:noProof/>
        </w:rPr>
        <w:t>3.3.1.</w:t>
      </w:r>
      <w:r>
        <w:rPr>
          <w:rFonts w:eastAsiaTheme="minorEastAsia"/>
          <w:noProof/>
        </w:rPr>
        <w:tab/>
      </w:r>
      <w:r>
        <w:rPr>
          <w:noProof/>
        </w:rPr>
        <w:t>METR by age group, based on EUROMOD</w:t>
      </w:r>
      <w:r>
        <w:rPr>
          <w:noProof/>
          <w:webHidden/>
        </w:rPr>
        <w:tab/>
      </w:r>
      <w:r>
        <w:rPr>
          <w:noProof/>
          <w:webHidden/>
        </w:rPr>
        <w:fldChar w:fldCharType="begin"/>
      </w:r>
      <w:r>
        <w:rPr>
          <w:noProof/>
          <w:webHidden/>
        </w:rPr>
        <w:instrText xml:space="preserve"> PAGEREF \h _Toc474676044 \* MERGEFORMAT </w:instrText>
      </w:r>
      <w:r>
        <w:rPr>
          <w:noProof/>
          <w:webHidden/>
        </w:rPr>
      </w:r>
      <w:r>
        <w:rPr>
          <w:noProof/>
          <w:webHidden/>
        </w:rPr>
        <w:fldChar w:fldCharType="separate"/>
      </w:r>
      <w:r>
        <w:rPr>
          <w:noProof/>
          <w:webHidden/>
        </w:rPr>
        <w:t>29</w:t>
      </w:r>
      <w:r>
        <w:rPr>
          <w:noProof/>
          <w:webHidden/>
        </w:rPr>
        <w:fldChar w:fldCharType="end"/>
      </w:r>
    </w:p>
    <w:p w:rsidR="002A43CB" w:rsidRDefault="0048172E">
      <w:pPr>
        <w:pStyle w:val="TOC5"/>
        <w:rPr>
          <w:rFonts w:eastAsiaTheme="minorEastAsia"/>
          <w:noProof/>
        </w:rPr>
      </w:pPr>
      <w:r>
        <w:rPr>
          <w:noProof/>
        </w:rPr>
        <w:t>B.1.</w:t>
      </w:r>
      <w:r>
        <w:rPr>
          <w:rFonts w:eastAsiaTheme="minorEastAsia"/>
          <w:noProof/>
        </w:rPr>
        <w:tab/>
      </w:r>
      <w:r>
        <w:rPr>
          <w:noProof/>
        </w:rPr>
        <w:t>The MIP scoreboard for Luxembourg</w:t>
      </w:r>
      <w:r>
        <w:rPr>
          <w:noProof/>
          <w:webHidden/>
        </w:rPr>
        <w:tab/>
      </w:r>
      <w:r>
        <w:rPr>
          <w:noProof/>
          <w:webHidden/>
        </w:rPr>
        <w:fldChar w:fldCharType="begin"/>
      </w:r>
      <w:r>
        <w:rPr>
          <w:noProof/>
          <w:webHidden/>
        </w:rPr>
        <w:instrText xml:space="preserve"> PAGEREF \h _Toc474676045 \* MERGEFORMAT </w:instrText>
      </w:r>
      <w:r>
        <w:rPr>
          <w:noProof/>
          <w:webHidden/>
        </w:rPr>
      </w:r>
      <w:r>
        <w:rPr>
          <w:noProof/>
          <w:webHidden/>
        </w:rPr>
        <w:fldChar w:fldCharType="separate"/>
      </w:r>
      <w:r>
        <w:rPr>
          <w:noProof/>
          <w:webHidden/>
        </w:rPr>
        <w:t>46</w:t>
      </w:r>
      <w:r>
        <w:rPr>
          <w:noProof/>
          <w:webHidden/>
        </w:rPr>
        <w:fldChar w:fldCharType="end"/>
      </w:r>
    </w:p>
    <w:p w:rsidR="002A43CB" w:rsidRDefault="0048172E">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_Toc474676046 \*</w:instrText>
      </w:r>
      <w:r>
        <w:rPr>
          <w:noProof/>
          <w:webHidden/>
        </w:rPr>
        <w:instrText xml:space="preserve"> MERGEFORMAT </w:instrText>
      </w:r>
      <w:r>
        <w:rPr>
          <w:noProof/>
          <w:webHidden/>
        </w:rPr>
      </w:r>
      <w:r>
        <w:rPr>
          <w:noProof/>
          <w:webHidden/>
        </w:rPr>
        <w:fldChar w:fldCharType="separate"/>
      </w:r>
      <w:r>
        <w:rPr>
          <w:noProof/>
          <w:webHidden/>
        </w:rPr>
        <w:t>47</w:t>
      </w:r>
      <w:r>
        <w:rPr>
          <w:noProof/>
          <w:webHidden/>
        </w:rPr>
        <w:fldChar w:fldCharType="end"/>
      </w:r>
    </w:p>
    <w:p w:rsidR="002A43CB" w:rsidRDefault="0048172E">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Pr>
          <w:noProof/>
          <w:webHidden/>
        </w:rPr>
        <w:fldChar w:fldCharType="begin"/>
      </w:r>
      <w:r>
        <w:rPr>
          <w:noProof/>
          <w:webHidden/>
        </w:rPr>
        <w:instrText xml:space="preserve"> PAGEREF \h _Toc474676047 \* MERGEFORMAT </w:instrText>
      </w:r>
      <w:r>
        <w:rPr>
          <w:noProof/>
          <w:webHidden/>
        </w:rPr>
      </w:r>
      <w:r>
        <w:rPr>
          <w:noProof/>
          <w:webHidden/>
        </w:rPr>
        <w:fldChar w:fldCharType="separate"/>
      </w:r>
      <w:r>
        <w:rPr>
          <w:noProof/>
          <w:webHidden/>
        </w:rPr>
        <w:t>48</w:t>
      </w:r>
      <w:r>
        <w:rPr>
          <w:noProof/>
          <w:webHidden/>
        </w:rPr>
        <w:fldChar w:fldCharType="end"/>
      </w:r>
    </w:p>
    <w:p w:rsidR="002A43CB" w:rsidRDefault="0048172E">
      <w:pPr>
        <w:pStyle w:val="TOC5"/>
        <w:rPr>
          <w:rFonts w:eastAsiaTheme="minorEastAsia"/>
          <w:noProof/>
        </w:rPr>
      </w:pPr>
      <w:r>
        <w:rPr>
          <w:noProof/>
        </w:rPr>
        <w:t>C.3.</w:t>
      </w:r>
      <w:r>
        <w:rPr>
          <w:rFonts w:eastAsiaTheme="minorEastAsia"/>
          <w:noProof/>
        </w:rPr>
        <w:tab/>
      </w:r>
      <w:r>
        <w:rPr>
          <w:noProof/>
        </w:rPr>
        <w:t>Labour market an</w:t>
      </w:r>
      <w:r>
        <w:rPr>
          <w:noProof/>
        </w:rPr>
        <w:t>d social indicators (cont.)</w:t>
      </w:r>
      <w:r>
        <w:rPr>
          <w:noProof/>
          <w:webHidden/>
        </w:rPr>
        <w:tab/>
      </w:r>
      <w:r>
        <w:rPr>
          <w:noProof/>
          <w:webHidden/>
        </w:rPr>
        <w:fldChar w:fldCharType="begin"/>
      </w:r>
      <w:r>
        <w:rPr>
          <w:noProof/>
          <w:webHidden/>
        </w:rPr>
        <w:instrText xml:space="preserve"> PAGEREF \h _Toc474676048 \* MERGEFORMAT </w:instrText>
      </w:r>
      <w:r>
        <w:rPr>
          <w:noProof/>
          <w:webHidden/>
        </w:rPr>
      </w:r>
      <w:r>
        <w:rPr>
          <w:noProof/>
          <w:webHidden/>
        </w:rPr>
        <w:fldChar w:fldCharType="separate"/>
      </w:r>
      <w:r>
        <w:rPr>
          <w:noProof/>
          <w:webHidden/>
        </w:rPr>
        <w:t>49</w:t>
      </w:r>
      <w:r>
        <w:rPr>
          <w:noProof/>
          <w:webHidden/>
        </w:rPr>
        <w:fldChar w:fldCharType="end"/>
      </w:r>
    </w:p>
    <w:p w:rsidR="002A43CB" w:rsidRDefault="0048172E">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_Toc474676049 \* MERGEFORMAT </w:instrText>
      </w:r>
      <w:r>
        <w:rPr>
          <w:noProof/>
          <w:webHidden/>
        </w:rPr>
      </w:r>
      <w:r>
        <w:rPr>
          <w:noProof/>
          <w:webHidden/>
        </w:rPr>
        <w:fldChar w:fldCharType="separate"/>
      </w:r>
      <w:r>
        <w:rPr>
          <w:noProof/>
          <w:webHidden/>
        </w:rPr>
        <w:t>50</w:t>
      </w:r>
      <w:r>
        <w:rPr>
          <w:noProof/>
          <w:webHidden/>
        </w:rPr>
        <w:fldChar w:fldCharType="end"/>
      </w:r>
    </w:p>
    <w:p w:rsidR="002A43CB" w:rsidRDefault="0048172E">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_Toc474676050 \* MERGEFORMAT </w:instrText>
      </w:r>
      <w:r>
        <w:rPr>
          <w:noProof/>
          <w:webHidden/>
        </w:rPr>
      </w:r>
      <w:r>
        <w:rPr>
          <w:noProof/>
          <w:webHidden/>
        </w:rPr>
        <w:fldChar w:fldCharType="separate"/>
      </w:r>
      <w:r>
        <w:rPr>
          <w:noProof/>
          <w:webHidden/>
        </w:rPr>
        <w:t>51</w:t>
      </w:r>
      <w:r>
        <w:rPr>
          <w:noProof/>
          <w:webHidden/>
        </w:rPr>
        <w:fldChar w:fldCharType="end"/>
      </w:r>
    </w:p>
    <w:p w:rsidR="002A43CB" w:rsidRDefault="002A43CB">
      <w:pPr>
        <w:rPr>
          <w:noProof/>
        </w:rPr>
      </w:pPr>
    </w:p>
    <w:p w:rsidR="002A43CB" w:rsidRDefault="0048172E">
      <w:pPr>
        <w:pStyle w:val="HEADINGTOC"/>
        <w:rPr>
          <w:noProof/>
        </w:rPr>
      </w:pPr>
      <w:r>
        <w:rPr>
          <w:noProof/>
        </w:rPr>
        <w:t>LIST OF Graphs</w:t>
      </w:r>
    </w:p>
    <w:p w:rsidR="002A43CB" w:rsidRDefault="0048172E">
      <w:pPr>
        <w:pStyle w:val="TOC5"/>
        <w:rPr>
          <w:rFonts w:eastAsiaTheme="minorEastAsia"/>
          <w:noProof/>
        </w:rPr>
      </w:pPr>
      <w:r>
        <w:rPr>
          <w:noProof/>
        </w:rPr>
        <w:t>1.1.</w:t>
      </w:r>
      <w:r>
        <w:rPr>
          <w:rFonts w:eastAsiaTheme="minorEastAsia"/>
          <w:noProof/>
        </w:rPr>
        <w:tab/>
      </w:r>
      <w:r>
        <w:rPr>
          <w:noProof/>
        </w:rPr>
        <w:t>Breakdown of real GDP growth</w:t>
      </w:r>
      <w:r>
        <w:rPr>
          <w:noProof/>
          <w:webHidden/>
        </w:rPr>
        <w:tab/>
      </w:r>
      <w:r>
        <w:rPr>
          <w:noProof/>
          <w:webHidden/>
        </w:rPr>
        <w:fldChar w:fldCharType="begin"/>
      </w:r>
      <w:r>
        <w:rPr>
          <w:noProof/>
          <w:webHidden/>
        </w:rPr>
        <w:instrText xml:space="preserve"> PAGEREF \h</w:instrText>
      </w:r>
      <w:r>
        <w:rPr>
          <w:noProof/>
          <w:webHidden/>
        </w:rPr>
        <w:instrText xml:space="preserve"> _Toc474676051 \* MERGEFORMAT </w:instrText>
      </w:r>
      <w:r>
        <w:rPr>
          <w:noProof/>
          <w:webHidden/>
        </w:rPr>
      </w:r>
      <w:r>
        <w:rPr>
          <w:noProof/>
          <w:webHidden/>
        </w:rPr>
        <w:fldChar w:fldCharType="separate"/>
      </w:r>
      <w:r>
        <w:rPr>
          <w:noProof/>
          <w:webHidden/>
        </w:rPr>
        <w:t>4</w:t>
      </w:r>
      <w:r>
        <w:rPr>
          <w:noProof/>
          <w:webHidden/>
        </w:rPr>
        <w:fldChar w:fldCharType="end"/>
      </w:r>
    </w:p>
    <w:p w:rsidR="002A43CB" w:rsidRDefault="0048172E">
      <w:pPr>
        <w:pStyle w:val="TOC5"/>
        <w:rPr>
          <w:rFonts w:eastAsiaTheme="minorEastAsia"/>
          <w:noProof/>
        </w:rPr>
      </w:pPr>
      <w:r>
        <w:rPr>
          <w:noProof/>
        </w:rPr>
        <w:t>1.2.</w:t>
      </w:r>
      <w:r>
        <w:rPr>
          <w:rFonts w:eastAsiaTheme="minorEastAsia"/>
          <w:noProof/>
        </w:rPr>
        <w:tab/>
      </w:r>
      <w:r>
        <w:rPr>
          <w:noProof/>
        </w:rPr>
        <w:t>Breakdown of potential growth</w:t>
      </w:r>
      <w:r>
        <w:rPr>
          <w:noProof/>
          <w:webHidden/>
        </w:rPr>
        <w:tab/>
      </w:r>
      <w:r>
        <w:rPr>
          <w:noProof/>
          <w:webHidden/>
        </w:rPr>
        <w:fldChar w:fldCharType="begin"/>
      </w:r>
      <w:r>
        <w:rPr>
          <w:noProof/>
          <w:webHidden/>
        </w:rPr>
        <w:instrText xml:space="preserve"> PAGEREF \h _Toc474676052 \* MERGEFORMAT </w:instrText>
      </w:r>
      <w:r>
        <w:rPr>
          <w:noProof/>
          <w:webHidden/>
        </w:rPr>
      </w:r>
      <w:r>
        <w:rPr>
          <w:noProof/>
          <w:webHidden/>
        </w:rPr>
        <w:fldChar w:fldCharType="separate"/>
      </w:r>
      <w:r>
        <w:rPr>
          <w:noProof/>
          <w:webHidden/>
        </w:rPr>
        <w:t>5</w:t>
      </w:r>
      <w:r>
        <w:rPr>
          <w:noProof/>
          <w:webHidden/>
        </w:rPr>
        <w:fldChar w:fldCharType="end"/>
      </w:r>
    </w:p>
    <w:p w:rsidR="002A43CB" w:rsidRDefault="0048172E">
      <w:pPr>
        <w:pStyle w:val="TOC5"/>
        <w:rPr>
          <w:rFonts w:eastAsiaTheme="minorEastAsia"/>
          <w:noProof/>
        </w:rPr>
      </w:pPr>
      <w:r>
        <w:rPr>
          <w:noProof/>
        </w:rPr>
        <w:t>1.3.</w:t>
      </w:r>
      <w:r>
        <w:rPr>
          <w:rFonts w:eastAsiaTheme="minorEastAsia"/>
          <w:noProof/>
        </w:rPr>
        <w:tab/>
      </w:r>
      <w:r>
        <w:rPr>
          <w:noProof/>
        </w:rPr>
        <w:t>Key la</w:t>
      </w:r>
      <w:r>
        <w:rPr>
          <w:noProof/>
        </w:rPr>
        <w:t>bour market indicators</w:t>
      </w:r>
      <w:r>
        <w:rPr>
          <w:noProof/>
          <w:webHidden/>
        </w:rPr>
        <w:tab/>
      </w:r>
      <w:r>
        <w:rPr>
          <w:noProof/>
          <w:webHidden/>
        </w:rPr>
        <w:fldChar w:fldCharType="begin"/>
      </w:r>
      <w:r>
        <w:rPr>
          <w:noProof/>
          <w:webHidden/>
        </w:rPr>
        <w:instrText xml:space="preserve"> PAGEREF \h _Toc474676053 \* MERGEFORMAT </w:instrText>
      </w:r>
      <w:r>
        <w:rPr>
          <w:noProof/>
          <w:webHidden/>
        </w:rPr>
      </w:r>
      <w:r>
        <w:rPr>
          <w:noProof/>
          <w:webHidden/>
        </w:rPr>
        <w:fldChar w:fldCharType="separate"/>
      </w:r>
      <w:r>
        <w:rPr>
          <w:noProof/>
          <w:webHidden/>
        </w:rPr>
        <w:t>5</w:t>
      </w:r>
      <w:r>
        <w:rPr>
          <w:noProof/>
          <w:webHidden/>
        </w:rPr>
        <w:fldChar w:fldCharType="end"/>
      </w:r>
    </w:p>
    <w:p w:rsidR="002A43CB" w:rsidRDefault="0048172E">
      <w:pPr>
        <w:pStyle w:val="TOC5"/>
        <w:rPr>
          <w:rFonts w:eastAsiaTheme="minorEastAsia"/>
          <w:noProof/>
        </w:rPr>
      </w:pPr>
      <w:r>
        <w:rPr>
          <w:noProof/>
        </w:rPr>
        <w:t>1.4.</w:t>
      </w:r>
      <w:r>
        <w:rPr>
          <w:rFonts w:eastAsiaTheme="minorEastAsia"/>
          <w:noProof/>
        </w:rPr>
        <w:tab/>
      </w:r>
      <w:r>
        <w:rPr>
          <w:noProof/>
        </w:rPr>
        <w:t>Breakdown of NULC (2000=100)</w:t>
      </w:r>
      <w:r>
        <w:rPr>
          <w:noProof/>
          <w:webHidden/>
        </w:rPr>
        <w:tab/>
      </w:r>
      <w:r>
        <w:rPr>
          <w:noProof/>
          <w:webHidden/>
        </w:rPr>
        <w:fldChar w:fldCharType="begin"/>
      </w:r>
      <w:r>
        <w:rPr>
          <w:noProof/>
          <w:webHidden/>
        </w:rPr>
        <w:instrText xml:space="preserve"> PAGEREF \h _Toc474676054 \* MERGEFORMAT </w:instrText>
      </w:r>
      <w:r>
        <w:rPr>
          <w:noProof/>
          <w:webHidden/>
        </w:rPr>
      </w:r>
      <w:r>
        <w:rPr>
          <w:noProof/>
          <w:webHidden/>
        </w:rPr>
        <w:fldChar w:fldCharType="separate"/>
      </w:r>
      <w:r>
        <w:rPr>
          <w:noProof/>
          <w:webHidden/>
        </w:rPr>
        <w:t>6</w:t>
      </w:r>
      <w:r>
        <w:rPr>
          <w:noProof/>
          <w:webHidden/>
        </w:rPr>
        <w:fldChar w:fldCharType="end"/>
      </w:r>
    </w:p>
    <w:p w:rsidR="002A43CB" w:rsidRDefault="0048172E">
      <w:pPr>
        <w:pStyle w:val="TOC5"/>
        <w:rPr>
          <w:rFonts w:eastAsiaTheme="minorEastAsia"/>
          <w:noProof/>
        </w:rPr>
      </w:pPr>
      <w:r>
        <w:rPr>
          <w:noProof/>
        </w:rPr>
        <w:lastRenderedPageBreak/>
        <w:t>1.5.</w:t>
      </w:r>
      <w:r>
        <w:rPr>
          <w:rFonts w:eastAsiaTheme="minorEastAsia"/>
          <w:noProof/>
        </w:rPr>
        <w:tab/>
      </w:r>
      <w:r>
        <w:rPr>
          <w:noProof/>
        </w:rPr>
        <w:t>Breakdown of the current account balance</w:t>
      </w:r>
      <w:r>
        <w:rPr>
          <w:noProof/>
          <w:webHidden/>
        </w:rPr>
        <w:tab/>
      </w:r>
      <w:r>
        <w:rPr>
          <w:noProof/>
          <w:webHidden/>
        </w:rPr>
        <w:fldChar w:fldCharType="begin"/>
      </w:r>
      <w:r>
        <w:rPr>
          <w:noProof/>
          <w:webHidden/>
        </w:rPr>
        <w:instrText xml:space="preserve"> PAGEREF \h _Toc474676055 \* MERGEFORMAT </w:instrText>
      </w:r>
      <w:r>
        <w:rPr>
          <w:noProof/>
          <w:webHidden/>
        </w:rPr>
      </w:r>
      <w:r>
        <w:rPr>
          <w:noProof/>
          <w:webHidden/>
        </w:rPr>
        <w:fldChar w:fldCharType="separate"/>
      </w:r>
      <w:r>
        <w:rPr>
          <w:noProof/>
          <w:webHidden/>
        </w:rPr>
        <w:t>7</w:t>
      </w:r>
      <w:r>
        <w:rPr>
          <w:noProof/>
          <w:webHidden/>
        </w:rPr>
        <w:fldChar w:fldCharType="end"/>
      </w:r>
    </w:p>
    <w:p w:rsidR="002A43CB" w:rsidRDefault="0048172E">
      <w:pPr>
        <w:pStyle w:val="TOC5"/>
        <w:rPr>
          <w:rFonts w:eastAsiaTheme="minorEastAsia"/>
          <w:noProof/>
        </w:rPr>
      </w:pPr>
      <w:r>
        <w:rPr>
          <w:noProof/>
        </w:rPr>
        <w:t>1.6.</w:t>
      </w:r>
      <w:r>
        <w:rPr>
          <w:rFonts w:eastAsiaTheme="minorEastAsia"/>
          <w:noProof/>
        </w:rPr>
        <w:tab/>
      </w:r>
      <w:r>
        <w:rPr>
          <w:noProof/>
        </w:rPr>
        <w:t>Banks activity and profitability</w:t>
      </w:r>
      <w:r>
        <w:rPr>
          <w:noProof/>
          <w:webHidden/>
        </w:rPr>
        <w:tab/>
      </w:r>
      <w:r>
        <w:rPr>
          <w:noProof/>
          <w:webHidden/>
        </w:rPr>
        <w:fldChar w:fldCharType="begin"/>
      </w:r>
      <w:r>
        <w:rPr>
          <w:noProof/>
          <w:webHidden/>
        </w:rPr>
        <w:instrText xml:space="preserve"> PAGEREF \h _Toc474676056 \* MERGEFORMAT </w:instrText>
      </w:r>
      <w:r>
        <w:rPr>
          <w:noProof/>
          <w:webHidden/>
        </w:rPr>
      </w:r>
      <w:r>
        <w:rPr>
          <w:noProof/>
          <w:webHidden/>
        </w:rPr>
        <w:fldChar w:fldCharType="separate"/>
      </w:r>
      <w:r>
        <w:rPr>
          <w:noProof/>
          <w:webHidden/>
        </w:rPr>
        <w:t>7</w:t>
      </w:r>
      <w:r>
        <w:rPr>
          <w:noProof/>
          <w:webHidden/>
        </w:rPr>
        <w:fldChar w:fldCharType="end"/>
      </w:r>
    </w:p>
    <w:p w:rsidR="002A43CB" w:rsidRDefault="0048172E">
      <w:pPr>
        <w:pStyle w:val="TOC5"/>
        <w:rPr>
          <w:rFonts w:eastAsiaTheme="minorEastAsia"/>
          <w:noProof/>
        </w:rPr>
      </w:pPr>
      <w:r>
        <w:rPr>
          <w:noProof/>
        </w:rPr>
        <w:t>1.7.</w:t>
      </w:r>
      <w:r>
        <w:rPr>
          <w:rFonts w:eastAsiaTheme="minorEastAsia"/>
          <w:noProof/>
        </w:rPr>
        <w:tab/>
      </w:r>
      <w:r>
        <w:rPr>
          <w:noProof/>
        </w:rPr>
        <w:t>Sectoral breakdown of the general government balance</w:t>
      </w:r>
      <w:r>
        <w:rPr>
          <w:noProof/>
          <w:webHidden/>
        </w:rPr>
        <w:tab/>
      </w:r>
      <w:r>
        <w:rPr>
          <w:noProof/>
          <w:webHidden/>
        </w:rPr>
        <w:fldChar w:fldCharType="begin"/>
      </w:r>
      <w:r>
        <w:rPr>
          <w:noProof/>
          <w:webHidden/>
        </w:rPr>
        <w:instrText xml:space="preserve"> PAGEREF \h _Toc474676057 \* MERGEFORMAT </w:instrText>
      </w:r>
      <w:r>
        <w:rPr>
          <w:noProof/>
          <w:webHidden/>
        </w:rPr>
      </w:r>
      <w:r>
        <w:rPr>
          <w:noProof/>
          <w:webHidden/>
        </w:rPr>
        <w:fldChar w:fldCharType="separate"/>
      </w:r>
      <w:r>
        <w:rPr>
          <w:noProof/>
          <w:webHidden/>
        </w:rPr>
        <w:t>9</w:t>
      </w:r>
      <w:r>
        <w:rPr>
          <w:noProof/>
          <w:webHidden/>
        </w:rPr>
        <w:fldChar w:fldCharType="end"/>
      </w:r>
    </w:p>
    <w:p w:rsidR="002A43CB" w:rsidRDefault="0048172E">
      <w:pPr>
        <w:pStyle w:val="TOC5"/>
        <w:rPr>
          <w:rFonts w:eastAsiaTheme="minorEastAsia"/>
          <w:noProof/>
        </w:rPr>
      </w:pPr>
      <w:r>
        <w:rPr>
          <w:noProof/>
        </w:rPr>
        <w:t>3.1.1.</w:t>
      </w:r>
      <w:r>
        <w:rPr>
          <w:rFonts w:eastAsiaTheme="minorEastAsia"/>
          <w:noProof/>
        </w:rPr>
        <w:tab/>
      </w:r>
      <w:r>
        <w:rPr>
          <w:noProof/>
        </w:rPr>
        <w:t>Breakdown of</w:t>
      </w:r>
      <w:r>
        <w:rPr>
          <w:noProof/>
        </w:rPr>
        <w:t xml:space="preserve"> overall tax burden</w:t>
      </w:r>
      <w:r>
        <w:rPr>
          <w:noProof/>
          <w:webHidden/>
        </w:rPr>
        <w:tab/>
      </w:r>
      <w:r>
        <w:rPr>
          <w:noProof/>
          <w:webHidden/>
        </w:rPr>
        <w:fldChar w:fldCharType="begin"/>
      </w:r>
      <w:r>
        <w:rPr>
          <w:noProof/>
          <w:webHidden/>
        </w:rPr>
        <w:instrText xml:space="preserve"> PAGEREF \h _Toc474676058 \* MERGEFORMAT </w:instrText>
      </w:r>
      <w:r>
        <w:rPr>
          <w:noProof/>
          <w:webHidden/>
        </w:rPr>
      </w:r>
      <w:r>
        <w:rPr>
          <w:noProof/>
          <w:webHidden/>
        </w:rPr>
        <w:fldChar w:fldCharType="separate"/>
      </w:r>
      <w:r>
        <w:rPr>
          <w:noProof/>
          <w:webHidden/>
        </w:rPr>
        <w:t>14</w:t>
      </w:r>
      <w:r>
        <w:rPr>
          <w:noProof/>
          <w:webHidden/>
        </w:rPr>
        <w:fldChar w:fldCharType="end"/>
      </w:r>
    </w:p>
    <w:p w:rsidR="002A43CB" w:rsidRDefault="0048172E">
      <w:pPr>
        <w:pStyle w:val="TOC5"/>
        <w:rPr>
          <w:rFonts w:eastAsiaTheme="minorEastAsia"/>
          <w:noProof/>
        </w:rPr>
      </w:pPr>
      <w:r>
        <w:rPr>
          <w:noProof/>
        </w:rPr>
        <w:t>3.1.2.</w:t>
      </w:r>
      <w:r>
        <w:rPr>
          <w:rFonts w:eastAsiaTheme="minorEastAsia"/>
          <w:noProof/>
        </w:rPr>
        <w:tab/>
      </w:r>
      <w:r>
        <w:rPr>
          <w:noProof/>
        </w:rPr>
        <w:t>Environmental taxes, % of GDP</w:t>
      </w:r>
      <w:r>
        <w:rPr>
          <w:noProof/>
          <w:webHidden/>
        </w:rPr>
        <w:tab/>
      </w:r>
      <w:r>
        <w:rPr>
          <w:noProof/>
          <w:webHidden/>
        </w:rPr>
        <w:fldChar w:fldCharType="begin"/>
      </w:r>
      <w:r>
        <w:rPr>
          <w:noProof/>
          <w:webHidden/>
        </w:rPr>
        <w:instrText xml:space="preserve"> PAGEREF \h _Toc474676059 \* MERGEFORMAT </w:instrText>
      </w:r>
      <w:r>
        <w:rPr>
          <w:noProof/>
          <w:webHidden/>
        </w:rPr>
      </w:r>
      <w:r>
        <w:rPr>
          <w:noProof/>
          <w:webHidden/>
        </w:rPr>
        <w:fldChar w:fldCharType="separate"/>
      </w:r>
      <w:r>
        <w:rPr>
          <w:noProof/>
          <w:webHidden/>
        </w:rPr>
        <w:t>17</w:t>
      </w:r>
      <w:r>
        <w:rPr>
          <w:noProof/>
          <w:webHidden/>
        </w:rPr>
        <w:fldChar w:fldCharType="end"/>
      </w:r>
    </w:p>
    <w:p w:rsidR="002A43CB" w:rsidRDefault="0048172E">
      <w:pPr>
        <w:pStyle w:val="TOC5"/>
        <w:rPr>
          <w:rFonts w:eastAsiaTheme="minorEastAsia"/>
          <w:noProof/>
        </w:rPr>
      </w:pPr>
      <w:r>
        <w:rPr>
          <w:noProof/>
        </w:rPr>
        <w:t>3.1.3.</w:t>
      </w:r>
      <w:r>
        <w:rPr>
          <w:rFonts w:eastAsiaTheme="minorEastAsia"/>
          <w:noProof/>
        </w:rPr>
        <w:tab/>
      </w:r>
      <w:r>
        <w:rPr>
          <w:noProof/>
        </w:rPr>
        <w:t>Total expenditure per inhabitants in 2015, (thousands of pps.)</w:t>
      </w:r>
      <w:r>
        <w:rPr>
          <w:noProof/>
          <w:webHidden/>
        </w:rPr>
        <w:tab/>
      </w:r>
      <w:r>
        <w:rPr>
          <w:noProof/>
          <w:webHidden/>
        </w:rPr>
        <w:fldChar w:fldCharType="begin"/>
      </w:r>
      <w:r>
        <w:rPr>
          <w:noProof/>
          <w:webHidden/>
        </w:rPr>
        <w:instrText xml:space="preserve"> PAGEREF \h _Toc474676060 \* MERGEFORMAT </w:instrText>
      </w:r>
      <w:r>
        <w:rPr>
          <w:noProof/>
          <w:webHidden/>
        </w:rPr>
      </w:r>
      <w:r>
        <w:rPr>
          <w:noProof/>
          <w:webHidden/>
        </w:rPr>
        <w:fldChar w:fldCharType="separate"/>
      </w:r>
      <w:r>
        <w:rPr>
          <w:noProof/>
          <w:webHidden/>
        </w:rPr>
        <w:t>18</w:t>
      </w:r>
      <w:r>
        <w:rPr>
          <w:noProof/>
          <w:webHidden/>
        </w:rPr>
        <w:fldChar w:fldCharType="end"/>
      </w:r>
    </w:p>
    <w:p w:rsidR="002A43CB" w:rsidRDefault="0048172E">
      <w:pPr>
        <w:pStyle w:val="TOC5"/>
        <w:rPr>
          <w:rFonts w:eastAsiaTheme="minorEastAsia"/>
          <w:noProof/>
        </w:rPr>
      </w:pPr>
      <w:r>
        <w:rPr>
          <w:noProof/>
        </w:rPr>
        <w:t>3.1.4.</w:t>
      </w:r>
      <w:r>
        <w:rPr>
          <w:rFonts w:eastAsiaTheme="minorEastAsia"/>
          <w:noProof/>
        </w:rPr>
        <w:tab/>
      </w:r>
      <w:r>
        <w:rPr>
          <w:noProof/>
        </w:rPr>
        <w:t>The fiscal rule index in the EU, 2013 and 20</w:t>
      </w:r>
      <w:r>
        <w:rPr>
          <w:noProof/>
        </w:rPr>
        <w:t>14</w:t>
      </w:r>
      <w:r>
        <w:rPr>
          <w:noProof/>
          <w:webHidden/>
        </w:rPr>
        <w:tab/>
      </w:r>
      <w:r>
        <w:rPr>
          <w:noProof/>
          <w:webHidden/>
        </w:rPr>
        <w:fldChar w:fldCharType="begin"/>
      </w:r>
      <w:r>
        <w:rPr>
          <w:noProof/>
          <w:webHidden/>
        </w:rPr>
        <w:instrText xml:space="preserve"> PAGEREF \h _Toc474676061 \* MERGEFORMAT </w:instrText>
      </w:r>
      <w:r>
        <w:rPr>
          <w:noProof/>
          <w:webHidden/>
        </w:rPr>
      </w:r>
      <w:r>
        <w:rPr>
          <w:noProof/>
          <w:webHidden/>
        </w:rPr>
        <w:fldChar w:fldCharType="separate"/>
      </w:r>
      <w:r>
        <w:rPr>
          <w:noProof/>
          <w:webHidden/>
        </w:rPr>
        <w:t>19</w:t>
      </w:r>
      <w:r>
        <w:rPr>
          <w:noProof/>
          <w:webHidden/>
        </w:rPr>
        <w:fldChar w:fldCharType="end"/>
      </w:r>
    </w:p>
    <w:p w:rsidR="002A43CB" w:rsidRDefault="0048172E">
      <w:pPr>
        <w:pStyle w:val="TOC5"/>
        <w:rPr>
          <w:rFonts w:eastAsiaTheme="minorEastAsia"/>
          <w:noProof/>
        </w:rPr>
      </w:pPr>
      <w:r>
        <w:rPr>
          <w:noProof/>
        </w:rPr>
        <w:t>3.1.5.</w:t>
      </w:r>
      <w:r>
        <w:rPr>
          <w:rFonts w:eastAsiaTheme="minorEastAsia"/>
          <w:noProof/>
        </w:rPr>
        <w:tab/>
      </w:r>
      <w:r>
        <w:rPr>
          <w:noProof/>
        </w:rPr>
        <w:t>Population and employment evolution</w:t>
      </w:r>
      <w:r>
        <w:rPr>
          <w:noProof/>
          <w:webHidden/>
        </w:rPr>
        <w:tab/>
      </w:r>
      <w:r>
        <w:rPr>
          <w:noProof/>
          <w:webHidden/>
        </w:rPr>
        <w:fldChar w:fldCharType="begin"/>
      </w:r>
      <w:r>
        <w:rPr>
          <w:noProof/>
          <w:webHidden/>
        </w:rPr>
        <w:instrText xml:space="preserve"> PAGEREF \h _Toc474676062 \* MERGEFORMAT </w:instrText>
      </w:r>
      <w:r>
        <w:rPr>
          <w:noProof/>
          <w:webHidden/>
        </w:rPr>
      </w:r>
      <w:r>
        <w:rPr>
          <w:noProof/>
          <w:webHidden/>
        </w:rPr>
        <w:fldChar w:fldCharType="separate"/>
      </w:r>
      <w:r>
        <w:rPr>
          <w:noProof/>
          <w:webHidden/>
        </w:rPr>
        <w:t>20</w:t>
      </w:r>
      <w:r>
        <w:rPr>
          <w:noProof/>
          <w:webHidden/>
        </w:rPr>
        <w:fldChar w:fldCharType="end"/>
      </w:r>
    </w:p>
    <w:p w:rsidR="002A43CB" w:rsidRDefault="0048172E">
      <w:pPr>
        <w:pStyle w:val="TOC5"/>
        <w:rPr>
          <w:rFonts w:eastAsiaTheme="minorEastAsia"/>
          <w:noProof/>
        </w:rPr>
      </w:pPr>
      <w:r>
        <w:rPr>
          <w:noProof/>
        </w:rPr>
        <w:t>3.1.6.</w:t>
      </w:r>
      <w:r>
        <w:rPr>
          <w:rFonts w:eastAsiaTheme="minorEastAsia"/>
          <w:noProof/>
        </w:rPr>
        <w:tab/>
      </w:r>
      <w:r>
        <w:rPr>
          <w:noProof/>
        </w:rPr>
        <w:t>Access to retirement by age</w:t>
      </w:r>
      <w:r>
        <w:rPr>
          <w:noProof/>
          <w:webHidden/>
        </w:rPr>
        <w:tab/>
      </w:r>
      <w:r>
        <w:rPr>
          <w:noProof/>
          <w:webHidden/>
        </w:rPr>
        <w:fldChar w:fldCharType="begin"/>
      </w:r>
      <w:r>
        <w:rPr>
          <w:noProof/>
          <w:webHidden/>
        </w:rPr>
        <w:instrText xml:space="preserve"> PAGEREF \h _Toc474676063 \* MERGEFORMAT </w:instrText>
      </w:r>
      <w:r>
        <w:rPr>
          <w:noProof/>
          <w:webHidden/>
        </w:rPr>
      </w:r>
      <w:r>
        <w:rPr>
          <w:noProof/>
          <w:webHidden/>
        </w:rPr>
        <w:fldChar w:fldCharType="separate"/>
      </w:r>
      <w:r>
        <w:rPr>
          <w:noProof/>
          <w:webHidden/>
        </w:rPr>
        <w:t>21</w:t>
      </w:r>
      <w:r>
        <w:rPr>
          <w:noProof/>
          <w:webHidden/>
        </w:rPr>
        <w:fldChar w:fldCharType="end"/>
      </w:r>
    </w:p>
    <w:p w:rsidR="002A43CB" w:rsidRDefault="0048172E">
      <w:pPr>
        <w:pStyle w:val="TOC5"/>
        <w:rPr>
          <w:rFonts w:eastAsiaTheme="minorEastAsia"/>
          <w:noProof/>
        </w:rPr>
      </w:pPr>
      <w:r>
        <w:rPr>
          <w:noProof/>
        </w:rPr>
        <w:t>3.2.1.</w:t>
      </w:r>
      <w:r>
        <w:rPr>
          <w:rFonts w:eastAsiaTheme="minorEastAsia"/>
          <w:noProof/>
        </w:rPr>
        <w:tab/>
      </w:r>
      <w:r>
        <w:rPr>
          <w:noProof/>
        </w:rPr>
        <w:t>Size of the financial sector (EUR bill</w:t>
      </w:r>
      <w:r>
        <w:rPr>
          <w:noProof/>
        </w:rPr>
        <w:t>ion)</w:t>
      </w:r>
      <w:r>
        <w:rPr>
          <w:noProof/>
          <w:webHidden/>
        </w:rPr>
        <w:tab/>
      </w:r>
      <w:r>
        <w:rPr>
          <w:noProof/>
          <w:webHidden/>
        </w:rPr>
        <w:fldChar w:fldCharType="begin"/>
      </w:r>
      <w:r>
        <w:rPr>
          <w:noProof/>
          <w:webHidden/>
        </w:rPr>
        <w:instrText xml:space="preserve"> PAGEREF \h _Toc474676064 \* MERGEFORMAT </w:instrText>
      </w:r>
      <w:r>
        <w:rPr>
          <w:noProof/>
          <w:webHidden/>
        </w:rPr>
      </w:r>
      <w:r>
        <w:rPr>
          <w:noProof/>
          <w:webHidden/>
        </w:rPr>
        <w:fldChar w:fldCharType="separate"/>
      </w:r>
      <w:r>
        <w:rPr>
          <w:noProof/>
          <w:webHidden/>
        </w:rPr>
        <w:t>23</w:t>
      </w:r>
      <w:r>
        <w:rPr>
          <w:noProof/>
          <w:webHidden/>
        </w:rPr>
        <w:fldChar w:fldCharType="end"/>
      </w:r>
    </w:p>
    <w:p w:rsidR="002A43CB" w:rsidRDefault="0048172E">
      <w:pPr>
        <w:pStyle w:val="TOC5"/>
        <w:rPr>
          <w:rFonts w:eastAsiaTheme="minorEastAsia"/>
          <w:noProof/>
        </w:rPr>
      </w:pPr>
      <w:r>
        <w:rPr>
          <w:noProof/>
        </w:rPr>
        <w:t>3.2.2.</w:t>
      </w:r>
      <w:r>
        <w:rPr>
          <w:rFonts w:eastAsiaTheme="minorEastAsia"/>
          <w:noProof/>
        </w:rPr>
        <w:tab/>
      </w:r>
      <w:r>
        <w:rPr>
          <w:noProof/>
        </w:rPr>
        <w:t>Real house prices evolution</w:t>
      </w:r>
      <w:r>
        <w:rPr>
          <w:noProof/>
          <w:webHidden/>
        </w:rPr>
        <w:tab/>
      </w:r>
      <w:r>
        <w:rPr>
          <w:noProof/>
          <w:webHidden/>
        </w:rPr>
        <w:fldChar w:fldCharType="begin"/>
      </w:r>
      <w:r>
        <w:rPr>
          <w:noProof/>
          <w:webHidden/>
        </w:rPr>
        <w:instrText xml:space="preserve"> PAGEREF \h _Toc474676065 \* MERGEFORMAT </w:instrText>
      </w:r>
      <w:r>
        <w:rPr>
          <w:noProof/>
          <w:webHidden/>
        </w:rPr>
      </w:r>
      <w:r>
        <w:rPr>
          <w:noProof/>
          <w:webHidden/>
        </w:rPr>
        <w:fldChar w:fldCharType="separate"/>
      </w:r>
      <w:r>
        <w:rPr>
          <w:noProof/>
          <w:webHidden/>
        </w:rPr>
        <w:t>24</w:t>
      </w:r>
      <w:r>
        <w:rPr>
          <w:noProof/>
          <w:webHidden/>
        </w:rPr>
        <w:fldChar w:fldCharType="end"/>
      </w:r>
    </w:p>
    <w:p w:rsidR="002A43CB" w:rsidRDefault="0048172E">
      <w:pPr>
        <w:pStyle w:val="TOC5"/>
        <w:rPr>
          <w:rFonts w:eastAsiaTheme="minorEastAsia"/>
          <w:noProof/>
        </w:rPr>
      </w:pPr>
      <w:r>
        <w:rPr>
          <w:noProof/>
        </w:rPr>
        <w:t>3.2.3.</w:t>
      </w:r>
      <w:r>
        <w:rPr>
          <w:rFonts w:eastAsiaTheme="minorEastAsia"/>
          <w:noProof/>
        </w:rPr>
        <w:tab/>
      </w:r>
      <w:r>
        <w:rPr>
          <w:noProof/>
        </w:rPr>
        <w:t>Price to income</w:t>
      </w:r>
      <w:r>
        <w:rPr>
          <w:noProof/>
          <w:webHidden/>
        </w:rPr>
        <w:tab/>
      </w:r>
      <w:r>
        <w:rPr>
          <w:noProof/>
          <w:webHidden/>
        </w:rPr>
        <w:fldChar w:fldCharType="begin"/>
      </w:r>
      <w:r>
        <w:rPr>
          <w:noProof/>
          <w:webHidden/>
        </w:rPr>
        <w:instrText xml:space="preserve"> PAGEREF \h _Toc474676066 \* MERGEFORMAT </w:instrText>
      </w:r>
      <w:r>
        <w:rPr>
          <w:noProof/>
          <w:webHidden/>
        </w:rPr>
      </w:r>
      <w:r>
        <w:rPr>
          <w:noProof/>
          <w:webHidden/>
        </w:rPr>
        <w:fldChar w:fldCharType="separate"/>
      </w:r>
      <w:r>
        <w:rPr>
          <w:noProof/>
          <w:webHidden/>
        </w:rPr>
        <w:t>25</w:t>
      </w:r>
      <w:r>
        <w:rPr>
          <w:noProof/>
          <w:webHidden/>
        </w:rPr>
        <w:fldChar w:fldCharType="end"/>
      </w:r>
    </w:p>
    <w:p w:rsidR="002A43CB" w:rsidRDefault="0048172E">
      <w:pPr>
        <w:pStyle w:val="TOC5"/>
        <w:rPr>
          <w:rFonts w:eastAsiaTheme="minorEastAsia"/>
          <w:noProof/>
        </w:rPr>
      </w:pPr>
      <w:r>
        <w:rPr>
          <w:noProof/>
        </w:rPr>
        <w:t>3.2.4.</w:t>
      </w:r>
      <w:r>
        <w:rPr>
          <w:rFonts w:eastAsiaTheme="minorEastAsia"/>
          <w:noProof/>
        </w:rPr>
        <w:tab/>
      </w:r>
      <w:r>
        <w:rPr>
          <w:noProof/>
        </w:rPr>
        <w:t>Price to rent</w:t>
      </w:r>
      <w:r>
        <w:rPr>
          <w:noProof/>
          <w:webHidden/>
        </w:rPr>
        <w:tab/>
      </w:r>
      <w:r>
        <w:rPr>
          <w:noProof/>
          <w:webHidden/>
        </w:rPr>
        <w:fldChar w:fldCharType="begin"/>
      </w:r>
      <w:r>
        <w:rPr>
          <w:noProof/>
          <w:webHidden/>
        </w:rPr>
        <w:instrText xml:space="preserve"> PAGEREF \h _Toc474676067 \* MERGEFORMAT </w:instrText>
      </w:r>
      <w:r>
        <w:rPr>
          <w:noProof/>
          <w:webHidden/>
        </w:rPr>
      </w:r>
      <w:r>
        <w:rPr>
          <w:noProof/>
          <w:webHidden/>
        </w:rPr>
        <w:fldChar w:fldCharType="separate"/>
      </w:r>
      <w:r>
        <w:rPr>
          <w:noProof/>
          <w:webHidden/>
        </w:rPr>
        <w:t>25</w:t>
      </w:r>
      <w:r>
        <w:rPr>
          <w:noProof/>
          <w:webHidden/>
        </w:rPr>
        <w:fldChar w:fldCharType="end"/>
      </w:r>
    </w:p>
    <w:p w:rsidR="002A43CB" w:rsidRDefault="0048172E">
      <w:pPr>
        <w:pStyle w:val="TOC5"/>
        <w:rPr>
          <w:rFonts w:eastAsiaTheme="minorEastAsia"/>
          <w:noProof/>
        </w:rPr>
      </w:pPr>
      <w:r>
        <w:rPr>
          <w:noProof/>
        </w:rPr>
        <w:t>3.2.5.</w:t>
      </w:r>
      <w:r>
        <w:rPr>
          <w:rFonts w:eastAsiaTheme="minorEastAsia"/>
          <w:noProof/>
        </w:rPr>
        <w:tab/>
      </w:r>
      <w:r>
        <w:rPr>
          <w:noProof/>
        </w:rPr>
        <w:t>Overvaluation gap with respect to price to income, price to rent and fundamental model valuation gaps</w:t>
      </w:r>
      <w:r>
        <w:rPr>
          <w:noProof/>
          <w:webHidden/>
        </w:rPr>
        <w:tab/>
      </w:r>
      <w:r>
        <w:rPr>
          <w:noProof/>
          <w:webHidden/>
        </w:rPr>
        <w:fldChar w:fldCharType="begin"/>
      </w:r>
      <w:r>
        <w:rPr>
          <w:noProof/>
          <w:webHidden/>
        </w:rPr>
        <w:instrText xml:space="preserve"> PAGEREF \h _Toc474676068 \* MERGEFORMAT </w:instrText>
      </w:r>
      <w:r>
        <w:rPr>
          <w:noProof/>
          <w:webHidden/>
        </w:rPr>
      </w:r>
      <w:r>
        <w:rPr>
          <w:noProof/>
          <w:webHidden/>
        </w:rPr>
        <w:fldChar w:fldCharType="separate"/>
      </w:r>
      <w:r>
        <w:rPr>
          <w:noProof/>
          <w:webHidden/>
        </w:rPr>
        <w:t>26</w:t>
      </w:r>
      <w:r>
        <w:rPr>
          <w:noProof/>
          <w:webHidden/>
        </w:rPr>
        <w:fldChar w:fldCharType="end"/>
      </w:r>
    </w:p>
    <w:p w:rsidR="002A43CB" w:rsidRDefault="0048172E">
      <w:pPr>
        <w:pStyle w:val="TOC5"/>
        <w:rPr>
          <w:rFonts w:eastAsiaTheme="minorEastAsia"/>
          <w:noProof/>
        </w:rPr>
      </w:pPr>
      <w:r>
        <w:rPr>
          <w:noProof/>
        </w:rPr>
        <w:t>3.3.1.</w:t>
      </w:r>
      <w:r>
        <w:rPr>
          <w:rFonts w:eastAsiaTheme="minorEastAsia"/>
          <w:noProof/>
        </w:rPr>
        <w:tab/>
      </w:r>
      <w:r>
        <w:rPr>
          <w:noProof/>
        </w:rPr>
        <w:t xml:space="preserve">Employment </w:t>
      </w:r>
      <w:r>
        <w:rPr>
          <w:noProof/>
        </w:rPr>
        <w:t>rates by age</w:t>
      </w:r>
      <w:r>
        <w:rPr>
          <w:noProof/>
          <w:webHidden/>
        </w:rPr>
        <w:tab/>
      </w:r>
      <w:r>
        <w:rPr>
          <w:noProof/>
          <w:webHidden/>
        </w:rPr>
        <w:fldChar w:fldCharType="begin"/>
      </w:r>
      <w:r>
        <w:rPr>
          <w:noProof/>
          <w:webHidden/>
        </w:rPr>
        <w:instrText xml:space="preserve"> PAGEREF \h _Toc474676069 \* MERGEFORMAT </w:instrText>
      </w:r>
      <w:r>
        <w:rPr>
          <w:noProof/>
          <w:webHidden/>
        </w:rPr>
      </w:r>
      <w:r>
        <w:rPr>
          <w:noProof/>
          <w:webHidden/>
        </w:rPr>
        <w:fldChar w:fldCharType="separate"/>
      </w:r>
      <w:r>
        <w:rPr>
          <w:noProof/>
          <w:webHidden/>
        </w:rPr>
        <w:t>28</w:t>
      </w:r>
      <w:r>
        <w:rPr>
          <w:noProof/>
          <w:webHidden/>
        </w:rPr>
        <w:fldChar w:fldCharType="end"/>
      </w:r>
    </w:p>
    <w:p w:rsidR="002A43CB" w:rsidRDefault="0048172E">
      <w:pPr>
        <w:pStyle w:val="TOC5"/>
        <w:rPr>
          <w:rFonts w:eastAsiaTheme="minorEastAsia"/>
          <w:noProof/>
        </w:rPr>
      </w:pPr>
      <w:r>
        <w:rPr>
          <w:noProof/>
        </w:rPr>
        <w:t>3.3.2.</w:t>
      </w:r>
      <w:r>
        <w:rPr>
          <w:rFonts w:eastAsiaTheme="minorEastAsia"/>
          <w:noProof/>
        </w:rPr>
        <w:tab/>
      </w:r>
      <w:r>
        <w:rPr>
          <w:noProof/>
        </w:rPr>
        <w:t>Low-wage trap for second earners in a couple, 2015</w:t>
      </w:r>
      <w:r>
        <w:rPr>
          <w:noProof/>
          <w:webHidden/>
        </w:rPr>
        <w:tab/>
      </w:r>
      <w:r>
        <w:rPr>
          <w:noProof/>
          <w:webHidden/>
        </w:rPr>
        <w:fldChar w:fldCharType="begin"/>
      </w:r>
      <w:r>
        <w:rPr>
          <w:noProof/>
          <w:webHidden/>
        </w:rPr>
        <w:instrText xml:space="preserve"> PAGEREF \h _Toc474676070 \* MERGEFORMAT </w:instrText>
      </w:r>
      <w:r>
        <w:rPr>
          <w:noProof/>
          <w:webHidden/>
        </w:rPr>
      </w:r>
      <w:r>
        <w:rPr>
          <w:noProof/>
          <w:webHidden/>
        </w:rPr>
        <w:fldChar w:fldCharType="separate"/>
      </w:r>
      <w:r>
        <w:rPr>
          <w:noProof/>
          <w:webHidden/>
        </w:rPr>
        <w:t>29</w:t>
      </w:r>
      <w:r>
        <w:rPr>
          <w:noProof/>
          <w:webHidden/>
        </w:rPr>
        <w:fldChar w:fldCharType="end"/>
      </w:r>
    </w:p>
    <w:p w:rsidR="002A43CB" w:rsidRDefault="0048172E">
      <w:pPr>
        <w:pStyle w:val="TOC5"/>
        <w:rPr>
          <w:rFonts w:eastAsiaTheme="minorEastAsia"/>
          <w:noProof/>
        </w:rPr>
      </w:pPr>
      <w:r>
        <w:rPr>
          <w:noProof/>
        </w:rPr>
        <w:t>3.3.3.</w:t>
      </w:r>
      <w:r>
        <w:rPr>
          <w:rFonts w:eastAsiaTheme="minorEastAsia"/>
          <w:noProof/>
        </w:rPr>
        <w:tab/>
      </w:r>
      <w:r>
        <w:rPr>
          <w:noProof/>
        </w:rPr>
        <w:t>Sectorial distribution of employment</w:t>
      </w:r>
      <w:r>
        <w:rPr>
          <w:noProof/>
          <w:webHidden/>
        </w:rPr>
        <w:tab/>
      </w:r>
      <w:r>
        <w:rPr>
          <w:noProof/>
          <w:webHidden/>
        </w:rPr>
        <w:fldChar w:fldCharType="begin"/>
      </w:r>
      <w:r>
        <w:rPr>
          <w:noProof/>
          <w:webHidden/>
        </w:rPr>
        <w:instrText xml:space="preserve"> PAGEREF \h _Toc474676071 \* MERGEFORMAT </w:instrText>
      </w:r>
      <w:r>
        <w:rPr>
          <w:noProof/>
          <w:webHidden/>
        </w:rPr>
      </w:r>
      <w:r>
        <w:rPr>
          <w:noProof/>
          <w:webHidden/>
        </w:rPr>
        <w:fldChar w:fldCharType="separate"/>
      </w:r>
      <w:r>
        <w:rPr>
          <w:noProof/>
          <w:webHidden/>
        </w:rPr>
        <w:t>30</w:t>
      </w:r>
      <w:r>
        <w:rPr>
          <w:noProof/>
          <w:webHidden/>
        </w:rPr>
        <w:fldChar w:fldCharType="end"/>
      </w:r>
    </w:p>
    <w:p w:rsidR="002A43CB" w:rsidRDefault="0048172E">
      <w:pPr>
        <w:pStyle w:val="TOC5"/>
        <w:rPr>
          <w:rFonts w:eastAsiaTheme="minorEastAsia"/>
          <w:noProof/>
        </w:rPr>
      </w:pPr>
      <w:r>
        <w:rPr>
          <w:noProof/>
        </w:rPr>
        <w:t>3.4.1.</w:t>
      </w:r>
      <w:r>
        <w:rPr>
          <w:rFonts w:eastAsiaTheme="minorEastAsia"/>
          <w:noProof/>
        </w:rPr>
        <w:tab/>
      </w:r>
      <w:r>
        <w:rPr>
          <w:noProof/>
        </w:rPr>
        <w:t>Ease of doing business according to the World Bank, nu</w:t>
      </w:r>
      <w:r>
        <w:rPr>
          <w:noProof/>
        </w:rPr>
        <w:t>mber of reforms 2010-2016</w:t>
      </w:r>
      <w:r>
        <w:rPr>
          <w:noProof/>
          <w:webHidden/>
        </w:rPr>
        <w:tab/>
      </w:r>
      <w:r>
        <w:rPr>
          <w:noProof/>
          <w:webHidden/>
        </w:rPr>
        <w:fldChar w:fldCharType="begin"/>
      </w:r>
      <w:r>
        <w:rPr>
          <w:noProof/>
          <w:webHidden/>
        </w:rPr>
        <w:instrText xml:space="preserve"> PAGEREF \h _Toc474676072 \* MERGEFORMAT </w:instrText>
      </w:r>
      <w:r>
        <w:rPr>
          <w:noProof/>
          <w:webHidden/>
        </w:rPr>
      </w:r>
      <w:r>
        <w:rPr>
          <w:noProof/>
          <w:webHidden/>
        </w:rPr>
        <w:fldChar w:fldCharType="separate"/>
      </w:r>
      <w:r>
        <w:rPr>
          <w:noProof/>
          <w:webHidden/>
        </w:rPr>
        <w:t>36</w:t>
      </w:r>
      <w:r>
        <w:rPr>
          <w:noProof/>
          <w:webHidden/>
        </w:rPr>
        <w:fldChar w:fldCharType="end"/>
      </w:r>
    </w:p>
    <w:p w:rsidR="002A43CB" w:rsidRDefault="0048172E">
      <w:pPr>
        <w:pStyle w:val="TOC5"/>
        <w:rPr>
          <w:rFonts w:eastAsiaTheme="minorEastAsia"/>
          <w:noProof/>
        </w:rPr>
      </w:pPr>
      <w:r>
        <w:rPr>
          <w:noProof/>
        </w:rPr>
        <w:t>3.4.2.</w:t>
      </w:r>
      <w:r>
        <w:rPr>
          <w:rFonts w:eastAsiaTheme="minorEastAsia"/>
          <w:noProof/>
        </w:rPr>
        <w:tab/>
      </w:r>
      <w:r>
        <w:rPr>
          <w:noProof/>
        </w:rPr>
        <w:t>Restrictiveness indicator, 2016, Luxembourg and the EU</w:t>
      </w:r>
      <w:r>
        <w:rPr>
          <w:noProof/>
          <w:webHidden/>
        </w:rPr>
        <w:tab/>
      </w:r>
      <w:r>
        <w:rPr>
          <w:noProof/>
          <w:webHidden/>
        </w:rPr>
        <w:fldChar w:fldCharType="begin"/>
      </w:r>
      <w:r>
        <w:rPr>
          <w:noProof/>
          <w:webHidden/>
        </w:rPr>
        <w:instrText xml:space="preserve"> PAGEREF \h _Toc474676073 \* MERGEFORMAT </w:instrText>
      </w:r>
      <w:r>
        <w:rPr>
          <w:noProof/>
          <w:webHidden/>
        </w:rPr>
      </w:r>
      <w:r>
        <w:rPr>
          <w:noProof/>
          <w:webHidden/>
        </w:rPr>
        <w:fldChar w:fldCharType="separate"/>
      </w:r>
      <w:r>
        <w:rPr>
          <w:noProof/>
          <w:webHidden/>
        </w:rPr>
        <w:t>38</w:t>
      </w:r>
      <w:r>
        <w:rPr>
          <w:noProof/>
          <w:webHidden/>
        </w:rPr>
        <w:fldChar w:fldCharType="end"/>
      </w:r>
    </w:p>
    <w:p w:rsidR="002A43CB" w:rsidRDefault="0048172E">
      <w:pPr>
        <w:pStyle w:val="TOC5"/>
        <w:rPr>
          <w:rFonts w:eastAsiaTheme="minorEastAsia"/>
          <w:noProof/>
        </w:rPr>
      </w:pPr>
      <w:r>
        <w:rPr>
          <w:noProof/>
        </w:rPr>
        <w:t>3.4.3.</w:t>
      </w:r>
      <w:r>
        <w:rPr>
          <w:rFonts w:eastAsiaTheme="minorEastAsia"/>
          <w:noProof/>
        </w:rPr>
        <w:tab/>
      </w:r>
      <w:r>
        <w:rPr>
          <w:noProof/>
        </w:rPr>
        <w:t>Hours lost in traffic</w:t>
      </w:r>
      <w:r>
        <w:rPr>
          <w:noProof/>
          <w:webHidden/>
        </w:rPr>
        <w:tab/>
      </w:r>
      <w:r>
        <w:rPr>
          <w:noProof/>
          <w:webHidden/>
        </w:rPr>
        <w:fldChar w:fldCharType="begin"/>
      </w:r>
      <w:r>
        <w:rPr>
          <w:noProof/>
          <w:webHidden/>
        </w:rPr>
        <w:instrText xml:space="preserve"> PAGEREF \h _Toc474676074 \* MERGEFORMAT </w:instrText>
      </w:r>
      <w:r>
        <w:rPr>
          <w:noProof/>
          <w:webHidden/>
        </w:rPr>
      </w:r>
      <w:r>
        <w:rPr>
          <w:noProof/>
          <w:webHidden/>
        </w:rPr>
        <w:fldChar w:fldCharType="separate"/>
      </w:r>
      <w:r>
        <w:rPr>
          <w:noProof/>
          <w:webHidden/>
        </w:rPr>
        <w:t>39</w:t>
      </w:r>
      <w:r>
        <w:rPr>
          <w:noProof/>
          <w:webHidden/>
        </w:rPr>
        <w:fldChar w:fldCharType="end"/>
      </w:r>
    </w:p>
    <w:p w:rsidR="002A43CB" w:rsidRDefault="0048172E">
      <w:pPr>
        <w:pStyle w:val="TOC5"/>
        <w:rPr>
          <w:rFonts w:eastAsiaTheme="minorEastAsia"/>
          <w:noProof/>
        </w:rPr>
      </w:pPr>
      <w:r>
        <w:rPr>
          <w:noProof/>
        </w:rPr>
        <w:t>3.4.4.</w:t>
      </w:r>
      <w:r>
        <w:rPr>
          <w:rFonts w:eastAsiaTheme="minorEastAsia"/>
          <w:noProof/>
        </w:rPr>
        <w:tab/>
      </w:r>
      <w:r>
        <w:rPr>
          <w:noProof/>
        </w:rPr>
        <w:t>Motorway density</w:t>
      </w:r>
      <w:r>
        <w:rPr>
          <w:noProof/>
          <w:webHidden/>
        </w:rPr>
        <w:tab/>
      </w:r>
      <w:r>
        <w:rPr>
          <w:noProof/>
          <w:webHidden/>
        </w:rPr>
        <w:fldChar w:fldCharType="begin"/>
      </w:r>
      <w:r>
        <w:rPr>
          <w:noProof/>
          <w:webHidden/>
        </w:rPr>
        <w:instrText xml:space="preserve"> PAGEREF \h _Toc474676075 \* MERGEFOR</w:instrText>
      </w:r>
      <w:r>
        <w:rPr>
          <w:noProof/>
          <w:webHidden/>
        </w:rPr>
        <w:instrText xml:space="preserve">MAT </w:instrText>
      </w:r>
      <w:r>
        <w:rPr>
          <w:noProof/>
          <w:webHidden/>
        </w:rPr>
      </w:r>
      <w:r>
        <w:rPr>
          <w:noProof/>
          <w:webHidden/>
        </w:rPr>
        <w:fldChar w:fldCharType="separate"/>
      </w:r>
      <w:r>
        <w:rPr>
          <w:noProof/>
          <w:webHidden/>
        </w:rPr>
        <w:t>39</w:t>
      </w:r>
      <w:r>
        <w:rPr>
          <w:noProof/>
          <w:webHidden/>
        </w:rPr>
        <w:fldChar w:fldCharType="end"/>
      </w:r>
    </w:p>
    <w:p w:rsidR="002A43CB" w:rsidRDefault="002A43CB">
      <w:pPr>
        <w:rPr>
          <w:noProof/>
        </w:rPr>
      </w:pPr>
    </w:p>
    <w:p w:rsidR="002A43CB" w:rsidRDefault="0048172E">
      <w:pPr>
        <w:pStyle w:val="HEADINGTOC"/>
        <w:rPr>
          <w:noProof/>
        </w:rPr>
      </w:pPr>
      <w:r>
        <w:rPr>
          <w:noProof/>
        </w:rPr>
        <w:t>LIST OF Boxes</w:t>
      </w:r>
    </w:p>
    <w:p w:rsidR="002A43CB" w:rsidRDefault="0048172E">
      <w:pPr>
        <w:pStyle w:val="TOC5"/>
        <w:rPr>
          <w:rFonts w:eastAsiaTheme="minorEastAsia"/>
          <w:noProof/>
        </w:rPr>
      </w:pPr>
      <w:r>
        <w:rPr>
          <w:noProof/>
        </w:rPr>
        <w:t>2.1.</w:t>
      </w:r>
      <w:r>
        <w:rPr>
          <w:rFonts w:eastAsiaTheme="minorEastAsia"/>
          <w:noProof/>
        </w:rPr>
        <w:tab/>
      </w:r>
      <w:r>
        <w:rPr>
          <w:noProof/>
        </w:rPr>
        <w:t>Contribution of the EU Budget to structural change in Luxembourg.</w:t>
      </w:r>
      <w:r>
        <w:rPr>
          <w:noProof/>
          <w:webHidden/>
        </w:rPr>
        <w:tab/>
      </w:r>
      <w:r>
        <w:rPr>
          <w:noProof/>
          <w:webHidden/>
        </w:rPr>
        <w:fldChar w:fldCharType="begin"/>
      </w:r>
      <w:r>
        <w:rPr>
          <w:noProof/>
          <w:webHidden/>
        </w:rPr>
        <w:instrText xml:space="preserve"> PAGEREF \h _Toc474676076 \* MERGEFORMAT </w:instrText>
      </w:r>
      <w:r>
        <w:rPr>
          <w:noProof/>
          <w:webHidden/>
        </w:rPr>
      </w:r>
      <w:r>
        <w:rPr>
          <w:noProof/>
          <w:webHidden/>
        </w:rPr>
        <w:fldChar w:fldCharType="separate"/>
      </w:r>
      <w:r>
        <w:rPr>
          <w:noProof/>
          <w:webHidden/>
        </w:rPr>
        <w:t>13</w:t>
      </w:r>
      <w:r>
        <w:rPr>
          <w:noProof/>
          <w:webHidden/>
        </w:rPr>
        <w:fldChar w:fldCharType="end"/>
      </w:r>
    </w:p>
    <w:p w:rsidR="002A43CB" w:rsidRDefault="0048172E">
      <w:pPr>
        <w:pStyle w:val="TOC5"/>
        <w:rPr>
          <w:rFonts w:eastAsiaTheme="minorEastAsia"/>
          <w:noProof/>
        </w:rPr>
      </w:pPr>
      <w:r>
        <w:rPr>
          <w:noProof/>
        </w:rPr>
        <w:t>3.1.1.</w:t>
      </w:r>
      <w:r>
        <w:rPr>
          <w:rFonts w:eastAsiaTheme="minorEastAsia"/>
          <w:noProof/>
        </w:rPr>
        <w:tab/>
      </w:r>
      <w:r>
        <w:rPr>
          <w:noProof/>
        </w:rPr>
        <w:t>The distributional impact of the tax reform.</w:t>
      </w:r>
      <w:r>
        <w:rPr>
          <w:noProof/>
          <w:webHidden/>
        </w:rPr>
        <w:tab/>
      </w:r>
      <w:r>
        <w:rPr>
          <w:noProof/>
          <w:webHidden/>
        </w:rPr>
        <w:fldChar w:fldCharType="begin"/>
      </w:r>
      <w:r>
        <w:rPr>
          <w:noProof/>
          <w:webHidden/>
        </w:rPr>
        <w:instrText xml:space="preserve"> PAGEREF \h _Toc474676077 \* MERGEFORMAT </w:instrText>
      </w:r>
      <w:r>
        <w:rPr>
          <w:noProof/>
          <w:webHidden/>
        </w:rPr>
      </w:r>
      <w:r>
        <w:rPr>
          <w:noProof/>
          <w:webHidden/>
        </w:rPr>
        <w:fldChar w:fldCharType="separate"/>
      </w:r>
      <w:r>
        <w:rPr>
          <w:noProof/>
          <w:webHidden/>
        </w:rPr>
        <w:t>15</w:t>
      </w:r>
      <w:r>
        <w:rPr>
          <w:noProof/>
          <w:webHidden/>
        </w:rPr>
        <w:fldChar w:fldCharType="end"/>
      </w:r>
    </w:p>
    <w:p w:rsidR="002A43CB" w:rsidRDefault="0048172E">
      <w:pPr>
        <w:pStyle w:val="TOC5"/>
        <w:rPr>
          <w:rFonts w:eastAsiaTheme="minorEastAsia"/>
          <w:noProof/>
        </w:rPr>
      </w:pPr>
      <w:r>
        <w:rPr>
          <w:noProof/>
        </w:rPr>
        <w:t>3.4.1.</w:t>
      </w:r>
      <w:r>
        <w:rPr>
          <w:rFonts w:eastAsiaTheme="minorEastAsia"/>
          <w:noProof/>
        </w:rPr>
        <w:tab/>
      </w:r>
      <w:r>
        <w:rPr>
          <w:noProof/>
        </w:rPr>
        <w:t xml:space="preserve">Analysis of the ICT </w:t>
      </w:r>
      <w:r>
        <w:rPr>
          <w:noProof/>
        </w:rPr>
        <w:t>sector.</w:t>
      </w:r>
      <w:r>
        <w:rPr>
          <w:noProof/>
          <w:webHidden/>
        </w:rPr>
        <w:tab/>
      </w:r>
      <w:r>
        <w:rPr>
          <w:noProof/>
          <w:webHidden/>
        </w:rPr>
        <w:fldChar w:fldCharType="begin"/>
      </w:r>
      <w:r>
        <w:rPr>
          <w:noProof/>
          <w:webHidden/>
        </w:rPr>
        <w:instrText xml:space="preserve"> PAGEREF \h _Toc474676078 \* MERGEFORMAT </w:instrText>
      </w:r>
      <w:r>
        <w:rPr>
          <w:noProof/>
          <w:webHidden/>
        </w:rPr>
      </w:r>
      <w:r>
        <w:rPr>
          <w:noProof/>
          <w:webHidden/>
        </w:rPr>
        <w:fldChar w:fldCharType="separate"/>
      </w:r>
      <w:r>
        <w:rPr>
          <w:noProof/>
          <w:webHidden/>
        </w:rPr>
        <w:t>34</w:t>
      </w:r>
      <w:r>
        <w:rPr>
          <w:noProof/>
          <w:webHidden/>
        </w:rPr>
        <w:fldChar w:fldCharType="end"/>
      </w:r>
    </w:p>
    <w:p w:rsidR="002A43CB" w:rsidRDefault="0048172E">
      <w:pPr>
        <w:pStyle w:val="TOC5"/>
        <w:rPr>
          <w:rFonts w:eastAsiaTheme="minorEastAsia"/>
          <w:noProof/>
        </w:rPr>
      </w:pPr>
      <w:r>
        <w:rPr>
          <w:noProof/>
        </w:rPr>
        <w:t>3.4.2.</w:t>
      </w:r>
      <w:r>
        <w:rPr>
          <w:rFonts w:eastAsiaTheme="minorEastAsia"/>
          <w:noProof/>
        </w:rPr>
        <w:tab/>
      </w:r>
      <w:r>
        <w:rPr>
          <w:noProof/>
        </w:rPr>
        <w:t>Renewable energy and energy efficiency</w:t>
      </w:r>
      <w:r>
        <w:rPr>
          <w:noProof/>
          <w:webHidden/>
        </w:rPr>
        <w:tab/>
      </w:r>
      <w:r>
        <w:rPr>
          <w:noProof/>
          <w:webHidden/>
        </w:rPr>
        <w:fldChar w:fldCharType="begin"/>
      </w:r>
      <w:r>
        <w:rPr>
          <w:noProof/>
          <w:webHidden/>
        </w:rPr>
        <w:instrText xml:space="preserve"> PAGEREF \h _Toc474676079 \* MERGEFORMAT </w:instrText>
      </w:r>
      <w:r>
        <w:rPr>
          <w:noProof/>
          <w:webHidden/>
        </w:rPr>
      </w:r>
      <w:r>
        <w:rPr>
          <w:noProof/>
          <w:webHidden/>
        </w:rPr>
        <w:fldChar w:fldCharType="separate"/>
      </w:r>
      <w:r>
        <w:rPr>
          <w:noProof/>
          <w:webHidden/>
        </w:rPr>
        <w:t>35</w:t>
      </w:r>
      <w:r>
        <w:rPr>
          <w:noProof/>
          <w:webHidden/>
        </w:rPr>
        <w:fldChar w:fldCharType="end"/>
      </w:r>
    </w:p>
    <w:p w:rsidR="002A43CB" w:rsidRDefault="0048172E">
      <w:pPr>
        <w:pStyle w:val="TOC5"/>
        <w:rPr>
          <w:rFonts w:eastAsiaTheme="minorEastAsia"/>
          <w:noProof/>
        </w:rPr>
      </w:pPr>
      <w:r>
        <w:rPr>
          <w:noProof/>
        </w:rPr>
        <w:t>3.4.4.</w:t>
      </w:r>
      <w:r>
        <w:rPr>
          <w:rFonts w:eastAsiaTheme="minorEastAsia"/>
          <w:noProof/>
        </w:rPr>
        <w:tab/>
      </w:r>
      <w:r>
        <w:rPr>
          <w:noProof/>
        </w:rPr>
        <w:t>Investment challenges in Luxembourg</w:t>
      </w:r>
      <w:r>
        <w:rPr>
          <w:noProof/>
          <w:webHidden/>
        </w:rPr>
        <w:tab/>
      </w:r>
      <w:r>
        <w:rPr>
          <w:noProof/>
          <w:webHidden/>
        </w:rPr>
        <w:fldChar w:fldCharType="begin"/>
      </w:r>
      <w:r>
        <w:rPr>
          <w:noProof/>
          <w:webHidden/>
        </w:rPr>
        <w:instrText xml:space="preserve"> PAGEREF \h _Toc474676080 \* MERGEFORMAT </w:instrText>
      </w:r>
      <w:r>
        <w:rPr>
          <w:noProof/>
          <w:webHidden/>
        </w:rPr>
      </w:r>
      <w:r>
        <w:rPr>
          <w:noProof/>
          <w:webHidden/>
        </w:rPr>
        <w:fldChar w:fldCharType="separate"/>
      </w:r>
      <w:r>
        <w:rPr>
          <w:noProof/>
          <w:webHidden/>
        </w:rPr>
        <w:t>41</w:t>
      </w:r>
      <w:r>
        <w:rPr>
          <w:noProof/>
          <w:webHidden/>
        </w:rPr>
        <w:fldChar w:fldCharType="end"/>
      </w:r>
    </w:p>
    <w:p w:rsidR="002A43CB" w:rsidRDefault="002A43CB">
      <w:pPr>
        <w:rPr>
          <w:noProof/>
        </w:rPr>
      </w:pPr>
    </w:p>
    <w:p w:rsidR="002A43CB" w:rsidRDefault="002A43CB">
      <w:pPr>
        <w:rPr>
          <w:noProof/>
        </w:rPr>
        <w:sectPr w:rsidR="002A43CB">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2A43CB" w:rsidRDefault="0048172E">
      <w:pPr>
        <w:pStyle w:val="SectionTitleFramed1"/>
        <w:framePr w:wrap="notBeside"/>
        <w:rPr>
          <w:noProof/>
        </w:rPr>
      </w:pPr>
      <w:bookmarkStart w:id="2" w:name="_Toc474829367"/>
      <w:bookmarkEnd w:id="2"/>
      <w:r>
        <w:rPr>
          <w:noProof/>
        </w:rPr>
        <w:lastRenderedPageBreak/>
        <w:t>Executive summary</w:t>
      </w:r>
    </w:p>
    <w:p w:rsidR="002A43CB" w:rsidRDefault="0048172E">
      <w:pPr>
        <w:rPr>
          <w:noProof/>
        </w:rPr>
      </w:pPr>
      <w:r>
        <w:rPr>
          <w:noProof/>
        </w:rPr>
        <w:t>This report assesses Luxembourg’s economy in the light of the European Commission’s Annual Growth Survey published on 16 November 2016. In the survey the Commission calls on EU Member States to redouble their efforts on the three elements of the virtuous t</w:t>
      </w:r>
      <w:r>
        <w:rPr>
          <w:noProof/>
        </w:rPr>
        <w:t xml:space="preserve">riangle of economic policy – boosting investment, pursuing structural reforms and ensuring responsible fiscal policies. In so doing, Member States should focus on enhancing social fairness in order to deliver more inclusive growth. </w:t>
      </w:r>
    </w:p>
    <w:p w:rsidR="002A43CB" w:rsidRDefault="0048172E">
      <w:pPr>
        <w:rPr>
          <w:noProof/>
        </w:rPr>
      </w:pPr>
      <w:r>
        <w:rPr>
          <w:b/>
          <w:noProof/>
        </w:rPr>
        <w:t>The economy of Luxembou</w:t>
      </w:r>
      <w:r>
        <w:rPr>
          <w:b/>
          <w:noProof/>
        </w:rPr>
        <w:t>rg has sharply rebounded since the start of the financial crisis.</w:t>
      </w:r>
      <w:r>
        <w:rPr>
          <w:noProof/>
        </w:rPr>
        <w:t xml:space="preserve"> According to the European Commission 2017 winter forecast, the strong momentum is projected to continue in 2016 and in the next two years as GDP growth is expected to have increased by 3.8% in 2016, to accelerate to 4.0% in 2017 and return to 3.9% in 2018</w:t>
      </w:r>
      <w:r>
        <w:rPr>
          <w:noProof/>
        </w:rPr>
        <w:t xml:space="preserve">, close to, but still below pre-crisis growth rates. Domestic demand is expected to replace net exports as the main growth driver. </w:t>
      </w:r>
    </w:p>
    <w:p w:rsidR="002A43CB" w:rsidRDefault="0048172E">
      <w:pPr>
        <w:rPr>
          <w:noProof/>
        </w:rPr>
      </w:pPr>
      <w:r>
        <w:rPr>
          <w:b/>
          <w:noProof/>
        </w:rPr>
        <w:t>The financial sector is the largest contributor to national gross value added.</w:t>
      </w:r>
      <w:r>
        <w:rPr>
          <w:noProof/>
        </w:rPr>
        <w:t xml:space="preserve">  The investment fund industry has gained mome</w:t>
      </w:r>
      <w:r>
        <w:rPr>
          <w:noProof/>
        </w:rPr>
        <w:t>ntum, benefiting from the expansion of global financial markets. At the same time, buoyant credit provided by banks to the private sector has accompanied a solid investment trend, notably in the real estate and non-residential construction sectors. In part</w:t>
      </w:r>
      <w:r>
        <w:rPr>
          <w:noProof/>
        </w:rPr>
        <w:t xml:space="preserve">icular, public investment, mostly in relation to the realisation of sizeable infrastructure projects, has rebounded sharply in recent years after a period of sluggish growth. </w:t>
      </w:r>
    </w:p>
    <w:p w:rsidR="002A43CB" w:rsidRDefault="0048172E">
      <w:pPr>
        <w:rPr>
          <w:noProof/>
        </w:rPr>
      </w:pPr>
      <w:r>
        <w:rPr>
          <w:b/>
          <w:noProof/>
        </w:rPr>
        <w:t>Economic growth continues to be accompanied by sustained job creation.</w:t>
      </w:r>
      <w:r>
        <w:rPr>
          <w:noProof/>
        </w:rPr>
        <w:t xml:space="preserve"> In 2016 e</w:t>
      </w:r>
      <w:r>
        <w:rPr>
          <w:noProof/>
        </w:rPr>
        <w:t>mployment growth is estimated to have accelerated to 3.0%, compared to 2.6% in the previous year, with all sectors providing a positive contribution to the overall growth since 2015. Information and Communication Technology (ICT) activities and services to</w:t>
      </w:r>
      <w:r>
        <w:rPr>
          <w:noProof/>
        </w:rPr>
        <w:t xml:space="preserve"> the business sector are areas where growth has been the most dynamic over recent years. Unemployment continues to fall, but at a slower pace than expected, as strong job creation favours more cross-border workers than residents. </w:t>
      </w:r>
    </w:p>
    <w:p w:rsidR="002A43CB" w:rsidRDefault="0048172E">
      <w:pPr>
        <w:rPr>
          <w:noProof/>
        </w:rPr>
      </w:pPr>
      <w:r>
        <w:rPr>
          <w:b/>
          <w:noProof/>
        </w:rPr>
        <w:t>The general government ba</w:t>
      </w:r>
      <w:r>
        <w:rPr>
          <w:b/>
          <w:noProof/>
        </w:rPr>
        <w:t>lance is expected to post a surplus of around 1½ of GDP in 2016.</w:t>
      </w:r>
      <w:r>
        <w:rPr>
          <w:noProof/>
        </w:rPr>
        <w:t xml:space="preserve"> Growth in public revenues has been sustained as the government adopted several measures to counter the loss of VAT revenues from e-commerce related transactions due to a change in the legisla</w:t>
      </w:r>
      <w:r>
        <w:rPr>
          <w:noProof/>
        </w:rPr>
        <w:t>tion. At the same time, expenditure growth has trended down since 2013, partially thanks to the lack of indexation of a large proportion of public expenditure (public wages, pensions, etc.) due to the low inflation environment and to the saving measures ad</w:t>
      </w:r>
      <w:r>
        <w:rPr>
          <w:noProof/>
        </w:rPr>
        <w:t xml:space="preserve">opted in the context of the 2015 budget. </w:t>
      </w:r>
    </w:p>
    <w:p w:rsidR="002A43CB" w:rsidRDefault="0048172E">
      <w:pPr>
        <w:rPr>
          <w:noProof/>
        </w:rPr>
      </w:pPr>
      <w:r>
        <w:rPr>
          <w:b/>
          <w:noProof/>
        </w:rPr>
        <w:t>Subdued inflation has contributed to moderate wage developments.</w:t>
      </w:r>
      <w:r>
        <w:rPr>
          <w:noProof/>
        </w:rPr>
        <w:t xml:space="preserve"> However, the long lasting fall in oil prices, which has dragged on inflation in previous years, appears to have bottomed out. The protracted low infl</w:t>
      </w:r>
      <w:r>
        <w:rPr>
          <w:noProof/>
        </w:rPr>
        <w:t>ation environment delayed the triggering of the automatic wage adjustment, which occurred only at the beginning of 2017, with the previous automatic wage adjustment having taken effect in October 2013. Thanks to weak wage developments and the surge in outp</w:t>
      </w:r>
      <w:r>
        <w:rPr>
          <w:noProof/>
        </w:rPr>
        <w:t>ut, some of the past cost-competitiveness losses have been recouped.</w:t>
      </w:r>
    </w:p>
    <w:p w:rsidR="002A43CB" w:rsidRDefault="0048172E">
      <w:pPr>
        <w:rPr>
          <w:noProof/>
        </w:rPr>
      </w:pPr>
      <w:r>
        <w:rPr>
          <w:b/>
          <w:noProof/>
        </w:rPr>
        <w:t xml:space="preserve">Overall, Luxembourg has made limited progress in addressing the 2016 country-specific recommendations. </w:t>
      </w:r>
      <w:r>
        <w:rPr>
          <w:noProof/>
        </w:rPr>
        <w:t>It has made limited progress in ensuring the sustainability of public finances. In p</w:t>
      </w:r>
      <w:r>
        <w:rPr>
          <w:noProof/>
        </w:rPr>
        <w:t>articular, while a bill on the reclassification of workers with disabilities, aiming to keep these people at work, has been implemented, the adoption of the law limiting early retirement is still pending. There has been no progress on aligning the statutor</w:t>
      </w:r>
      <w:r>
        <w:rPr>
          <w:noProof/>
        </w:rPr>
        <w:t xml:space="preserve">y retirement age to change in life expectancy. Limited progress has been made in removing barriers to investment and innovation that limit economic development in the business sector.  Some progress has been made to address bottlenecks that hamper housing </w:t>
      </w:r>
      <w:r>
        <w:rPr>
          <w:noProof/>
        </w:rPr>
        <w:t xml:space="preserve">investment. Few measures have been adopted and others are planned.  Nevertheless, in view of the projected population increase challenges ahead for the Luxembourg authorities remain sizeable </w:t>
      </w:r>
    </w:p>
    <w:p w:rsidR="002A43CB" w:rsidRDefault="0048172E">
      <w:pPr>
        <w:rPr>
          <w:noProof/>
        </w:rPr>
      </w:pPr>
      <w:r>
        <w:rPr>
          <w:noProof/>
        </w:rPr>
        <w:t>Regarding progress in reaching the national targets under the Eu</w:t>
      </w:r>
      <w:r>
        <w:rPr>
          <w:noProof/>
        </w:rPr>
        <w:t>rope 2020 Strategy, Luxembourg is performing well in the areas of employment, renewable energy, energy efficiency, reducing early school leaving and improving tertiary education attainment. By contrast, Luxembourg is still far from reaching its targets for</w:t>
      </w:r>
      <w:r>
        <w:rPr>
          <w:noProof/>
        </w:rPr>
        <w:t xml:space="preserve"> investment in research and developments (R&amp;D), reducing greenhouse gas emission, and reducing poverty.</w:t>
      </w:r>
    </w:p>
    <w:p w:rsidR="002A43CB" w:rsidRDefault="0048172E">
      <w:pPr>
        <w:rPr>
          <w:noProof/>
        </w:rPr>
      </w:pPr>
      <w:r>
        <w:rPr>
          <w:noProof/>
        </w:rPr>
        <w:t>The main findings of the analysis in this report and the related policy challenges are as follows:</w:t>
      </w:r>
    </w:p>
    <w:p w:rsidR="002A43CB" w:rsidRDefault="0048172E">
      <w:pPr>
        <w:pStyle w:val="ListBullet"/>
        <w:numPr>
          <w:ilvl w:val="0"/>
          <w:numId w:val="1"/>
        </w:numPr>
        <w:rPr>
          <w:noProof/>
        </w:rPr>
      </w:pPr>
      <w:r>
        <w:rPr>
          <w:b/>
          <w:noProof/>
        </w:rPr>
        <w:t>Long-term fiscal sustainability concerns remain given</w:t>
      </w:r>
      <w:r>
        <w:rPr>
          <w:b/>
          <w:noProof/>
        </w:rPr>
        <w:t xml:space="preserve"> the projected increase in ageing costs. </w:t>
      </w:r>
      <w:r>
        <w:rPr>
          <w:noProof/>
        </w:rPr>
        <w:t>Currently, the pension system is still in surplus and has accumulated sizeable reserves, largely due to continued labour force increase. However, findings from the November 2016 pension review carried out by the aut</w:t>
      </w:r>
      <w:r>
        <w:rPr>
          <w:noProof/>
        </w:rPr>
        <w:t xml:space="preserve">horities confirm that concerns remain, as the annual balance of the system is expected to become negative by 2023. Pension expenditure is projected to increase by 3.3 percentage points of GDP up to 2040 (the second highest increase in EU), compared to the </w:t>
      </w:r>
      <w:r>
        <w:rPr>
          <w:noProof/>
        </w:rPr>
        <w:t xml:space="preserve">EU average of 0.4 percentage points of GDP. Under less favourable demographic and labour market developments the size of future deficits would be even higher. Further challenges to sustainability stem from long-term care, in which expenditure is projected </w:t>
      </w:r>
      <w:r>
        <w:rPr>
          <w:noProof/>
        </w:rPr>
        <w:t xml:space="preserve">to steeply increase and more than double with respect to the current value measured as a share of GDP.  </w:t>
      </w:r>
    </w:p>
    <w:p w:rsidR="002A43CB" w:rsidRDefault="0048172E">
      <w:pPr>
        <w:pStyle w:val="ListBullet"/>
        <w:numPr>
          <w:ilvl w:val="0"/>
          <w:numId w:val="1"/>
        </w:numPr>
        <w:rPr>
          <w:noProof/>
        </w:rPr>
      </w:pPr>
      <w:r>
        <w:rPr>
          <w:b/>
          <w:noProof/>
        </w:rPr>
        <w:t xml:space="preserve">Housing demand continues to exceed supply, resulting in a sharp increase in real estate prices. </w:t>
      </w:r>
      <w:r>
        <w:rPr>
          <w:noProof/>
        </w:rPr>
        <w:t>The number of dwellings built has consistently remained</w:t>
      </w:r>
      <w:r>
        <w:rPr>
          <w:noProof/>
        </w:rPr>
        <w:t xml:space="preserve"> below the estimated needs to match the demand from the constantly growing population. Insufficient land availability or the incapacity to mobilise the available land seems to be the main obstacle to the creation of new housing units. High and increasing h</w:t>
      </w:r>
      <w:r>
        <w:rPr>
          <w:noProof/>
        </w:rPr>
        <w:t>ouse prices coupled with an ownership bias risk discouraging people from moving to Luxembourg, undermining its ability to attract and retain a high-skilled labour force, many of whom are non-nationals. In addition, this risks exacerbating the problem of tr</w:t>
      </w:r>
      <w:r>
        <w:rPr>
          <w:noProof/>
        </w:rPr>
        <w:t>affic congestion and air pollution.</w:t>
      </w:r>
    </w:p>
    <w:p w:rsidR="002A43CB" w:rsidRDefault="0048172E">
      <w:pPr>
        <w:pStyle w:val="ListBullet"/>
        <w:numPr>
          <w:ilvl w:val="0"/>
          <w:numId w:val="1"/>
        </w:numPr>
        <w:rPr>
          <w:noProof/>
        </w:rPr>
      </w:pPr>
      <w:r>
        <w:rPr>
          <w:b/>
          <w:noProof/>
        </w:rPr>
        <w:t>Luxembourg has a healthy financial sector, for which risks can be assessed as contained.</w:t>
      </w:r>
      <w:r>
        <w:rPr>
          <w:noProof/>
        </w:rPr>
        <w:t xml:space="preserve"> The whole economy benefits from the presence of a large financial sector. In the near term, developments in the financial sector ar</w:t>
      </w:r>
      <w:r>
        <w:rPr>
          <w:noProof/>
        </w:rPr>
        <w:t>e expected to continue to have a strong impact on the country's economic performance. A strong financial supervision framework is key to ensure the resilience of the sector. Luxembourg is in a good position to benefit from the EU banking union because it w</w:t>
      </w:r>
      <w:r>
        <w:rPr>
          <w:noProof/>
        </w:rPr>
        <w:t>ill provide a better, more integrated European regulatory framework. Favourable lending conditions and low interest rates have supported a surge in mortgage credits. This has led to an increase in households' indebtedness that over the last 10 years has re</w:t>
      </w:r>
      <w:r>
        <w:rPr>
          <w:noProof/>
        </w:rPr>
        <w:t>ached a level close to the euro area average as a proportion of GDP. There are potential risks to the financial sector stemming from developments in the housing market and the concentration of mortgage lending activities in a few banks. Nevertheless, mitig</w:t>
      </w:r>
      <w:r>
        <w:rPr>
          <w:noProof/>
        </w:rPr>
        <w:t>ating factors such as the sound capitalisation of banks and the low share of non-performing loans mean that direct risks to the banking system related to residential real estate can be assessed as limited.</w:t>
      </w:r>
    </w:p>
    <w:p w:rsidR="002A43CB" w:rsidRDefault="0048172E">
      <w:pPr>
        <w:pStyle w:val="ListBullet"/>
        <w:numPr>
          <w:ilvl w:val="0"/>
          <w:numId w:val="1"/>
        </w:numPr>
        <w:rPr>
          <w:noProof/>
        </w:rPr>
      </w:pPr>
      <w:r>
        <w:rPr>
          <w:b/>
          <w:noProof/>
        </w:rPr>
        <w:t>Reducing the economy's reliance on the financial s</w:t>
      </w:r>
      <w:r>
        <w:rPr>
          <w:b/>
          <w:noProof/>
        </w:rPr>
        <w:t>ector remains a central long-term challenge.</w:t>
      </w:r>
      <w:r>
        <w:rPr>
          <w:noProof/>
        </w:rPr>
        <w:t xml:space="preserve"> A strategic document commissioned by the authorities to foster a transition towards a new industrial model was released last November.  Its effective impact will depend, however, on the specific measures that wi</w:t>
      </w:r>
      <w:r>
        <w:rPr>
          <w:noProof/>
        </w:rPr>
        <w:t>ll be implemented. Furthermore, the ultimate success of the diversification strategy is potentially constrained by a number of factors such as innovation and entrepreneurship. Labour cost developments also play a role in more price sensitive sectors, poten</w:t>
      </w:r>
      <w:r>
        <w:rPr>
          <w:noProof/>
        </w:rPr>
        <w:t xml:space="preserve">tially limiting the variety of areas that can be targeted to those with high added value. </w:t>
      </w:r>
    </w:p>
    <w:p w:rsidR="002A43CB" w:rsidRDefault="0048172E">
      <w:pPr>
        <w:pStyle w:val="ListBullet"/>
        <w:numPr>
          <w:ilvl w:val="0"/>
          <w:numId w:val="1"/>
        </w:numPr>
        <w:rPr>
          <w:noProof/>
        </w:rPr>
      </w:pPr>
      <w:r>
        <w:rPr>
          <w:b/>
          <w:noProof/>
        </w:rPr>
        <w:t>Private investment, especially in intangible capital, remains below the euro area average.</w:t>
      </w:r>
      <w:r>
        <w:rPr>
          <w:noProof/>
        </w:rPr>
        <w:t xml:space="preserve"> The low level of investment in intangible capital could harm growth perspe</w:t>
      </w:r>
      <w:r>
        <w:rPr>
          <w:noProof/>
        </w:rPr>
        <w:t>ctives because it undermines innovation and productivity. Business research and development (R&amp;D) intensity is in a decreasing trend. This together with the high level of restrictiveness of legislation in the services sector, especially in the business ser</w:t>
      </w:r>
      <w:r>
        <w:rPr>
          <w:noProof/>
        </w:rPr>
        <w:t xml:space="preserve">vices, limit the potential for innovation and hamper diversification  </w:t>
      </w:r>
    </w:p>
    <w:p w:rsidR="002A43CB" w:rsidRDefault="0048172E">
      <w:pPr>
        <w:pStyle w:val="ListBullet"/>
        <w:numPr>
          <w:ilvl w:val="0"/>
          <w:numId w:val="1"/>
        </w:numPr>
        <w:rPr>
          <w:noProof/>
        </w:rPr>
      </w:pPr>
      <w:r>
        <w:rPr>
          <w:b/>
          <w:noProof/>
        </w:rPr>
        <w:t>The labour market continues to perform well, but there are still challenges for specific groups.</w:t>
      </w:r>
      <w:r>
        <w:rPr>
          <w:noProof/>
        </w:rPr>
        <w:t xml:space="preserve"> Employment growth continues on a steady path and the unemployment rate is among the lowe</w:t>
      </w:r>
      <w:r>
        <w:rPr>
          <w:noProof/>
        </w:rPr>
        <w:t xml:space="preserve">st in the EU. Weak labour market outcomes for older workers and, to a lesser extent, women, remain an important policy challenge however. Elderly and low-skilled workers are more likely to be unemployed. This is partly related to the economic structure of </w:t>
      </w:r>
      <w:r>
        <w:rPr>
          <w:noProof/>
        </w:rPr>
        <w:t>the country, characterised by a long-term shift towards high-skilled sectors and a strong specialisation in financial and business services. Poverty and social exclusion risks are increasing but still among the lowest in the EU. Nevertheless, social transf</w:t>
      </w:r>
      <w:r>
        <w:rPr>
          <w:noProof/>
        </w:rPr>
        <w:t>ers remain essential in lifting people out of poverty. The tax and benefit system has helped keep income inequality at moderate levels.</w:t>
      </w:r>
    </w:p>
    <w:p w:rsidR="002A43CB" w:rsidRDefault="0048172E">
      <w:pPr>
        <w:pStyle w:val="ListBullet"/>
        <w:numPr>
          <w:ilvl w:val="0"/>
          <w:numId w:val="1"/>
        </w:numPr>
        <w:rPr>
          <w:noProof/>
        </w:rPr>
      </w:pPr>
      <w:r>
        <w:rPr>
          <w:b/>
          <w:noProof/>
        </w:rPr>
        <w:t>Despite very high rates of tertiary education attainment, performance in providing basic skills is weak by international</w:t>
      </w:r>
      <w:r>
        <w:rPr>
          <w:b/>
          <w:noProof/>
        </w:rPr>
        <w:t xml:space="preserve"> comparison and has worsened since 2012.</w:t>
      </w:r>
      <w:r>
        <w:rPr>
          <w:noProof/>
        </w:rPr>
        <w:t xml:space="preserve"> The impact of the students’ socioeconomic background on their performance is one of the strongest in the EU, pointing to high educational inequality. Adapting vocational education and training to labour market needs</w:t>
      </w:r>
      <w:r>
        <w:rPr>
          <w:noProof/>
        </w:rPr>
        <w:t xml:space="preserve"> remains challenging. </w:t>
      </w:r>
    </w:p>
    <w:p w:rsidR="002A43CB" w:rsidRDefault="0048172E">
      <w:pPr>
        <w:pStyle w:val="ListBullet"/>
        <w:numPr>
          <w:ilvl w:val="0"/>
          <w:numId w:val="1"/>
        </w:numPr>
        <w:rPr>
          <w:noProof/>
        </w:rPr>
      </w:pPr>
      <w:r>
        <w:rPr>
          <w:b/>
          <w:noProof/>
        </w:rPr>
        <w:t>Public finances remain sound.</w:t>
      </w:r>
      <w:r>
        <w:rPr>
          <w:noProof/>
        </w:rPr>
        <w:t xml:space="preserve"> However, part of the available fiscal space has been used to implement a tax reform. The reform aims to increase equity and competitiveness while preserving sustainability. Some features of the Luxembour</w:t>
      </w:r>
      <w:r>
        <w:rPr>
          <w:noProof/>
        </w:rPr>
        <w:t xml:space="preserve">g taxation system remain sensitive to international initiatives in the fight against tax avoidance. The tax reform narrowed the tax base. At the same time, taxation on housing property is low, which seems to contribute to low housing supply. There is also </w:t>
      </w:r>
      <w:r>
        <w:rPr>
          <w:noProof/>
        </w:rPr>
        <w:t>low transport fuel taxation, which stimulates traffic congestion and may counteract efforts to reach EU2020 targets and to invest in less polluting energy resources. Luxembourg does not have a regular spending review mechanism in its budgetary process, whi</w:t>
      </w:r>
      <w:r>
        <w:rPr>
          <w:noProof/>
        </w:rPr>
        <w:t>ch could increase the efficiency of public expenditure.</w:t>
      </w:r>
    </w:p>
    <w:p w:rsidR="002A43CB" w:rsidRDefault="002A43CB">
      <w:pPr>
        <w:rPr>
          <w:noProof/>
        </w:rPr>
        <w:sectPr w:rsidR="002A43CB">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2A43CB" w:rsidRDefault="0048172E">
      <w:pPr>
        <w:pStyle w:val="SectionTitleFramed2"/>
        <w:framePr w:wrap="notBeside"/>
        <w:rPr>
          <w:noProof/>
        </w:rPr>
      </w:pPr>
      <w:bookmarkStart w:id="3" w:name="_Toc474829368"/>
      <w:bookmarkEnd w:id="3"/>
      <w:r>
        <w:rPr>
          <w:rFonts w:ascii="Times New Roman" w:hAnsi="Times New Roman"/>
          <w:b/>
          <w:noProof/>
          <w:color w:val="808080"/>
          <w:sz w:val="72"/>
        </w:rPr>
        <w:t>1.</w:t>
      </w:r>
      <w:r>
        <w:rPr>
          <w:noProof/>
        </w:rPr>
        <w:tab/>
        <w:t>Economic situation and outlook</w:t>
      </w:r>
    </w:p>
    <w:p w:rsidR="002A43CB" w:rsidRDefault="0048172E">
      <w:pPr>
        <w:pStyle w:val="Heading"/>
        <w:rPr>
          <w:noProof/>
        </w:rPr>
      </w:pPr>
      <w:r>
        <w:rPr>
          <w:noProof/>
        </w:rPr>
        <w:t>GDP growth</w:t>
      </w:r>
    </w:p>
    <w:p w:rsidR="002A43CB" w:rsidRDefault="0048172E">
      <w:pPr>
        <w:rPr>
          <w:noProof/>
        </w:rPr>
      </w:pPr>
      <w:r>
        <w:rPr>
          <w:b/>
          <w:noProof/>
        </w:rPr>
        <w:t xml:space="preserve">After peaking </w:t>
      </w:r>
      <w:r>
        <w:rPr>
          <w:b/>
          <w:noProof/>
        </w:rPr>
        <w:t>at 4.7% in 2014, GDP growth stood at 3.5% in 2015 and is expected to have increased to 3.8% in 2016, underpinned by robust domestic demand and net exports.</w:t>
      </w:r>
      <w:r>
        <w:rPr>
          <w:noProof/>
        </w:rPr>
        <w:t xml:space="preserve"> The growth momentum is expected to accelerate in 2017 to 4.0%, before returning to 3.9% in 2018. Lux</w:t>
      </w:r>
      <w:r>
        <w:rPr>
          <w:noProof/>
        </w:rPr>
        <w:t xml:space="preserve">embourg's economy has been significantly more dynamic than those of its neighbouring trade partners and the euro area as a whole (Graph </w:t>
      </w:r>
      <w:r>
        <w:rPr>
          <w:noProof/>
        </w:rPr>
        <w:fldChar w:fldCharType="begin"/>
      </w:r>
      <w:r>
        <w:rPr>
          <w:noProof/>
        </w:rPr>
        <w:instrText xml:space="preserve"> QUOTE "1.1"</w:instrText>
      </w:r>
      <w:r>
        <w:rPr>
          <w:noProof/>
        </w:rPr>
        <w:fldChar w:fldCharType="begin">
          <w:fldData xml:space="preserve">QwBSAE8AUwBTAFIARQBGAEUAUgBFAE4AQwBFACoARwBSAEEAUABIACoAMABlAGQAYwA0ADkANQA1
AC0AZQBkADAAOQAtADQAOABkAGIALQA5ADAAYQAxAC0AYQBhAGMAMwBhAGEAMQBhAGUAMgA1AGQA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during the expansion phases, especially in the two waves of the recent crisis. This comes at the expense of pronounced volatility, including frequent, sharp revisions by the statistical authorities.(</w:t>
      </w:r>
      <w:r>
        <w:rPr>
          <w:noProof/>
          <w:vertAlign w:val="superscript"/>
        </w:rPr>
        <w:footnoteReference w:id="1"/>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1.1:</w:t>
            </w:r>
            <w:r>
              <w:rPr>
                <w:b/>
                <w:noProof/>
              </w:rPr>
              <w:tab/>
              <w:t>Breakdown of real GDP growth</w:t>
            </w:r>
          </w:p>
        </w:tc>
      </w:tr>
      <w:tr w:rsidR="002A43CB">
        <w:trPr>
          <w:cantSplit/>
        </w:trPr>
        <w:tc>
          <w:tcPr>
            <w:tcW w:w="4110" w:type="dxa"/>
            <w:shd w:val="clear" w:color="auto" w:fill="auto"/>
          </w:tcPr>
          <w:p w:rsidR="002A43CB" w:rsidRDefault="0048172E">
            <w:pPr>
              <w:pStyle w:val="GraphShape"/>
              <w:rPr>
                <w:noProof/>
                <w:sz w:val="2"/>
              </w:rPr>
            </w:pPr>
            <w:bookmarkStart w:id="4" w:name="_Toc474676051"/>
            <w:bookmarkEnd w:id="4"/>
            <w:r>
              <w:rPr>
                <w:noProof/>
                <w:sz w:val="2"/>
                <w:lang w:eastAsia="en-GB"/>
              </w:rPr>
              <w:drawing>
                <wp:inline distT="0" distB="0" distL="0" distR="0" wp14:anchorId="2E30A211" wp14:editId="1AC6409E">
                  <wp:extent cx="2597595" cy="2705038"/>
                  <wp:effectExtent l="0" t="0" r="0" b="635"/>
                  <wp:docPr id="2" name="Picture 2" descr="&lt;_DISABLED_nbr_DISABLED_&gt;&lt;GETTEXTFROMWORD&gt;&lt;/nbr&gt;&#10;&lt;title&gt;&lt;GETTEXTFROMWORD&gt;&lt;/title&gt;&#10;&lt;_DISABLED_id_DISABLED_&gt;0edc4955-ed09-48db-90a1-aac3aa1ae25d&lt;/id&gt;&#10;&lt;srcType&gt;EXCEL&lt;/srcType&gt;&#10;&lt;srcPath&gt;O:\2017 CRs\16 LU\16_Luxembourg_CR\Graphs,Tables and Boxes\Chapter 1 - Economic outlook\&lt;/srcPath&gt;&#10;&lt;srcName&gt;Main_Trends_Growth_LU.xlsx&lt;/srcName&gt;&#10;&lt;type&gt;graph&lt;/type&gt;&#10; &lt;srcSheet&gt;GDP_growt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5:40: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705038"/>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Private and public consumption are estimated to have provided a stable positive contribution to growth in 2016, much in line with developments over the last decade.</w:t>
      </w:r>
      <w:r>
        <w:rPr>
          <w:noProof/>
        </w:rPr>
        <w:t xml:space="preserve"> The continuous demographic expansion combined with dynamic wag</w:t>
      </w:r>
      <w:r>
        <w:rPr>
          <w:noProof/>
        </w:rPr>
        <w:t>es and, more recently, the vanishing inflation differentials with the EU, has sustained the purchasing power of households. The tax reduction package that entered into force in January 2017, coupled with the automatic wage indexation triggered at the begin</w:t>
      </w:r>
      <w:r>
        <w:rPr>
          <w:noProof/>
        </w:rPr>
        <w:t xml:space="preserve">ning of 2017 are likely to spur private consumption. </w:t>
      </w:r>
    </w:p>
    <w:p w:rsidR="002A43CB" w:rsidRDefault="0048172E">
      <w:pPr>
        <w:rPr>
          <w:noProof/>
        </w:rPr>
      </w:pPr>
      <w:r>
        <w:rPr>
          <w:b/>
          <w:noProof/>
        </w:rPr>
        <w:t>Net exports have recovered rapidly after the second wave of the crisis.</w:t>
      </w:r>
      <w:r>
        <w:rPr>
          <w:noProof/>
        </w:rPr>
        <w:t xml:space="preserve"> Since 2013, they have significantly contributed to growth. As a small and open economy, Luxembourg mainly depends on its ability t</w:t>
      </w:r>
      <w:r>
        <w:rPr>
          <w:noProof/>
        </w:rPr>
        <w:t xml:space="preserve">o export its output, largely dominated by services, in particular financial services. While overall perspectives for the financial sector appear positive, a deeper analysis will be carried out in Section 3.2.1.        </w:t>
      </w:r>
    </w:p>
    <w:p w:rsidR="002A43CB" w:rsidRDefault="0048172E">
      <w:pPr>
        <w:rPr>
          <w:noProof/>
        </w:rPr>
      </w:pPr>
      <w:r>
        <w:rPr>
          <w:b/>
          <w:noProof/>
        </w:rPr>
        <w:t>In terms of sectorial composition, Lu</w:t>
      </w:r>
      <w:r>
        <w:rPr>
          <w:b/>
          <w:noProof/>
        </w:rPr>
        <w:t>xembourg's economy is mostly services-driven, with services increasingly driving economic growth.</w:t>
      </w:r>
      <w:r>
        <w:rPr>
          <w:noProof/>
        </w:rPr>
        <w:t xml:space="preserve"> Services sectors represent over 87 % of total economic activity in terms of gross value added, compared with 7.6 % for industry and 4.8 % for construction. Pr</w:t>
      </w:r>
      <w:r>
        <w:rPr>
          <w:noProof/>
        </w:rPr>
        <w:t>imary activities represent a meagre 0.2 %. Financial services have stagnated at around 26 %, having reached 30 % in the years before the crisis, but non- financial services to the business sector, which represent around 44 % of real value added and employm</w:t>
      </w:r>
      <w:r>
        <w:rPr>
          <w:noProof/>
        </w:rPr>
        <w:t xml:space="preserve">ent, have remained the most dynamic, in terms of their value added contribution and employment creation. </w:t>
      </w:r>
    </w:p>
    <w:p w:rsidR="002A43CB" w:rsidRDefault="0048172E">
      <w:pPr>
        <w:pStyle w:val="Heading"/>
        <w:rPr>
          <w:noProof/>
        </w:rPr>
      </w:pPr>
      <w:r>
        <w:rPr>
          <w:noProof/>
        </w:rPr>
        <w:t>Potential growth</w:t>
      </w:r>
    </w:p>
    <w:p w:rsidR="002A43CB" w:rsidRDefault="0048172E">
      <w:pPr>
        <w:rPr>
          <w:noProof/>
        </w:rPr>
      </w:pPr>
      <w:r>
        <w:rPr>
          <w:b/>
          <w:noProof/>
        </w:rPr>
        <w:t xml:space="preserve">The rapid and sustained recovery of potential growth after the first wave of the crisis hides the vanishing contribution from total </w:t>
      </w:r>
      <w:r>
        <w:rPr>
          <w:b/>
          <w:noProof/>
        </w:rPr>
        <w:t>factor productivity.</w:t>
      </w:r>
      <w:r>
        <w:rPr>
          <w:noProof/>
        </w:rPr>
        <w:t xml:space="preserve"> During the period 2004-2007 (Graph 1.2), the decline in potential growth was entirely due to continued falls in total factor productivity growth. Potential employment growth remained stable, while capital stock growth accelerated by th</w:t>
      </w:r>
      <w:r>
        <w:rPr>
          <w:noProof/>
        </w:rPr>
        <w:t>e end of the period. During the first years of the crisis, 2008-2010, potential growth dropped markedly. Potential employment growth also declined but to a lesser extent, while the contribution from total factor productivity became negative. After the cris</w:t>
      </w:r>
      <w:r>
        <w:rPr>
          <w:noProof/>
        </w:rPr>
        <w:t>is, potential labour bounced back to even higher levels than before the crisis, as did capital though to lower levels. By contrast total factor productivity (TFP) growth remained muted. (see Section 3.4.1).</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1.2:</w:t>
            </w:r>
            <w:r>
              <w:rPr>
                <w:b/>
                <w:noProof/>
              </w:rPr>
              <w:tab/>
              <w:t>Breakdown of potential growth</w:t>
            </w:r>
          </w:p>
        </w:tc>
      </w:tr>
      <w:tr w:rsidR="002A43CB">
        <w:trPr>
          <w:cantSplit/>
        </w:trPr>
        <w:tc>
          <w:tcPr>
            <w:tcW w:w="4110" w:type="dxa"/>
            <w:shd w:val="clear" w:color="auto" w:fill="auto"/>
          </w:tcPr>
          <w:p w:rsidR="002A43CB" w:rsidRDefault="0048172E">
            <w:pPr>
              <w:pStyle w:val="GraphShape"/>
              <w:rPr>
                <w:noProof/>
                <w:sz w:val="2"/>
              </w:rPr>
            </w:pPr>
            <w:bookmarkStart w:id="5" w:name="_Toc474676052"/>
            <w:bookmarkEnd w:id="5"/>
            <w:r>
              <w:rPr>
                <w:noProof/>
                <w:sz w:val="2"/>
                <w:lang w:eastAsia="en-GB"/>
              </w:rPr>
              <w:drawing>
                <wp:inline distT="0" distB="0" distL="0" distR="0" wp14:anchorId="42A9AA17" wp14:editId="01EF1325">
                  <wp:extent cx="2597595" cy="2126741"/>
                  <wp:effectExtent l="0" t="0" r="0" b="6985"/>
                  <wp:docPr id="77" name="Picture 77" descr="&lt;_DISABLED_nbr_DISABLED_&gt;&lt;GETTEXTFROMWORD&gt;&lt;/nbr&gt;&#10;&lt;title&gt;&lt;GETTEXTFROMWORD&gt;&lt;/title&gt;&#10;&lt;_DISABLED_id_DISABLED_&gt;aafc0332-28a5-4af8-8d7c-e1bf1663fe47&lt;/id&gt;&#10;&lt;srcType&gt;EXCEL&lt;/srcType&gt;&#10;&lt;srcPath&gt;O:\2017 CRs\16 LU\16_Luxembourg_CR\Graphs,Tables and Boxes\Chapter 1 - Economic outlook\&lt;/srcPath&gt;&#10;&lt;srcName&gt;Main_Trends_Growth_LU.xlsx&lt;/srcName&gt;&#10;&lt;type&gt;graph&lt;/type&gt;&#10; &lt;srcSheet&gt;Pot_growt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5:40: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126741"/>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w:t>
            </w:r>
            <w:r>
              <w:rPr>
                <w:b/>
                <w:i/>
                <w:noProof/>
              </w:rPr>
              <w:t>ce:</w:t>
            </w:r>
            <w:r>
              <w:rPr>
                <w:noProof/>
              </w:rPr>
              <w:t xml:space="preserve"> European Commission</w:t>
            </w:r>
          </w:p>
        </w:tc>
      </w:tr>
    </w:tbl>
    <w:p w:rsidR="002A43CB" w:rsidRDefault="0048172E">
      <w:pPr>
        <w:pStyle w:val="Heading"/>
        <w:rPr>
          <w:noProof/>
        </w:rPr>
      </w:pPr>
      <w:r>
        <w:rPr>
          <w:noProof/>
        </w:rPr>
        <w:t xml:space="preserve">Inflation   </w:t>
      </w:r>
    </w:p>
    <w:p w:rsidR="002A43CB" w:rsidRDefault="0048172E">
      <w:pPr>
        <w:keepNext/>
        <w:rPr>
          <w:noProof/>
        </w:rPr>
      </w:pPr>
      <w:r>
        <w:rPr>
          <w:b/>
          <w:noProof/>
        </w:rPr>
        <w:t>In September 2016, headline inflation became positive again after 7 months below nil.</w:t>
      </w:r>
      <w:r>
        <w:rPr>
          <w:noProof/>
        </w:rPr>
        <w:t xml:space="preserve"> As a result, the annual average inflation rate remained flat in 2016, down from 0.1% in 2015. However, the long-lasting fall in oil </w:t>
      </w:r>
      <w:r>
        <w:rPr>
          <w:noProof/>
        </w:rPr>
        <w:t>prices, which has dragged on inflation in previous years, seems to have bottomed out. Automatic wage indexation was triggered in January 2017, resulting in a general wage increase of 2.5 %. These factors, coupled with the tax reform entering into force als</w:t>
      </w:r>
      <w:r>
        <w:rPr>
          <w:noProof/>
        </w:rPr>
        <w:t xml:space="preserve">o in January 2017, are expected to foster consumption and subsequently prices. As a result, the annual average inflation is expected to approach 2% in 2017. Core inflation, which excludes unprocessed food and energy, will also increase at 1.6%. </w:t>
      </w:r>
    </w:p>
    <w:p w:rsidR="002A43CB" w:rsidRDefault="0048172E">
      <w:pPr>
        <w:pStyle w:val="Heading"/>
        <w:rPr>
          <w:noProof/>
        </w:rPr>
      </w:pPr>
      <w:r>
        <w:rPr>
          <w:noProof/>
        </w:rPr>
        <w:t>Labour mar</w:t>
      </w:r>
      <w:r>
        <w:rPr>
          <w:noProof/>
        </w:rPr>
        <w:t xml:space="preserve">ket </w:t>
      </w:r>
    </w:p>
    <w:p w:rsidR="002A43CB" w:rsidRDefault="0048172E">
      <w:pPr>
        <w:rPr>
          <w:noProof/>
        </w:rPr>
      </w:pPr>
      <w:r>
        <w:rPr>
          <w:b/>
          <w:noProof/>
        </w:rPr>
        <w:t>The pace of job creation is set to have accelerated further in 2016 to 3.0 % from 2.6 % in 2015, but unemployment persists for specific groups, albeit at an overall low level.</w:t>
      </w:r>
      <w:r>
        <w:rPr>
          <w:noProof/>
        </w:rPr>
        <w:t xml:space="preserve"> Job creation is high, though not yet matching pre-crisis rates. The outlook</w:t>
      </w:r>
      <w:r>
        <w:rPr>
          <w:noProof/>
        </w:rPr>
        <w:t xml:space="preserve"> for employment growth over the coming years remains positive, despite an expected slowdown in the pace of job creation by 2018, in line with GDP projections. However, as in previous times of economic upswing, job growth in 2016 favoured cross-border worke</w:t>
      </w:r>
      <w:r>
        <w:rPr>
          <w:noProof/>
        </w:rPr>
        <w:t>rs more than residents. Employment of non-resident workers is estimated to have increased by 3.5 % in 2016 compared with 2.6 % for resident workers. The unemployment rate, although low overall, does not show a considerable declining trend, despite employme</w:t>
      </w:r>
      <w:r>
        <w:rPr>
          <w:noProof/>
        </w:rPr>
        <w:t>nt growth, stagnating at 6.3 %, in 2016. Youth unemployment (15-24) remains high, despite a sharp decrease in 2015 (17.3 % against 22.6 % in 2014. Due to the high rate of enrolment in tertiary schools, few people are active on the labour market in this age</w:t>
      </w:r>
      <w:r>
        <w:rPr>
          <w:noProof/>
        </w:rPr>
        <w:t xml:space="preserve"> group. The rate of young people not in employment, education or training was 6.2 % in 2015, well below the EU average (see Graph </w:t>
      </w:r>
      <w:r>
        <w:rPr>
          <w:noProof/>
        </w:rPr>
        <w:fldChar w:fldCharType="begin"/>
      </w:r>
      <w:r>
        <w:rPr>
          <w:noProof/>
        </w:rPr>
        <w:instrText xml:space="preserve"> QUOTE "1.3"</w:instrText>
      </w:r>
      <w:r>
        <w:rPr>
          <w:noProof/>
        </w:rPr>
        <w:fldChar w:fldCharType="begin">
          <w:fldData xml:space="preserve">QwBSAE8AUwBTAFIARQBGAEUAUgBFAE4AQwBFACoARwBSAEEAUABIACoANgBiAGEAYQA1ADMANwA5
AC0AYQA0ADQAMwAtADQAZgA3AGYALQA4ADcAOQBjAC0AYgAwAGQAYQBhADAAYwAwADgAMAA0ADkA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w:t>
      </w:r>
    </w:p>
    <w:p w:rsidR="002A43CB" w:rsidRDefault="0048172E">
      <w:pPr>
        <w:rPr>
          <w:noProof/>
        </w:rPr>
      </w:pPr>
      <w:r>
        <w:rPr>
          <w:b/>
          <w:noProof/>
        </w:rPr>
        <w:t>De</w:t>
      </w:r>
      <w:r>
        <w:rPr>
          <w:b/>
          <w:noProof/>
        </w:rPr>
        <w:t>spite the good labour market performance overall, employment rates remain below national targets.</w:t>
      </w:r>
      <w:r>
        <w:rPr>
          <w:noProof/>
        </w:rPr>
        <w:t xml:space="preserve"> Luxembourg has not reached its mid-term employment rate target of 71.5% yet, staying at 70.9% in 2015. The employment rate of older workers did not improve in</w:t>
      </w:r>
      <w:r>
        <w:rPr>
          <w:noProof/>
        </w:rPr>
        <w:t xml:space="preserve"> 2015 and remains far below the EU average. Section 3.4.3 discusses these issues in more detail.</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1.3:</w:t>
            </w:r>
            <w:r>
              <w:rPr>
                <w:b/>
                <w:noProof/>
              </w:rPr>
              <w:tab/>
              <w:t>Key labour market indicators</w:t>
            </w:r>
          </w:p>
        </w:tc>
      </w:tr>
      <w:tr w:rsidR="002A43CB">
        <w:trPr>
          <w:cantSplit/>
        </w:trPr>
        <w:tc>
          <w:tcPr>
            <w:tcW w:w="4110" w:type="dxa"/>
            <w:shd w:val="clear" w:color="auto" w:fill="auto"/>
          </w:tcPr>
          <w:p w:rsidR="002A43CB" w:rsidRDefault="0048172E">
            <w:pPr>
              <w:pStyle w:val="GraphShape"/>
              <w:rPr>
                <w:noProof/>
                <w:sz w:val="2"/>
              </w:rPr>
            </w:pPr>
            <w:bookmarkStart w:id="6" w:name="_Toc474676053"/>
            <w:bookmarkEnd w:id="6"/>
            <w:r>
              <w:rPr>
                <w:noProof/>
                <w:sz w:val="2"/>
                <w:lang w:eastAsia="en-GB"/>
              </w:rPr>
              <w:drawing>
                <wp:inline distT="0" distB="0" distL="0" distR="0" wp14:anchorId="4BBE1D4D" wp14:editId="5776E8EB">
                  <wp:extent cx="2597595" cy="2438958"/>
                  <wp:effectExtent l="0" t="0" r="0" b="0"/>
                  <wp:docPr id="78" name="Picture 78" descr="&lt;_DISABLED_nbr_DISABLED_&gt;&lt;GETTEXTFROMWORD&gt;&lt;/nbr&gt;&#10;&lt;title&gt;&lt;GETTEXTFROMWORD&gt;&lt;/title&gt;&#10;&lt;_DISABLED_id_DISABLED_&gt;6baa5379-a443-4f7f-879c-b0daa0c08049&lt;/id&gt;&#10;&lt;srcType&gt;EXCEL&lt;/srcType&gt;&#10;&lt;srcPath&gt;O:\2017 CRs\16 LU\16_Luxembourg_CR\Graphs,Tables and Boxes\Chapter 1 - Economic outlook\&lt;/srcPath&gt;&#10;&lt;srcName&gt;LU AR UR YUR from DG EMPL.xlsx&lt;/srcName&gt;&#10;&lt;type&gt;graph&lt;/type&gt;&#10; &lt;srcSheet&gt;AR_UR_YUR_NEET_LUR&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6-12-20T17:54: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Footnote"/>
              <w:keepNext/>
              <w:rPr>
                <w:noProof/>
              </w:rPr>
            </w:pPr>
            <w:r>
              <w:rPr>
                <w:noProof/>
              </w:rPr>
              <w:t>Activity rate and employment rate (% of population), total, ages 20-64.</w:t>
            </w:r>
            <w:r>
              <w:rPr>
                <w:noProof/>
              </w:rPr>
              <w:br/>
              <w:t xml:space="preserve">Unemployment rate and long-term </w:t>
            </w:r>
            <w:r>
              <w:rPr>
                <w:noProof/>
              </w:rPr>
              <w:t>unemployment rate (% of labour force), total, ages 15-74.</w:t>
            </w:r>
            <w:r>
              <w:rPr>
                <w:noProof/>
              </w:rPr>
              <w:br/>
              <w:t>Youth unemployment rate (% of labour force), total, ages 15-24.</w:t>
            </w:r>
            <w:r>
              <w:rPr>
                <w:noProof/>
              </w:rPr>
              <w:br/>
              <w:t>NEET: Not in employment, education or training (% of population), total, ages 15-24.</w:t>
            </w:r>
          </w:p>
          <w:p w:rsidR="002A43CB" w:rsidRDefault="0048172E">
            <w:pPr>
              <w:pStyle w:val="GraphSource"/>
              <w:keepNext/>
              <w:rPr>
                <w:noProof/>
              </w:rPr>
            </w:pPr>
            <w:r>
              <w:rPr>
                <w:b/>
                <w:i/>
                <w:noProof/>
              </w:rPr>
              <w:t>Source:</w:t>
            </w:r>
            <w:r>
              <w:rPr>
                <w:noProof/>
              </w:rPr>
              <w:t xml:space="preserve"> Eurostat</w:t>
            </w:r>
          </w:p>
        </w:tc>
      </w:tr>
    </w:tbl>
    <w:p w:rsidR="002A43CB" w:rsidRDefault="0048172E">
      <w:pPr>
        <w:pStyle w:val="Heading"/>
        <w:rPr>
          <w:noProof/>
        </w:rPr>
      </w:pPr>
      <w:r>
        <w:rPr>
          <w:noProof/>
        </w:rPr>
        <w:t>Social developments</w:t>
      </w:r>
    </w:p>
    <w:p w:rsidR="002A43CB" w:rsidRDefault="0048172E">
      <w:pPr>
        <w:rPr>
          <w:noProof/>
        </w:rPr>
      </w:pPr>
      <w:r>
        <w:rPr>
          <w:noProof/>
        </w:rPr>
        <w:t xml:space="preserve">Income </w:t>
      </w:r>
      <w:r>
        <w:rPr>
          <w:noProof/>
        </w:rPr>
        <w:t>inequality after taxes and benefits remains low in Luxembourg compared to the EU average. The incomes of the richest 20 % of the population were around 4.3 times higher than the incomes of the poorest 20% in 2015(</w:t>
      </w:r>
      <w:r>
        <w:rPr>
          <w:noProof/>
          <w:vertAlign w:val="superscript"/>
        </w:rPr>
        <w:footnoteReference w:id="2"/>
      </w:r>
      <w:r>
        <w:rPr>
          <w:noProof/>
        </w:rPr>
        <w:t>). The ratio has been fairly stable in the</w:t>
      </w:r>
      <w:r>
        <w:rPr>
          <w:noProof/>
        </w:rPr>
        <w:t xml:space="preserve"> past decade.(</w:t>
      </w:r>
      <w:r>
        <w:rPr>
          <w:noProof/>
          <w:vertAlign w:val="superscript"/>
        </w:rPr>
        <w:footnoteReference w:id="3"/>
      </w:r>
      <w:r>
        <w:rPr>
          <w:noProof/>
        </w:rPr>
        <w:t>) Low income inequality can be explained by relatively equally distributed market incomes, i.e. income by households before taxes and social transfers (see also Section 3.3.3).The gap between market income inequality and disposable income in</w:t>
      </w:r>
      <w:r>
        <w:rPr>
          <w:noProof/>
        </w:rPr>
        <w:t>equality (</w:t>
      </w:r>
      <w:r>
        <w:rPr>
          <w:noProof/>
          <w:vertAlign w:val="superscript"/>
        </w:rPr>
        <w:footnoteReference w:id="4"/>
      </w:r>
      <w:r>
        <w:rPr>
          <w:noProof/>
        </w:rPr>
        <w:t>) suggests that Luxembourg tax and benefit system is performing at EU-average level in terms of reducing inequality. (</w:t>
      </w:r>
      <w:r>
        <w:rPr>
          <w:noProof/>
          <w:vertAlign w:val="superscript"/>
        </w:rPr>
        <w:footnoteReference w:id="5"/>
      </w:r>
      <w:r>
        <w:rPr>
          <w:noProof/>
        </w:rPr>
        <w:t>)  Inequality in net wealth (</w:t>
      </w:r>
      <w:r>
        <w:rPr>
          <w:noProof/>
          <w:vertAlign w:val="superscript"/>
        </w:rPr>
        <w:footnoteReference w:id="6"/>
      </w:r>
      <w:r>
        <w:rPr>
          <w:noProof/>
        </w:rPr>
        <w:t>) was within the range observed in several other EU countries for which data were collected in 2</w:t>
      </w:r>
      <w:r>
        <w:rPr>
          <w:noProof/>
        </w:rPr>
        <w:t xml:space="preserve">013- 2014 (ECB 2016) </w:t>
      </w:r>
    </w:p>
    <w:p w:rsidR="002A43CB" w:rsidRDefault="0048172E">
      <w:pPr>
        <w:pStyle w:val="Heading"/>
        <w:rPr>
          <w:noProof/>
        </w:rPr>
      </w:pPr>
      <w:r>
        <w:rPr>
          <w:noProof/>
        </w:rPr>
        <w:t>Competitiveness</w:t>
      </w:r>
    </w:p>
    <w:p w:rsidR="002A43CB" w:rsidRDefault="0048172E">
      <w:pPr>
        <w:rPr>
          <w:noProof/>
        </w:rPr>
      </w:pPr>
      <w:r>
        <w:rPr>
          <w:b/>
          <w:noProof/>
        </w:rPr>
        <w:t>After a long period of deterioration, the cost competitiveness of the economy has started to improve in 2013.</w:t>
      </w:r>
      <w:r>
        <w:rPr>
          <w:noProof/>
        </w:rPr>
        <w:t xml:space="preserve"> Nominal wage growth was subdued at 0.9% in 2015, and is expected to have slowed down further to 0.5% in 2016</w:t>
      </w:r>
      <w:r>
        <w:rPr>
          <w:noProof/>
        </w:rPr>
        <w:t xml:space="preserve">. Overall, from 2000 to 2015, nominal unit labour costs (NULC) increased by 50 %, almost twice as much as in the euro-area (27 %) and three times as much as in Germany (16 %). </w:t>
      </w:r>
    </w:p>
    <w:p w:rsidR="002A43CB" w:rsidRDefault="0048172E">
      <w:pPr>
        <w:rPr>
          <w:noProof/>
        </w:rPr>
      </w:pPr>
      <w:r>
        <w:rPr>
          <w:b/>
          <w:noProof/>
        </w:rPr>
        <w:t>The development of nominal unit labour costs largely follows price developments</w:t>
      </w:r>
      <w:r>
        <w:rPr>
          <w:b/>
          <w:noProof/>
        </w:rPr>
        <w:t>, since real unit labour costs (RULC) have barely risen over the period starting in 2000</w:t>
      </w:r>
      <w:r>
        <w:rPr>
          <w:noProof/>
        </w:rPr>
        <w:t xml:space="preserve"> (Graph </w:t>
      </w:r>
      <w:r>
        <w:rPr>
          <w:noProof/>
        </w:rPr>
        <w:fldChar w:fldCharType="begin"/>
      </w:r>
      <w:r>
        <w:rPr>
          <w:noProof/>
        </w:rPr>
        <w:instrText xml:space="preserve"> QUOTE "1.4"</w:instrText>
      </w:r>
      <w:r>
        <w:rPr>
          <w:noProof/>
        </w:rPr>
        <w:fldChar w:fldCharType="begin">
          <w:fldData xml:space="preserve">QwBSAE8AUwBTAFIARQBGAEUAUgBFAE4AQwBFACoARwBSAEEAUABIACoAMQA4AGIANQA1AGMAZABm
AC0AZABiAGEAMwAtADQAOQA4ADgALQBiADgAZABhAC0AZQBmAGQANQBlADEANgBkADMAYQBmAGIA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w:t>
      </w:r>
      <w:r>
        <w:rPr>
          <w:b/>
          <w:noProof/>
        </w:rPr>
        <w:t>.</w:t>
      </w:r>
      <w:r>
        <w:rPr>
          <w:noProof/>
        </w:rPr>
        <w:t xml:space="preserve"> Real unit labour costs marginally in</w:t>
      </w:r>
      <w:r>
        <w:rPr>
          <w:noProof/>
        </w:rPr>
        <w:t>creased at the beginning of the period and during the first years of the crisis, corresponding to relatively small increases in real wages not matched by productivity gains. Throughout the whole period up to 2015, productivity gains have been close to zero</w:t>
      </w:r>
      <w:r>
        <w:rPr>
          <w:noProof/>
        </w:rPr>
        <w:t xml:space="preserve">, slightly negative even, as has the average real wage. The wage drift, i.e. the propensity for employees' actual earnings to grow faster than increases in their negotiated wage rates, was on the contrary relatively small.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1.4:</w:t>
            </w:r>
            <w:r>
              <w:rPr>
                <w:b/>
                <w:noProof/>
              </w:rPr>
              <w:tab/>
              <w:t>Breakdown of NULC (20</w:t>
            </w:r>
            <w:r>
              <w:rPr>
                <w:b/>
                <w:noProof/>
              </w:rPr>
              <w:t>00=100)</w:t>
            </w:r>
          </w:p>
        </w:tc>
      </w:tr>
      <w:tr w:rsidR="002A43CB">
        <w:trPr>
          <w:cantSplit/>
        </w:trPr>
        <w:tc>
          <w:tcPr>
            <w:tcW w:w="4110" w:type="dxa"/>
            <w:shd w:val="clear" w:color="auto" w:fill="auto"/>
          </w:tcPr>
          <w:p w:rsidR="002A43CB" w:rsidRDefault="0048172E">
            <w:pPr>
              <w:pStyle w:val="GraphShape"/>
              <w:rPr>
                <w:noProof/>
                <w:sz w:val="2"/>
              </w:rPr>
            </w:pPr>
            <w:bookmarkStart w:id="7" w:name="_Toc474676054"/>
            <w:bookmarkEnd w:id="7"/>
            <w:r>
              <w:rPr>
                <w:noProof/>
                <w:sz w:val="2"/>
                <w:lang w:eastAsia="en-GB"/>
              </w:rPr>
              <w:drawing>
                <wp:inline distT="0" distB="0" distL="0" distR="0" wp14:anchorId="07D256F7" wp14:editId="2B5F022C">
                  <wp:extent cx="2597595" cy="2438958"/>
                  <wp:effectExtent l="0" t="0" r="0" b="0"/>
                  <wp:docPr id="79" name="Picture 79" descr="&lt;_DISABLED_nbr_DISABLED_&gt;&lt;GETTEXTFROMWORD&gt;&lt;/nbr&gt;&#10;&lt;title&gt;&lt;GETTEXTFROMWORD&gt;&lt;/title&gt;&#10;&lt;_DISABLED_id_DISABLED_&gt;18b55cdf-dba3-4988-b8da-efd5e16d3afb&lt;/id&gt;&#10;&lt;srcType&gt;EXCEL&lt;/srcType&gt;&#10;&lt;srcPath&gt;O:\2017 CRs\16 LU\16_Luxembourg_CR\Graphs,Tables and Boxes\Chapter 1 - Economic outlook\&lt;/srcPath&gt;&#10;&lt;srcName&gt;ULCs.xlsx&lt;/srcName&gt;&#10;&lt;type&gt;graph&lt;/type&gt;&#10; &lt;srcSheet&gt;ulc_decom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6:12: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pStyle w:val="Heading"/>
        <w:rPr>
          <w:noProof/>
        </w:rPr>
      </w:pPr>
      <w:r>
        <w:rPr>
          <w:noProof/>
        </w:rPr>
        <w:t>External position</w:t>
      </w:r>
    </w:p>
    <w:p w:rsidR="002A43CB" w:rsidRDefault="0048172E">
      <w:pPr>
        <w:rPr>
          <w:noProof/>
        </w:rPr>
      </w:pPr>
      <w:r>
        <w:rPr>
          <w:b/>
          <w:noProof/>
        </w:rPr>
        <w:t>The current account balance still has a comfortable surplus</w:t>
      </w:r>
      <w:r>
        <w:rPr>
          <w:noProof/>
        </w:rPr>
        <w:t xml:space="preserve"> (see Graph </w:t>
      </w:r>
      <w:r>
        <w:rPr>
          <w:b/>
          <w:noProof/>
        </w:rPr>
        <w:fldChar w:fldCharType="begin"/>
      </w:r>
      <w:r>
        <w:rPr>
          <w:noProof/>
        </w:rPr>
        <w:instrText xml:space="preserve"> QUOTE "1.5"</w:instrText>
      </w:r>
      <w:r>
        <w:rPr>
          <w:noProof/>
        </w:rPr>
        <w:fldChar w:fldCharType="begin">
          <w:fldData xml:space="preserve">QwBSAE8AUwBTAFIARQBGAEUAUgBFAE4AQwBFACoARwBSAEEAUABIACoAMQBkAGUANwA2ADIANgBk
AC0AZABkAGQAOAAtADQAYQA2ADkALQBiAGMAYwBkAC0AMwA4ADgAOQBiAGYAYQA5ADMAYQA5ADcA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1.5</w:t>
      </w:r>
      <w:r>
        <w:rPr>
          <w:b/>
          <w:noProof/>
        </w:rPr>
        <w:fldChar w:fldCharType="end"/>
      </w:r>
      <w:r>
        <w:rPr>
          <w:noProof/>
        </w:rPr>
        <w:t>)</w:t>
      </w:r>
      <w:r>
        <w:rPr>
          <w:b/>
          <w:noProof/>
        </w:rPr>
        <w:t>.</w:t>
      </w:r>
      <w:r>
        <w:rPr>
          <w:noProof/>
        </w:rPr>
        <w:t xml:space="preserve"> Its surplus shrank below 6 % of GDP(</w:t>
      </w:r>
      <w:r>
        <w:rPr>
          <w:noProof/>
          <w:vertAlign w:val="superscript"/>
        </w:rPr>
        <w:footnoteReference w:id="7"/>
      </w:r>
      <w:r>
        <w:rPr>
          <w:noProof/>
        </w:rPr>
        <w:t>) in 2013.  It then continued decreasing to 5.2 % of GDP in 2015. This is because VAT on e-commerce, paid to the cons</w:t>
      </w:r>
      <w:r>
        <w:rPr>
          <w:noProof/>
        </w:rPr>
        <w:t>umers' countries of residence, will be discounted from the export of services. The still large current account surplus is driven by the services balance surplus, mostly financial services. Financial services exports represent more than half of the total ex</w:t>
      </w:r>
      <w:r>
        <w:rPr>
          <w:noProof/>
        </w:rPr>
        <w:t>port of services and are to a large extent (more than 80 %) related to the activities of investment funds. At the same time, the balance of goods recorded a deficit of 5.1 % of GDP in 2015, after -0.5 % in 2014. (</w:t>
      </w:r>
      <w:r>
        <w:rPr>
          <w:noProof/>
          <w:vertAlign w:val="superscript"/>
        </w:rPr>
        <w:footnoteReference w:id="8"/>
      </w:r>
      <w:r>
        <w:rPr>
          <w:noProof/>
        </w:rPr>
        <w:t xml:space="preserve">) The reason for this deterioration is a sharp drop in exports of merchanting activities. </w:t>
      </w:r>
    </w:p>
    <w:p w:rsidR="002A43CB" w:rsidRDefault="0048172E">
      <w:pPr>
        <w:rPr>
          <w:noProof/>
        </w:rPr>
      </w:pPr>
      <w:r>
        <w:rPr>
          <w:b/>
          <w:noProof/>
        </w:rPr>
        <w:t>The current account surplus is dragged down by the widening deficit of the primary income balance.</w:t>
      </w:r>
      <w:r>
        <w:rPr>
          <w:noProof/>
        </w:rPr>
        <w:t xml:space="preserve"> This net outflow increased to 31% of GDP in 2015 (from 8.1% of GDP</w:t>
      </w:r>
      <w:r>
        <w:rPr>
          <w:noProof/>
        </w:rPr>
        <w:t xml:space="preserve"> in 2000). This  reflects the increasing success of the financial services industry in placing its products on the market abroad and the large number of foreign workers and pensioners.</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1.5:</w:t>
            </w:r>
            <w:r>
              <w:rPr>
                <w:b/>
                <w:noProof/>
              </w:rPr>
              <w:tab/>
              <w:t>Breakdown of the current account balance</w:t>
            </w:r>
          </w:p>
        </w:tc>
      </w:tr>
      <w:tr w:rsidR="002A43CB">
        <w:trPr>
          <w:cantSplit/>
        </w:trPr>
        <w:tc>
          <w:tcPr>
            <w:tcW w:w="4110" w:type="dxa"/>
            <w:shd w:val="clear" w:color="auto" w:fill="auto"/>
          </w:tcPr>
          <w:p w:rsidR="002A43CB" w:rsidRDefault="0048172E">
            <w:pPr>
              <w:pStyle w:val="GraphShape"/>
              <w:rPr>
                <w:noProof/>
                <w:sz w:val="2"/>
              </w:rPr>
            </w:pPr>
            <w:bookmarkStart w:id="8" w:name="_Toc474676055"/>
            <w:bookmarkEnd w:id="8"/>
            <w:r>
              <w:rPr>
                <w:noProof/>
                <w:sz w:val="2"/>
                <w:lang w:eastAsia="en-GB"/>
              </w:rPr>
              <w:drawing>
                <wp:inline distT="0" distB="0" distL="0" distR="0" wp14:anchorId="76E30D8D" wp14:editId="7F8BC391">
                  <wp:extent cx="2597595" cy="2732979"/>
                  <wp:effectExtent l="0" t="0" r="0" b="0"/>
                  <wp:docPr id="1" name="Picture 1" descr="&lt;_DISABLED_nbr_DISABLED_&gt;&lt;GETTEXTFROMWORD&gt;&lt;/nbr&gt;&#10;&lt;title&gt;&lt;GETTEXTFROMWORD&gt;&lt;/title&gt;&#10;&lt;_DISABLED_id_DISABLED_&gt;1de7626d-ddd8-4a69-bccd-3889bfa93a97&lt;/id&gt;&#10;&lt;srcType&gt;EXCEL&lt;/srcType&gt;&#10;&lt;srcPath&gt;O:\2017 CRs\16 LU\16_Luxembourg_CR\Graphs,Tables and Boxes\Chapter 1 - Economic outlook\&lt;/srcPath&gt;&#10;&lt;srcName&gt;CAB_Decomp.xlsx&lt;/srcName&gt;&#10;&lt;type&gt;graph&lt;/type&gt;&#10; &lt;srcSheet&gt;CA_de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0T18:16:4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732979"/>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Eurosta</w:t>
            </w:r>
            <w:r>
              <w:rPr>
                <w:noProof/>
              </w:rPr>
              <w:t>t</w:t>
            </w:r>
          </w:p>
        </w:tc>
      </w:tr>
    </w:tbl>
    <w:p w:rsidR="002A43CB" w:rsidRDefault="0048172E">
      <w:pPr>
        <w:rPr>
          <w:noProof/>
        </w:rPr>
      </w:pPr>
      <w:r>
        <w:rPr>
          <w:b/>
          <w:noProof/>
        </w:rPr>
        <w:t>Luxembourg is a net creditor to the rest of the world.</w:t>
      </w:r>
      <w:r>
        <w:rPr>
          <w:noProof/>
        </w:rPr>
        <w:t xml:space="preserve"> Its net assets (net international investment position) represent around 25 % of GDP. However, this relatively small figure hides a massive gross international investment position, reflecting large F</w:t>
      </w:r>
      <w:r>
        <w:rPr>
          <w:noProof/>
        </w:rPr>
        <w:t>DI and portfolio claims.</w:t>
      </w:r>
    </w:p>
    <w:p w:rsidR="002A43CB" w:rsidRDefault="0048172E">
      <w:pPr>
        <w:pStyle w:val="Heading"/>
        <w:rPr>
          <w:noProof/>
        </w:rPr>
      </w:pPr>
      <w:r>
        <w:rPr>
          <w:noProof/>
        </w:rPr>
        <w:t>Financial sector</w:t>
      </w:r>
    </w:p>
    <w:p w:rsidR="002A43CB" w:rsidRDefault="0048172E">
      <w:pPr>
        <w:rPr>
          <w:noProof/>
        </w:rPr>
      </w:pPr>
      <w:r>
        <w:rPr>
          <w:b/>
          <w:noProof/>
        </w:rPr>
        <w:t>The financial sector in Luxembourg, very large relative to the size of the economy, has returned to modest expansion since 2013.</w:t>
      </w:r>
      <w:r>
        <w:rPr>
          <w:noProof/>
        </w:rPr>
        <w:t xml:space="preserve"> Over the last three decades, Luxembourg’s financial sector has emerged as a key contr</w:t>
      </w:r>
      <w:r>
        <w:rPr>
          <w:noProof/>
        </w:rPr>
        <w:t xml:space="preserve">ibutor to domestic economic activity, while also taking on an important international role as a hub for euro-denominated bond issuance. The sector has diversified considerably over the years, and continues to diversify in new areas. In 2015, the financial </w:t>
      </w:r>
      <w:r>
        <w:rPr>
          <w:noProof/>
        </w:rPr>
        <w:t xml:space="preserve">sector (including insurance) contributed over 26 % to the country's gross value added, somewhat less than before the crisis, when it exceeded 30 %. Since 2013, total assets have resumed their expansion and are doing so fast. </w:t>
      </w:r>
    </w:p>
    <w:p w:rsidR="002A43CB" w:rsidRDefault="0048172E">
      <w:pPr>
        <w:rPr>
          <w:noProof/>
        </w:rPr>
      </w:pPr>
      <w:r>
        <w:rPr>
          <w:b/>
          <w:noProof/>
        </w:rPr>
        <w:t>The fund industry is at a reco</w:t>
      </w:r>
      <w:r>
        <w:rPr>
          <w:b/>
          <w:noProof/>
        </w:rPr>
        <w:t>rd high.</w:t>
      </w:r>
      <w:r>
        <w:rPr>
          <w:noProof/>
        </w:rPr>
        <w:t xml:space="preserve"> Luxembourg has the second largest investment fund industry in the world after the US. Since the end of 2008, about 20 % (or EUR 1.2 trillion) of all new net worldwide inflows into investment funds were allocated to Luxembourg funds. These continue</w:t>
      </w:r>
      <w:r>
        <w:rPr>
          <w:noProof/>
        </w:rPr>
        <w:t xml:space="preserve"> to benefit from major central banks’ quantitative easing programmes and the investors' search for a return on their investment. By August 2016, assets under management of the funds industry had reached EUR 3.6 trillion, the highest level on record and twi</w:t>
      </w:r>
      <w:r>
        <w:rPr>
          <w:noProof/>
        </w:rPr>
        <w:t>ce the amount recorded at the trough of the financial crisis.</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1.6:</w:t>
            </w:r>
            <w:r>
              <w:rPr>
                <w:b/>
                <w:noProof/>
              </w:rPr>
              <w:tab/>
              <w:t>Banks activity and profitability</w:t>
            </w:r>
          </w:p>
        </w:tc>
      </w:tr>
      <w:tr w:rsidR="002A43CB">
        <w:trPr>
          <w:cantSplit/>
        </w:trPr>
        <w:tc>
          <w:tcPr>
            <w:tcW w:w="4110" w:type="dxa"/>
            <w:shd w:val="clear" w:color="auto" w:fill="auto"/>
          </w:tcPr>
          <w:p w:rsidR="002A43CB" w:rsidRDefault="0048172E">
            <w:pPr>
              <w:pStyle w:val="GraphShape"/>
              <w:rPr>
                <w:noProof/>
                <w:sz w:val="2"/>
              </w:rPr>
            </w:pPr>
            <w:bookmarkStart w:id="9" w:name="_Toc474676056"/>
            <w:bookmarkEnd w:id="9"/>
            <w:r>
              <w:rPr>
                <w:noProof/>
                <w:sz w:val="2"/>
                <w:lang w:eastAsia="en-GB"/>
              </w:rPr>
              <w:drawing>
                <wp:inline distT="0" distB="0" distL="0" distR="0" wp14:anchorId="2FDAA0B7" wp14:editId="71545CE0">
                  <wp:extent cx="2597595" cy="2428846"/>
                  <wp:effectExtent l="0" t="0" r="0" b="0"/>
                  <wp:docPr id="6" name="Picture 6" descr="&lt;_DISABLED_nbr_DISABLED_&gt;&lt;GETTEXTFROMWORD&gt;&lt;/nbr&gt;&#10;&lt;title&gt;&lt;GETTEXTFROMWORD&gt;&lt;/title&gt;&#10;&lt;_DISABLED_id_DISABLED_&gt;f2db4b75-e00c-4ef5-af9e-6d3efbfcb29b&lt;/id&gt;&#10;&lt;srcType&gt;EXCEL&lt;/srcType&gt;&#10;&lt;srcPath&gt;O:\2017 CRs\16 LU\16_Luxembourg_CR\Graphs,Tables and Boxes\Chapter 1 - Economic outlook\&lt;/srcPath&gt;&#10;&lt;srcName&gt;Banking income.xlsx&lt;/srcName&gt;&#10;&lt;type&gt;graph&lt;/type&gt;&#10; &lt;srcSheet&gt;Sheet3&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14:24:1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28846"/>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The banking sector lost some momentum during the crisis years but has remained resilient.</w:t>
      </w:r>
      <w:r>
        <w:rPr>
          <w:noProof/>
        </w:rPr>
        <w:t xml:space="preserve"> Almost all of the 143 banks located in Luxembourg are foreign-owned and internationally oriented. Only five are predominantly domestically focused and government ownership is significant in three of these. Luxembourg banks have the EU's highest solvency a</w:t>
      </w:r>
      <w:r>
        <w:rPr>
          <w:noProof/>
        </w:rPr>
        <w:t>nd Tier 1 ratios, and the EU's lowest ratio of non-performing loans. After peaking at EUR 1 trillion in October 2008, total bank assets have fluctuated around the EUR 0.7 trillion mark over the last few years, while profitability has remained constant (alt</w:t>
      </w:r>
      <w:r>
        <w:rPr>
          <w:noProof/>
        </w:rPr>
        <w:t xml:space="preserve">hough above 10 %) (Graph </w:t>
      </w:r>
      <w:r>
        <w:rPr>
          <w:noProof/>
        </w:rPr>
        <w:fldChar w:fldCharType="begin"/>
      </w:r>
      <w:r>
        <w:rPr>
          <w:noProof/>
        </w:rPr>
        <w:instrText xml:space="preserve"> QUOTE "1.6"</w:instrText>
      </w:r>
      <w:r>
        <w:rPr>
          <w:noProof/>
        </w:rPr>
        <w:fldChar w:fldCharType="begin">
          <w:fldData xml:space="preserve">QwBSAE8AUwBTAFIARQBGAEUAUgBFAE4AQwBFACoARwBSAEEAUABIACoAZgAyAGQAYgA0AGIANwA1
AC0AZQAwADAAYwAtADQAZQBmADUALQBhAGYAOQBlAC0ANgBkADMAZQBmAGIAZgBjAGIAMgA5AGIA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xml:space="preserve">). However, adapting to new regulations remains a key challenge for banks throughout Europe, especially in the </w:t>
      </w:r>
      <w:r>
        <w:rPr>
          <w:noProof/>
        </w:rPr>
        <w:t xml:space="preserve">current context of prolonged low interest rates. </w:t>
      </w:r>
    </w:p>
    <w:p w:rsidR="002A43CB" w:rsidRDefault="0048172E">
      <w:pPr>
        <w:pStyle w:val="Heading"/>
        <w:rPr>
          <w:noProof/>
        </w:rPr>
      </w:pPr>
      <w:r>
        <w:rPr>
          <w:noProof/>
        </w:rPr>
        <w:t>Credit and investment</w:t>
      </w:r>
    </w:p>
    <w:p w:rsidR="002A43CB" w:rsidRDefault="0048172E">
      <w:pPr>
        <w:rPr>
          <w:noProof/>
        </w:rPr>
      </w:pPr>
      <w:r>
        <w:rPr>
          <w:b/>
          <w:noProof/>
        </w:rPr>
        <w:t>Credits to the non-financial private sector have continued to increase in 2016.</w:t>
      </w:r>
      <w:r>
        <w:rPr>
          <w:noProof/>
        </w:rPr>
        <w:t xml:space="preserve"> Companies' demand for loans increased by around 18 % in the first 10 months of the year, boosted by inve</w:t>
      </w:r>
      <w:r>
        <w:rPr>
          <w:noProof/>
        </w:rPr>
        <w:t>stment projects and debt restructuring operations. This is partially explained by the fact that firms continue to benefit from relaxed credit conditions. The latest bank lending survey confirms that Luxembourg banks have eased their lending criteria, in li</w:t>
      </w:r>
      <w:r>
        <w:rPr>
          <w:noProof/>
        </w:rPr>
        <w:t>ne with the more flexible trend observed across the euro area. Banks also anticipate a significant recovery in business loan applications, while better conditions on the housing market continue to support the demand for home loans. Box 3.4.2 discusses inve</w:t>
      </w:r>
      <w:r>
        <w:rPr>
          <w:noProof/>
        </w:rPr>
        <w:t>stment trends and provides an overview of the existing barriers to greater investment and ongoing reforms.</w:t>
      </w:r>
    </w:p>
    <w:p w:rsidR="002A43CB" w:rsidRDefault="0048172E">
      <w:pPr>
        <w:pStyle w:val="Heading"/>
        <w:rPr>
          <w:noProof/>
        </w:rPr>
      </w:pPr>
      <w:r>
        <w:rPr>
          <w:noProof/>
        </w:rPr>
        <w:t>Indebtedness</w:t>
      </w:r>
    </w:p>
    <w:p w:rsidR="002A43CB" w:rsidRDefault="0048172E">
      <w:pPr>
        <w:rPr>
          <w:noProof/>
        </w:rPr>
      </w:pPr>
      <w:r>
        <w:rPr>
          <w:b/>
          <w:noProof/>
        </w:rPr>
        <w:t>Private sector debt is well above the euro-area average although this is mostly explained by the large presence of multinationals.</w:t>
      </w:r>
      <w:r>
        <w:rPr>
          <w:noProof/>
        </w:rPr>
        <w:t xml:space="preserve"> It pe</w:t>
      </w:r>
      <w:r>
        <w:rPr>
          <w:noProof/>
        </w:rPr>
        <w:t>aked in 2007 at 402.3 % of GDP (in gross terms) and since then has fallen substantially to 327.9 % in 2014. In 2015 it increased again to 343.1 % of GDP. The increase was mostly related to non-financial corporations. The largest share (284.9 % of GDP) of p</w:t>
      </w:r>
      <w:r>
        <w:rPr>
          <w:noProof/>
        </w:rPr>
        <w:t xml:space="preserve">rivate debt is from non-financial corporations, in particular multinationals that use Luxembourg as a financial hub for their intra-group financing operations. </w:t>
      </w:r>
    </w:p>
    <w:p w:rsidR="002A43CB" w:rsidRDefault="0048172E">
      <w:pPr>
        <w:rPr>
          <w:noProof/>
        </w:rPr>
      </w:pPr>
      <w:r>
        <w:rPr>
          <w:b/>
          <w:noProof/>
        </w:rPr>
        <w:t>Low interest rates and the easing of financial conditions have supported the steady growth of m</w:t>
      </w:r>
      <w:r>
        <w:rPr>
          <w:b/>
          <w:noProof/>
        </w:rPr>
        <w:t>ortgage loans.</w:t>
      </w:r>
      <w:r>
        <w:rPr>
          <w:noProof/>
        </w:rPr>
        <w:t xml:space="preserve"> These accounts for a large part of household indebtedness (in 2014 household debt amounted to 58.2 % of GDP, compared with 59.6 % in the euro area). The steady increase in house prices is likely to have exacerbated this trend, with household</w:t>
      </w:r>
      <w:r>
        <w:rPr>
          <w:noProof/>
        </w:rPr>
        <w:t>s asking for ever higher loans. As most mortgages are taken out at variable rates, if interest rates were to return to average historical levels, it could put debt service constraints on households, especially lower income households (Section 3.2.2).</w:t>
      </w:r>
    </w:p>
    <w:p w:rsidR="002A43CB" w:rsidRDefault="0048172E">
      <w:pPr>
        <w:rPr>
          <w:noProof/>
        </w:rPr>
      </w:pPr>
      <w:r>
        <w:rPr>
          <w:b/>
          <w:noProof/>
        </w:rPr>
        <w:t>While</w:t>
      </w:r>
      <w:r>
        <w:rPr>
          <w:b/>
          <w:noProof/>
        </w:rPr>
        <w:t xml:space="preserve"> private sector debt is comparatively high, public debt is well below the euro area average.</w:t>
      </w:r>
      <w:r>
        <w:rPr>
          <w:noProof/>
        </w:rPr>
        <w:t xml:space="preserve"> After peaking at 23.5 % of GDP in 2013, public debt has declined to 22.1 % of GDP in 2015, and it is projected to decline further in 2016. It remains more than fou</w:t>
      </w:r>
      <w:r>
        <w:rPr>
          <w:noProof/>
        </w:rPr>
        <w:t>r times lower than the euro-area average (92.6 % of GDP). At the end of 2015, existing public guarantees represented 9.7 % of GDP, 5.5 % of which are related to the financial sector. Given the low level of public debt and its relatively solid economic fund</w:t>
      </w:r>
      <w:r>
        <w:rPr>
          <w:noProof/>
        </w:rPr>
        <w:t xml:space="preserve">amentals, Luxembourg, together with Germany, is the only country in the euro area that still has an ‘AAA’ rating from all the three major rating agencies. </w:t>
      </w:r>
    </w:p>
    <w:p w:rsidR="002A43CB" w:rsidRDefault="0048172E">
      <w:pPr>
        <w:pStyle w:val="Heading"/>
        <w:rPr>
          <w:noProof/>
        </w:rPr>
      </w:pPr>
      <w:r>
        <w:rPr>
          <w:noProof/>
        </w:rPr>
        <w:t>Public finances</w:t>
      </w:r>
    </w:p>
    <w:p w:rsidR="002A43CB" w:rsidRDefault="0048172E">
      <w:pPr>
        <w:rPr>
          <w:noProof/>
        </w:rPr>
      </w:pPr>
      <w:r>
        <w:rPr>
          <w:b/>
          <w:noProof/>
        </w:rPr>
        <w:t>The general government balance is expected to have recorded a surplus of 1.6% of GDP</w:t>
      </w:r>
      <w:r>
        <w:rPr>
          <w:b/>
          <w:noProof/>
        </w:rPr>
        <w:t xml:space="preserve"> in 2016.</w:t>
      </w:r>
      <w:r>
        <w:rPr>
          <w:noProof/>
        </w:rPr>
        <w:t xml:space="preserve"> Low inflation combined with the incremental impact of measures adopted in the 2015 budget should help contain expenditure growth, despite of a high level of public investment maintained by the authorities. At the same time, revenues are set to re</w:t>
      </w:r>
      <w:r>
        <w:rPr>
          <w:noProof/>
        </w:rPr>
        <w:t>main firm in line with the projected robust economic growth.</w:t>
      </w:r>
    </w:p>
    <w:p w:rsidR="002A43CB" w:rsidRDefault="0048172E">
      <w:pPr>
        <w:rPr>
          <w:noProof/>
        </w:rPr>
      </w:pPr>
      <w:r>
        <w:rPr>
          <w:b/>
          <w:noProof/>
        </w:rPr>
        <w:t>The surplus is expected to fade out almost completely in 2017, given the continued high level of investment and the implementation of a comprehensive tax reform that entered into effect in 2017.</w:t>
      </w:r>
      <w:r>
        <w:rPr>
          <w:noProof/>
        </w:rPr>
        <w:t xml:space="preserve"> </w:t>
      </w:r>
      <w:r>
        <w:rPr>
          <w:noProof/>
        </w:rPr>
        <w:t>Its full implementation will cost around one percentage point of GDP. Section 2.6 discusses this issue in more detail.</w:t>
      </w:r>
    </w:p>
    <w:p w:rsidR="002A43CB" w:rsidRDefault="0048172E">
      <w:pPr>
        <w:rPr>
          <w:noProof/>
        </w:rPr>
      </w:pPr>
      <w:r>
        <w:rPr>
          <w:b/>
          <w:noProof/>
        </w:rPr>
        <w:t>Despite the overall surplus, a breakdown by sector of the general government balance shows that the central government accounts continued</w:t>
      </w:r>
      <w:r>
        <w:rPr>
          <w:b/>
          <w:noProof/>
        </w:rPr>
        <w:t xml:space="preserve"> to post deficits throughout the period since the outbreak of the financial crisis.</w:t>
      </w:r>
      <w:r>
        <w:rPr>
          <w:noProof/>
        </w:rPr>
        <w:t xml:space="preserve"> The steady surpluses of the social security sector offset this deficit (Graph </w:t>
      </w:r>
      <w:r>
        <w:rPr>
          <w:noProof/>
        </w:rPr>
        <w:fldChar w:fldCharType="begin"/>
      </w:r>
      <w:r>
        <w:rPr>
          <w:noProof/>
        </w:rPr>
        <w:instrText xml:space="preserve"> QUOTE "1.7"</w:instrText>
      </w:r>
      <w:r>
        <w:rPr>
          <w:noProof/>
        </w:rPr>
        <w:fldChar w:fldCharType="begin">
          <w:fldData xml:space="preserve">QwBSAE8AUwBTAFIARQBGAEUAUgBFAE4AQwBFACoARwBSAEEAUABIACoAZQAzADkAOABiADIAMQA2
AC0AYgAyADQAYwAtADQANAA0ADUALQA4AGQANwAyAC0AMAAwADUANwAwADcAYQBkADMANwAzAGMA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While the large central government deficits recorded from the onset of the financial crisis have been almost completely absorbed, the deficit is projected to widen again in 2017, mostly as a result of the implementation of the</w:t>
      </w:r>
      <w:r>
        <w:rPr>
          <w:noProof/>
        </w:rPr>
        <w:t xml:space="preserve"> comprehensive tax reform.</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1.7:</w:t>
            </w:r>
            <w:r>
              <w:rPr>
                <w:b/>
                <w:noProof/>
              </w:rPr>
              <w:tab/>
              <w:t>Sectoral breakdown of the general government balance</w:t>
            </w:r>
          </w:p>
        </w:tc>
      </w:tr>
      <w:tr w:rsidR="002A43CB">
        <w:trPr>
          <w:cantSplit/>
        </w:trPr>
        <w:tc>
          <w:tcPr>
            <w:tcW w:w="4110" w:type="dxa"/>
            <w:shd w:val="clear" w:color="auto" w:fill="auto"/>
          </w:tcPr>
          <w:p w:rsidR="002A43CB" w:rsidRDefault="0048172E">
            <w:pPr>
              <w:pStyle w:val="GraphShape"/>
              <w:rPr>
                <w:noProof/>
                <w:sz w:val="2"/>
              </w:rPr>
            </w:pPr>
            <w:bookmarkStart w:id="10" w:name="_Toc474676057"/>
            <w:bookmarkEnd w:id="10"/>
            <w:r>
              <w:rPr>
                <w:noProof/>
                <w:sz w:val="2"/>
                <w:lang w:eastAsia="en-GB"/>
              </w:rPr>
              <w:drawing>
                <wp:inline distT="0" distB="0" distL="0" distR="0" wp14:anchorId="4C7BF9C1" wp14:editId="4B294F08">
                  <wp:extent cx="2597595" cy="2438958"/>
                  <wp:effectExtent l="0" t="0" r="0" b="0"/>
                  <wp:docPr id="80" name="Picture 80" descr="&lt;_DISABLED_nbr_DISABLED_&gt;&lt;GETTEXTFROMWORD&gt;&lt;/nbr&gt;&#10;&lt;title&gt;&lt;GETTEXTFROMWORD&gt;&lt;/title&gt;&#10;&lt;_DISABLED_id_DISABLED_&gt;e398b216-b24c-4445-8d72-005707ad373c&lt;/id&gt;&#10;&lt;srcType&gt;EXCEL&lt;/srcType&gt;&#10;&lt;srcPath&gt;O:\2017 CRs\16 LU\16_Luxembourg_CR\Graphs,Tables and Boxes\Chapter 1 - Economic outlook\&lt;/srcPath&gt;&#10;&lt;srcName&gt;Scene setter - Government budget by sectors.xls&lt;/srcName&gt;&#10;&lt;type&gt;graph&lt;/type&gt;&#10; &lt;srcSheet&gt;Dat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9T14:46:1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Eurostat</w:t>
            </w:r>
          </w:p>
        </w:tc>
      </w:tr>
    </w:tbl>
    <w:p w:rsidR="002A43CB" w:rsidRDefault="002A43CB">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2A43CB">
            <w:pPr>
              <w:pStyle w:val="SlimCell"/>
              <w:keepNext/>
              <w:rPr>
                <w:noProof/>
              </w:rPr>
            </w:pPr>
            <w:bookmarkStart w:id="11" w:name="_Toc474676041"/>
            <w:bookmarkEnd w:id="11"/>
          </w:p>
        </w:tc>
      </w:tr>
      <w:tr w:rsidR="002A43CB">
        <w:trPr>
          <w:cantSplit/>
        </w:trPr>
        <w:tc>
          <w:tcPr>
            <w:tcW w:w="8505" w:type="dxa"/>
            <w:shd w:val="clear" w:color="auto" w:fill="auto"/>
          </w:tcPr>
          <w:p w:rsidR="002A43CB" w:rsidRDefault="0048172E">
            <w:pPr>
              <w:pStyle w:val="TableTitle"/>
              <w:rPr>
                <w:b/>
                <w:noProof/>
              </w:rPr>
            </w:pPr>
            <w:r>
              <w:rPr>
                <w:noProof/>
              </w:rPr>
              <w:t>Table 1.1:</w:t>
            </w:r>
            <w:r>
              <w:rPr>
                <w:b/>
                <w:noProof/>
              </w:rPr>
              <w:tab/>
              <w:t>Key economic, financial and social indicators – Luxembourg –</w:t>
            </w:r>
          </w:p>
        </w:tc>
      </w:tr>
      <w:tr w:rsidR="002A43CB">
        <w:trPr>
          <w:cantSplit/>
        </w:trPr>
        <w:tc>
          <w:tcPr>
            <w:tcW w:w="8505" w:type="dxa"/>
            <w:shd w:val="clear" w:color="auto" w:fill="auto"/>
          </w:tcPr>
          <w:p w:rsidR="002A43CB" w:rsidRDefault="0048172E">
            <w:pPr>
              <w:pStyle w:val="TableShape"/>
              <w:rPr>
                <w:noProof/>
                <w:sz w:val="2"/>
              </w:rPr>
            </w:pPr>
            <w:r>
              <w:rPr>
                <w:noProof/>
                <w:sz w:val="2"/>
                <w:lang w:eastAsia="en-GB"/>
              </w:rPr>
              <w:drawing>
                <wp:inline distT="0" distB="0" distL="0" distR="0" wp14:anchorId="0AC9D1A8" wp14:editId="7B7CD525">
                  <wp:extent cx="5401310" cy="6285230"/>
                  <wp:effectExtent l="0" t="0" r="889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1310" cy="6285230"/>
                          </a:xfrm>
                          <a:prstGeom prst="rect">
                            <a:avLst/>
                          </a:prstGeom>
                          <a:noFill/>
                        </pic:spPr>
                      </pic:pic>
                    </a:graphicData>
                  </a:graphic>
                </wp:inline>
              </w:drawing>
            </w:r>
          </w:p>
        </w:tc>
      </w:tr>
      <w:tr w:rsidR="002A43CB">
        <w:trPr>
          <w:cantSplit/>
        </w:trPr>
        <w:tc>
          <w:tcPr>
            <w:tcW w:w="8505" w:type="dxa"/>
            <w:shd w:val="clear" w:color="auto" w:fill="auto"/>
          </w:tcPr>
          <w:p w:rsidR="002A43CB" w:rsidRDefault="0048172E">
            <w:pPr>
              <w:pStyle w:val="TableFootnote"/>
              <w:rPr>
                <w:noProof/>
              </w:rPr>
            </w:pPr>
            <w:r>
              <w:rPr>
                <w:noProof/>
              </w:rPr>
              <w:t xml:space="preserve">(1) Sum of portfolio debt instruments, other investment and </w:t>
            </w:r>
            <w:r>
              <w:rPr>
                <w:noProof/>
              </w:rPr>
              <w:t>reserve assets</w:t>
            </w:r>
            <w:r>
              <w:rPr>
                <w:noProof/>
              </w:rPr>
              <w:br/>
              <w:t>(2,3) domestic banking groups and stand-alone banks.</w:t>
            </w:r>
            <w:r>
              <w:rPr>
                <w:noProof/>
              </w:rPr>
              <w:br/>
              <w:t>(4) domestic banking groups and stand-alone banks, foreign (EU and non-EU) controlled subsidiaries and foreign (EU and non-EU) controlled branches.</w:t>
            </w:r>
            <w:r>
              <w:rPr>
                <w:noProof/>
              </w:rPr>
              <w:br/>
              <w:t>(*) Indicates BPM5 and/or ESA95</w:t>
            </w:r>
          </w:p>
          <w:p w:rsidR="002A43CB" w:rsidRDefault="0048172E">
            <w:pPr>
              <w:pStyle w:val="TableSource"/>
              <w:rPr>
                <w:noProof/>
              </w:rPr>
            </w:pPr>
            <w:r>
              <w:rPr>
                <w:b/>
                <w:i/>
                <w:noProof/>
              </w:rPr>
              <w:t>Source:</w:t>
            </w:r>
            <w:r>
              <w:rPr>
                <w:noProof/>
              </w:rPr>
              <w:t xml:space="preserve"> </w:t>
            </w:r>
            <w:r>
              <w:rPr>
                <w:noProof/>
              </w:rPr>
              <w:t>European Commission,  ECB</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2A43CB">
      <w:pPr>
        <w:rPr>
          <w:noProof/>
        </w:rPr>
        <w:sectPr w:rsidR="002A43CB">
          <w:headerReference w:type="even" r:id="rId35"/>
          <w:headerReference w:type="default" r:id="rId36"/>
          <w:footerReference w:type="even" r:id="rId37"/>
          <w:footerReference w:type="default" r:id="rId38"/>
          <w:headerReference w:type="first" r:id="rId39"/>
          <w:footerReference w:type="first" r:id="rId4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A43CB" w:rsidRDefault="0048172E">
      <w:pPr>
        <w:pStyle w:val="SectionTitleFramed3"/>
        <w:framePr w:wrap="notBeside"/>
        <w:rPr>
          <w:noProof/>
        </w:rPr>
      </w:pPr>
      <w:bookmarkStart w:id="12" w:name="_Toc474829369"/>
      <w:bookmarkEnd w:id="12"/>
      <w:r>
        <w:rPr>
          <w:rFonts w:ascii="Times New Roman" w:hAnsi="Times New Roman"/>
          <w:b/>
          <w:noProof/>
          <w:color w:val="808080"/>
          <w:sz w:val="72"/>
        </w:rPr>
        <w:t>2.</w:t>
      </w:r>
      <w:r>
        <w:rPr>
          <w:noProof/>
        </w:rPr>
        <w:tab/>
        <w:t>Progress with country-specific recommendations</w:t>
      </w:r>
    </w:p>
    <w:p w:rsidR="002A43CB" w:rsidRDefault="0048172E">
      <w:pPr>
        <w:rPr>
          <w:noProof/>
        </w:rPr>
      </w:pPr>
      <w:r>
        <w:rPr>
          <w:b/>
          <w:noProof/>
        </w:rPr>
        <w:t xml:space="preserve">Progress with implementing </w:t>
      </w:r>
      <w:r>
        <w:rPr>
          <w:b/>
          <w:noProof/>
        </w:rPr>
        <w:t>the recommendations addressed to Luxembourg in 2016 (</w:t>
      </w:r>
      <w:r>
        <w:rPr>
          <w:noProof/>
          <w:vertAlign w:val="superscript"/>
        </w:rPr>
        <w:footnoteReference w:id="9"/>
      </w:r>
      <w:r>
        <w:rPr>
          <w:b/>
          <w:noProof/>
        </w:rPr>
        <w:t>) has to be seen in a longer term perspective since the introduction of the European Semester in 2011</w:t>
      </w:r>
      <w:r>
        <w:rPr>
          <w:noProof/>
        </w:rPr>
        <w:t>. Luxembourg adopted a pension reform in December 2012, to be phased in gradually. Nevertheless, even</w:t>
      </w:r>
      <w:r>
        <w:rPr>
          <w:noProof/>
        </w:rPr>
        <w:t xml:space="preserve"> after the reform the projected increase in age-related expenditure has remained the largest in the EU. The reform did not revise the statutory retirement age and possibilities of early retirement have remained largely unchanged. It contains incentives to </w:t>
      </w:r>
      <w:r>
        <w:rPr>
          <w:noProof/>
        </w:rPr>
        <w:t>work longer, but their impact is limited.</w:t>
      </w:r>
    </w:p>
    <w:p w:rsidR="002A43CB" w:rsidRDefault="0048172E">
      <w:pPr>
        <w:rPr>
          <w:noProof/>
        </w:rPr>
      </w:pPr>
      <w:r>
        <w:rPr>
          <w:b/>
          <w:noProof/>
        </w:rPr>
        <w:t>In 2015 a reform of the professional classification scheme for people with partial incapacity for work was adopted</w:t>
      </w:r>
      <w:r>
        <w:rPr>
          <w:noProof/>
        </w:rPr>
        <w:t>. While providing adequate protection for those who are most vulnerable, the reform aims to keep rec</w:t>
      </w:r>
      <w:r>
        <w:rPr>
          <w:noProof/>
        </w:rPr>
        <w:t>lassified people, especially older people, at work. (</w:t>
      </w:r>
      <w:r>
        <w:rPr>
          <w:noProof/>
          <w:vertAlign w:val="superscript"/>
        </w:rPr>
        <w:footnoteReference w:id="10"/>
      </w:r>
      <w:r>
        <w:rPr>
          <w:noProof/>
        </w:rPr>
        <w:t xml:space="preserve">) This could have a positive impact on the rate of participation rate of older people in the workforce. </w:t>
      </w:r>
    </w:p>
    <w:p w:rsidR="002A43CB" w:rsidRDefault="0048172E">
      <w:pPr>
        <w:rPr>
          <w:noProof/>
        </w:rPr>
      </w:pPr>
      <w:r>
        <w:rPr>
          <w:b/>
          <w:noProof/>
        </w:rPr>
        <w:t>Beyond long-term sustainability concerns, Luxembourg has received recommendations since 2011 in r</w:t>
      </w:r>
      <w:r>
        <w:rPr>
          <w:b/>
          <w:noProof/>
        </w:rPr>
        <w:t>elation to its price and cost competitiveness, which has steadily deteriorated up to 2014.</w:t>
      </w:r>
      <w:r>
        <w:rPr>
          <w:noProof/>
        </w:rPr>
        <w:t xml:space="preserve"> Analyses have shown that both productivity and wage evolution have contributed to this trend. In terms of wage evolution, it has been recommended to Luxembourg to en</w:t>
      </w:r>
      <w:r>
        <w:rPr>
          <w:noProof/>
        </w:rPr>
        <w:t>sure that wages evolves in line with productivity. To date no structural measures have been adopted in this regard, apart from the temporary modulation of the automatic wage indexation to inflation between 2012 and 2014. The cost competitiveness of Luxembo</w:t>
      </w:r>
      <w:r>
        <w:rPr>
          <w:noProof/>
        </w:rPr>
        <w:t xml:space="preserve">urg benefits from the current low inflation environment. However, in the absence of new structural measures, the projected increase in inflation may put at risk the earlier gains in cost-competitiveness. </w:t>
      </w:r>
    </w:p>
    <w:p w:rsidR="002A43CB" w:rsidRDefault="0048172E">
      <w:pPr>
        <w:rPr>
          <w:noProof/>
        </w:rPr>
      </w:pPr>
      <w:r>
        <w:rPr>
          <w:b/>
          <w:noProof/>
        </w:rPr>
        <w:t>Overall, Luxembourg has made limited(</w:t>
      </w:r>
      <w:r>
        <w:rPr>
          <w:noProof/>
          <w:vertAlign w:val="superscript"/>
        </w:rPr>
        <w:footnoteReference w:id="11"/>
      </w:r>
      <w:r>
        <w:rPr>
          <w:b/>
          <w:noProof/>
        </w:rPr>
        <w:t>) progress in</w:t>
      </w:r>
      <w:r>
        <w:rPr>
          <w:b/>
          <w:noProof/>
        </w:rPr>
        <w:t xml:space="preserve"> addressing the 2016 country-specific recommendations (CSRs).</w:t>
      </w:r>
      <w:r>
        <w:rPr>
          <w:noProof/>
        </w:rPr>
        <w:t xml:space="preserve"> Since the recommendation were published, only limited measures have been taken to address the long-term sustainability challenge, related to the projected large increase in pension expenditure. </w:t>
      </w:r>
      <w:r>
        <w:rPr>
          <w:noProof/>
        </w:rPr>
        <w:t>A mid-term review of the sustainability of the pension system in 2016 was carried out as planned and resulted in a detailed analysis including alternative scenarios, also taking account of less favourable demographic and economic developments. A law on rec</w:t>
      </w:r>
      <w:r>
        <w:rPr>
          <w:noProof/>
        </w:rPr>
        <w:t>lassification of workers with disabilities was implemented in 2016. However, key legislation on early retirement and the Age Pact have not yet been adopted, meaning that only limited progress has been made on CSR 1. Progress on CSR 2 is also limited. Few m</w:t>
      </w:r>
      <w:r>
        <w:rPr>
          <w:noProof/>
        </w:rPr>
        <w:t xml:space="preserve">easures have been adopted or announced, and the ones that have do not appear to fully address the challenge. Obstacles to economic developments from significant barriers in the business services sector persist even after the adoption and implementation of </w:t>
      </w:r>
      <w:r>
        <w:rPr>
          <w:noProof/>
        </w:rPr>
        <w:t>the announced measures. Some progress has been made to address bottlenecks to housing investment. Incentives to real estate owners to sell their properties have been introduced and a law has been adopted reducing the length of the procedure for granting bu</w:t>
      </w:r>
      <w:r>
        <w:rPr>
          <w:noProof/>
        </w:rPr>
        <w:t xml:space="preserve">ilding permits. Nevertheless, in view of the projected population increase challenges ahead for the Luxembourg authorities remain sizeable.    </w:t>
      </w:r>
    </w:p>
    <w:p w:rsidR="002A43CB" w:rsidRDefault="002A43CB">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2A43CB">
            <w:pPr>
              <w:pStyle w:val="SlimCell"/>
              <w:keepNext/>
              <w:rPr>
                <w:noProof/>
              </w:rPr>
            </w:pPr>
            <w:bookmarkStart w:id="13" w:name="_Toc474676042"/>
            <w:bookmarkEnd w:id="13"/>
          </w:p>
        </w:tc>
      </w:tr>
      <w:tr w:rsidR="002A43CB">
        <w:trPr>
          <w:cantSplit/>
        </w:trPr>
        <w:tc>
          <w:tcPr>
            <w:tcW w:w="8505" w:type="dxa"/>
            <w:shd w:val="clear" w:color="auto" w:fill="auto"/>
          </w:tcPr>
          <w:p w:rsidR="002A43CB" w:rsidRDefault="0048172E">
            <w:pPr>
              <w:pStyle w:val="TableTitle"/>
              <w:rPr>
                <w:b/>
                <w:noProof/>
              </w:rPr>
            </w:pPr>
            <w:r>
              <w:rPr>
                <w:noProof/>
              </w:rPr>
              <w:t>Table 2.1:</w:t>
            </w:r>
            <w:r>
              <w:rPr>
                <w:b/>
                <w:noProof/>
              </w:rPr>
              <w:tab/>
              <w:t>Progress with country-specific recommendations</w:t>
            </w:r>
          </w:p>
        </w:tc>
      </w:tr>
      <w:tr w:rsidR="002A43CB">
        <w:trPr>
          <w:cantSplit/>
        </w:trPr>
        <w:tc>
          <w:tcPr>
            <w:tcW w:w="8505" w:type="dxa"/>
            <w:shd w:val="clear" w:color="auto" w:fill="auto"/>
          </w:tcPr>
          <w:p w:rsidR="002A43CB" w:rsidRDefault="0048172E">
            <w:pPr>
              <w:pStyle w:val="TableShape"/>
              <w:rPr>
                <w:noProof/>
                <w:sz w:val="2"/>
              </w:rPr>
            </w:pPr>
            <w:r>
              <w:rPr>
                <w:noProof/>
                <w:sz w:val="2"/>
                <w:lang w:eastAsia="en-GB"/>
              </w:rPr>
              <w:drawing>
                <wp:inline distT="0" distB="0" distL="0" distR="0" wp14:anchorId="7F09F8B4" wp14:editId="3C9712CB">
                  <wp:extent cx="5400929" cy="4119514"/>
                  <wp:effectExtent l="0" t="0" r="0" b="0"/>
                  <wp:docPr id="18" name="Picture 18" descr="&lt;_DISABLED_nbr_DISABLED_&gt;&lt;GETTEXTFROMWORD&gt;&lt;/nbr&gt;&#10;&lt;title&gt;&lt;GETTEXTFROMWORD&gt;&lt;/title&gt;&#10;&lt;_DISABLED_id_DISABLED_&gt;849ca500-0d5d-4ac0-8234-a67ab163938b&lt;/id&gt;&#10;&lt;srcType&gt;WORD&lt;/srcType&gt;&#10;&lt;srcPath&gt;O:\2017 CRs\16 LU\16_Luxembourg_CR\Graphs,Tables and Boxes\Chapter 2 - Progress with CSRs\&lt;/srcPath&gt;&#10;&lt;srcName&gt;Assessment Table.docx&lt;/srcName&gt;&#10;&lt;type&gt;table&lt;/typ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3:44: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929" cy="4119514"/>
                          </a:xfrm>
                          <a:prstGeom prst="rect">
                            <a:avLst/>
                          </a:prstGeom>
                          <a:noFill/>
                          <a:ln>
                            <a:noFill/>
                          </a:ln>
                        </pic:spPr>
                      </pic:pic>
                    </a:graphicData>
                  </a:graphic>
                </wp:inline>
              </w:drawing>
            </w:r>
          </w:p>
        </w:tc>
      </w:tr>
      <w:tr w:rsidR="002A43CB">
        <w:trPr>
          <w:cantSplit/>
        </w:trPr>
        <w:tc>
          <w:tcPr>
            <w:tcW w:w="8505" w:type="dxa"/>
            <w:shd w:val="clear" w:color="auto" w:fill="auto"/>
          </w:tcPr>
          <w:p w:rsidR="002A43CB" w:rsidRDefault="0048172E">
            <w:pPr>
              <w:pStyle w:val="TableSource"/>
              <w:rPr>
                <w:noProof/>
              </w:rPr>
            </w:pPr>
            <w:r>
              <w:rPr>
                <w:b/>
                <w:i/>
                <w:noProof/>
              </w:rPr>
              <w:t>Source:</w:t>
            </w:r>
            <w:r>
              <w:rPr>
                <w:noProof/>
              </w:rPr>
              <w:t xml:space="preserve"> European Commission</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2A43CB">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keepNext/>
              <w:rPr>
                <w:noProof/>
              </w:rPr>
            </w:pPr>
            <w:bookmarkStart w:id="14" w:name="_Toc474676076"/>
            <w:bookmarkEnd w:id="14"/>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Pr>
        <w:tc>
          <w:tcPr>
            <w:tcW w:w="8505" w:type="dxa"/>
            <w:shd w:val="clear" w:color="auto" w:fill="F7FCFF"/>
          </w:tcPr>
          <w:p w:rsidR="002A43CB" w:rsidRDefault="0048172E">
            <w:pPr>
              <w:pStyle w:val="BoxShape"/>
              <w:rPr>
                <w:noProof/>
                <w:sz w:val="2"/>
              </w:rPr>
            </w:pPr>
            <w:r>
              <w:rPr>
                <w:noProof/>
                <w:sz w:val="2"/>
                <w:lang w:eastAsia="en-GB"/>
              </w:rPr>
              <w:drawing>
                <wp:inline distT="0" distB="0" distL="0" distR="0" wp14:anchorId="0AB8C3E6" wp14:editId="6D401356">
                  <wp:extent cx="5040929" cy="5145750"/>
                  <wp:effectExtent l="0" t="0" r="7620" b="0"/>
                  <wp:docPr id="19" name="Picture 19" descr="&lt;_DISABLED_nbr_DISABLED_&gt;2.1&lt;/nbr&gt;&#10;&lt;title&gt;Contribution of the EU Budget to structural change in Luxembourg.&lt;/title&gt;&#10;&lt;_DISABLED_id_DISABLED_&gt;0f0eb068-3894-4fc4-97dc-ef7d3ab93916&lt;/id&gt;&#10;&lt;srcType&gt;WORD&lt;/srcType&gt;&#10;&lt;srcPath&gt;O:\2017 CRs\16 LU\16_Luxembourg_CR\Graphs,Tables and Boxes\Chapter 2 - Progress with CSRs\&lt;/srcPath&gt;&#10;&lt;srcName&gt;ESIF box.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23:08: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0929" cy="5145750"/>
                          </a:xfrm>
                          <a:prstGeom prst="rect">
                            <a:avLst/>
                          </a:prstGeom>
                          <a:noFill/>
                          <a:ln>
                            <a:noFill/>
                          </a:ln>
                        </pic:spPr>
                      </pic:pic>
                    </a:graphicData>
                  </a:graphic>
                </wp:inline>
              </w:drawing>
            </w: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rPr>
                <w:noProof/>
              </w:rPr>
            </w:pPr>
          </w:p>
        </w:tc>
      </w:tr>
    </w:tbl>
    <w:p w:rsidR="002A43CB" w:rsidRDefault="002A43CB">
      <w:pPr>
        <w:rPr>
          <w:noProof/>
        </w:rPr>
      </w:pPr>
    </w:p>
    <w:p w:rsidR="002A43CB" w:rsidRDefault="002A43CB">
      <w:pPr>
        <w:rPr>
          <w:noProof/>
        </w:rPr>
      </w:pPr>
    </w:p>
    <w:p w:rsidR="002A43CB" w:rsidRDefault="002A43CB">
      <w:pPr>
        <w:rPr>
          <w:noProof/>
        </w:rPr>
        <w:sectPr w:rsidR="002A43CB">
          <w:headerReference w:type="even" r:id="rId43"/>
          <w:headerReference w:type="default" r:id="rId44"/>
          <w:footerReference w:type="even" r:id="rId45"/>
          <w:footerReference w:type="default" r:id="rId46"/>
          <w:headerReference w:type="first" r:id="rId47"/>
          <w:footerReference w:type="first" r:id="rId4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A43CB" w:rsidRDefault="0048172E">
      <w:pPr>
        <w:pStyle w:val="SectionTitleFramed4"/>
        <w:framePr w:wrap="notBeside"/>
        <w:rPr>
          <w:noProof/>
        </w:rPr>
      </w:pPr>
      <w:bookmarkStart w:id="15" w:name="_Toc474829370"/>
      <w:bookmarkStart w:id="16" w:name="_Toc474829371"/>
      <w:bookmarkEnd w:id="15"/>
      <w:bookmarkEnd w:id="16"/>
      <w:r>
        <w:rPr>
          <w:rFonts w:ascii="Times New Roman" w:hAnsi="Times New Roman"/>
          <w:b/>
          <w:noProof/>
          <w:color w:val="808080"/>
          <w:sz w:val="72"/>
        </w:rPr>
        <w:t>3.</w:t>
      </w:r>
      <w:r>
        <w:rPr>
          <w:noProof/>
        </w:rPr>
        <w:tab/>
        <w:t>Reform priorities</w:t>
      </w:r>
    </w:p>
    <w:p w:rsidR="002A43CB" w:rsidRDefault="0048172E">
      <w:pPr>
        <w:pStyle w:val="SubsectionHeading1"/>
        <w:framePr w:wrap="notBeside"/>
        <w:rPr>
          <w:noProof/>
        </w:rPr>
      </w:pPr>
      <w:r>
        <w:rPr>
          <w:noProof/>
        </w:rPr>
        <w:t>3.1.</w:t>
      </w:r>
      <w:r>
        <w:rPr>
          <w:noProof/>
        </w:rPr>
        <w:tab/>
        <w:t>Public finances and taxation</w:t>
      </w:r>
    </w:p>
    <w:p w:rsidR="002A43CB" w:rsidRDefault="0048172E">
      <w:pPr>
        <w:pStyle w:val="NumberedHeading1"/>
        <w:tabs>
          <w:tab w:val="left" w:pos="567"/>
        </w:tabs>
        <w:rPr>
          <w:noProof/>
        </w:rPr>
      </w:pPr>
      <w:bookmarkStart w:id="17" w:name="_Toc468961009"/>
      <w:r>
        <w:rPr>
          <w:noProof/>
        </w:rPr>
        <w:t>3.1.1.</w:t>
      </w:r>
      <w:r>
        <w:rPr>
          <w:noProof/>
        </w:rPr>
        <w:tab/>
        <w:t>Taxation</w:t>
      </w:r>
      <w:bookmarkEnd w:id="17"/>
    </w:p>
    <w:p w:rsidR="002A43CB" w:rsidRDefault="0048172E">
      <w:pPr>
        <w:rPr>
          <w:noProof/>
        </w:rPr>
      </w:pPr>
      <w:r>
        <w:rPr>
          <w:b/>
          <w:noProof/>
        </w:rPr>
        <w:t xml:space="preserve">The overall tax burden amounted to 38.1 % of GDP in 2014, close to the EU average of 38.8 % of GDP (European Commission, 2016b), (Graph </w:t>
      </w:r>
      <w:r>
        <w:rPr>
          <w:b/>
          <w:noProof/>
        </w:rPr>
        <w:fldChar w:fldCharType="begin"/>
      </w:r>
      <w:r>
        <w:rPr>
          <w:noProof/>
        </w:rPr>
        <w:instrText xml:space="preserve"> QUOTE "3.1.1"</w:instrText>
      </w:r>
      <w:r>
        <w:rPr>
          <w:noProof/>
        </w:rPr>
        <w:fldChar w:fldCharType="begin">
          <w:fldData xml:space="preserve">QwBSAE8AUwBTAFIARQBGAEUAUgBFAE4AQwBFACoARwBSAEEAUABIACoAMQAyADAAMwA4ADMAYwBj
AC0AMQAxADQAYwAtADQAZAA0ADEALQA4ADMAZABjAC0ANQBkADgANQBmADAANQAyADcAMABmAGIA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3.1.1</w:t>
      </w:r>
      <w:r>
        <w:rPr>
          <w:b/>
          <w:noProof/>
        </w:rPr>
        <w:fldChar w:fldCharType="end"/>
      </w:r>
      <w:r>
        <w:rPr>
          <w:b/>
          <w:noProof/>
        </w:rPr>
        <w:t>).</w:t>
      </w:r>
      <w:r>
        <w:rPr>
          <w:noProof/>
        </w:rPr>
        <w:t xml:space="preserve"> The sources of tax revenues are almost equally distributed, with direct and indirect taxes making up around two thirds of total tax revenues, while the </w:t>
      </w:r>
      <w:r>
        <w:rPr>
          <w:noProof/>
        </w:rPr>
        <w:t>remainder corresponds to social contributions. In 2016, the government announced a major overhaul of the tax system. Parliament adopted the reform in December 2016 and it entered into force on 1 January 2017 (with one exception). (</w:t>
      </w:r>
      <w:r>
        <w:rPr>
          <w:noProof/>
          <w:vertAlign w:val="superscript"/>
        </w:rPr>
        <w:footnoteReference w:id="12"/>
      </w:r>
      <w:r>
        <w:rPr>
          <w:noProof/>
        </w:rPr>
        <w:t>)</w:t>
      </w:r>
    </w:p>
    <w:p w:rsidR="002A43CB" w:rsidRDefault="0048172E">
      <w:pPr>
        <w:rPr>
          <w:noProof/>
        </w:rPr>
      </w:pPr>
      <w:r>
        <w:rPr>
          <w:b/>
          <w:noProof/>
        </w:rPr>
        <w:t>The reform of Luxembou</w:t>
      </w:r>
      <w:r>
        <w:rPr>
          <w:b/>
          <w:noProof/>
        </w:rPr>
        <w:t>rg's tax system focuses mostly on personal income tax and corporate income tax.</w:t>
      </w:r>
      <w:r>
        <w:rPr>
          <w:noProof/>
        </w:rPr>
        <w:t xml:space="preserve"> Together, these two taxes account for approximately a third of total tax revenues. The reform is part of a larger overhaul envisaged by the Luxembourg authorities of the redist</w:t>
      </w:r>
      <w:r>
        <w:rPr>
          <w:noProof/>
        </w:rPr>
        <w:t>ributive system of incomes (see Section 3.3). Measures that relate to the housing market are discussed in Section 3.2.3.</w:t>
      </w:r>
    </w:p>
    <w:p w:rsidR="002A43CB" w:rsidRDefault="0048172E">
      <w:pPr>
        <w:pStyle w:val="Heading"/>
        <w:rPr>
          <w:noProof/>
        </w:rPr>
      </w:pPr>
      <w:r>
        <w:rPr>
          <w:noProof/>
        </w:rPr>
        <w:t>Personal Income Taxation (PIT)</w:t>
      </w:r>
    </w:p>
    <w:p w:rsidR="002A43CB" w:rsidRDefault="0048172E">
      <w:pPr>
        <w:rPr>
          <w:noProof/>
        </w:rPr>
      </w:pPr>
      <w:r>
        <w:rPr>
          <w:b/>
          <w:noProof/>
        </w:rPr>
        <w:t>The reform of personal income taxation was guided by the principles of social equity and selectivity.</w:t>
      </w:r>
      <w:r>
        <w:rPr>
          <w:noProof/>
        </w:rPr>
        <w:t xml:space="preserve"> Th</w:t>
      </w:r>
      <w:r>
        <w:rPr>
          <w:noProof/>
        </w:rPr>
        <w:t>e main measures introduced include: i) a review of the tax brackets and tax rates, ii) an increase in the top personal income tax rate, iii) the abolition of the 0.5% temporary budget-balancing tax ("impôt d'équilibrage budgétaire temporaire"); iv) the ref</w:t>
      </w:r>
      <w:r>
        <w:rPr>
          <w:noProof/>
        </w:rPr>
        <w:t>orm of tax credits (for earned income, pensions, self-employed people and single parents); v) a change in the treatment of rental income derived from approved bodies; vi) an increase in the limit of mortgage interest deductibility, as well as vii) an incre</w:t>
      </w:r>
      <w:r>
        <w:rPr>
          <w:noProof/>
        </w:rPr>
        <w:t>ase in the tax allowance for complementary pension schemes. It also provides for a review of childcare allowances ("frais de domesticité et frais de garde d'enfant") and for an increase in the withholding tax on interests from 10 % to 20 % (above EUR 250 o</w:t>
      </w:r>
      <w:r>
        <w:rPr>
          <w:noProof/>
        </w:rPr>
        <w:t>f interest income per person and per credit institution). Finally, it introduces the option for individual taxation of couples, as discussed in Section 3.3.1. At prima facie, the reform appears to benefit all households across the income distribution, even</w:t>
      </w:r>
      <w:r>
        <w:rPr>
          <w:noProof/>
        </w:rPr>
        <w:t xml:space="preserve"> if at a different extent. Box </w:t>
      </w:r>
      <w:r>
        <w:rPr>
          <w:noProof/>
        </w:rPr>
        <w:fldChar w:fldCharType="begin"/>
      </w:r>
      <w:r>
        <w:rPr>
          <w:noProof/>
        </w:rPr>
        <w:instrText xml:space="preserve"> QUOTE "3.1.1"</w:instrText>
      </w:r>
      <w:r>
        <w:rPr>
          <w:noProof/>
        </w:rPr>
        <w:fldChar w:fldCharType="begin">
          <w:fldData xml:space="preserve">QwBSAE8AUwBTAFIARQBGAEUAUgBFAE4AQwBFACoAQgBPAFgAKgAwADAAMAAyAGEANQAzADMALQAy
ADAAYgA1AC0ANAA4ADIAOAAtAGEANAAxAGEALQBlADUAMgAwAGEAZAAwAGYAMABhADAAMwA=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gives an assessment of the distributional impact of the reform(</w:t>
      </w:r>
      <w:r>
        <w:rPr>
          <w:noProof/>
          <w:vertAlign w:val="superscript"/>
        </w:rPr>
        <w:footnoteReference w:id="13"/>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3.1.1:</w:t>
            </w:r>
            <w:r>
              <w:rPr>
                <w:b/>
                <w:noProof/>
              </w:rPr>
              <w:tab/>
              <w:t xml:space="preserve">Breakdown of overall </w:t>
            </w:r>
            <w:r>
              <w:rPr>
                <w:b/>
                <w:noProof/>
              </w:rPr>
              <w:t>tax burden</w:t>
            </w:r>
          </w:p>
        </w:tc>
      </w:tr>
      <w:tr w:rsidR="002A43CB">
        <w:trPr>
          <w:cantSplit/>
        </w:trPr>
        <w:tc>
          <w:tcPr>
            <w:tcW w:w="4110" w:type="dxa"/>
            <w:shd w:val="clear" w:color="auto" w:fill="auto"/>
          </w:tcPr>
          <w:p w:rsidR="002A43CB" w:rsidRDefault="0048172E">
            <w:pPr>
              <w:pStyle w:val="GraphShape"/>
              <w:rPr>
                <w:noProof/>
                <w:sz w:val="2"/>
              </w:rPr>
            </w:pPr>
            <w:bookmarkStart w:id="18" w:name="_Toc474676058"/>
            <w:bookmarkEnd w:id="18"/>
            <w:r>
              <w:rPr>
                <w:noProof/>
                <w:sz w:val="2"/>
                <w:lang w:eastAsia="en-GB"/>
              </w:rPr>
              <w:drawing>
                <wp:inline distT="0" distB="0" distL="0" distR="0" wp14:anchorId="4E32C0B4" wp14:editId="0C1799FA">
                  <wp:extent cx="2597595" cy="2441967"/>
                  <wp:effectExtent l="0" t="0" r="0" b="0"/>
                  <wp:docPr id="12" name="Picture 12" descr="&lt;_DISABLED_nbr_DISABLED_&gt;&lt;GETTEXTFROMWORD&gt;&lt;/nbr&gt;&#10;&lt;title&gt;&lt;GETTEXTFROMWORD&gt;&lt;/title&gt;&#10;&lt;_DISABLED_id_DISABLED_&gt;120383cc-114c-4d41-83dc-5d85f05270fb&lt;/id&gt;&#10;&lt;srcType&gt;EXCEL&lt;/srcType&gt;&#10;&lt;srcPath&gt;O:\2017 CRs\16 LU\16_Luxembourg_CR\Graphs,Tables and Boxes\Chapter 3-1 Taxation\&lt;/srcPath&gt;&#10;&lt;srcName&gt;Decomposition of tax burden.xlsx&lt;/srcName&gt;&#10;&lt;type&gt;graph&lt;/type&gt;&#10; &lt;srcSheet&gt;Graph&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0T17:38: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7595" cy="244196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2A43CB">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keepNext/>
              <w:rPr>
                <w:noProof/>
              </w:rPr>
            </w:pPr>
            <w:bookmarkStart w:id="19" w:name="_Toc474676077"/>
            <w:bookmarkEnd w:id="19"/>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Pr>
        <w:tc>
          <w:tcPr>
            <w:tcW w:w="8505" w:type="dxa"/>
            <w:shd w:val="clear" w:color="auto" w:fill="F7FCFF"/>
          </w:tcPr>
          <w:p w:rsidR="002A43CB" w:rsidRDefault="0048172E">
            <w:pPr>
              <w:pStyle w:val="BoxShape"/>
              <w:rPr>
                <w:noProof/>
                <w:sz w:val="2"/>
              </w:rPr>
            </w:pPr>
            <w:r>
              <w:rPr>
                <w:noProof/>
                <w:sz w:val="2"/>
                <w:lang w:eastAsia="en-GB"/>
              </w:rPr>
              <w:drawing>
                <wp:inline distT="0" distB="0" distL="0" distR="0" wp14:anchorId="007AC478" wp14:editId="00CFEF5D">
                  <wp:extent cx="5040929" cy="7366781"/>
                  <wp:effectExtent l="0" t="0" r="7620" b="0"/>
                  <wp:docPr id="5" name="Picture 5" descr="&lt;_DISABLED_nbr_DISABLED_&gt;3.1.1&lt;/nbr&gt;&#10;&lt;title&gt;The distributional impact of the tax reform.&lt;/title&gt;&#10;&lt;_DISABLED_id_DISABLED_&gt;0002a533-20b5-4828-a41a-e520ad0f0a03&lt;/id&gt;&#10;&lt;srcType&gt;WORD&lt;/srcType&gt;&#10;&lt;srcPath&gt;O:\2017 CRs\16 LU\16_Luxembourg_CR\Graphs,Tables and Boxes\Chapter 3-1 Taxation\&lt;/srcPath&gt;&#10;&lt;srcName&gt;Box distributional impacttax reform.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30T10:01: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40929" cy="7366781"/>
                          </a:xfrm>
                          <a:prstGeom prst="rect">
                            <a:avLst/>
                          </a:prstGeom>
                          <a:noFill/>
                          <a:ln>
                            <a:noFill/>
                          </a:ln>
                        </pic:spPr>
                      </pic:pic>
                    </a:graphicData>
                  </a:graphic>
                </wp:inline>
              </w:drawing>
            </w: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rPr>
                <w:noProof/>
              </w:rPr>
            </w:pPr>
          </w:p>
        </w:tc>
      </w:tr>
    </w:tbl>
    <w:p w:rsidR="002A43CB" w:rsidRDefault="002A43CB">
      <w:pPr>
        <w:pStyle w:val="Heading"/>
        <w:rPr>
          <w:noProof/>
        </w:rPr>
      </w:pPr>
    </w:p>
    <w:p w:rsidR="002A43CB" w:rsidRDefault="0048172E">
      <w:pPr>
        <w:pStyle w:val="Heading"/>
        <w:rPr>
          <w:noProof/>
        </w:rPr>
      </w:pPr>
      <w:r>
        <w:rPr>
          <w:noProof/>
        </w:rPr>
        <w:br w:type="page"/>
        <w:t>Corporate Income Taxation (CIT)</w:t>
      </w:r>
    </w:p>
    <w:p w:rsidR="002A43CB" w:rsidRDefault="0048172E">
      <w:pPr>
        <w:rPr>
          <w:noProof/>
        </w:rPr>
      </w:pPr>
      <w:r>
        <w:rPr>
          <w:b/>
          <w:noProof/>
        </w:rPr>
        <w:t>The reform of corporate taxation aims to support investment and boost competitiveness through a decrease in tax rates and a review of several tax expenditures.</w:t>
      </w:r>
      <w:r>
        <w:rPr>
          <w:noProof/>
        </w:rPr>
        <w:t xml:space="preserve"> It provides for a gradual decrease of the corporate income tax rate from 21 % to 19 % in 2017 and 18 % in 2018. Including surcharges, this means that the 29.22 % top corporate rate will go down to 27.08 % in 2017 and 26.01 % in 2018. Also the corporate in</w:t>
      </w:r>
      <w:r>
        <w:rPr>
          <w:noProof/>
        </w:rPr>
        <w:t xml:space="preserve">come tax rate applicable to corporations with a taxable income below EUR 25,000 will be reduced from 20 % to 15 %, while the scope of eligible companies has been enlarged. </w:t>
      </w:r>
    </w:p>
    <w:p w:rsidR="002A43CB" w:rsidRDefault="0048172E">
      <w:pPr>
        <w:rPr>
          <w:noProof/>
        </w:rPr>
      </w:pPr>
      <w:r>
        <w:rPr>
          <w:b/>
          <w:noProof/>
        </w:rPr>
        <w:t>In order further to support competitiveness and investment, several tax expenditure</w:t>
      </w:r>
      <w:r>
        <w:rPr>
          <w:b/>
          <w:noProof/>
        </w:rPr>
        <w:t>s have been adjusted.</w:t>
      </w:r>
      <w:r>
        <w:rPr>
          <w:noProof/>
        </w:rPr>
        <w:t xml:space="preserve"> The complementary and global tax credit for investment will be each one increased by one percentage point, to 13 % and 8 % respectively. Moreover, the carry forward of losses will be limited to 17 years, the minimum net worth tax for </w:t>
      </w:r>
      <w:r>
        <w:rPr>
          <w:noProof/>
        </w:rPr>
        <w:t>"Sociétés de Participations Financières (SOPARFI) increased and capital gains derived from the transmission of businesses can benefit, under certain conditions, from a tax deferral. Overall, the reform of corporate taxation is expected to cost, when at reg</w:t>
      </w:r>
      <w:r>
        <w:rPr>
          <w:noProof/>
        </w:rPr>
        <w:t>ime, around 0.2% of GDP. (</w:t>
      </w:r>
      <w:r>
        <w:rPr>
          <w:noProof/>
          <w:vertAlign w:val="superscript"/>
        </w:rPr>
        <w:footnoteReference w:id="14"/>
      </w:r>
      <w:r>
        <w:rPr>
          <w:noProof/>
        </w:rPr>
        <w:t xml:space="preserve">) This does however not take into account the longer term positive effects on competitiveness and investments. </w:t>
      </w:r>
    </w:p>
    <w:p w:rsidR="002A43CB" w:rsidRDefault="0048172E">
      <w:pPr>
        <w:rPr>
          <w:noProof/>
        </w:rPr>
      </w:pPr>
      <w:r>
        <w:rPr>
          <w:b/>
          <w:noProof/>
        </w:rPr>
        <w:t>Some of Luxembourg's tax rules may be used in structures of aggressive tax planning. (</w:t>
      </w:r>
      <w:r>
        <w:rPr>
          <w:noProof/>
          <w:vertAlign w:val="superscript"/>
        </w:rPr>
        <w:footnoteReference w:id="15"/>
      </w:r>
      <w:r>
        <w:rPr>
          <w:b/>
          <w:noProof/>
        </w:rPr>
        <w:t>)</w:t>
      </w:r>
      <w:r>
        <w:rPr>
          <w:noProof/>
        </w:rPr>
        <w:t xml:space="preserve"> The absence of certain anti-abuse rules(</w:t>
      </w:r>
      <w:r>
        <w:rPr>
          <w:noProof/>
          <w:vertAlign w:val="superscript"/>
        </w:rPr>
        <w:footnoteReference w:id="16"/>
      </w:r>
      <w:r>
        <w:rPr>
          <w:noProof/>
        </w:rPr>
        <w:t xml:space="preserve">) and the absence of withholding taxes on outbound interest and royalties vis-à-vis third countries are features of the tax system which may facilitate aggressive tax planning. In that respect, the very high level </w:t>
      </w:r>
      <w:r>
        <w:rPr>
          <w:noProof/>
        </w:rPr>
        <w:t>of foreign direct investment (FDI) positions, the share of those FDI held by so-called 'Special Purpose Entities' (SPE), but also of interests, dividends or royalties payments(</w:t>
      </w:r>
      <w:r>
        <w:rPr>
          <w:noProof/>
          <w:vertAlign w:val="superscript"/>
        </w:rPr>
        <w:footnoteReference w:id="17"/>
      </w:r>
      <w:r>
        <w:rPr>
          <w:noProof/>
        </w:rPr>
        <w:t>) as percentage of GDP suggest that the country's tax rules are used by compani</w:t>
      </w:r>
      <w:r>
        <w:rPr>
          <w:noProof/>
        </w:rPr>
        <w:t>es that engage in aggressive tax planning. Within this context, however, it is important to note that corporate tax initiatives, such as the amendment to the Parent-Subsidiary Directive and the Anti-Tax Avoidance Directive, will strengthen Member States' a</w:t>
      </w:r>
      <w:r>
        <w:rPr>
          <w:noProof/>
        </w:rPr>
        <w:t xml:space="preserve">nti-abuse frameworks and boost tax transparency, for example through the automatic exchange of information on tax rulings or on country-by-country reports. </w:t>
      </w:r>
    </w:p>
    <w:p w:rsidR="002A43CB" w:rsidRDefault="0048172E">
      <w:pPr>
        <w:rPr>
          <w:noProof/>
        </w:rPr>
      </w:pPr>
      <w:r>
        <w:rPr>
          <w:b/>
          <w:noProof/>
        </w:rPr>
        <w:t>Luxembourg has expressed its willingness to maintain an internationally competitive tax regime whil</w:t>
      </w:r>
      <w:r>
        <w:rPr>
          <w:b/>
          <w:noProof/>
        </w:rPr>
        <w:t>e respecting international tax rules.</w:t>
      </w:r>
      <w:r>
        <w:rPr>
          <w:noProof/>
        </w:rPr>
        <w:t xml:space="preserve"> In line with Action 5 of the Base Erosion and Profit Shifting (BEPS) (see OECD, 2015), as endorsed by the Code of Conduct for Business Taxation, the patent box regime has been repealed. Moreover, Luxembourg has introdu</w:t>
      </w:r>
      <w:r>
        <w:rPr>
          <w:noProof/>
        </w:rPr>
        <w:t>ced a new article in the tax legislation that provides more guidance concerning how to apply the arm's length principle that was formalised on 1 January 2015. In order to enhance the fight against tax fraud, Luxembourg introduced the concept of 'aggravated</w:t>
      </w:r>
      <w:r>
        <w:rPr>
          <w:noProof/>
        </w:rPr>
        <w:t xml:space="preserve"> tax fraud', which would constitute a criminal offence. Furthermore, to enhance VAT compliance, joint liability has been introduced for managers and companies, which have not met their VAT obligations. </w:t>
      </w:r>
    </w:p>
    <w:p w:rsidR="002A43CB" w:rsidRDefault="0048172E">
      <w:pPr>
        <w:pStyle w:val="Heading"/>
        <w:rPr>
          <w:noProof/>
        </w:rPr>
      </w:pPr>
      <w:r>
        <w:rPr>
          <w:noProof/>
        </w:rPr>
        <w:t>Environmental and energy taxation</w:t>
      </w:r>
    </w:p>
    <w:p w:rsidR="002A43CB" w:rsidRDefault="0048172E">
      <w:pPr>
        <w:rPr>
          <w:noProof/>
        </w:rPr>
      </w:pPr>
      <w:r>
        <w:rPr>
          <w:b/>
          <w:noProof/>
        </w:rPr>
        <w:t>Luxembourg has witn</w:t>
      </w:r>
      <w:r>
        <w:rPr>
          <w:b/>
          <w:noProof/>
        </w:rPr>
        <w:t>essed a steady decrease in its environmental tax revenues proportion of GDP over the last 10 years,</w:t>
      </w:r>
      <w:r>
        <w:rPr>
          <w:noProof/>
        </w:rPr>
        <w:t xml:space="preserve"> amounting to 2.0 % of GDP in 2014 (EU28 average: 2.5 % of GDP), (European Commission, 2015b, p. 68).  Energy taxes make up the largest proportion of environ</w:t>
      </w:r>
      <w:r>
        <w:rPr>
          <w:noProof/>
        </w:rPr>
        <w:t xml:space="preserve">mental taxes in Luxembourg by far, amounting to 1.8 % of GDP in 2014, see Graph </w:t>
      </w:r>
      <w:r>
        <w:rPr>
          <w:noProof/>
        </w:rPr>
        <w:fldChar w:fldCharType="begin"/>
      </w:r>
      <w:r>
        <w:rPr>
          <w:noProof/>
        </w:rPr>
        <w:instrText xml:space="preserve"> QUOTE "3.1.2"</w:instrText>
      </w:r>
      <w:r>
        <w:rPr>
          <w:noProof/>
        </w:rPr>
        <w:fldChar w:fldCharType="begin">
          <w:fldData xml:space="preserve">QwBSAE8AUwBTAFIARQBGAEUAUgBFAE4AQwBFACoARwBSAEEAUABIACoAYgBkADAAYQAzAGUAZQBh
AC0ANgA0ADQAOAAtADQAYgA0ADAALQBhADcANwBlAC0AZgA5AGYANABhADEANQAxAGEAMAAzADAA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Revenues from taxation of transport (excluding fu</w:t>
      </w:r>
      <w:r>
        <w:rPr>
          <w:noProof/>
        </w:rPr>
        <w:t xml:space="preserve">els) amount to just 0.1 % of GDP in 2014. </w:t>
      </w:r>
    </w:p>
    <w:p w:rsidR="002A43CB" w:rsidRDefault="0048172E">
      <w:pPr>
        <w:rPr>
          <w:noProof/>
        </w:rPr>
      </w:pPr>
      <w:r>
        <w:rPr>
          <w:b/>
          <w:noProof/>
        </w:rPr>
        <w:t>Luxembourg’s transport fuel tax rates are some of the lowest in the EU,</w:t>
      </w:r>
      <w:r>
        <w:rPr>
          <w:noProof/>
        </w:rPr>
        <w:t xml:space="preserve"> not having been modified since October 2007 (petrol) and July 2012 (diesel), although the increase in VAT from 15 % to 17 % contributed to in</w:t>
      </w:r>
      <w:r>
        <w:rPr>
          <w:noProof/>
        </w:rPr>
        <w:t>creased fuel taxes. The tax rate on diesel fuel is 62 % of the petrol tax rate (</w:t>
      </w:r>
      <w:r>
        <w:rPr>
          <w:noProof/>
          <w:vertAlign w:val="superscript"/>
        </w:rPr>
        <w:footnoteReference w:id="18"/>
      </w:r>
      <w:r>
        <w:rPr>
          <w:noProof/>
        </w:rPr>
        <w:t>). This differential does not reflect the respective social costs associated. (</w:t>
      </w:r>
      <w:r>
        <w:rPr>
          <w:noProof/>
          <w:vertAlign w:val="superscript"/>
        </w:rPr>
        <w:footnoteReference w:id="19"/>
      </w:r>
      <w:r>
        <w:rPr>
          <w:noProof/>
        </w:rPr>
        <w:t xml:space="preserve">) The lower tax rate on diesel fuel helps explain the high share of new registered diesel cars </w:t>
      </w:r>
      <w:r>
        <w:rPr>
          <w:noProof/>
        </w:rPr>
        <w:t>in total cars, which at more than 70% in 2015, was still among the highest in the EU. (</w:t>
      </w:r>
      <w:r>
        <w:rPr>
          <w:noProof/>
          <w:vertAlign w:val="superscript"/>
        </w:rPr>
        <w:footnoteReference w:id="20"/>
      </w:r>
      <w:r>
        <w:rPr>
          <w:noProof/>
        </w:rPr>
        <w:t>)</w:t>
      </w:r>
    </w:p>
    <w:p w:rsidR="002A43CB" w:rsidRDefault="0048172E">
      <w:pPr>
        <w:rPr>
          <w:noProof/>
        </w:rPr>
      </w:pPr>
      <w:r>
        <w:rPr>
          <w:b/>
          <w:noProof/>
        </w:rPr>
        <w:t>Transport taxes in Luxembourg are also low in comparison to other Member States.</w:t>
      </w:r>
      <w:r>
        <w:rPr>
          <w:noProof/>
        </w:rPr>
        <w:t xml:space="preserve"> The vehicle registration fee applied regardless of vehicle type or emissions is one o</w:t>
      </w:r>
      <w:r>
        <w:rPr>
          <w:noProof/>
        </w:rPr>
        <w:t xml:space="preserve">f the lowest in the EU and has no impact on a driver’s choice of vehicle. </w:t>
      </w:r>
    </w:p>
    <w:p w:rsidR="002A43CB" w:rsidRDefault="0048172E">
      <w:pPr>
        <w:rPr>
          <w:noProof/>
        </w:rPr>
      </w:pPr>
      <w:r>
        <w:rPr>
          <w:b/>
          <w:noProof/>
        </w:rPr>
        <w:t>The low excise duties on transport fuels are an incentive to fuel consumption, resulting in a high cost for the economy and creating traffic congestion and air pollution</w:t>
      </w:r>
      <w:r>
        <w:rPr>
          <w:noProof/>
        </w:rPr>
        <w:t xml:space="preserve"> (see also S</w:t>
      </w:r>
      <w:r>
        <w:rPr>
          <w:noProof/>
        </w:rPr>
        <w:t>ection 3.4.5)</w:t>
      </w:r>
      <w:r>
        <w:rPr>
          <w:b/>
          <w:noProof/>
        </w:rPr>
        <w:t>.</w:t>
      </w:r>
      <w:r>
        <w:rPr>
          <w:noProof/>
        </w:rPr>
        <w:t xml:space="preserve"> In 2012, the total cost of fuel consumption amounted to approximately EUR 3.5 billion per year considering national and international negative ecological and health impact compared to EUR 2.1 billion of benefits in terms of taxes and employm</w:t>
      </w:r>
      <w:r>
        <w:rPr>
          <w:noProof/>
        </w:rPr>
        <w:t>ent(</w:t>
      </w:r>
      <w:r>
        <w:rPr>
          <w:noProof/>
          <w:vertAlign w:val="superscript"/>
        </w:rPr>
        <w:footnoteReference w:id="21"/>
      </w:r>
      <w:r>
        <w:rPr>
          <w:noProof/>
        </w:rPr>
        <w:t>). More than half of the country's Greenhouse Gas (GHG) emissions stem from the transport sector, 70 % of which are linked to fuel export. Emissions per capita are the highest in Europe due to the very high proportion of road fuel sales to non-residen</w:t>
      </w:r>
      <w:r>
        <w:rPr>
          <w:noProof/>
        </w:rPr>
        <w:t>ts (European Commission, 2015c).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3.1.2:</w:t>
            </w:r>
            <w:r>
              <w:rPr>
                <w:b/>
                <w:noProof/>
              </w:rPr>
              <w:tab/>
              <w:t>Environmental taxes, % of GDP</w:t>
            </w:r>
          </w:p>
        </w:tc>
      </w:tr>
      <w:tr w:rsidR="002A43CB">
        <w:trPr>
          <w:cantSplit/>
        </w:trPr>
        <w:tc>
          <w:tcPr>
            <w:tcW w:w="4110" w:type="dxa"/>
            <w:shd w:val="clear" w:color="auto" w:fill="auto"/>
          </w:tcPr>
          <w:p w:rsidR="002A43CB" w:rsidRDefault="0048172E">
            <w:pPr>
              <w:pStyle w:val="GraphShape"/>
              <w:rPr>
                <w:noProof/>
                <w:sz w:val="2"/>
              </w:rPr>
            </w:pPr>
            <w:bookmarkStart w:id="20" w:name="_Toc474676059"/>
            <w:bookmarkEnd w:id="20"/>
            <w:r>
              <w:rPr>
                <w:noProof/>
                <w:sz w:val="2"/>
                <w:lang w:eastAsia="en-GB"/>
              </w:rPr>
              <w:drawing>
                <wp:inline distT="0" distB="0" distL="0" distR="0" wp14:anchorId="441E6601" wp14:editId="5D3C0193">
                  <wp:extent cx="2597595" cy="2441967"/>
                  <wp:effectExtent l="0" t="0" r="0" b="0"/>
                  <wp:docPr id="20" name="Picture 20" descr="&lt;_DISABLED_nbr_DISABLED_&gt;&lt;GETTEXTFROMWORD&gt;&lt;/nbr&gt;&#10;&lt;title&gt;&lt;GETTEXTFROMWORD&gt;&lt;/title&gt;&#10;&lt;_DISABLED_id_DISABLED_&gt;bd0a3eea-6448-4b40-a77e-f9f4a151a030&lt;/id&gt;&#10;&lt;srcType&gt;EXCEL&lt;/srcType&gt;&#10;&lt;srcPath&gt;O:\2017 CRs\16 LU\16_Luxembourg_CR\Graphs,Tables and Boxes\Chapter 3-1 Taxation\&lt;/srcPath&gt;&#10;&lt;srcName&gt;environment taxes.xls&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0T18:05:1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7595" cy="244196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 xml:space="preserve">The above-mentioned tax reform includes measures to encourage a "sustainable mobility", </w:t>
      </w:r>
      <w:r>
        <w:rPr>
          <w:noProof/>
        </w:rPr>
        <w:t>supporting the purchase of electric cars, pedelecs and bicycles. For company cars, the valuation of the benefit in kind will be differentiated depending on the CO2 emissions of the car. The current rate of 1.5 % of the commercial value of the car will be r</w:t>
      </w:r>
      <w:r>
        <w:rPr>
          <w:noProof/>
        </w:rPr>
        <w:t xml:space="preserve">eplaced with a range of percentages between 0.5 % and 1.8 %. </w:t>
      </w:r>
    </w:p>
    <w:p w:rsidR="002A43CB" w:rsidRDefault="0048172E">
      <w:pPr>
        <w:rPr>
          <w:noProof/>
        </w:rPr>
      </w:pPr>
      <w:r>
        <w:rPr>
          <w:b/>
          <w:noProof/>
        </w:rPr>
        <w:t>Measures taken in favour of more "sustainable mobility" are likely to have limited impact as long as conventional fuel has comparative advantage</w:t>
      </w:r>
      <w:r>
        <w:rPr>
          <w:noProof/>
        </w:rPr>
        <w:t>. Policy approach in terms of both taxation and in</w:t>
      </w:r>
      <w:r>
        <w:rPr>
          <w:noProof/>
        </w:rPr>
        <w:t xml:space="preserve">vestment priorities (Section 3.4.5.) does not seem to pursue entirely coherent objectives. </w:t>
      </w:r>
    </w:p>
    <w:p w:rsidR="002A43CB" w:rsidRDefault="0048172E">
      <w:pPr>
        <w:rPr>
          <w:noProof/>
        </w:rPr>
      </w:pPr>
      <w:r>
        <w:rPr>
          <w:b/>
          <w:noProof/>
        </w:rPr>
        <w:t>In spite of these measures, Luxembourg is expected to miss its 2020 target to decrease its greenhouse gas emissions by 20 %.</w:t>
      </w:r>
      <w:r>
        <w:rPr>
          <w:noProof/>
        </w:rPr>
        <w:t xml:space="preserve"> According to the latest national projec</w:t>
      </w:r>
      <w:r>
        <w:rPr>
          <w:noProof/>
        </w:rPr>
        <w:t>tions based on existing measures, non-emission trading scheme emissions will decrease by 15 % between 2005 and 2020. The target is consequently expected to be missed with a margin of 5 percentage points. (</w:t>
      </w:r>
      <w:r>
        <w:rPr>
          <w:noProof/>
          <w:vertAlign w:val="superscript"/>
        </w:rPr>
        <w:footnoteReference w:id="22"/>
      </w:r>
      <w:r>
        <w:rPr>
          <w:noProof/>
        </w:rPr>
        <w:t xml:space="preserve">)  </w:t>
      </w:r>
    </w:p>
    <w:p w:rsidR="002A43CB" w:rsidRDefault="0048172E">
      <w:pPr>
        <w:pStyle w:val="Heading"/>
        <w:rPr>
          <w:noProof/>
        </w:rPr>
      </w:pPr>
      <w:bookmarkStart w:id="21" w:name="_Toc468961010"/>
      <w:r>
        <w:rPr>
          <w:noProof/>
        </w:rPr>
        <w:t>3.1.2 Spending review</w:t>
      </w:r>
      <w:bookmarkEnd w:id="21"/>
      <w:r>
        <w:rPr>
          <w:noProof/>
        </w:rPr>
        <w:t xml:space="preserve"> </w:t>
      </w:r>
    </w:p>
    <w:p w:rsidR="002A43CB" w:rsidRDefault="0048172E">
      <w:pPr>
        <w:rPr>
          <w:noProof/>
        </w:rPr>
      </w:pPr>
      <w:r>
        <w:rPr>
          <w:b/>
          <w:noProof/>
        </w:rPr>
        <w:t xml:space="preserve">The adopted tax reform </w:t>
      </w:r>
      <w:r>
        <w:rPr>
          <w:b/>
          <w:noProof/>
        </w:rPr>
        <w:t>is expected to narrow the tax base. In addition, at least a part of fiscal revenues remain rather fragile.</w:t>
      </w:r>
      <w:r>
        <w:rPr>
          <w:noProof/>
        </w:rPr>
        <w:t xml:space="preserve"> At the same time, expenditure, especially that age related, is projected to increase significantly.  </w:t>
      </w:r>
    </w:p>
    <w:p w:rsidR="002A43CB" w:rsidRDefault="0048172E">
      <w:pPr>
        <w:rPr>
          <w:noProof/>
        </w:rPr>
      </w:pPr>
      <w:r>
        <w:rPr>
          <w:b/>
          <w:noProof/>
        </w:rPr>
        <w:t>Government expenditure, as a proportion of GDP,</w:t>
      </w:r>
      <w:r>
        <w:rPr>
          <w:b/>
          <w:noProof/>
        </w:rPr>
        <w:t xml:space="preserve"> is below the euro area average, however expenditure per inhabitant is one of the highest in the euro area</w:t>
      </w:r>
      <w:r>
        <w:rPr>
          <w:noProof/>
        </w:rPr>
        <w:t xml:space="preserve"> (see Graph </w:t>
      </w:r>
      <w:r>
        <w:rPr>
          <w:noProof/>
        </w:rPr>
        <w:fldChar w:fldCharType="begin"/>
      </w:r>
      <w:r>
        <w:rPr>
          <w:noProof/>
        </w:rPr>
        <w:instrText xml:space="preserve"> QUOTE "3.1.3"</w:instrText>
      </w:r>
      <w:r>
        <w:rPr>
          <w:noProof/>
        </w:rPr>
        <w:fldChar w:fldCharType="begin">
          <w:fldData xml:space="preserve">QwBSAE8AUwBTAFIARQBGAEUAUgBFAE4AQwBFACoARwBSAEEAUABIACoAOAAzADYAZQBjAGEAYQAz
AC0AMwBiADYAZAAtADQAMwBiAGQALQA5ADQAYQBiAC0AYQBmADkAOQAyAGIAZgA4ADkAZAA5ADkA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3.1.3</w:t>
      </w:r>
      <w:r>
        <w:rPr>
          <w:noProof/>
        </w:rPr>
        <w:fldChar w:fldCharType="end"/>
      </w:r>
      <w:r>
        <w:rPr>
          <w:noProof/>
        </w:rPr>
        <w:t xml:space="preserve">). At 41.5 % </w:t>
      </w:r>
      <w:r>
        <w:rPr>
          <w:noProof/>
        </w:rPr>
        <w:t>of GDP in 2015, total public spending appears low compared to the euro area average of 48.4 %. However, Luxembourg continues to have one of the highest levels of public expenditure per capita in the EU, even when the number of cross-border workers is taken</w:t>
      </w:r>
      <w:r>
        <w:rPr>
          <w:noProof/>
        </w:rPr>
        <w:t xml:space="preserve"> into account. These workers benefit from several elements of the Luxembourg welfare system. Other costs, such as those related to transport infrastructure, would probably be lower, were it not for the large amount of commuting. When the number of cross-bo</w:t>
      </w:r>
      <w:r>
        <w:rPr>
          <w:noProof/>
        </w:rPr>
        <w:t>rder workers is included in the denominator, the gap versus average spending in the euro area decreases considerably, but still remains significant.</w:t>
      </w:r>
    </w:p>
    <w:p w:rsidR="002A43CB" w:rsidRDefault="0048172E">
      <w:pPr>
        <w:rPr>
          <w:noProof/>
        </w:rPr>
      </w:pPr>
      <w:r>
        <w:rPr>
          <w:b/>
          <w:noProof/>
        </w:rPr>
        <w:t>In line with the government programme, a spending review was carried out in 2014</w:t>
      </w:r>
      <w:r>
        <w:rPr>
          <w:noProof/>
        </w:rPr>
        <w:t xml:space="preserve">. Aiming to reduce overall </w:t>
      </w:r>
      <w:r>
        <w:rPr>
          <w:noProof/>
        </w:rPr>
        <w:t>public spending through a renewed budgetary strategy focused on more efficiency and transparency in government action, or achieving the same results with less, the review produced a list of 258 measures, most of them spending cuts. The consolidation packag</w:t>
      </w:r>
      <w:r>
        <w:rPr>
          <w:noProof/>
        </w:rPr>
        <w:t xml:space="preserve">e named 'ZukunftsPak' was integrated into the 2015 budget and its implementation is planned for the period 2015-2018.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bookmarkStart w:id="22" w:name="_Toc468961011"/>
            <w:r>
              <w:rPr>
                <w:noProof/>
              </w:rPr>
              <w:t>Graph 3.1.3:</w:t>
            </w:r>
            <w:r>
              <w:rPr>
                <w:b/>
                <w:noProof/>
              </w:rPr>
              <w:tab/>
              <w:t>Total expenditure per inhabitants in 2015, (thousands of pps.)</w:t>
            </w:r>
          </w:p>
        </w:tc>
      </w:tr>
      <w:tr w:rsidR="002A43CB">
        <w:trPr>
          <w:cantSplit/>
        </w:trPr>
        <w:tc>
          <w:tcPr>
            <w:tcW w:w="4110" w:type="dxa"/>
            <w:shd w:val="clear" w:color="auto" w:fill="auto"/>
          </w:tcPr>
          <w:p w:rsidR="002A43CB" w:rsidRDefault="0048172E">
            <w:pPr>
              <w:pStyle w:val="GraphShape"/>
              <w:rPr>
                <w:noProof/>
                <w:sz w:val="2"/>
              </w:rPr>
            </w:pPr>
            <w:bookmarkStart w:id="23" w:name="_Toc474676060"/>
            <w:bookmarkEnd w:id="23"/>
            <w:r>
              <w:rPr>
                <w:noProof/>
                <w:sz w:val="2"/>
                <w:lang w:eastAsia="en-GB"/>
              </w:rPr>
              <w:drawing>
                <wp:inline distT="0" distB="0" distL="0" distR="0" wp14:anchorId="62154163" wp14:editId="647A5CC3">
                  <wp:extent cx="2597595" cy="2438958"/>
                  <wp:effectExtent l="0" t="0" r="0" b="0"/>
                  <wp:docPr id="3" name="Picture 3" descr="&lt;_DISABLED_nbr_DISABLED_&gt;&lt;GETTEXTFROMWORD&gt;&lt;/nbr&gt;&#10;&lt;title&gt;&lt;GETTEXTFROMWORD&gt;&lt;/title&gt;&#10;&lt;_DISABLED_id_DISABLED_&gt;836ecaa3-3b6d-43bd-94ab-af992bf89d99&lt;/id&gt;&#10;&lt;srcType&gt;EXCEL&lt;/srcType&gt;&#10;&lt;srcPath&gt;O:\2017 CRs\16 LU\16_Luxembourg_CR\Graphs,Tables and Boxes\Chapter 3-1 Expenditure review\&lt;/srcPath&gt;&#10;&lt;srcName&gt;Expenditure by GDP, person, PPP.xlsx&lt;/srcName&gt;&#10;&lt;type&gt;graph&lt;/type&gt;&#10; &lt;srcSheet&gt;Graph&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6-12-20T18:21: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Footnote"/>
              <w:keepNext/>
              <w:rPr>
                <w:noProof/>
              </w:rPr>
            </w:pPr>
            <w:r>
              <w:rPr>
                <w:noProof/>
              </w:rPr>
              <w:t xml:space="preserve">* Figures for LU have been corrected to include the number of cross-border workers. </w:t>
            </w:r>
            <w:r>
              <w:rPr>
                <w:noProof/>
              </w:rPr>
              <w:br/>
              <w:t>(1) Government outlays are measured in purchasing power parity to take account of the different level of prices across countries.</w:t>
            </w:r>
          </w:p>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The governme</w:t>
      </w:r>
      <w:r>
        <w:rPr>
          <w:b/>
          <w:noProof/>
        </w:rPr>
        <w:t>nt's planned reform of the budgetary procedure envisages the introduction of a programme-based budgetary system.</w:t>
      </w:r>
      <w:r>
        <w:rPr>
          <w:noProof/>
        </w:rPr>
        <w:t xml:space="preserve"> The reform aims at implementing a framework for evaluation and audit and a better system for managing major infrastructure projects. A spending</w:t>
      </w:r>
      <w:r>
        <w:rPr>
          <w:noProof/>
        </w:rPr>
        <w:t xml:space="preserve"> review mechanism for future reviews has not yet been integrated into the budgetary process.</w:t>
      </w:r>
    </w:p>
    <w:p w:rsidR="002A43CB" w:rsidRDefault="0048172E">
      <w:pPr>
        <w:pStyle w:val="Heading"/>
        <w:rPr>
          <w:noProof/>
        </w:rPr>
      </w:pPr>
      <w:r>
        <w:rPr>
          <w:noProof/>
        </w:rPr>
        <w:t>3.1.3 Fiscal framework</w:t>
      </w:r>
      <w:bookmarkEnd w:id="22"/>
    </w:p>
    <w:p w:rsidR="002A43CB" w:rsidRDefault="0048172E">
      <w:pPr>
        <w:rPr>
          <w:noProof/>
        </w:rPr>
      </w:pPr>
      <w:r>
        <w:rPr>
          <w:b/>
          <w:noProof/>
        </w:rPr>
        <w:t>The design of Luxembourg's national fiscal framework has improved recently, as it became more aligned with European regulation.</w:t>
      </w:r>
      <w:r>
        <w:rPr>
          <w:noProof/>
        </w:rPr>
        <w:t xml:space="preserve"> A structural</w:t>
      </w:r>
      <w:r>
        <w:rPr>
          <w:noProof/>
        </w:rPr>
        <w:t xml:space="preserve"> balanced budget rule was introduced with the adoption of the Law of 12 July 2014. This was also done with a view to transposing the requirements of the 2011 Council Directive on budgetary frameworks and the Fiscal Compact (Graph </w:t>
      </w:r>
      <w:r>
        <w:rPr>
          <w:noProof/>
        </w:rPr>
        <w:fldChar w:fldCharType="begin"/>
      </w:r>
      <w:r>
        <w:rPr>
          <w:noProof/>
        </w:rPr>
        <w:instrText xml:space="preserve"> QUOTE "3.1.4"</w:instrText>
      </w:r>
      <w:r>
        <w:rPr>
          <w:noProof/>
        </w:rPr>
        <w:fldChar w:fldCharType="begin">
          <w:fldData xml:space="preserve">QwBSAE8AUwBTAFIARQBGAEUAUgBFAE4AQwBFACoARwBSAEEAUABIACoAMAA2ADgANwA1AGYANQBi
AC0AOQAyADAAZAAtADQAZgA0AGYALQBhADIANABiAC0ANgA3ADYAMQBkADEAZQA5AGMAMQA1AGQA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3.1.4</w:t>
      </w:r>
      <w:r>
        <w:rPr>
          <w:noProof/>
        </w:rPr>
        <w:fldChar w:fldCharType="end"/>
      </w:r>
      <w:r>
        <w:rPr>
          <w:noProof/>
        </w:rPr>
        <w:t>).(</w:t>
      </w:r>
      <w:r>
        <w:rPr>
          <w:noProof/>
          <w:vertAlign w:val="superscript"/>
        </w:rPr>
        <w:footnoteReference w:id="23"/>
      </w:r>
      <w:r>
        <w:rPr>
          <w:noProof/>
        </w:rPr>
        <w:t xml:space="preserve">) </w:t>
      </w:r>
    </w:p>
    <w:p w:rsidR="002A43CB" w:rsidRDefault="0048172E">
      <w:pPr>
        <w:rPr>
          <w:noProof/>
        </w:rPr>
      </w:pPr>
      <w:r>
        <w:rPr>
          <w:b/>
          <w:noProof/>
        </w:rPr>
        <w:t>Despite recent improvements, the setting of the multiannual expenditure ceiling is fraught with some shortcomings.</w:t>
      </w:r>
      <w:r>
        <w:rPr>
          <w:noProof/>
        </w:rPr>
        <w:t xml:space="preserve"> First, it does not cover all govern</w:t>
      </w:r>
      <w:r>
        <w:rPr>
          <w:noProof/>
        </w:rPr>
        <w:t>ment layers, only the central government sector. The binding nature of the ceilings, an essential feature for ensuring their effectiveness, is not safeguarded by law. The expenditure ceilings can be modified at the discretion of the government to allow, fo</w:t>
      </w:r>
      <w:r>
        <w:rPr>
          <w:noProof/>
        </w:rPr>
        <w:t>r instance, for revisions in underlying macroeconomic assumptions or respond to other unforeseen events, without the explicit regulation for providing explanations for the changes. The timely availability of sub-national budgetary (local government) figure</w:t>
      </w:r>
      <w:r>
        <w:rPr>
          <w:noProof/>
        </w:rPr>
        <w:t>s is still not guaranteed. This also has negative implications for budgetary planning.</w:t>
      </w:r>
    </w:p>
    <w:p w:rsidR="002A43CB" w:rsidRDefault="0048172E">
      <w:pPr>
        <w:rPr>
          <w:noProof/>
        </w:rPr>
      </w:pPr>
      <w:r>
        <w:rPr>
          <w:b/>
          <w:noProof/>
        </w:rPr>
        <w:t>There are some concerns with the plausibility of the macroeconomic projections underlying both annual and multi-year budgetary planning. (</w:t>
      </w:r>
      <w:r>
        <w:rPr>
          <w:noProof/>
          <w:vertAlign w:val="superscript"/>
        </w:rPr>
        <w:footnoteReference w:id="24"/>
      </w:r>
      <w:r>
        <w:rPr>
          <w:b/>
          <w:noProof/>
        </w:rPr>
        <w:t>)</w:t>
      </w:r>
      <w:r>
        <w:rPr>
          <w:noProof/>
        </w:rPr>
        <w:t xml:space="preserve"> First, these macroeconomic f</w:t>
      </w:r>
      <w:r>
        <w:rPr>
          <w:noProof/>
        </w:rPr>
        <w:t>orecasts do not appear to take into account the most recent and available economic information, reflecting the lack of harmonisation between the releases of updates and the budgetary calendar. The frequent and sizeable revisions of the most important econo</w:t>
      </w:r>
      <w:r>
        <w:rPr>
          <w:noProof/>
        </w:rPr>
        <w:t xml:space="preserve">mic figures also undermine the credibility of the budgetary projections.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3.1.4:</w:t>
            </w:r>
            <w:r>
              <w:rPr>
                <w:b/>
                <w:noProof/>
              </w:rPr>
              <w:tab/>
              <w:t>The fiscal rule index in the EU, 2013 and 2014</w:t>
            </w:r>
          </w:p>
        </w:tc>
      </w:tr>
      <w:tr w:rsidR="002A43CB">
        <w:trPr>
          <w:cantSplit/>
        </w:trPr>
        <w:tc>
          <w:tcPr>
            <w:tcW w:w="4110" w:type="dxa"/>
            <w:shd w:val="clear" w:color="auto" w:fill="auto"/>
          </w:tcPr>
          <w:p w:rsidR="002A43CB" w:rsidRDefault="0048172E">
            <w:pPr>
              <w:pStyle w:val="GraphShape"/>
              <w:rPr>
                <w:noProof/>
                <w:sz w:val="2"/>
              </w:rPr>
            </w:pPr>
            <w:bookmarkStart w:id="24" w:name="_Toc474676061"/>
            <w:bookmarkEnd w:id="24"/>
            <w:r>
              <w:rPr>
                <w:noProof/>
                <w:sz w:val="2"/>
                <w:lang w:eastAsia="en-GB"/>
              </w:rPr>
              <w:drawing>
                <wp:inline distT="0" distB="0" distL="0" distR="0" wp14:anchorId="454590F6" wp14:editId="18D70B54">
                  <wp:extent cx="2597595" cy="2441967"/>
                  <wp:effectExtent l="0" t="0" r="0" b="0"/>
                  <wp:docPr id="8" name="Picture 8" descr="&lt;_DISABLED_nbr_DISABLED_&gt;&lt;GETTEXTFROMWORD&gt;&lt;/nbr&gt;&#10;&lt;title&gt;&lt;GETTEXTFROMWORD&gt;&lt;/title&gt;&#10;&lt;_DISABLED_id_DISABLED_&gt;06875f5b-920d-4f4f-a24b-6761d1e9c15d&lt;/id&gt;&#10;&lt;srcType&gt;EXCEL&lt;/srcType&gt;&#10;&lt;srcPath&gt;O:\2017 CRs\16 LU\16_Luxembourg_CR\Graphs,Tables and Boxes\Chapter 3-1 Fiscal framework\&lt;/srcPath&gt;&#10;&lt;srcName&gt;F4_FRI - 2015_graph.xlsm&lt;/srcName&gt;&#10;&lt;type&gt;graph&lt;/type&gt;&#10; &lt;srcSheet&gt;Sheet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9T16:18: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7595" cy="244196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pStyle w:val="Heading"/>
        <w:rPr>
          <w:noProof/>
        </w:rPr>
      </w:pPr>
      <w:bookmarkStart w:id="25" w:name="_Toc468961012"/>
      <w:r>
        <w:rPr>
          <w:noProof/>
        </w:rPr>
        <w:t xml:space="preserve">3.1.4 </w:t>
      </w:r>
      <w:bookmarkEnd w:id="25"/>
      <w:r>
        <w:rPr>
          <w:noProof/>
        </w:rPr>
        <w:t>Fiscal sustainability</w:t>
      </w:r>
    </w:p>
    <w:p w:rsidR="002A43CB" w:rsidRDefault="0048172E">
      <w:pPr>
        <w:rPr>
          <w:noProof/>
        </w:rPr>
      </w:pPr>
      <w:r>
        <w:rPr>
          <w:b/>
          <w:noProof/>
        </w:rPr>
        <w:t>Luxembourg faces low fiscal sustainability risks in the short</w:t>
      </w:r>
      <w:r>
        <w:rPr>
          <w:b/>
          <w:noProof/>
        </w:rPr>
        <w:t xml:space="preserve"> and medium term. However, the need to meet future ageing cost increases puts the country at medium fiscal sustainability risk in the long term.</w:t>
      </w:r>
      <w:r>
        <w:rPr>
          <w:noProof/>
        </w:rPr>
        <w:t xml:space="preserve"> Specifically, this is indicated by the relatively sizeable value of the long-term fiscal sustainability gap ind</w:t>
      </w:r>
      <w:r>
        <w:rPr>
          <w:noProof/>
        </w:rPr>
        <w:t>icator S2, at 4.4 percentage points of GDP. These risks are entirely driven by the need to meet future increases in ageing costs, in particular pension and long-term care expenditure. (</w:t>
      </w:r>
      <w:r>
        <w:rPr>
          <w:noProof/>
          <w:vertAlign w:val="superscript"/>
        </w:rPr>
        <w:footnoteReference w:id="25"/>
      </w:r>
      <w:r>
        <w:rPr>
          <w:noProof/>
        </w:rPr>
        <w:t xml:space="preserve">) </w:t>
      </w:r>
    </w:p>
    <w:p w:rsidR="002A43CB" w:rsidRDefault="0048172E">
      <w:pPr>
        <w:pStyle w:val="Heading"/>
        <w:rPr>
          <w:noProof/>
        </w:rPr>
      </w:pPr>
      <w:r>
        <w:rPr>
          <w:noProof/>
        </w:rPr>
        <w:t>Pension</w:t>
      </w:r>
    </w:p>
    <w:p w:rsidR="002A43CB" w:rsidRDefault="0048172E">
      <w:pPr>
        <w:rPr>
          <w:noProof/>
        </w:rPr>
      </w:pPr>
      <w:r>
        <w:rPr>
          <w:b/>
          <w:noProof/>
        </w:rPr>
        <w:t>Luxembourg pension system has benefited from a steady incre</w:t>
      </w:r>
      <w:r>
        <w:rPr>
          <w:b/>
          <w:noProof/>
        </w:rPr>
        <w:t>asing population and workforce</w:t>
      </w:r>
      <w:r>
        <w:rPr>
          <w:noProof/>
        </w:rPr>
        <w:t xml:space="preserve"> (see Graph </w:t>
      </w:r>
      <w:r>
        <w:rPr>
          <w:noProof/>
        </w:rPr>
        <w:fldChar w:fldCharType="begin"/>
      </w:r>
      <w:r>
        <w:rPr>
          <w:noProof/>
        </w:rPr>
        <w:instrText xml:space="preserve"> QUOTE "3.1.5"</w:instrText>
      </w:r>
      <w:r>
        <w:rPr>
          <w:noProof/>
        </w:rPr>
        <w:fldChar w:fldCharType="begin">
          <w:fldData xml:space="preserve">QwBSAE8AUwBTAFIARQBGAEUAUgBFAE4AQwBFACoARwBSAEEAUABIACoAZAAwAGQANwBhAGUAMQA4
AC0AYwA3ADkAOQAtADQAYgA2AGYALQA4ADMAYQA1AC0AYQA4AGUANgA1AGUAYQAwADgAOQBmADMA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3.1.5</w:t>
      </w:r>
      <w:r>
        <w:rPr>
          <w:noProof/>
        </w:rPr>
        <w:fldChar w:fldCharType="end"/>
      </w:r>
      <w:r>
        <w:rPr>
          <w:noProof/>
        </w:rPr>
        <w:t>). (</w:t>
      </w:r>
      <w:r>
        <w:rPr>
          <w:noProof/>
          <w:vertAlign w:val="superscript"/>
        </w:rPr>
        <w:footnoteReference w:id="26"/>
      </w:r>
      <w:r>
        <w:rPr>
          <w:noProof/>
        </w:rPr>
        <w:t>) In particular the number of non-national residents and cross-border workers has in</w:t>
      </w:r>
      <w:r>
        <w:rPr>
          <w:noProof/>
        </w:rPr>
        <w:t>creased significantly since 1990. The financing of the Luxembourg pension system is based on a pay-as-you-go system and therefore on an inter-generational contract. Given the, on average,  relatively young age of immigrants and cross-border commuters, Luxe</w:t>
      </w:r>
      <w:r>
        <w:rPr>
          <w:noProof/>
        </w:rPr>
        <w:t>mbourg has so far never experienced ageing effects that would have put other welfare regimes under pressure. On the contrary, the continuous increase in the number of, on average, younger active foreigners (both immigrants and cross-border commuters) has h</w:t>
      </w:r>
      <w:r>
        <w:rPr>
          <w:noProof/>
        </w:rPr>
        <w:t xml:space="preserve">ad, a positive effect on the revenues of the pension system as well as on the modest increase in the average age of the workforce.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3.1.5:</w:t>
            </w:r>
            <w:r>
              <w:rPr>
                <w:b/>
                <w:noProof/>
              </w:rPr>
              <w:tab/>
              <w:t>Population and employment evolution</w:t>
            </w:r>
          </w:p>
        </w:tc>
      </w:tr>
      <w:tr w:rsidR="002A43CB">
        <w:trPr>
          <w:cantSplit/>
        </w:trPr>
        <w:tc>
          <w:tcPr>
            <w:tcW w:w="4110" w:type="dxa"/>
            <w:shd w:val="clear" w:color="auto" w:fill="auto"/>
          </w:tcPr>
          <w:p w:rsidR="002A43CB" w:rsidRDefault="0048172E">
            <w:pPr>
              <w:pStyle w:val="GraphShape"/>
              <w:rPr>
                <w:noProof/>
                <w:sz w:val="2"/>
              </w:rPr>
            </w:pPr>
            <w:bookmarkStart w:id="26" w:name="_Toc474676062"/>
            <w:bookmarkEnd w:id="26"/>
            <w:r>
              <w:rPr>
                <w:noProof/>
                <w:sz w:val="2"/>
                <w:lang w:eastAsia="en-GB"/>
              </w:rPr>
              <w:drawing>
                <wp:inline distT="0" distB="0" distL="0" distR="0" wp14:anchorId="0CDA66D1" wp14:editId="31A7167A">
                  <wp:extent cx="2597595" cy="2439629"/>
                  <wp:effectExtent l="0" t="0" r="0" b="0"/>
                  <wp:docPr id="21" name="Picture 21" descr="&lt;_DISABLED_nbr_DISABLED_&gt;&lt;GETTEXTFROMWORD&gt;&lt;/nbr&gt;&#10;&lt;title&gt;&lt;GETTEXTFROMWORD&gt;&lt;/title&gt;&#10;&lt;_DISABLED_id_DISABLED_&gt;d0d7ae18-c799-4b6f-83a5-a8e65ea089f3&lt;/id&gt;&#10;&lt;srcType&gt;EXCEL&lt;/srcType&gt;&#10;&lt;srcPath&gt;O:\2017 CRs\16 LU\16_Luxembourg_CR\Graphs,Tables and Boxes\Chapter 3-1 Pension\&lt;/srcPath&gt;&#10;&lt;srcName&gt;Populaiton and labour force.xlsx&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1-15T16:58:0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7595" cy="2439629"/>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Since 2009 new pensioners have outnumbered</w:t>
      </w:r>
      <w:r>
        <w:rPr>
          <w:b/>
          <w:noProof/>
        </w:rPr>
        <w:t xml:space="preserve"> new contributors, (</w:t>
      </w:r>
      <w:r>
        <w:rPr>
          <w:noProof/>
          <w:vertAlign w:val="superscript"/>
        </w:rPr>
        <w:footnoteReference w:id="27"/>
      </w:r>
      <w:r>
        <w:rPr>
          <w:b/>
          <w:noProof/>
        </w:rPr>
        <w:t>) but the annual amount of contributions still exceeds payments.</w:t>
      </w:r>
      <w:r>
        <w:rPr>
          <w:noProof/>
        </w:rPr>
        <w:t xml:space="preserve"> In 2015, the overall amount of earning-related pension contributions exceeded payments by around 15.5 %. The excess revenues have fed the pension fund reserves so that at</w:t>
      </w:r>
      <w:r>
        <w:rPr>
          <w:noProof/>
        </w:rPr>
        <w:t xml:space="preserve"> the end of 2015, the fund owned assets worth EUR 16.5 billion (more than 30% of GDP). Since the 24 % notional payroll contribution rate is higher than the effective payroll rate, estimated at 21.94 % in 2015 the system produces surpluses that feed the pen</w:t>
      </w:r>
      <w:r>
        <w:rPr>
          <w:noProof/>
        </w:rPr>
        <w:t xml:space="preserve">sion reserves. Nevertheless, with the effective payroll rate set to progress and to exceed the notional rate of 24 % the system will have to start drawing on its reserves. In particular, the current positive gap with regard to cross-border workers between </w:t>
      </w:r>
      <w:r>
        <w:rPr>
          <w:noProof/>
        </w:rPr>
        <w:t>contributions paid and pension benefits received is expected to fade out as the proportion of pensions paid to frontier-workers equalize or exceed the share of contribution paid by them. In 2015 a proportion of 46.2% of pension payments was granted to non-</w:t>
      </w:r>
      <w:r>
        <w:rPr>
          <w:noProof/>
        </w:rPr>
        <w:t>residents. The proportion of pensions paid to non-residents has been steadily increasing since 1995, when it represented less than a quarter of the overall number of pension payments.</w:t>
      </w:r>
    </w:p>
    <w:p w:rsidR="002A43CB" w:rsidRDefault="0048172E">
      <w:pPr>
        <w:rPr>
          <w:noProof/>
        </w:rPr>
      </w:pPr>
      <w:r>
        <w:rPr>
          <w:b/>
          <w:noProof/>
        </w:rPr>
        <w:t>By 2040, Luxembourg will face a significant increase in age-related publ</w:t>
      </w:r>
      <w:r>
        <w:rPr>
          <w:b/>
          <w:noProof/>
        </w:rPr>
        <w:t>ic expenditure, mostly related to pension liabilities</w:t>
      </w:r>
      <w:r>
        <w:rPr>
          <w:noProof/>
        </w:rPr>
        <w:t>. According to the 2015 Ageing Report, the latter is expected to increase by 3.3 percentage points of GDP up to 2040 (</w:t>
      </w:r>
      <w:r>
        <w:rPr>
          <w:noProof/>
          <w:vertAlign w:val="superscript"/>
        </w:rPr>
        <w:footnoteReference w:id="28"/>
      </w:r>
      <w:r>
        <w:rPr>
          <w:noProof/>
        </w:rPr>
        <w:t>), compared to an EU average increase of 0.4 percentage points of GDP. While the abo</w:t>
      </w:r>
      <w:r>
        <w:rPr>
          <w:noProof/>
        </w:rPr>
        <w:t>ve increase is one of highest in the EU, it represents a sharp downward revision of estimated pension expenditure compared with the 2012 Ageing Report.  However, the revision mostly reflects more favourable demographic assumptions (see European Commission,</w:t>
      </w:r>
      <w:r>
        <w:rPr>
          <w:noProof/>
        </w:rPr>
        <w:t xml:space="preserve"> 2016a).  Simulations run under more conservative assumptions would project pension expenditure to increase to 20.0 of GDP in 2060, compared with 13.4% of GDP in the central scenario, (see Central Bank of Luxembourg, 2017, p. 215).</w:t>
      </w:r>
    </w:p>
    <w:p w:rsidR="002A43CB" w:rsidRDefault="0048172E">
      <w:pPr>
        <w:rPr>
          <w:noProof/>
        </w:rPr>
      </w:pPr>
      <w:r>
        <w:rPr>
          <w:b/>
          <w:noProof/>
        </w:rPr>
        <w:t>The national authorities</w:t>
      </w:r>
      <w:r>
        <w:rPr>
          <w:b/>
          <w:noProof/>
        </w:rPr>
        <w:t xml:space="preserve"> carried out a mid-term review of the sustainability of the pension system in 2016, one year ahead of schedule (</w:t>
      </w:r>
      <w:r>
        <w:rPr>
          <w:noProof/>
          <w:vertAlign w:val="superscript"/>
        </w:rPr>
        <w:footnoteReference w:id="29"/>
      </w:r>
      <w:r>
        <w:rPr>
          <w:b/>
          <w:noProof/>
        </w:rPr>
        <w:t>)</w:t>
      </w:r>
      <w:r>
        <w:rPr>
          <w:noProof/>
        </w:rPr>
        <w:t xml:space="preserve">. On December 2016 a report with the findings of the review was published (Box </w:t>
      </w:r>
      <w:r>
        <w:rPr>
          <w:noProof/>
        </w:rPr>
        <w:fldChar w:fldCharType="begin"/>
      </w:r>
      <w:r>
        <w:rPr>
          <w:noProof/>
        </w:rPr>
        <w:instrText xml:space="preserve"> QUOTE "3.1.2"</w:instrText>
      </w:r>
      <w:r>
        <w:rPr>
          <w:noProof/>
        </w:rPr>
        <w:fldChar w:fldCharType="begin">
          <w:fldData xml:space="preserve">QwBSAE8AUwBTAFIARQBGAEUAUgBFAE4AQwBFACoAQgBPAFgAKgBkAGIAOAAyAGEANwBkADgALQAy
ADQAYwAwAC0ANAA3ADUAYgAtADkAOQAwADAALQAwADkAZQBhADAAOQAwAGUAMAAzAGUAMAA=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report presents an analysis of the expenditure trend based on the current set of rules. It also looks at the impact of alternative demographic and economic scenarios on the expenditure proje</w:t>
      </w:r>
      <w:r>
        <w:rPr>
          <w:noProof/>
        </w:rPr>
        <w:t xml:space="preserve">ction. On the basis of the findings of the report, the government intends to discuss with social partners the possible measures necessary to ensure the financial consolidation of the pension system. </w:t>
      </w:r>
    </w:p>
    <w:p w:rsidR="002A43CB" w:rsidRDefault="0048172E">
      <w:pPr>
        <w:rPr>
          <w:noProof/>
        </w:rPr>
      </w:pPr>
      <w:r>
        <w:rPr>
          <w:b/>
          <w:noProof/>
        </w:rPr>
        <w:t>In 2015, the average effective retirement age was 61.3. </w:t>
      </w:r>
      <w:r>
        <w:rPr>
          <w:b/>
          <w:noProof/>
        </w:rPr>
        <w:t>(</w:t>
      </w:r>
      <w:r>
        <w:rPr>
          <w:noProof/>
          <w:vertAlign w:val="superscript"/>
        </w:rPr>
        <w:footnoteReference w:id="30"/>
      </w:r>
      <w:r>
        <w:rPr>
          <w:b/>
          <w:noProof/>
        </w:rPr>
        <w:t>)</w:t>
      </w:r>
      <w:r>
        <w:rPr>
          <w:noProof/>
        </w:rPr>
        <w:t xml:space="preserve"> While the statutory retirement age to receive the old-age pension is 65, only less than 30 % of the overall number of people receiving an old-age pension (including early old-age pensions at 57 and 60) was granted a pension at the age of 65 (see Graph </w:t>
      </w:r>
      <w:r>
        <w:rPr>
          <w:noProof/>
        </w:rPr>
        <w:fldChar w:fldCharType="begin"/>
      </w:r>
      <w:r>
        <w:rPr>
          <w:noProof/>
        </w:rPr>
        <w:instrText xml:space="preserve"> QUOTE "3.1.6"</w:instrText>
      </w:r>
      <w:r>
        <w:rPr>
          <w:noProof/>
        </w:rPr>
        <w:fldChar w:fldCharType="begin">
          <w:fldData xml:space="preserve">QwBSAE8AUwBTAFIARQBGAEUAUgBFAE4AQwBFACoARwBSAEEAUABIACoAMAA2ADIAOABlADIAMQA5
AC0AZgBlADQAZgAtADQAYQBkAGEALQBhAGMAOQBhAC0ANwAwADAAOABhADQAOQBjADIAYgBkADcA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3.1.6</w:t>
      </w:r>
      <w:r>
        <w:rPr>
          <w:noProof/>
        </w:rPr>
        <w:fldChar w:fldCharType="end"/>
      </w:r>
      <w:r>
        <w:rPr>
          <w:noProof/>
        </w:rPr>
        <w:t>).</w:t>
      </w:r>
    </w:p>
    <w:p w:rsidR="002A43CB" w:rsidRDefault="0048172E">
      <w:pPr>
        <w:rPr>
          <w:noProof/>
        </w:rPr>
      </w:pPr>
      <w:r>
        <w:rPr>
          <w:b/>
          <w:noProof/>
        </w:rPr>
        <w:t>The effective retirement age could be even lower, if specific pre-retirement schemes or invalidity pensions were taken into account</w:t>
      </w:r>
      <w:r>
        <w:rPr>
          <w:noProof/>
        </w:rPr>
        <w:t>. A number of pre-ret</w:t>
      </w:r>
      <w:r>
        <w:rPr>
          <w:noProof/>
        </w:rPr>
        <w:t>irement schemes (European Commission, 2014, pages 13-14) are available from the age of 57, provided the conditions for early retirement from the age of 60 are satisfied within the following 3 years. The draft law to limit early retirement (presented to Par</w:t>
      </w:r>
      <w:r>
        <w:rPr>
          <w:noProof/>
        </w:rPr>
        <w:t>liament in July 2015) has not been passed yet. Its net impact is not clear because other elements such as salaries, health or working conditions play a major role in employees' decisions to work longer. The impact of the law on the reclassification of work</w:t>
      </w:r>
      <w:r>
        <w:rPr>
          <w:noProof/>
        </w:rPr>
        <w:t>ers with disabilities (implemented since January 2016) on reducing the number of people entering an early retirement scheme has not been assessed yet.</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Pr>
        <w:tc>
          <w:tcPr>
            <w:tcW w:w="8505" w:type="dxa"/>
            <w:shd w:val="clear" w:color="auto" w:fill="F7FCFF"/>
          </w:tcPr>
          <w:p w:rsidR="002A43CB" w:rsidRDefault="0048172E">
            <w:pPr>
              <w:pStyle w:val="BoxShape"/>
              <w:rPr>
                <w:noProof/>
                <w:sz w:val="2"/>
              </w:rPr>
            </w:pPr>
            <w:r>
              <w:rPr>
                <w:noProof/>
                <w:sz w:val="2"/>
                <w:lang w:eastAsia="en-GB"/>
              </w:rPr>
              <w:drawing>
                <wp:inline distT="0" distB="0" distL="0" distR="0" wp14:anchorId="721602C9" wp14:editId="5175C943">
                  <wp:extent cx="5040929" cy="3506733"/>
                  <wp:effectExtent l="0" t="0" r="7620" b="0"/>
                  <wp:docPr id="4" name="Picture 4" descr="&lt;_DISABLED_nbr_DISABLED_&gt;3.1.2&lt;/nbr&gt;&#10;&lt;title&gt;Findings of the pension review.&lt;/title&gt;&#10;&lt;_DISABLED_id_DISABLED_&gt;db82a7d8-24c0-475b-9900-09ea090e03e0&lt;/id&gt;&#10;&lt;srcType&gt;WORD&lt;/srcType&gt;&#10;&lt;srcPath&gt;O:\2017 CRs\16 LU\16_Luxembourg_CR\Graphs,Tables and Boxes\Chapter 3-1 Pension\&lt;/srcPath&gt;&#10;&lt;srcName&gt;Box on findings pension review.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1T12:56: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040929" cy="3506733"/>
                          </a:xfrm>
                          <a:prstGeom prst="rect">
                            <a:avLst/>
                          </a:prstGeom>
                          <a:noFill/>
                          <a:ln>
                            <a:noFill/>
                          </a:ln>
                        </pic:spPr>
                      </pic:pic>
                    </a:graphicData>
                  </a:graphic>
                </wp:inline>
              </w:drawing>
            </w: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rPr>
                <w:noProof/>
              </w:rPr>
            </w:pPr>
          </w:p>
        </w:tc>
      </w:tr>
    </w:tbl>
    <w:p w:rsidR="002A43CB" w:rsidRDefault="002A43CB">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3.1.6:</w:t>
            </w:r>
            <w:r>
              <w:rPr>
                <w:b/>
                <w:noProof/>
              </w:rPr>
              <w:tab/>
              <w:t>Access to retirement by age</w:t>
            </w:r>
          </w:p>
        </w:tc>
      </w:tr>
      <w:tr w:rsidR="002A43CB">
        <w:trPr>
          <w:cantSplit/>
        </w:trPr>
        <w:tc>
          <w:tcPr>
            <w:tcW w:w="4110" w:type="dxa"/>
            <w:shd w:val="clear" w:color="auto" w:fill="auto"/>
          </w:tcPr>
          <w:p w:rsidR="002A43CB" w:rsidRDefault="0048172E">
            <w:pPr>
              <w:pStyle w:val="GraphShape"/>
              <w:rPr>
                <w:noProof/>
                <w:sz w:val="2"/>
              </w:rPr>
            </w:pPr>
            <w:bookmarkStart w:id="27" w:name="_Toc474676063"/>
            <w:bookmarkEnd w:id="27"/>
            <w:r>
              <w:rPr>
                <w:noProof/>
                <w:sz w:val="2"/>
                <w:lang w:eastAsia="en-GB"/>
              </w:rPr>
              <w:drawing>
                <wp:inline distT="0" distB="0" distL="0" distR="0" wp14:anchorId="2EB6ECED" wp14:editId="3AAC14EB">
                  <wp:extent cx="2597595" cy="2441967"/>
                  <wp:effectExtent l="0" t="0" r="0" b="0"/>
                  <wp:docPr id="11" name="Picture 11" descr="&lt;_DISABLED_nbr_DISABLED_&gt;&lt;GETTEXTFROMWORD&gt;&lt;/nbr&gt;&#10;&lt;title&gt;&lt;GETTEXTFROMWORD&gt;&lt;/title&gt;&#10;&lt;_DISABLED_id_DISABLED_&gt;0628e219-fe4f-4ada-ac9a-7008a49c2bd7&lt;/id&gt;&#10;&lt;srcType&gt;EXCEL&lt;/srcType&gt;&#10;&lt;srcPath&gt;O:\2017 CRs\16 LU\16_Luxembourg_CR\Graphs,Tables and Boxes\Chapter 3-1 Pension\&lt;/srcPath&gt;&#10;&lt;srcName&gt;Access to retirement by age.xlsx&lt;/srcName&gt;&#10;&lt;type&gt;graph&lt;/type&gt;&#10; &lt;srcSheet&gt;Data&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9T11:23:4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97595" cy="244196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CNAP/IGSS</w:t>
            </w:r>
          </w:p>
        </w:tc>
      </w:tr>
    </w:tbl>
    <w:p w:rsidR="002A43CB" w:rsidRDefault="0048172E">
      <w:pPr>
        <w:rPr>
          <w:noProof/>
        </w:rPr>
      </w:pPr>
      <w:r>
        <w:rPr>
          <w:b/>
          <w:noProof/>
        </w:rPr>
        <w:t xml:space="preserve">The gender gap in pensions </w:t>
      </w:r>
      <w:r>
        <w:rPr>
          <w:b/>
          <w:noProof/>
        </w:rPr>
        <w:t>(40% in 2014) (</w:t>
      </w:r>
      <w:r>
        <w:rPr>
          <w:noProof/>
          <w:vertAlign w:val="superscript"/>
        </w:rPr>
        <w:footnoteReference w:id="31"/>
      </w:r>
      <w:r>
        <w:rPr>
          <w:b/>
          <w:noProof/>
        </w:rPr>
        <w:t>) is one of the widest in the EU, although it has narrowed by 5.1 percentage points since 2013.</w:t>
      </w:r>
      <w:r>
        <w:rPr>
          <w:noProof/>
        </w:rPr>
        <w:t xml:space="preserve"> This gap is primarily caused by women receiving low pensions rather than not having access to a pension at all. The 2012 pension reform shows li</w:t>
      </w:r>
      <w:r>
        <w:rPr>
          <w:noProof/>
        </w:rPr>
        <w:t xml:space="preserve">mited progress towards allowing more women accumulating their own pension rights. A government working group will be set up to assess the voluntary insurance introduced by the Law of 21 December 2012; it aims to introduce compulsory insurance. Poverty and </w:t>
      </w:r>
      <w:r>
        <w:rPr>
          <w:noProof/>
        </w:rPr>
        <w:t>social exclusion risks (AROPE) for women aged over 65, albeit lower than the EU average, have increased from 6.9 in 2014 to 9.5 in 2015. The recent reform of family allowances seeks to remedy this situation (Section 3.4.3).</w:t>
      </w:r>
    </w:p>
    <w:p w:rsidR="002A43CB" w:rsidRDefault="0048172E">
      <w:pPr>
        <w:pStyle w:val="Heading"/>
        <w:rPr>
          <w:noProof/>
        </w:rPr>
      </w:pPr>
      <w:bookmarkStart w:id="28" w:name="_Toc468961013"/>
      <w:r>
        <w:rPr>
          <w:noProof/>
        </w:rPr>
        <w:t>Long-term care</w:t>
      </w:r>
      <w:bookmarkEnd w:id="28"/>
      <w:r>
        <w:rPr>
          <w:noProof/>
        </w:rPr>
        <w:t xml:space="preserve">  </w:t>
      </w:r>
    </w:p>
    <w:p w:rsidR="002A43CB" w:rsidRDefault="0048172E">
      <w:pPr>
        <w:rPr>
          <w:noProof/>
        </w:rPr>
      </w:pPr>
      <w:r>
        <w:rPr>
          <w:b/>
          <w:noProof/>
        </w:rPr>
        <w:t xml:space="preserve">The government </w:t>
      </w:r>
      <w:r>
        <w:rPr>
          <w:b/>
          <w:noProof/>
        </w:rPr>
        <w:t>proposed a long awaited reform of the long-term care insurance in June 2016.</w:t>
      </w:r>
      <w:r>
        <w:rPr>
          <w:noProof/>
        </w:rPr>
        <w:t xml:space="preserve"> It aims to guarantee a better focus on individual needs, simplified procedures and institutions, and to maintain the social ties of dependent people without changing the guiding p</w:t>
      </w:r>
      <w:r>
        <w:rPr>
          <w:noProof/>
        </w:rPr>
        <w:t>rinciples and mechanisms of the system. Maintaining a dependent person integrated in their family would be guaranteed by paying more attention to informal carers, providing more respite care, training and more regular follow-up, together with a proposal to</w:t>
      </w:r>
      <w:r>
        <w:rPr>
          <w:noProof/>
        </w:rPr>
        <w:t xml:space="preserve"> more frequently re-assess needs. The evaluation and orientation division of the General Social Security Inspectorate (IGSS) will become an independent body overseeing the assessment of the delivery of the insurance. Adequate controls would help improve th</w:t>
      </w:r>
      <w:r>
        <w:rPr>
          <w:noProof/>
        </w:rPr>
        <w:t>e quality of services provided and tailor them better to the needs of individuals. A biannual assessment report will also be drafted. The reform is expected to enter into force in the second half of 2017. It could potentially contribute to alleviate concer</w:t>
      </w:r>
      <w:r>
        <w:rPr>
          <w:noProof/>
        </w:rPr>
        <w:t>ns related to the expected increases in long-term care expenditure, which is projected to increase from 1.5% to 3.2% of GDP until 2060, thereby more than doubling with respect to the current level. When additional cost drivers with respect to strictly demo</w:t>
      </w:r>
      <w:r>
        <w:rPr>
          <w:noProof/>
        </w:rPr>
        <w:t>graphic and health-status related factors are considered, an increase of larger magnitude is projected with expenditure on long-term care reaching 4.8% of GDP.</w:t>
      </w:r>
    </w:p>
    <w:p w:rsidR="002A43CB" w:rsidRDefault="002A43CB">
      <w:pPr>
        <w:rPr>
          <w:noProof/>
        </w:rPr>
        <w:sectPr w:rsidR="002A43CB">
          <w:headerReference w:type="even" r:id="rId57"/>
          <w:headerReference w:type="default" r:id="rId58"/>
          <w:footerReference w:type="even" r:id="rId59"/>
          <w:footerReference w:type="default" r:id="rId60"/>
          <w:headerReference w:type="first" r:id="rId61"/>
          <w:footerReference w:type="first" r:id="rId6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A43CB" w:rsidRDefault="0048172E">
      <w:pPr>
        <w:pStyle w:val="SectionTitleFramed5"/>
        <w:framePr w:wrap="notBeside"/>
        <w:rPr>
          <w:noProof/>
        </w:rPr>
      </w:pPr>
      <w:bookmarkStart w:id="29" w:name="_Toc474829372"/>
      <w:bookmarkStart w:id="30" w:name="_Toc468961015"/>
      <w:bookmarkEnd w:id="29"/>
      <w:r>
        <w:rPr>
          <w:noProof/>
        </w:rPr>
        <w:t>3.2.</w:t>
      </w:r>
      <w:r>
        <w:rPr>
          <w:noProof/>
        </w:rPr>
        <w:tab/>
        <w:t>Financial sector</w:t>
      </w:r>
    </w:p>
    <w:p w:rsidR="002A43CB" w:rsidRDefault="0048172E">
      <w:pPr>
        <w:pStyle w:val="NumberedHeading1"/>
        <w:tabs>
          <w:tab w:val="left" w:pos="567"/>
        </w:tabs>
        <w:rPr>
          <w:noProof/>
        </w:rPr>
      </w:pPr>
      <w:r>
        <w:rPr>
          <w:noProof/>
        </w:rPr>
        <w:t>3.2.1.</w:t>
      </w:r>
      <w:r>
        <w:rPr>
          <w:noProof/>
        </w:rPr>
        <w:tab/>
        <w:t>Financial sector</w:t>
      </w:r>
      <w:bookmarkEnd w:id="30"/>
      <w:r>
        <w:rPr>
          <w:noProof/>
        </w:rPr>
        <w:t xml:space="preserve"> </w:t>
      </w:r>
    </w:p>
    <w:p w:rsidR="002A43CB" w:rsidRDefault="0048172E">
      <w:pPr>
        <w:rPr>
          <w:noProof/>
        </w:rPr>
      </w:pPr>
      <w:r>
        <w:rPr>
          <w:b/>
          <w:noProof/>
        </w:rPr>
        <w:t>Luxembourg’s financial sector weathered the financial crisis of 2008-2009 relatively well compared to its neighbours, helped by its specialisation in low-</w:t>
      </w:r>
      <w:r>
        <w:rPr>
          <w:b/>
          <w:noProof/>
        </w:rPr>
        <w:t>risk niches</w:t>
      </w:r>
      <w:r>
        <w:rPr>
          <w:noProof/>
        </w:rPr>
        <w:t xml:space="preserve">. Combined with the relatively small scale of the domestic banking sector, this has helped to mitigate some of the negative spill-overs from unfavourable developments in international markets. Most banks in Luxembourg are foreign-owned and have </w:t>
      </w:r>
      <w:r>
        <w:rPr>
          <w:noProof/>
        </w:rPr>
        <w:t xml:space="preserve">negligible direct links with the resident economy. Bank assets expressed as a multiple of national GDP are by far the highest in Europe, but modest in absolute terms (Graph </w:t>
      </w:r>
      <w:r>
        <w:rPr>
          <w:noProof/>
        </w:rPr>
        <w:fldChar w:fldCharType="begin"/>
      </w:r>
      <w:r>
        <w:rPr>
          <w:noProof/>
        </w:rPr>
        <w:instrText xml:space="preserve"> QUOTE "3.2.1"</w:instrText>
      </w:r>
      <w:r>
        <w:rPr>
          <w:noProof/>
        </w:rPr>
        <w:fldChar w:fldCharType="begin">
          <w:fldData xml:space="preserve">QwBSAE8AUwBTAFIARQBGAEUAUgBFAE4AQwBFACoARwBSAEEAUABIACoAOQA4ADMAOAA3ADkAYgBk
AC0ANwA1ADEAOQAtADQANQA4ADIALQA4ADQAYgA3AC0AZgAzADkAZQA2AGUAMwA3ADEANgA1AGMA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However, indirect links between the Luxembourg banking sector and the financial system could remain sources of risks in relation to the potential transm</w:t>
      </w:r>
      <w:r>
        <w:rPr>
          <w:noProof/>
        </w:rPr>
        <w:t xml:space="preserve">ission of financial shocks to the banking sector, domestically and abroad, and even to the real economy.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rFonts w:eastAsiaTheme="minorHAnsi"/>
                <w:b/>
                <w:noProof/>
              </w:rPr>
            </w:pPr>
            <w:r>
              <w:rPr>
                <w:rFonts w:eastAsiaTheme="minorHAnsi"/>
                <w:noProof/>
              </w:rPr>
              <w:t>Graph 3.2.1:</w:t>
            </w:r>
            <w:r>
              <w:rPr>
                <w:rFonts w:eastAsiaTheme="minorHAnsi"/>
                <w:b/>
                <w:noProof/>
              </w:rPr>
              <w:tab/>
              <w:t>Size of the financial sector (EUR billion)</w:t>
            </w:r>
          </w:p>
        </w:tc>
      </w:tr>
      <w:tr w:rsidR="002A43CB">
        <w:trPr>
          <w:cantSplit/>
        </w:trPr>
        <w:tc>
          <w:tcPr>
            <w:tcW w:w="4110" w:type="dxa"/>
            <w:shd w:val="clear" w:color="auto" w:fill="auto"/>
          </w:tcPr>
          <w:p w:rsidR="002A43CB" w:rsidRDefault="0048172E">
            <w:pPr>
              <w:pStyle w:val="GraphShape"/>
              <w:rPr>
                <w:rFonts w:eastAsiaTheme="minorHAnsi"/>
                <w:noProof/>
                <w:sz w:val="2"/>
              </w:rPr>
            </w:pPr>
            <w:bookmarkStart w:id="31" w:name="_Toc474676064"/>
            <w:bookmarkEnd w:id="31"/>
            <w:r>
              <w:rPr>
                <w:rFonts w:eastAsiaTheme="minorHAnsi"/>
                <w:noProof/>
                <w:sz w:val="2"/>
                <w:lang w:eastAsia="en-GB"/>
              </w:rPr>
              <w:drawing>
                <wp:inline distT="0" distB="0" distL="0" distR="0" wp14:anchorId="76AB4685" wp14:editId="23BD63A4">
                  <wp:extent cx="2597595" cy="2441967"/>
                  <wp:effectExtent l="0" t="0" r="0" b="0"/>
                  <wp:docPr id="22" name="Picture 22" descr="&lt;_DISABLED_nbr_DISABLED_&gt;&lt;GETTEXTFROMWORD&gt;&lt;/nbr&gt;&#10;&lt;title&gt;&lt;GETTEXTFROMWORD&gt;&lt;/title&gt;&#10;&lt;_DISABLED_id_DISABLED_&gt;983879bd-7519-4582-84b7-f39e6e37165c&lt;/id&gt;&#10;&lt;srcType&gt;EXCEL&lt;/srcType&gt;&#10;&lt;srcPath&gt;O:\2017 CRs\16 LU\16_Luxembourg_CR\Graphs,Tables and Boxes\Chapter 3-2 Financial sector\&lt;/srcPath&gt;&#10;&lt;srcName&gt;Banking - Size of the financial sector.xls&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0T19:41: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44196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rFonts w:eastAsiaTheme="minorHAnsi"/>
                <w:noProof/>
              </w:rPr>
            </w:pPr>
            <w:r>
              <w:rPr>
                <w:rFonts w:eastAsiaTheme="minorHAnsi"/>
                <w:b/>
                <w:i/>
                <w:noProof/>
              </w:rPr>
              <w:t>Source:</w:t>
            </w:r>
            <w:r>
              <w:rPr>
                <w:rFonts w:eastAsiaTheme="minorHAnsi"/>
                <w:noProof/>
              </w:rPr>
              <w:t xml:space="preserve"> European Central Bank, own calculation</w:t>
            </w:r>
          </w:p>
        </w:tc>
      </w:tr>
    </w:tbl>
    <w:p w:rsidR="002A43CB" w:rsidRDefault="0048172E">
      <w:pPr>
        <w:rPr>
          <w:noProof/>
        </w:rPr>
      </w:pPr>
      <w:r>
        <w:rPr>
          <w:b/>
          <w:noProof/>
        </w:rPr>
        <w:t xml:space="preserve">Luxembourg is the largest fund </w:t>
      </w:r>
      <w:r>
        <w:rPr>
          <w:b/>
          <w:noProof/>
        </w:rPr>
        <w:t>administration centre worldwide after the USA, having created a tax and regulatory framework especially suited for fund vehicles.</w:t>
      </w:r>
      <w:r>
        <w:rPr>
          <w:noProof/>
        </w:rPr>
        <w:t xml:space="preserve"> In relative terms, investment funds are the most important financial intermediaries. Their assets increased on average 14 % pe</w:t>
      </w:r>
      <w:r>
        <w:rPr>
          <w:noProof/>
        </w:rPr>
        <w:t>r year since 2008-2015, amounting to EUR 3.6 trillion by end 2016. This is roughly 70 times Luxembourg's GDP. Banks are the second most important financial intermediaries. Their assets have oscillated between EUR 0.7 and 0.8 trillion since 2013, about 15 t</w:t>
      </w:r>
      <w:r>
        <w:rPr>
          <w:noProof/>
        </w:rPr>
        <w:t xml:space="preserve">imes the country's GDP. Assets held by insurance companies totalled EUR 219 billion in 2015, more than four times GDP and more than double what it was at the end 2008. Although small compared to investment funds and banks, Luxembourg's insurance sector is </w:t>
      </w:r>
      <w:r>
        <w:rPr>
          <w:noProof/>
        </w:rPr>
        <w:t>the EU's biggest when assets are expressed as a proportion of GDP.</w:t>
      </w:r>
    </w:p>
    <w:p w:rsidR="002A43CB" w:rsidRDefault="0048172E">
      <w:pPr>
        <w:rPr>
          <w:noProof/>
        </w:rPr>
      </w:pPr>
      <w:r>
        <w:rPr>
          <w:b/>
          <w:noProof/>
        </w:rPr>
        <w:t>Luxembourg's banks have the highest capital ratios in Europe.</w:t>
      </w:r>
      <w:r>
        <w:rPr>
          <w:noProof/>
        </w:rPr>
        <w:t xml:space="preserve"> Loan-to-deposit ratios are well below 100 %, because most Luxembourg banks act as creditors to their mother institutions. Profi</w:t>
      </w:r>
      <w:r>
        <w:rPr>
          <w:noProof/>
        </w:rPr>
        <w:t xml:space="preserve">tability has been sound and stable. The non-performing loans ratio is the lowest in Europe and their coverage rate is in line with the European average (Table </w:t>
      </w:r>
      <w:r>
        <w:rPr>
          <w:noProof/>
        </w:rPr>
        <w:fldChar w:fldCharType="begin"/>
      </w:r>
      <w:r>
        <w:rPr>
          <w:noProof/>
        </w:rPr>
        <w:instrText xml:space="preserve"> QUOTE "3.2.1"</w:instrText>
      </w:r>
      <w:r>
        <w:rPr>
          <w:noProof/>
        </w:rPr>
        <w:fldChar w:fldCharType="begin">
          <w:fldData xml:space="preserve">QwBSAE8AUwBTAFIARQBGAEUAUgBFAE4AQwBFACoAVABBAEIATABFACoAZAA2ADMANgAyADMAYQAx
AC0ANAA0ADUANQAtADQAMgAxAGEALQBhADEAZQAxAC0AMQA5AGYANQA2AGUAYQA0ADQAOAA5ADYA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w:t>
      </w:r>
    </w:p>
    <w:p w:rsidR="002A43CB" w:rsidRDefault="0048172E">
      <w:pPr>
        <w:rPr>
          <w:noProof/>
        </w:rPr>
      </w:pPr>
      <w:r>
        <w:rPr>
          <w:b/>
          <w:noProof/>
        </w:rPr>
        <w:t>Luxembourg chose a tri-partite supervisory model.</w:t>
      </w:r>
      <w:r>
        <w:rPr>
          <w:noProof/>
        </w:rPr>
        <w:t xml:space="preserve"> Investment funds and banks are overseen by the Commission de Surveillance du Secteur Financier (CSSF). At the end of 2015 out of 143 banks established in Luxembourg, 59 were di</w:t>
      </w:r>
      <w:r>
        <w:rPr>
          <w:noProof/>
        </w:rPr>
        <w:t>rectly supervised by the ECB. The CSSF identified six other systemically important institutions amongst them. These 59 banks represented 74 % of the total assets; 73 banks were considered less significant institutions and 11 banks were branches of banks wh</w:t>
      </w:r>
      <w:r>
        <w:rPr>
          <w:noProof/>
        </w:rPr>
        <w:t xml:space="preserve">ose headquarters were established outside the EU and did not fall within the SSM's remit. </w:t>
      </w:r>
    </w:p>
    <w:p w:rsidR="002A43CB" w:rsidRDefault="0048172E">
      <w:pPr>
        <w:rPr>
          <w:noProof/>
        </w:rPr>
      </w:pPr>
      <w:r>
        <w:rPr>
          <w:b/>
          <w:noProof/>
        </w:rPr>
        <w:t>Luxembourg introduced a number of macro-prudential measures in 2016.</w:t>
      </w:r>
      <w:r>
        <w:rPr>
          <w:noProof/>
        </w:rPr>
        <w:t xml:space="preserve"> The countercyclical capital buffer (CCB) was introduced on 1 January 2016 and calibrated at 0 %.</w:t>
      </w:r>
      <w:r>
        <w:rPr>
          <w:noProof/>
        </w:rPr>
        <w:t xml:space="preserve"> It has been maintained at this level at each quarterly re-setting, as measured by the credit-to-GDP gap. (</w:t>
      </w:r>
      <w:r>
        <w:rPr>
          <w:noProof/>
          <w:vertAlign w:val="superscript"/>
        </w:rPr>
        <w:footnoteReference w:id="32"/>
      </w:r>
      <w:r>
        <w:rPr>
          <w:noProof/>
        </w:rPr>
        <w:t>)  The CSSF set the capital buffer requirements for the six other systemically important institutions between 0.5 - 1%. (</w:t>
      </w:r>
      <w:r>
        <w:rPr>
          <w:noProof/>
          <w:vertAlign w:val="superscript"/>
        </w:rPr>
        <w:footnoteReference w:id="33"/>
      </w:r>
      <w:r>
        <w:rPr>
          <w:noProof/>
        </w:rPr>
        <w:t xml:space="preserve">)  </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2A43CB">
            <w:pPr>
              <w:pStyle w:val="SlimCell"/>
              <w:keepNext/>
              <w:rPr>
                <w:noProof/>
              </w:rPr>
            </w:pPr>
            <w:bookmarkStart w:id="32" w:name="_Toc474676043"/>
            <w:bookmarkStart w:id="33" w:name="_Toc468961016"/>
            <w:bookmarkEnd w:id="32"/>
          </w:p>
        </w:tc>
      </w:tr>
      <w:tr w:rsidR="002A43CB">
        <w:trPr>
          <w:cantSplit/>
        </w:trPr>
        <w:tc>
          <w:tcPr>
            <w:tcW w:w="8505" w:type="dxa"/>
            <w:shd w:val="clear" w:color="auto" w:fill="auto"/>
          </w:tcPr>
          <w:p w:rsidR="002A43CB" w:rsidRDefault="0048172E">
            <w:pPr>
              <w:pStyle w:val="TableTitle"/>
              <w:rPr>
                <w:b/>
                <w:noProof/>
              </w:rPr>
            </w:pPr>
            <w:r>
              <w:rPr>
                <w:noProof/>
              </w:rPr>
              <w:t>Table 3.2.1:</w:t>
            </w:r>
            <w:r>
              <w:rPr>
                <w:b/>
                <w:noProof/>
              </w:rPr>
              <w:tab/>
            </w:r>
            <w:r>
              <w:rPr>
                <w:b/>
                <w:noProof/>
              </w:rPr>
              <w:t>Financial soundness indicators, all banks in Luxembourg</w:t>
            </w:r>
          </w:p>
        </w:tc>
      </w:tr>
      <w:tr w:rsidR="002A43CB">
        <w:trPr>
          <w:cantSplit/>
        </w:trPr>
        <w:tc>
          <w:tcPr>
            <w:tcW w:w="8505" w:type="dxa"/>
            <w:shd w:val="clear" w:color="auto" w:fill="auto"/>
          </w:tcPr>
          <w:p w:rsidR="002A43CB" w:rsidRDefault="0048172E">
            <w:pPr>
              <w:pStyle w:val="TableShape"/>
              <w:rPr>
                <w:noProof/>
                <w:sz w:val="2"/>
              </w:rPr>
            </w:pPr>
            <w:r>
              <w:rPr>
                <w:noProof/>
                <w:sz w:val="2"/>
                <w:lang w:eastAsia="en-GB"/>
              </w:rPr>
              <w:drawing>
                <wp:inline distT="0" distB="0" distL="0" distR="0" wp14:anchorId="33A43FB4" wp14:editId="3F2CADEA">
                  <wp:extent cx="5400929" cy="1248909"/>
                  <wp:effectExtent l="0" t="0" r="0" b="8890"/>
                  <wp:docPr id="23" name="Picture 23" descr="&lt;_DISABLED_nbr_DISABLED_&gt;&lt;GETTEXTFROMWORD&gt;&lt;/nbr&gt;&#10;&lt;title&gt;&lt;GETTEXTFROMWORD&gt;&lt;/title&gt;&#10;&lt;_DISABLED_id_DISABLED_&gt;d63623a1-4455-421a-a1e1-19f56ea44896&lt;/id&gt;&#10;&lt;srcType&gt;EXCEL&lt;/srcType&gt;&#10;&lt;srcPath&gt;O:\2017 CRs\16 LU\16_Luxembourg_CR\Graphs,Tables and Boxes\Chapter 3-2 Financial sector\&lt;/srcPath&gt;&#10;&lt;srcName&gt;FSIs.xlsx&lt;/srcName&gt;&#10;&lt;type&gt;table&lt;/type&gt;&#10; &lt;srcSheet&gt;Sheet1&lt;/srcSheet&gt;&#10; &lt;srcRange&gt;R2C2:R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6-12-20T20:18: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00929" cy="1248909"/>
                          </a:xfrm>
                          <a:prstGeom prst="rect">
                            <a:avLst/>
                          </a:prstGeom>
                          <a:noFill/>
                          <a:ln>
                            <a:noFill/>
                          </a:ln>
                        </pic:spPr>
                      </pic:pic>
                    </a:graphicData>
                  </a:graphic>
                </wp:inline>
              </w:drawing>
            </w:r>
          </w:p>
        </w:tc>
      </w:tr>
      <w:tr w:rsidR="002A43CB">
        <w:trPr>
          <w:cantSplit/>
        </w:trPr>
        <w:tc>
          <w:tcPr>
            <w:tcW w:w="8505" w:type="dxa"/>
            <w:shd w:val="clear" w:color="auto" w:fill="auto"/>
          </w:tcPr>
          <w:p w:rsidR="002A43CB" w:rsidRDefault="0048172E">
            <w:pPr>
              <w:pStyle w:val="TableFootnote"/>
              <w:rPr>
                <w:noProof/>
              </w:rPr>
            </w:pPr>
            <w:r>
              <w:rPr>
                <w:noProof/>
              </w:rPr>
              <w:t>* ECB aggregated balance sheet loans excluding to gov and MFI / deposits excluding from gov and MFI</w:t>
            </w:r>
          </w:p>
          <w:p w:rsidR="002A43CB" w:rsidRDefault="0048172E">
            <w:pPr>
              <w:pStyle w:val="TableSource"/>
              <w:rPr>
                <w:noProof/>
              </w:rPr>
            </w:pPr>
            <w:r>
              <w:rPr>
                <w:b/>
                <w:i/>
                <w:noProof/>
              </w:rPr>
              <w:t>Source:</w:t>
            </w:r>
            <w:r>
              <w:rPr>
                <w:noProof/>
              </w:rPr>
              <w:t xml:space="preserve"> ECB CBD, IMF</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48172E">
      <w:pPr>
        <w:pStyle w:val="NumberedHeading1"/>
        <w:tabs>
          <w:tab w:val="left" w:pos="567"/>
        </w:tabs>
        <w:rPr>
          <w:noProof/>
        </w:rPr>
      </w:pPr>
      <w:r>
        <w:rPr>
          <w:noProof/>
        </w:rPr>
        <w:t>3.2.2.</w:t>
      </w:r>
      <w:r>
        <w:rPr>
          <w:noProof/>
        </w:rPr>
        <w:tab/>
        <w:t>Credit supply and households' indebtedness</w:t>
      </w:r>
      <w:bookmarkEnd w:id="33"/>
    </w:p>
    <w:p w:rsidR="002A43CB" w:rsidRDefault="0048172E">
      <w:pPr>
        <w:rPr>
          <w:noProof/>
        </w:rPr>
      </w:pPr>
      <w:r>
        <w:rPr>
          <w:b/>
          <w:noProof/>
        </w:rPr>
        <w:t xml:space="preserve">Luxembourg's real </w:t>
      </w:r>
      <w:r>
        <w:rPr>
          <w:b/>
          <w:noProof/>
        </w:rPr>
        <w:t>estate market shows a constant dynamism with house prices growing steadily for several decades.</w:t>
      </w:r>
      <w:r>
        <w:rPr>
          <w:noProof/>
        </w:rPr>
        <w:t xml:space="preserve"> In 2015 house prices (</w:t>
      </w:r>
      <w:r>
        <w:rPr>
          <w:noProof/>
          <w:vertAlign w:val="superscript"/>
        </w:rPr>
        <w:footnoteReference w:id="34"/>
      </w:r>
      <w:r>
        <w:rPr>
          <w:noProof/>
        </w:rPr>
        <w:t xml:space="preserve">) increased by 6.1 %, the steepest increase since the outbreak of the financial crisis (Graph </w:t>
      </w:r>
      <w:r>
        <w:rPr>
          <w:noProof/>
        </w:rPr>
        <w:fldChar w:fldCharType="begin"/>
      </w:r>
      <w:r>
        <w:rPr>
          <w:noProof/>
        </w:rPr>
        <w:instrText xml:space="preserve"> QUOTE "3.2.2"</w:instrText>
      </w:r>
      <w:r>
        <w:rPr>
          <w:noProof/>
        </w:rPr>
        <w:fldChar w:fldCharType="begin">
          <w:fldData xml:space="preserve">QwBSAE8AUwBTAFIARQBGAEUAUgBFAE4AQwBFACoARwBSAEEAUABIACoAYgA5ADgANgA4ADYAYwA3
AC0AYQBiAGIAZQAtADQAOAA3ADYALQBiADMANgA4AC0AZgBiADEAYQA0ADEAYgA1AGEAMAA0AGEA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3.2.2</w:t>
      </w:r>
      <w:r>
        <w:rPr>
          <w:noProof/>
        </w:rPr>
        <w:fldChar w:fldCharType="end"/>
      </w:r>
      <w:r>
        <w:rPr>
          <w:noProof/>
        </w:rPr>
        <w:t>). Demand for loans for house purchase continued expanding in 2015 (6.7 %). In addition to strong macroeconomic fundamentals and demographic growth, favourable financial condi</w:t>
      </w:r>
      <w:r>
        <w:rPr>
          <w:noProof/>
        </w:rPr>
        <w:t xml:space="preserve">tions reflected in low interest rates and easier access to credit may have contributed to the increase in home loans and maintained the strong house price dynamics. </w:t>
      </w:r>
    </w:p>
    <w:p w:rsidR="002A43CB" w:rsidRDefault="0048172E">
      <w:pPr>
        <w:rPr>
          <w:noProof/>
        </w:rPr>
      </w:pPr>
      <w:r>
        <w:rPr>
          <w:b/>
          <w:noProof/>
        </w:rPr>
        <w:t xml:space="preserve">Steep increasing house prices have had a negative impact on households' capacity to access property. </w:t>
      </w:r>
      <w:r>
        <w:rPr>
          <w:noProof/>
        </w:rPr>
        <w:t>Housing affordability measured as the price-to-income ratio has continuously deteriorated since 2000, except in 2008 and 2009 (Graph </w:t>
      </w:r>
      <w:r>
        <w:rPr>
          <w:noProof/>
        </w:rPr>
        <w:fldChar w:fldCharType="begin"/>
      </w:r>
      <w:r>
        <w:rPr>
          <w:noProof/>
        </w:rPr>
        <w:instrText xml:space="preserve"> QUOTE "3.2.3"</w:instrText>
      </w:r>
      <w:r>
        <w:rPr>
          <w:noProof/>
        </w:rPr>
        <w:fldChar w:fldCharType="begin">
          <w:fldData xml:space="preserve">QwBSAE8AUwBTAFIARQBGAEUAUgBFAE4AQwBFACoARwBSAEEAUABIACoAYwA2AGYAMQBiADMANgA5
AC0AZgA1AGEAYgAtADQAMwBiAGMALQA5ADAAMwA3AC0AZQA2ADgANgAxADgAZAA2AGQANwBlAGIA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3.2.3</w:t>
      </w:r>
      <w:r>
        <w:rPr>
          <w:noProof/>
        </w:rPr>
        <w:fldChar w:fldCharType="end"/>
      </w:r>
      <w:r>
        <w:rPr>
          <w:noProof/>
        </w:rPr>
        <w:t>.) House prices have increased more quickly than households' disposable income. While the affordability ratio has decreased between 2010 and 2015 by 5.2</w:t>
      </w:r>
      <w:r>
        <w:rPr>
          <w:rFonts w:hint="eastAsia"/>
          <w:noProof/>
        </w:rPr>
        <w:t> </w:t>
      </w:r>
      <w:r>
        <w:rPr>
          <w:noProof/>
        </w:rPr>
        <w:t xml:space="preserve">% in the euro area as a whole, it increased by 17.8 % in Luxembourg. This means accessing property is taking an increasingly higher toll on the finances of households. </w:t>
      </w:r>
    </w:p>
    <w:p w:rsidR="002A43CB" w:rsidRDefault="0048172E">
      <w:pPr>
        <w:rPr>
          <w:noProof/>
        </w:rPr>
      </w:pPr>
      <w:r>
        <w:rPr>
          <w:b/>
          <w:noProof/>
        </w:rPr>
        <w:t xml:space="preserve">The price-to-rent indicator shows a similar evolution (Graph </w:t>
      </w:r>
      <w:r>
        <w:rPr>
          <w:b/>
          <w:noProof/>
        </w:rPr>
        <w:fldChar w:fldCharType="begin"/>
      </w:r>
      <w:r>
        <w:rPr>
          <w:noProof/>
        </w:rPr>
        <w:instrText xml:space="preserve"> QUOTE "3.2.4"</w:instrText>
      </w:r>
      <w:r>
        <w:rPr>
          <w:noProof/>
        </w:rPr>
        <w:fldChar w:fldCharType="begin">
          <w:fldData xml:space="preserve">QwBSAE8AUwBTAFIARQBGAEUAUgBFAE4AQwBFACoARwBSAEEAUABIACoAYgA2ADMAYwA0ADQAZQBj
AC0ANQBjAGMAMgAtADQAZQBjADcALQBiADEANABjAC0AYgA3ADEAZAA5ADAANgBkADUAYwA2ADcA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3.2.4</w:t>
      </w:r>
      <w:r>
        <w:rPr>
          <w:b/>
          <w:noProof/>
        </w:rPr>
        <w:fldChar w:fldCharType="end"/>
      </w:r>
      <w:r>
        <w:rPr>
          <w:b/>
          <w:noProof/>
        </w:rPr>
        <w:t>), indicating a possible over-evaluation of house prices</w:t>
      </w:r>
      <w:r>
        <w:rPr>
          <w:noProof/>
        </w:rPr>
        <w:t>.  At the same time current real estate policies encourage house ownership over renting.</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3.2.2:</w:t>
            </w:r>
            <w:r>
              <w:rPr>
                <w:b/>
                <w:noProof/>
              </w:rPr>
              <w:tab/>
              <w:t>Real house prices evolution</w:t>
            </w:r>
          </w:p>
        </w:tc>
      </w:tr>
      <w:tr w:rsidR="002A43CB">
        <w:trPr>
          <w:cantSplit/>
        </w:trPr>
        <w:tc>
          <w:tcPr>
            <w:tcW w:w="4110" w:type="dxa"/>
            <w:shd w:val="clear" w:color="auto" w:fill="auto"/>
          </w:tcPr>
          <w:p w:rsidR="002A43CB" w:rsidRDefault="0048172E">
            <w:pPr>
              <w:pStyle w:val="GraphShape"/>
              <w:rPr>
                <w:noProof/>
                <w:sz w:val="2"/>
              </w:rPr>
            </w:pPr>
            <w:bookmarkStart w:id="34" w:name="_Toc474676065"/>
            <w:bookmarkEnd w:id="34"/>
            <w:r>
              <w:rPr>
                <w:noProof/>
                <w:sz w:val="2"/>
                <w:lang w:eastAsia="en-GB"/>
              </w:rPr>
              <w:drawing>
                <wp:inline distT="0" distB="0" distL="0" distR="0" wp14:anchorId="3018B576" wp14:editId="3EF64656">
                  <wp:extent cx="2597595" cy="2441967"/>
                  <wp:effectExtent l="0" t="0" r="0" b="0"/>
                  <wp:docPr id="24" name="Picture 24" descr="&lt;_DISABLED_nbr_DISABLED_&gt;&lt;GETTEXTFROMWORD&gt;&lt;/nbr&gt;&#10;&lt;title&gt;&lt;GETTEXTFROMWORD&gt;&lt;/title&gt;&#10;&lt;_DISABLED_id_DISABLED_&gt;b98686c7-abbe-4876-b368-fb1a41b5a04a&lt;/id&gt;&#10;&lt;srcType&gt;EXCEL&lt;/srcType&gt;&#10;&lt;srcPath&gt;O:\2017 CRs\16 LU\16_Luxembourg_CR\Graphs,Tables and Boxes\Chapter 3-2 Financial sector\&lt;/srcPath&gt;&#10;&lt;srcName&gt;House price increases.xlsx&lt;/srcName&gt;&#10;&lt;type&gt;graph&lt;/type&gt;&#10; &lt;srcSheet&gt;Sheet0&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1-15T16:57: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244196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Measures under the 2017 tax reform have the potential to increase further the system bias in favour of ownership.</w:t>
      </w:r>
      <w:r>
        <w:rPr>
          <w:noProof/>
        </w:rPr>
        <w:t xml:space="preserve"> This is the result of (i) the legislated increase in the tax deduction possibilities under a home savings contract (</w:t>
      </w:r>
      <w:r>
        <w:rPr>
          <w:noProof/>
          <w:vertAlign w:val="superscript"/>
        </w:rPr>
        <w:footnoteReference w:id="35"/>
      </w:r>
      <w:r>
        <w:rPr>
          <w:noProof/>
        </w:rPr>
        <w:t>) (with the maximum amount deductible set at EUR 1.344 per year, up from EUR 672 currently); (ii) the legislated abolition of the deemed r</w:t>
      </w:r>
      <w:r>
        <w:rPr>
          <w:noProof/>
        </w:rPr>
        <w:t>ental value of one's own residence and (iii) the increase in the ceiling of the 'deductible passive interests' linked to a mortgage loan. Fiscal incentives that favour ownership over renting often go hand-in-hand with households' excessive indebtedness. Th</w:t>
      </w:r>
      <w:r>
        <w:rPr>
          <w:noProof/>
        </w:rPr>
        <w:t>is is because a large part of these tax subsidies is likely to be capitalised into house prices.</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3.2.3:</w:t>
            </w:r>
            <w:r>
              <w:rPr>
                <w:b/>
                <w:noProof/>
              </w:rPr>
              <w:tab/>
              <w:t>Price to income</w:t>
            </w:r>
          </w:p>
        </w:tc>
      </w:tr>
      <w:tr w:rsidR="002A43CB">
        <w:trPr>
          <w:cantSplit/>
        </w:trPr>
        <w:tc>
          <w:tcPr>
            <w:tcW w:w="4110" w:type="dxa"/>
            <w:shd w:val="clear" w:color="auto" w:fill="auto"/>
          </w:tcPr>
          <w:p w:rsidR="002A43CB" w:rsidRDefault="0048172E">
            <w:pPr>
              <w:pStyle w:val="GraphShape"/>
              <w:rPr>
                <w:noProof/>
                <w:sz w:val="2"/>
              </w:rPr>
            </w:pPr>
            <w:bookmarkStart w:id="35" w:name="_Toc474676066"/>
            <w:bookmarkEnd w:id="35"/>
            <w:r>
              <w:rPr>
                <w:noProof/>
                <w:sz w:val="2"/>
                <w:lang w:eastAsia="en-GB"/>
              </w:rPr>
              <w:drawing>
                <wp:inline distT="0" distB="0" distL="0" distR="0" wp14:anchorId="08F51C40" wp14:editId="3E496FE8">
                  <wp:extent cx="2597595" cy="2445130"/>
                  <wp:effectExtent l="0" t="0" r="0" b="0"/>
                  <wp:docPr id="25" name="Picture 25" descr="&lt;_DISABLED_nbr_DISABLED_&gt;&lt;GETTEXTFROMWORD&gt;&lt;/nbr&gt;&#10;&lt;title&gt;&lt;GETTEXTFROMWORD&gt;&lt;/title&gt;&#10;&lt;_DISABLED_id_DISABLED_&gt;c6f1b369-f5ab-43bc-9037-e68618d6d7eb&lt;/id&gt;&#10;&lt;srcType&gt;EXCEL&lt;/srcType&gt;&#10;&lt;srcPath&gt;O:\2017 CRs\16 LU\16_Luxembourg_CR\Graphs,Tables and Boxes\Chapter 3-2 Financial sector\&lt;/srcPath&gt;&#10;&lt;srcName&gt;PriceToRent.xlsx&lt;/srcName&gt;&#10;&lt;type&gt;graph&lt;/type&gt;&#10; &lt;srcSheet&gt;Sheet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1-03T18:56: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5130"/>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More than 80 % of households' indebtedness is mortgage-related and the household indebtedness rat</w:t>
      </w:r>
      <w:r>
        <w:rPr>
          <w:b/>
          <w:noProof/>
        </w:rPr>
        <w:t>io mirrors real estate inflation.</w:t>
      </w:r>
      <w:r>
        <w:rPr>
          <w:noProof/>
        </w:rPr>
        <w:t xml:space="preserve"> Over the last 10 years household debt has been increasing, to reach a level of GDP close to the euro area average. Recent figures show that, on average, one third of a household's disposable income is needed to service mor</w:t>
      </w:r>
      <w:r>
        <w:rPr>
          <w:noProof/>
        </w:rPr>
        <w:t xml:space="preserve">tgage debt. Since a large part of the loans are at variable rate, a sudden hike in interest rates could put some households at risk of defaulting, especially those with low incomes. </w:t>
      </w:r>
    </w:p>
    <w:p w:rsidR="002A43CB" w:rsidRDefault="0048172E">
      <w:pPr>
        <w:rPr>
          <w:noProof/>
        </w:rPr>
      </w:pPr>
      <w:r>
        <w:rPr>
          <w:b/>
          <w:noProof/>
        </w:rPr>
        <w:t xml:space="preserve">Developments in the housing market can contribute significantly to </w:t>
      </w:r>
      <w:r>
        <w:rPr>
          <w:b/>
          <w:noProof/>
        </w:rPr>
        <w:t>vulnerabilities in the financial sector, as the European Systemic Risk Board has warned</w:t>
      </w:r>
      <w:r>
        <w:rPr>
          <w:noProof/>
        </w:rPr>
        <w:t>. (</w:t>
      </w:r>
      <w:r>
        <w:rPr>
          <w:noProof/>
          <w:vertAlign w:val="superscript"/>
        </w:rPr>
        <w:footnoteReference w:id="36"/>
      </w:r>
      <w:r>
        <w:rPr>
          <w:noProof/>
        </w:rPr>
        <w:t>) The potential risks stemming from housing price developments are linked to the level of banks' exposure to mortgage credit and the indebtedness of households. In 2</w:t>
      </w:r>
      <w:r>
        <w:rPr>
          <w:noProof/>
        </w:rPr>
        <w:t>013 the national macro-prudential authority introduced more demanding capital requirements for mortgages that exceed the 80 % loan-to-value ratio threshold. Risks for the Luxembourg financial sector appear to be limited in the short term, as banks are well</w:t>
      </w:r>
      <w:r>
        <w:rPr>
          <w:noProof/>
        </w:rPr>
        <w:t xml:space="preserve"> capitalised and the proportion of non-performing loans remains low.</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3.2.4:</w:t>
            </w:r>
            <w:r>
              <w:rPr>
                <w:b/>
                <w:noProof/>
              </w:rPr>
              <w:tab/>
              <w:t>Price to rent</w:t>
            </w:r>
          </w:p>
        </w:tc>
      </w:tr>
      <w:tr w:rsidR="002A43CB">
        <w:trPr>
          <w:cantSplit/>
        </w:trPr>
        <w:tc>
          <w:tcPr>
            <w:tcW w:w="4110" w:type="dxa"/>
            <w:shd w:val="clear" w:color="auto" w:fill="auto"/>
          </w:tcPr>
          <w:p w:rsidR="002A43CB" w:rsidRDefault="0048172E">
            <w:pPr>
              <w:pStyle w:val="GraphShape"/>
              <w:rPr>
                <w:noProof/>
                <w:sz w:val="2"/>
              </w:rPr>
            </w:pPr>
            <w:bookmarkStart w:id="36" w:name="_Toc474676067"/>
            <w:bookmarkEnd w:id="36"/>
            <w:r>
              <w:rPr>
                <w:noProof/>
                <w:sz w:val="2"/>
                <w:lang w:eastAsia="en-GB"/>
              </w:rPr>
              <w:drawing>
                <wp:inline distT="0" distB="0" distL="0" distR="0" wp14:anchorId="2256FB03" wp14:editId="7DE872DC">
                  <wp:extent cx="2597595" cy="2445130"/>
                  <wp:effectExtent l="0" t="0" r="0" b="0"/>
                  <wp:docPr id="26" name="Picture 26" descr="&lt;_DISABLED_nbr_DISABLED_&gt;&lt;GETTEXTFROMWORD&gt;&lt;/nbr&gt;&#10;&lt;title&gt;&lt;GETTEXTFROMWORD&gt;&lt;/title&gt;&#10;&lt;_DISABLED_id_DISABLED_&gt;b63c44ec-5cc2-4ec7-b14c-b71d906d5c67&lt;/id&gt;&#10;&lt;srcType&gt;EXCEL&lt;/srcType&gt;&#10;&lt;srcPath&gt;O:\2017 CRs\16 LU\16_Luxembourg_CR\Graphs,Tables and Boxes\Chapter 3-2 Financial sector\&lt;/srcPath&gt;&#10;&lt;srcName&gt;PriceToRent.xlsx&lt;/srcName&gt;&#10;&lt;type&gt;graph&lt;/type&gt;&#10; &lt;srcSheet&gt;Sheet1&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1-03T18:56: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445130"/>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Vulnerability risks could increase in the case of an abrupt fall in house prices.</w:t>
      </w:r>
      <w:r>
        <w:rPr>
          <w:noProof/>
        </w:rPr>
        <w:t xml:space="preserve"> Based on the price-to-income and the price-to</w:t>
      </w:r>
      <w:r>
        <w:rPr>
          <w:noProof/>
        </w:rPr>
        <w:t>-rent ratios house prices in Luxembourg appear to be overvalued. Nevertheless when the evolution of other variables as population and real disposable income is factored in, the current level and evolution of house prices appears to be in line with the fund</w:t>
      </w:r>
      <w:r>
        <w:rPr>
          <w:noProof/>
        </w:rPr>
        <w:t>amental (see Graph 3.2.5.) and, diminish the risks of a sudden fall in house prices.(</w:t>
      </w:r>
      <w:r>
        <w:rPr>
          <w:noProof/>
          <w:vertAlign w:val="superscript"/>
        </w:rPr>
        <w:footnoteReference w:id="37"/>
      </w:r>
      <w:r>
        <w:rPr>
          <w:noProof/>
        </w:rPr>
        <w:t xml:space="preserve">)  </w:t>
      </w:r>
    </w:p>
    <w:p w:rsidR="002A43CB" w:rsidRDefault="0048172E">
      <w:pPr>
        <w:pStyle w:val="NumberedHeading1"/>
        <w:tabs>
          <w:tab w:val="left" w:pos="567"/>
        </w:tabs>
        <w:rPr>
          <w:noProof/>
        </w:rPr>
      </w:pPr>
      <w:r>
        <w:rPr>
          <w:noProof/>
        </w:rPr>
        <w:t>3.2.3.</w:t>
      </w:r>
      <w:r>
        <w:rPr>
          <w:noProof/>
        </w:rPr>
        <w:tab/>
        <w:t>The Housing challenge</w:t>
      </w:r>
    </w:p>
    <w:p w:rsidR="002A43CB" w:rsidRDefault="0048172E">
      <w:pPr>
        <w:rPr>
          <w:noProof/>
        </w:rPr>
      </w:pPr>
      <w:r>
        <w:rPr>
          <w:b/>
          <w:noProof/>
        </w:rPr>
        <w:t>Insufficient housing and building land supply explains a large part of the steady increase in real estate prices.</w:t>
      </w:r>
      <w:r>
        <w:rPr>
          <w:noProof/>
        </w:rPr>
        <w:t xml:space="preserve"> Luxembourg's large popu</w:t>
      </w:r>
      <w:r>
        <w:rPr>
          <w:noProof/>
        </w:rPr>
        <w:t>lation and employment increase between 2000 and 2015, compared to other euro area countries, has fed a strong demand for housing. At the same time residential construction has suffered from serious underinvestment. Except for 2008 and 2009 the number of dw</w:t>
      </w:r>
      <w:r>
        <w:rPr>
          <w:noProof/>
        </w:rPr>
        <w:t>ellings built (as measured by the number of building permits granted 2 years earlier) has remained below 6300(</w:t>
      </w:r>
      <w:r>
        <w:rPr>
          <w:noProof/>
          <w:vertAlign w:val="superscript"/>
        </w:rPr>
        <w:footnoteReference w:id="38"/>
      </w:r>
      <w:r>
        <w:rPr>
          <w:noProof/>
        </w:rPr>
        <w:t>), the quantity of new entities estimated to be needed to keep up with constantly growing demand. In fact, supply has proved largely inelastic to</w:t>
      </w:r>
      <w:r>
        <w:rPr>
          <w:noProof/>
        </w:rPr>
        <w:t xml:space="preserve"> demand. Over the last 20 years only an annual average of 2600 housing units has been built.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bookmarkStart w:id="37" w:name="_Toc468961017"/>
            <w:r>
              <w:rPr>
                <w:noProof/>
              </w:rPr>
              <w:t>Graph 3.2.5:</w:t>
            </w:r>
            <w:r>
              <w:rPr>
                <w:b/>
                <w:noProof/>
              </w:rPr>
              <w:tab/>
              <w:t>Overvaluation gap with respect to price to income, price to rent and fundamental model valuation gaps</w:t>
            </w:r>
          </w:p>
        </w:tc>
      </w:tr>
      <w:tr w:rsidR="002A43CB">
        <w:trPr>
          <w:cantSplit/>
        </w:trPr>
        <w:tc>
          <w:tcPr>
            <w:tcW w:w="4110" w:type="dxa"/>
            <w:shd w:val="clear" w:color="auto" w:fill="auto"/>
          </w:tcPr>
          <w:p w:rsidR="002A43CB" w:rsidRDefault="0048172E">
            <w:pPr>
              <w:pStyle w:val="GraphShape"/>
              <w:rPr>
                <w:noProof/>
                <w:sz w:val="2"/>
              </w:rPr>
            </w:pPr>
            <w:bookmarkStart w:id="38" w:name="_Toc474676068"/>
            <w:bookmarkEnd w:id="38"/>
            <w:r>
              <w:rPr>
                <w:noProof/>
                <w:sz w:val="2"/>
                <w:lang w:eastAsia="en-GB"/>
              </w:rPr>
              <w:drawing>
                <wp:inline distT="0" distB="0" distL="0" distR="0" wp14:anchorId="598B5AC8" wp14:editId="5226840B">
                  <wp:extent cx="2597595" cy="2441296"/>
                  <wp:effectExtent l="0" t="0" r="0" b="0"/>
                  <wp:docPr id="33" name="Picture 33" descr="&lt;_DISABLED_nbr_DISABLED_&gt;&lt;GETTEXTFROMWORD&gt;&lt;/nbr&gt;&#10;&lt;title&gt;&lt;GETTEXTFROMWORD&gt;&lt;/title&gt;&#10;&lt;_DISABLED_id_DISABLED_&gt;c0964be6-3a48-4f54-aad2-cf58e065f406&lt;/id&gt;&#10;&lt;srcType&gt;EXCEL&lt;/srcType&gt;&#10;&lt;srcPath&gt;O:\2017 CRs\16 LU\16_Luxembourg_CR\Graphs,Tables and Boxes\Chapter 3-2 Financial sector\&lt;/srcPath&gt;&#10;&lt;srcName&gt;Model evaluation Housing_LU.xlsx&lt;/srcName&gt;&#10;&lt;type&gt;graph&lt;/type&gt;&#10; &lt;srcSheet&gt;overv_fundam_model&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7T17:31: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Footnote"/>
              <w:keepNext/>
              <w:rPr>
                <w:noProof/>
              </w:rPr>
            </w:pPr>
            <w:r>
              <w:rPr>
                <w:noProof/>
              </w:rPr>
              <w:t>(1)  Long-term values for the price to income and price to rent ratios are computed over 1995-2015. For the model based valuation gaps, a Vector Error Correction Model has been estimated for a panel of 21 EU countries, using a system of five fundamental va</w:t>
            </w:r>
            <w:r>
              <w:rPr>
                <w:noProof/>
              </w:rPr>
              <w:t xml:space="preserve">riables; the relative house price, total population, real housing investment, real disposable income per capita and real long-term interest rate. </w:t>
            </w:r>
          </w:p>
          <w:p w:rsidR="002A43CB" w:rsidRDefault="0048172E">
            <w:pPr>
              <w:pStyle w:val="GraphSource"/>
              <w:keepNext/>
              <w:rPr>
                <w:noProof/>
              </w:rPr>
            </w:pPr>
            <w:r>
              <w:rPr>
                <w:b/>
                <w:i/>
                <w:noProof/>
              </w:rPr>
              <w:t>Source:</w:t>
            </w:r>
            <w:r>
              <w:rPr>
                <w:noProof/>
              </w:rPr>
              <w:t xml:space="preserve"> European Commission</w:t>
            </w:r>
          </w:p>
        </w:tc>
      </w:tr>
    </w:tbl>
    <w:bookmarkEnd w:id="37"/>
    <w:p w:rsidR="002A43CB" w:rsidRDefault="0048172E">
      <w:pPr>
        <w:rPr>
          <w:noProof/>
        </w:rPr>
      </w:pPr>
      <w:r>
        <w:rPr>
          <w:b/>
          <w:noProof/>
        </w:rPr>
        <w:t>Economic developments in Luxembourg have been so rapid that the economic and dem</w:t>
      </w:r>
      <w:r>
        <w:rPr>
          <w:b/>
          <w:noProof/>
        </w:rPr>
        <w:t>ographic scenarios underlying existing landscape plans have quickly become outdated.</w:t>
      </w:r>
      <w:r>
        <w:rPr>
          <w:noProof/>
        </w:rPr>
        <w:t xml:space="preserve"> Plans (</w:t>
      </w:r>
      <w:r>
        <w:rPr>
          <w:noProof/>
          <w:vertAlign w:val="superscript"/>
        </w:rPr>
        <w:footnoteReference w:id="39"/>
      </w:r>
      <w:r>
        <w:rPr>
          <w:noProof/>
        </w:rPr>
        <w:t>) were prepared in 2004 for a harmonious and coordinated development of the country's landscape. However, population and employment, and in particular the number o</w:t>
      </w:r>
      <w:r>
        <w:rPr>
          <w:noProof/>
        </w:rPr>
        <w:t>f cross-border workers as a proportion of total workforce have changed more quickly than expected making those plans outdated. High and increasing house prices, in particular in Luxembourg city and its surrounding areas, has led to urban sprawl significant</w:t>
      </w:r>
      <w:r>
        <w:rPr>
          <w:noProof/>
        </w:rPr>
        <w:t>ly increasing, with low population density areas experiencing faster population growth rates than urban areas. This in turn has led to a large increase in commuting within the country (Section 3.4.5). Recently, the authorities renewed their efforts to prod</w:t>
      </w:r>
      <w:r>
        <w:rPr>
          <w:noProof/>
        </w:rPr>
        <w:t>uce updated plans for coordinated urban developments. (</w:t>
      </w:r>
      <w:r>
        <w:rPr>
          <w:noProof/>
          <w:vertAlign w:val="superscript"/>
        </w:rPr>
        <w:footnoteReference w:id="40"/>
      </w:r>
      <w:r>
        <w:rPr>
          <w:noProof/>
        </w:rPr>
        <w:t>)</w:t>
      </w:r>
    </w:p>
    <w:p w:rsidR="002A43CB" w:rsidRDefault="0048172E">
      <w:pPr>
        <w:rPr>
          <w:noProof/>
        </w:rPr>
      </w:pPr>
      <w:r>
        <w:rPr>
          <w:b/>
          <w:noProof/>
        </w:rPr>
        <w:t xml:space="preserve">The scarcity of supply has been attributed to several factors, mainly the lack of available land. </w:t>
      </w:r>
      <w:r>
        <w:rPr>
          <w:noProof/>
        </w:rPr>
        <w:t xml:space="preserve"> A recent census (</w:t>
      </w:r>
      <w:r>
        <w:rPr>
          <w:noProof/>
          <w:vertAlign w:val="superscript"/>
        </w:rPr>
        <w:footnoteReference w:id="41"/>
      </w:r>
      <w:r>
        <w:rPr>
          <w:noProof/>
        </w:rPr>
        <w:t>), shows that in 2013 around 9 % of the surface of the country was defined as urbanised or to be urbanised according to the general development plans (PAG). However, only around 8 % of it is owned by the municipalities and the state, while most of it belon</w:t>
      </w:r>
      <w:r>
        <w:rPr>
          <w:noProof/>
        </w:rPr>
        <w:t>gs to the private sector. Private owners do not have any major incentive to sell land or buildings because they generate good rents and increase significantly in value year after year. In the current low interest environment it is hard to conceive an inves</w:t>
      </w:r>
      <w:r>
        <w:rPr>
          <w:noProof/>
        </w:rPr>
        <w:t xml:space="preserve">tment with such a high return combined with that low risk. It is the incapacity to mobilise this land that constrains housing supply and not the lack of constructible land in itself. </w:t>
      </w:r>
    </w:p>
    <w:p w:rsidR="002A43CB" w:rsidRDefault="0048172E">
      <w:pPr>
        <w:rPr>
          <w:noProof/>
        </w:rPr>
      </w:pPr>
      <w:r>
        <w:rPr>
          <w:b/>
          <w:noProof/>
        </w:rPr>
        <w:t>The Housing Pact (</w:t>
      </w:r>
      <w:r>
        <w:rPr>
          <w:b/>
          <w:i/>
          <w:noProof/>
        </w:rPr>
        <w:t>Pacte de Logement</w:t>
      </w:r>
      <w:r>
        <w:rPr>
          <w:b/>
          <w:noProof/>
        </w:rPr>
        <w:t>) was adopted in 2008 to overcome the</w:t>
      </w:r>
      <w:r>
        <w:rPr>
          <w:b/>
          <w:noProof/>
        </w:rPr>
        <w:t>se constraints and give municipalities specific tools to increase the supply of housing and compensate for the limited amount of land at their disposal.</w:t>
      </w:r>
      <w:r>
        <w:rPr>
          <w:noProof/>
        </w:rPr>
        <w:t xml:space="preserve"> These consisted of the right of first refusal for the municipalities, and some additional fiscal and ad</w:t>
      </w:r>
      <w:r>
        <w:rPr>
          <w:noProof/>
        </w:rPr>
        <w:t xml:space="preserve">ministrative measures. They include the possibility of imposing a local tax on specific land that has not been developed yet to avoid speculation. Nevertheless, according to the findings of a recent review the measure did not yield the expected results. A </w:t>
      </w:r>
      <w:r>
        <w:rPr>
          <w:noProof/>
        </w:rPr>
        <w:t xml:space="preserve">working group of representatives of the state and the municipalities was set up in 2016 to formulate proposals for a new Housing Pact. </w:t>
      </w:r>
    </w:p>
    <w:p w:rsidR="002A43CB" w:rsidRDefault="0048172E">
      <w:pPr>
        <w:rPr>
          <w:noProof/>
        </w:rPr>
      </w:pPr>
      <w:r>
        <w:rPr>
          <w:b/>
          <w:noProof/>
        </w:rPr>
        <w:t>Recurrent property taxes are low.</w:t>
      </w:r>
      <w:r>
        <w:rPr>
          <w:noProof/>
        </w:rPr>
        <w:t xml:space="preserve"> Revenues from recurrent property taxes on real estate amounted to 0.1 % of GDP in 2014</w:t>
      </w:r>
      <w:r>
        <w:rPr>
          <w:noProof/>
        </w:rPr>
        <w:t>, lower than the euro area average of 1.4 % of GDP. Outdated cadastral values are the reason for this, because levies are computed according to a scale that dates back to 1941 and is not aligned with real current values. Low tax rates on real estate proper</w:t>
      </w:r>
      <w:r>
        <w:rPr>
          <w:noProof/>
        </w:rPr>
        <w:t xml:space="preserve">ties, combined with interest tax relief, generally result in a bias towards home ownership. </w:t>
      </w:r>
    </w:p>
    <w:p w:rsidR="002A43CB" w:rsidRDefault="0048172E">
      <w:pPr>
        <w:rPr>
          <w:noProof/>
        </w:rPr>
      </w:pPr>
      <w:r>
        <w:rPr>
          <w:b/>
          <w:noProof/>
        </w:rPr>
        <w:t>The government's recent action aims to remove certain constraints on the housing supply.</w:t>
      </w:r>
      <w:r>
        <w:rPr>
          <w:noProof/>
        </w:rPr>
        <w:t xml:space="preserve"> The recently adopted tax reform contains measures that aim to promote the </w:t>
      </w:r>
      <w:r>
        <w:rPr>
          <w:noProof/>
        </w:rPr>
        <w:t>placing on the market of dwellings intended for sale. Capital gains on real estate sales between 1 July 2016 and 31 December 2017 will be taxed at a quarter of the standard rate. A similar measure in the past produced significant results. It has to be note</w:t>
      </w:r>
      <w:r>
        <w:rPr>
          <w:noProof/>
        </w:rPr>
        <w:t>d however that in the previous episode the measure remained in place for a longer time period, from 2002 to 2007. Given that this time the measure is time-limited (less than 2 years, a relatively short term in real estate market) and given the continuous t</w:t>
      </w:r>
      <w:r>
        <w:rPr>
          <w:noProof/>
        </w:rPr>
        <w:t xml:space="preserve">rend towards higher prices, it is not certain that it will significantly increase the housing supply. </w:t>
      </w:r>
    </w:p>
    <w:p w:rsidR="002A43CB" w:rsidRDefault="0048172E">
      <w:pPr>
        <w:rPr>
          <w:noProof/>
        </w:rPr>
      </w:pPr>
      <w:r>
        <w:rPr>
          <w:b/>
          <w:noProof/>
        </w:rPr>
        <w:t>The Omnibus law was adopted at beginning of 2017.</w:t>
      </w:r>
      <w:r>
        <w:rPr>
          <w:noProof/>
        </w:rPr>
        <w:t xml:space="preserve"> It contains measures that could have a material impact in reducing the length of the procedure to obtai</w:t>
      </w:r>
      <w:r>
        <w:rPr>
          <w:noProof/>
        </w:rPr>
        <w:t>n a building permit (European Commission, 2016b), and then it could contribute to increase housing supply.</w:t>
      </w:r>
    </w:p>
    <w:p w:rsidR="002A43CB" w:rsidRDefault="0048172E">
      <w:pPr>
        <w:rPr>
          <w:noProof/>
        </w:rPr>
      </w:pPr>
      <w:r>
        <w:rPr>
          <w:b/>
          <w:noProof/>
        </w:rPr>
        <w:t>The authorities also plan to increase the supply of affordable housing.</w:t>
      </w:r>
      <w:r>
        <w:rPr>
          <w:noProof/>
        </w:rPr>
        <w:t xml:space="preserve"> Housing costs and housing exclusion are among the major challenges for Luxemb</w:t>
      </w:r>
      <w:r>
        <w:rPr>
          <w:noProof/>
        </w:rPr>
        <w:t xml:space="preserve">ourg’s social inclusion policies. Housing costs still represented more than 40 % of their disposable household income for 27.9 % of people at risk of poverty in 2015. The planned tax reform provides for the non-taxation of 50 % of rents from the rental of </w:t>
      </w:r>
      <w:r>
        <w:rPr>
          <w:noProof/>
        </w:rPr>
        <w:t>buildings to government-regulated bodies such as the ‘Agence Immobilière Sociale". For several years, the government has been encouraging local authorities and private partners to increase the (social) housing stock (for example by obliging a duty on prope</w:t>
      </w:r>
      <w:r>
        <w:rPr>
          <w:noProof/>
        </w:rPr>
        <w:t>rty developers to include at least 10% of social housing in new developments), with limited results to date. Further progress has been made with the introduction of a rent subsidy from January 2016 for low-income households (around the minimum wage) if the</w:t>
      </w:r>
      <w:r>
        <w:rPr>
          <w:noProof/>
        </w:rPr>
        <w:t xml:space="preserve">ir monthly rent on the private market exceeds 33 % of their net disposable income. So far this measure has not been much used: the authorities only received 3000 applications (19 600 expected). </w:t>
      </w:r>
    </w:p>
    <w:p w:rsidR="002A43CB" w:rsidRDefault="0048172E">
      <w:pPr>
        <w:rPr>
          <w:noProof/>
        </w:rPr>
      </w:pPr>
      <w:r>
        <w:rPr>
          <w:b/>
          <w:noProof/>
        </w:rPr>
        <w:t>Additional measures to increase the supply of housing are pla</w:t>
      </w:r>
      <w:r>
        <w:rPr>
          <w:b/>
          <w:noProof/>
        </w:rPr>
        <w:t>nned by the authorities.</w:t>
      </w:r>
      <w:r>
        <w:rPr>
          <w:noProof/>
        </w:rPr>
        <w:t xml:space="preserve"> In order to increase the supply of affordable and social housing they have proposed to Parliament a reform to improve the operational efficiency of the Housing Fund in charge of managing the country's largest stock of social housin</w:t>
      </w:r>
      <w:r>
        <w:rPr>
          <w:noProof/>
        </w:rPr>
        <w:t>g.  Moreover, in the context of the planned reform of the 19 July 2004 law on local planning it is foreseen to introduce a new type of contract (Baulandvertrag).  Under this contract the local authorities will have the possibility of introducing the obliga</w:t>
      </w:r>
      <w:r>
        <w:rPr>
          <w:noProof/>
        </w:rPr>
        <w:t>tion for the landowner to build within a fixed period. Municipalities will be able to impose penalties, such as the reclassification of the land as not suitable for construction, in case the land is not used.</w:t>
      </w:r>
    </w:p>
    <w:p w:rsidR="002A43CB" w:rsidRDefault="0048172E">
      <w:pPr>
        <w:rPr>
          <w:noProof/>
        </w:rPr>
      </w:pPr>
      <w:r>
        <w:rPr>
          <w:b/>
          <w:noProof/>
        </w:rPr>
        <w:t>The government is engaged in promoting the supp</w:t>
      </w:r>
      <w:r>
        <w:rPr>
          <w:b/>
          <w:noProof/>
        </w:rPr>
        <w:t>ly of subsidised housing</w:t>
      </w:r>
      <w:r>
        <w:rPr>
          <w:noProof/>
        </w:rPr>
        <w:t>. (</w:t>
      </w:r>
      <w:r>
        <w:rPr>
          <w:noProof/>
          <w:vertAlign w:val="superscript"/>
        </w:rPr>
        <w:footnoteReference w:id="42"/>
      </w:r>
      <w:r>
        <w:rPr>
          <w:noProof/>
        </w:rPr>
        <w:t>) In January 2017, 61 new projects of subsidised housing have been approved for an additional cost of EUR 42.1 million. This will lead to the construction of 10.981 new dwellings, of which 53.4% is to be sold and 46.4% to be ren</w:t>
      </w:r>
      <w:r>
        <w:rPr>
          <w:noProof/>
        </w:rPr>
        <w:t>ted out.</w:t>
      </w:r>
    </w:p>
    <w:p w:rsidR="002A43CB" w:rsidRDefault="0048172E">
      <w:pPr>
        <w:rPr>
          <w:noProof/>
        </w:rPr>
      </w:pPr>
      <w:r>
        <w:rPr>
          <w:b/>
          <w:noProof/>
        </w:rPr>
        <w:t>All in all, despite the number of measures adopted and envisaged to increase housing supply, the challenge ahead for the Luxembourg authorities remains sizeable.</w:t>
      </w:r>
      <w:r>
        <w:rPr>
          <w:noProof/>
        </w:rPr>
        <w:t xml:space="preserve"> In view of the projected strong increase in population and workforce (Section 3.1.4 a</w:t>
      </w:r>
      <w:r>
        <w:rPr>
          <w:noProof/>
        </w:rPr>
        <w:t xml:space="preserve">nd European Commission, 2016b) housing demand is projected to remain strong in the years ahead.  Conversely, and in spite of the measures mentioned above, housing supply is not expected to accelerate significantly. </w:t>
      </w:r>
    </w:p>
    <w:p w:rsidR="002A43CB" w:rsidRDefault="002A43CB">
      <w:pPr>
        <w:rPr>
          <w:noProof/>
        </w:rPr>
      </w:pPr>
    </w:p>
    <w:p w:rsidR="002A43CB" w:rsidRDefault="002A43CB">
      <w:pPr>
        <w:rPr>
          <w:noProof/>
        </w:rPr>
        <w:sectPr w:rsidR="002A43CB">
          <w:headerReference w:type="even" r:id="rId69"/>
          <w:headerReference w:type="default" r:id="rId70"/>
          <w:footerReference w:type="even" r:id="rId71"/>
          <w:footerReference w:type="default" r:id="rId72"/>
          <w:headerReference w:type="first" r:id="rId73"/>
          <w:footerReference w:type="first" r:id="rId7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A43CB" w:rsidRDefault="0048172E">
      <w:pPr>
        <w:pStyle w:val="SectionTitleFramed6"/>
        <w:framePr w:wrap="notBeside"/>
        <w:rPr>
          <w:noProof/>
        </w:rPr>
      </w:pPr>
      <w:bookmarkStart w:id="39" w:name="_Toc474829373"/>
      <w:bookmarkStart w:id="40" w:name="_Toc468961019"/>
      <w:bookmarkEnd w:id="39"/>
      <w:r>
        <w:rPr>
          <w:noProof/>
        </w:rPr>
        <w:t>3.3.</w:t>
      </w:r>
      <w:r>
        <w:rPr>
          <w:noProof/>
        </w:rPr>
        <w:tab/>
        <w:t>Labour market, education and social policies</w:t>
      </w:r>
    </w:p>
    <w:p w:rsidR="002A43CB" w:rsidRDefault="0048172E">
      <w:pPr>
        <w:pStyle w:val="NumberedHeading1"/>
        <w:tabs>
          <w:tab w:val="left" w:pos="567"/>
        </w:tabs>
        <w:rPr>
          <w:noProof/>
        </w:rPr>
      </w:pPr>
      <w:r>
        <w:rPr>
          <w:noProof/>
        </w:rPr>
        <w:t>3.3.1.</w:t>
      </w:r>
      <w:r>
        <w:rPr>
          <w:noProof/>
        </w:rPr>
        <w:tab/>
        <w:t>Labour market</w:t>
      </w:r>
      <w:bookmarkEnd w:id="40"/>
      <w:r>
        <w:rPr>
          <w:noProof/>
        </w:rPr>
        <w:t xml:space="preserve"> </w:t>
      </w:r>
    </w:p>
    <w:p w:rsidR="002A43CB" w:rsidRDefault="0048172E">
      <w:pPr>
        <w:rPr>
          <w:noProof/>
        </w:rPr>
      </w:pPr>
      <w:r>
        <w:rPr>
          <w:b/>
          <w:noProof/>
        </w:rPr>
        <w:t xml:space="preserve">The labour market in Luxembourg continues to perform well but unemployment has </w:t>
      </w:r>
      <w:r>
        <w:rPr>
          <w:b/>
          <w:noProof/>
        </w:rPr>
        <w:t>increased over time and weaker labour market outcomes for specific groups still constitute important policy challenges.</w:t>
      </w:r>
      <w:r>
        <w:rPr>
          <w:noProof/>
        </w:rPr>
        <w:t xml:space="preserve"> The labour market is characterised by continued employment growth and an unemployment rate that is among the lowest in the EU. Neverthel</w:t>
      </w:r>
      <w:r>
        <w:rPr>
          <w:noProof/>
        </w:rPr>
        <w:t>ess, unemployment has significantly increased since 2011, especially for medium- and low-skilled workers. Employment is shifting further to high value-added services tending to employ high-skilled workers. Aggregate employment and activity rates have incre</w:t>
      </w:r>
      <w:r>
        <w:rPr>
          <w:noProof/>
        </w:rPr>
        <w:t>ased over time, with an important composition effect at play: tertiary education attainment has been consistently increasing and people with tertiary education have higher activity and employment rates. However, in 2015 employment and activity rates did no</w:t>
      </w:r>
      <w:r>
        <w:rPr>
          <w:noProof/>
        </w:rPr>
        <w:t>t improve.(</w:t>
      </w:r>
      <w:r>
        <w:rPr>
          <w:noProof/>
          <w:vertAlign w:val="superscript"/>
        </w:rPr>
        <w:footnoteReference w:id="43"/>
      </w:r>
      <w:r>
        <w:rPr>
          <w:noProof/>
        </w:rPr>
        <w:t xml:space="preserve">) The strong net employment creation can be attributed mostly to the continuous increase in the number of cross-border workers, who make up around 45% of the workforce, many employed in highly specialised sectors (e.g. financial services).  </w:t>
      </w:r>
    </w:p>
    <w:p w:rsidR="002A43CB" w:rsidRDefault="0048172E">
      <w:pPr>
        <w:rPr>
          <w:noProof/>
        </w:rPr>
      </w:pPr>
      <w:r>
        <w:rPr>
          <w:b/>
          <w:noProof/>
        </w:rPr>
        <w:t>Im</w:t>
      </w:r>
      <w:r>
        <w:rPr>
          <w:b/>
          <w:noProof/>
        </w:rPr>
        <w:t>proving older workers' attachment to the labour market remains a key challenge as they still have one of the lowest employment rates in the EU.</w:t>
      </w:r>
      <w:r>
        <w:rPr>
          <w:noProof/>
        </w:rPr>
        <w:t xml:space="preserve"> Generous early retirement arrangements coupled with financial disincentives to work embedded in the tax and bene</w:t>
      </w:r>
      <w:r>
        <w:rPr>
          <w:noProof/>
        </w:rPr>
        <w:t>fit system contribute to this low employment rate. Women's attachment to the labour market is also weak and characterised by a high amount of part-time employment, largely due to high financial disincentives to work for second earners.</w:t>
      </w:r>
    </w:p>
    <w:p w:rsidR="002A43CB" w:rsidRDefault="0048172E">
      <w:pPr>
        <w:pStyle w:val="Heading"/>
        <w:rPr>
          <w:noProof/>
        </w:rPr>
      </w:pPr>
      <w:r>
        <w:rPr>
          <w:noProof/>
        </w:rPr>
        <w:t xml:space="preserve">Employment of older </w:t>
      </w:r>
      <w:r>
        <w:rPr>
          <w:noProof/>
        </w:rPr>
        <w:t xml:space="preserve">workers: disincentives to work and employability </w:t>
      </w:r>
    </w:p>
    <w:p w:rsidR="002A43CB" w:rsidRDefault="0048172E">
      <w:pPr>
        <w:rPr>
          <w:noProof/>
        </w:rPr>
      </w:pPr>
      <w:r>
        <w:rPr>
          <w:b/>
          <w:noProof/>
        </w:rPr>
        <w:t xml:space="preserve">The employment rate of older workers (55-64) remained at around 40 % in 2015, one of the lowest in the EU, (Graph </w:t>
      </w:r>
      <w:r>
        <w:rPr>
          <w:b/>
          <w:noProof/>
        </w:rPr>
        <w:fldChar w:fldCharType="begin"/>
      </w:r>
      <w:r>
        <w:rPr>
          <w:noProof/>
        </w:rPr>
        <w:instrText xml:space="preserve"> QUOTE "3.3.1"</w:instrText>
      </w:r>
      <w:r>
        <w:rPr>
          <w:noProof/>
        </w:rPr>
        <w:fldChar w:fldCharType="begin">
          <w:fldData xml:space="preserve">QwBSAE8AUwBTAFIARQBGAEUAUgBFAE4AQwBFACoARwBSAEEAUABIACoAYQA5AGMANwA5AGUAMQA0
AC0AOQA0AGIANwAtADQAZgAyAGUALQA5ADQAMwBjAC0AMgAwADEAOAAzADAANAAwADYAOQBiADAA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3.3.1</w:t>
      </w:r>
      <w:r>
        <w:rPr>
          <w:b/>
          <w:noProof/>
        </w:rPr>
        <w:fldChar w:fldCharType="end"/>
      </w:r>
      <w:r>
        <w:rPr>
          <w:b/>
          <w:noProof/>
        </w:rPr>
        <w:t>)</w:t>
      </w:r>
      <w:r>
        <w:rPr>
          <w:noProof/>
        </w:rPr>
        <w:t>(</w:t>
      </w:r>
      <w:r>
        <w:rPr>
          <w:noProof/>
          <w:vertAlign w:val="superscript"/>
        </w:rPr>
        <w:footnoteReference w:id="44"/>
      </w:r>
      <w:r>
        <w:rPr>
          <w:noProof/>
        </w:rPr>
        <w:t>) and it has broadly stagnated since 2010.  The low employment rate of older workers is due to high inactivity in this age group and, to a lesser extent, to unemployment, which is well below the level of the average work</w:t>
      </w:r>
      <w:r>
        <w:rPr>
          <w:noProof/>
        </w:rPr>
        <w:t xml:space="preserve">ing age population. While life expectancy is continuing to increase (from 82.7 in 2006 to 85 years in 2014 for women and from 77.6 to 80.5 years for men), the employment rate for people aged between 60 and 64 is 17 % (the second lowest in the EU, compared </w:t>
      </w:r>
      <w:r>
        <w:rPr>
          <w:noProof/>
        </w:rPr>
        <w:t xml:space="preserve">to an EU average of 38.3 %), while 51 % of persons older than 65 consider their health to be very good or good compared to the EU average of 38 %.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3.3.1:</w:t>
            </w:r>
            <w:r>
              <w:rPr>
                <w:b/>
                <w:noProof/>
              </w:rPr>
              <w:tab/>
              <w:t>Employment rates by age</w:t>
            </w:r>
          </w:p>
        </w:tc>
      </w:tr>
      <w:tr w:rsidR="002A43CB">
        <w:trPr>
          <w:cantSplit/>
        </w:trPr>
        <w:tc>
          <w:tcPr>
            <w:tcW w:w="4110" w:type="dxa"/>
            <w:shd w:val="clear" w:color="auto" w:fill="auto"/>
          </w:tcPr>
          <w:p w:rsidR="002A43CB" w:rsidRDefault="0048172E">
            <w:pPr>
              <w:pStyle w:val="GraphShape"/>
              <w:rPr>
                <w:noProof/>
                <w:sz w:val="2"/>
              </w:rPr>
            </w:pPr>
            <w:bookmarkStart w:id="41" w:name="_Toc474676069"/>
            <w:bookmarkEnd w:id="41"/>
            <w:r>
              <w:rPr>
                <w:noProof/>
                <w:sz w:val="2"/>
                <w:lang w:eastAsia="en-GB"/>
              </w:rPr>
              <w:drawing>
                <wp:inline distT="0" distB="0" distL="0" distR="0" wp14:anchorId="2AA48E96" wp14:editId="05FEDC40">
                  <wp:extent cx="2597595" cy="2597595"/>
                  <wp:effectExtent l="0" t="0" r="0" b="0"/>
                  <wp:docPr id="34" name="Picture 34" descr="&lt;_DISABLED_nbr_DISABLED_&gt;&lt;GETTEXTFROMWORD&gt;&lt;/nbr&gt;&#10;&lt;title&gt;&lt;GETTEXTFROMWORD&gt;&lt;/title&gt;&#10;&lt;_DISABLED_id_DISABLED_&gt;a9c79e14-94b7-4f2e-943c-2018304069b0&lt;/id&gt;&#10;&lt;srcType&gt;EXCEL&lt;/srcType&gt;&#10;&lt;srcPath&gt;O:\2017 CRs\16 LU\16_Luxembourg_CR\Graphs,Tables and Boxes\Chapter 3-3 - Labour market\&lt;/srcPath&gt;&#10;&lt;srcName&gt;LU Employment Rate age - DG EMPL.xlsx&lt;/srcName&gt;&#10;&lt;type&gt;graph&lt;/type&gt;&#10; &lt;srcSheet&gt;ER_age_sex&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0T19:31: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597595"/>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Eurostat</w:t>
            </w:r>
          </w:p>
        </w:tc>
      </w:tr>
    </w:tbl>
    <w:p w:rsidR="002A43CB" w:rsidRDefault="0048172E">
      <w:pPr>
        <w:rPr>
          <w:noProof/>
        </w:rPr>
      </w:pPr>
      <w:r>
        <w:rPr>
          <w:b/>
          <w:noProof/>
        </w:rPr>
        <w:t xml:space="preserve">There is a significant variation in older </w:t>
      </w:r>
      <w:r>
        <w:rPr>
          <w:b/>
          <w:noProof/>
        </w:rPr>
        <w:t>workers’ employment rates according to their educational attainment.</w:t>
      </w:r>
      <w:r>
        <w:rPr>
          <w:noProof/>
        </w:rPr>
        <w:t xml:space="preserve"> The employment rate of older workers with higher qualifications is 60.6 % International Standard Classification of Education (ISCED 5-8) (</w:t>
      </w:r>
      <w:r>
        <w:rPr>
          <w:noProof/>
          <w:vertAlign w:val="superscript"/>
        </w:rPr>
        <w:footnoteReference w:id="45"/>
      </w:r>
      <w:r>
        <w:rPr>
          <w:noProof/>
        </w:rPr>
        <w:t>), a much lower 34.3 % for ISCED 3-4 and only 25</w:t>
      </w:r>
      <w:r>
        <w:rPr>
          <w:noProof/>
        </w:rPr>
        <w:t xml:space="preserve">.2 % for ISCED 0-2. Older workers, especially the low-skilled, are also particularly affected by long-term unemployment. </w:t>
      </w:r>
    </w:p>
    <w:p w:rsidR="002A43CB" w:rsidRDefault="0048172E">
      <w:pPr>
        <w:rPr>
          <w:noProof/>
        </w:rPr>
      </w:pPr>
      <w:r>
        <w:rPr>
          <w:b/>
          <w:noProof/>
        </w:rPr>
        <w:t>Their unfavourable labour market performance can be partly attributed to high disincentives to work embedded in the tax and benefit sy</w:t>
      </w:r>
      <w:r>
        <w:rPr>
          <w:b/>
          <w:noProof/>
        </w:rPr>
        <w:t>stem</w:t>
      </w:r>
      <w:r>
        <w:rPr>
          <w:noProof/>
        </w:rPr>
        <w:t>. Inactivity traps are high for various family types across the wage spectrum, in particular for low income earners (see European Commission, 2016a). The results of micro-simulations run using EUROMOD show that the financial disincentives are comparati</w:t>
      </w:r>
      <w:r>
        <w:rPr>
          <w:noProof/>
        </w:rPr>
        <w:t xml:space="preserve">vely higher for older workers (Table </w:t>
      </w:r>
      <w:r>
        <w:rPr>
          <w:noProof/>
        </w:rPr>
        <w:fldChar w:fldCharType="begin"/>
      </w:r>
      <w:r>
        <w:rPr>
          <w:noProof/>
        </w:rPr>
        <w:instrText xml:space="preserve"> QUOTE "3.3.1"</w:instrText>
      </w:r>
      <w:r>
        <w:rPr>
          <w:noProof/>
        </w:rPr>
        <w:fldChar w:fldCharType="begin">
          <w:fldData xml:space="preserve">QwBSAE8AUwBTAFIARQBGAEUAUgBFAE4AQwBFACoAVABBAEIATABFACoAMQA2ADEAZQA4ADUAOAAw
AC0ANQAwADgAMAAtADQAMAAyADEALQA5AGIAZgBiAC0AZAA2ADUANQBhAGYAMQA3ADMANQBkAGMA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Height w:val="20"/>
        </w:trPr>
        <w:tc>
          <w:tcPr>
            <w:tcW w:w="4110" w:type="dxa"/>
            <w:shd w:val="clear" w:color="auto" w:fill="auto"/>
          </w:tcPr>
          <w:p w:rsidR="002A43CB" w:rsidRDefault="002A43CB">
            <w:pPr>
              <w:pStyle w:val="SlimCell"/>
              <w:keepNext/>
              <w:rPr>
                <w:noProof/>
              </w:rPr>
            </w:pPr>
          </w:p>
        </w:tc>
      </w:tr>
      <w:tr w:rsidR="002A43CB">
        <w:trPr>
          <w:cantSplit/>
        </w:trPr>
        <w:tc>
          <w:tcPr>
            <w:tcW w:w="4110" w:type="dxa"/>
            <w:shd w:val="clear" w:color="auto" w:fill="auto"/>
          </w:tcPr>
          <w:p w:rsidR="002A43CB" w:rsidRDefault="0048172E">
            <w:pPr>
              <w:pStyle w:val="TableTitle"/>
              <w:rPr>
                <w:b/>
                <w:noProof/>
              </w:rPr>
            </w:pPr>
            <w:r>
              <w:rPr>
                <w:noProof/>
              </w:rPr>
              <w:t>Table 3.3.1:</w:t>
            </w:r>
            <w:r>
              <w:rPr>
                <w:b/>
                <w:noProof/>
              </w:rPr>
              <w:tab/>
              <w:t>METR by age group, based on EUROMOD</w:t>
            </w:r>
          </w:p>
        </w:tc>
      </w:tr>
      <w:tr w:rsidR="002A43CB">
        <w:trPr>
          <w:cantSplit/>
        </w:trPr>
        <w:tc>
          <w:tcPr>
            <w:tcW w:w="4110" w:type="dxa"/>
            <w:shd w:val="clear" w:color="auto" w:fill="auto"/>
          </w:tcPr>
          <w:p w:rsidR="002A43CB" w:rsidRDefault="0048172E">
            <w:pPr>
              <w:pStyle w:val="TableShape"/>
              <w:rPr>
                <w:noProof/>
                <w:sz w:val="2"/>
              </w:rPr>
            </w:pPr>
            <w:bookmarkStart w:id="42" w:name="_Toc474676044"/>
            <w:bookmarkEnd w:id="42"/>
            <w:r>
              <w:rPr>
                <w:noProof/>
                <w:sz w:val="2"/>
                <w:lang w:eastAsia="en-GB"/>
              </w:rPr>
              <w:drawing>
                <wp:inline distT="0" distB="0" distL="0" distR="0" wp14:anchorId="1D5428DE" wp14:editId="40B0872B">
                  <wp:extent cx="2597595" cy="1294380"/>
                  <wp:effectExtent l="0" t="0" r="0" b="0"/>
                  <wp:docPr id="35" name="Picture 35" descr="&lt;_DISABLED_nbr_DISABLED_&gt;&lt;GETTEXTFROMWORD&gt;&lt;/nbr&gt;&#10;&lt;title&gt;&lt;GETTEXTFROMWORD&gt;&lt;/title&gt;&#10;&lt;_DISABLED_id_DISABLED_&gt;161e8580-5080-4021-9bfb-d655af1735dc&lt;/id&gt;&#10;&lt;srcType&gt;EXCEL&lt;/srcType&gt;&#10;&lt;srcPath&gt;O:\2017 CRs\16 LU\16_Luxembourg_CR\Graphs,Tables and Boxes\Chapter 3-3 - Labour market\&lt;/srcPath&gt;&#10;&lt;srcName&gt;LU METR by age group.xlsx&lt;/srcName&gt;&#10;&lt;type&gt;table&lt;/type&gt;&#10; &lt;srcSheet&gt;Sheet1&lt;/srcSheet&gt;&#10; &lt;srcRange&gt;R2C2:R9C3&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31T14:45: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1294380"/>
                          </a:xfrm>
                          <a:prstGeom prst="rect">
                            <a:avLst/>
                          </a:prstGeom>
                          <a:noFill/>
                          <a:ln>
                            <a:noFill/>
                          </a:ln>
                        </pic:spPr>
                      </pic:pic>
                    </a:graphicData>
                  </a:graphic>
                </wp:inline>
              </w:drawing>
            </w:r>
          </w:p>
        </w:tc>
      </w:tr>
      <w:tr w:rsidR="002A43CB">
        <w:trPr>
          <w:cantSplit/>
        </w:trPr>
        <w:tc>
          <w:tcPr>
            <w:tcW w:w="4110" w:type="dxa"/>
            <w:shd w:val="clear" w:color="auto" w:fill="auto"/>
          </w:tcPr>
          <w:p w:rsidR="002A43CB" w:rsidRDefault="0048172E">
            <w:pPr>
              <w:pStyle w:val="TableFootnote"/>
              <w:rPr>
                <w:noProof/>
              </w:rPr>
            </w:pPr>
            <w:r>
              <w:rPr>
                <w:noProof/>
              </w:rPr>
              <w:t>(1)  The METRs are an indicator o</w:t>
            </w:r>
            <w:r>
              <w:rPr>
                <w:noProof/>
              </w:rPr>
              <w:t>f incentives to work resulting from the combined effect on net income from work of increasing taxes and social security contributions and decreasing benefits.</w:t>
            </w:r>
          </w:p>
          <w:p w:rsidR="002A43CB" w:rsidRDefault="0048172E">
            <w:pPr>
              <w:pStyle w:val="TableSource"/>
              <w:rPr>
                <w:noProof/>
              </w:rPr>
            </w:pPr>
            <w:r>
              <w:rPr>
                <w:b/>
                <w:i/>
                <w:noProof/>
              </w:rPr>
              <w:t>Source:</w:t>
            </w:r>
            <w:r>
              <w:rPr>
                <w:noProof/>
              </w:rPr>
              <w:t xml:space="preserve"> Joint Research Centre.</w:t>
            </w:r>
          </w:p>
        </w:tc>
      </w:tr>
      <w:tr w:rsidR="002A43CB">
        <w:trPr>
          <w:cantSplit/>
          <w:trHeight w:val="20"/>
        </w:trPr>
        <w:tc>
          <w:tcPr>
            <w:tcW w:w="4110" w:type="dxa"/>
            <w:shd w:val="clear" w:color="auto" w:fill="auto"/>
            <w:tcMar>
              <w:bottom w:w="240" w:type="dxa"/>
            </w:tcMar>
          </w:tcPr>
          <w:p w:rsidR="002A43CB" w:rsidRDefault="002A43CB">
            <w:pPr>
              <w:pStyle w:val="SlimCell"/>
              <w:rPr>
                <w:noProof/>
              </w:rPr>
            </w:pPr>
          </w:p>
        </w:tc>
      </w:tr>
    </w:tbl>
    <w:p w:rsidR="002A43CB" w:rsidRDefault="0048172E">
      <w:pPr>
        <w:rPr>
          <w:noProof/>
        </w:rPr>
      </w:pPr>
      <w:r>
        <w:rPr>
          <w:b/>
          <w:noProof/>
        </w:rPr>
        <w:t xml:space="preserve">Targeted measures have been adopted to improve the </w:t>
      </w:r>
      <w:r>
        <w:rPr>
          <w:b/>
          <w:noProof/>
        </w:rPr>
        <w:t>employability and labour market attachment of older workers, but a comprehensive strategy has not been put forward.</w:t>
      </w:r>
      <w:r>
        <w:rPr>
          <w:noProof/>
        </w:rPr>
        <w:t xml:space="preserve"> Two new active labour market policy schemes for jobseekers over 45, managed by the Public Employment Service (PES) entered into force in 201</w:t>
      </w:r>
      <w:r>
        <w:rPr>
          <w:noProof/>
        </w:rPr>
        <w:t>6. Both schemes are intended for companies that can provide real hiring opportunities. No information on their impact is available yet. Older jobseekers can benefit from the specific personalised support depending on their situation in the labour market. T</w:t>
      </w:r>
      <w:r>
        <w:rPr>
          <w:noProof/>
        </w:rPr>
        <w:t>his personalised support has been mainstreamed for all PES agencies as part of the overall reform passed in 2013 (see European Commission, 2016a). The Age Pact, a package of measures to keep older workers in employment, submitted to Parliament in April 201</w:t>
      </w:r>
      <w:r>
        <w:rPr>
          <w:noProof/>
        </w:rPr>
        <w:t>4, is still pending due to the very slow legislative process for its adoption. (</w:t>
      </w:r>
      <w:r>
        <w:rPr>
          <w:noProof/>
          <w:vertAlign w:val="superscript"/>
        </w:rPr>
        <w:footnoteReference w:id="46"/>
      </w:r>
      <w:r>
        <w:rPr>
          <w:noProof/>
        </w:rPr>
        <w:t xml:space="preserve">)  The bill remains stalled, awaiting the outcome of tripartite negotiations that could lead to major modifications (see Section 3.1.4 for details of the planned law on early </w:t>
      </w:r>
      <w:r>
        <w:rPr>
          <w:noProof/>
        </w:rPr>
        <w:t xml:space="preserve">retirement and the law on reclassification). </w:t>
      </w:r>
    </w:p>
    <w:p w:rsidR="002A43CB" w:rsidRDefault="0048172E">
      <w:pPr>
        <w:pStyle w:val="Heading"/>
        <w:rPr>
          <w:noProof/>
        </w:rPr>
      </w:pPr>
      <w:r>
        <w:rPr>
          <w:noProof/>
        </w:rPr>
        <w:t>Labour market participation of women</w:t>
      </w:r>
    </w:p>
    <w:p w:rsidR="002A43CB" w:rsidRDefault="0048172E">
      <w:pPr>
        <w:rPr>
          <w:noProof/>
        </w:rPr>
      </w:pPr>
      <w:r>
        <w:rPr>
          <w:b/>
          <w:noProof/>
        </w:rPr>
        <w:t>While the employment rate of women has increased since 2008 to reach 65.4 % in 2015, their labour market potential remains underused.</w:t>
      </w:r>
      <w:r>
        <w:rPr>
          <w:noProof/>
        </w:rPr>
        <w:t xml:space="preserve"> This largely reflects the high gender g</w:t>
      </w:r>
      <w:r>
        <w:rPr>
          <w:noProof/>
        </w:rPr>
        <w:t>ap in part-time employment (28.1 pps.): the part-time employment rate for women is one of the highest in the EU (7th) and that of men one of the lowest (21st). Gender differences in employment rates also increase with age. The employment rate of women alre</w:t>
      </w:r>
      <w:r>
        <w:rPr>
          <w:noProof/>
        </w:rPr>
        <w:t xml:space="preserve">ady declines considerably from the 45-49 age group.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3.3.2:</w:t>
            </w:r>
            <w:r>
              <w:rPr>
                <w:b/>
                <w:noProof/>
              </w:rPr>
              <w:tab/>
              <w:t>Low-wage trap for second earners in a couple, 2015</w:t>
            </w:r>
          </w:p>
        </w:tc>
      </w:tr>
      <w:tr w:rsidR="002A43CB">
        <w:trPr>
          <w:cantSplit/>
        </w:trPr>
        <w:tc>
          <w:tcPr>
            <w:tcW w:w="4110" w:type="dxa"/>
            <w:shd w:val="clear" w:color="auto" w:fill="auto"/>
          </w:tcPr>
          <w:p w:rsidR="002A43CB" w:rsidRDefault="0048172E">
            <w:pPr>
              <w:pStyle w:val="GraphShape"/>
              <w:rPr>
                <w:noProof/>
                <w:sz w:val="2"/>
              </w:rPr>
            </w:pPr>
            <w:bookmarkStart w:id="43" w:name="_Toc474676070"/>
            <w:bookmarkEnd w:id="43"/>
            <w:r>
              <w:rPr>
                <w:noProof/>
                <w:sz w:val="2"/>
                <w:lang w:eastAsia="en-GB"/>
              </w:rPr>
              <w:drawing>
                <wp:inline distT="0" distB="0" distL="0" distR="0" wp14:anchorId="4F3E5124" wp14:editId="24BBA7B9">
                  <wp:extent cx="2597595" cy="2439359"/>
                  <wp:effectExtent l="0" t="0" r="0" b="0"/>
                  <wp:docPr id="36" name="Picture 36" descr="&lt;_DISABLED_nbr_DISABLED_&gt;&lt;GETTEXTFROMWORD&gt;&lt;/nbr&gt;&#10;&lt;title&gt;&lt;GETTEXTFROMWORD&gt;&lt;/title&gt;&#10;&lt;_DISABLED_id_DISABLED_&gt;a92274cb-7f95-4ce4-96b4-d61fcc75b395&lt;/id&gt;&#10;&lt;srcType&gt;EXCEL&lt;/srcType&gt;&#10;&lt;srcPath&gt;O:\2017 CRs\16 LU\16_Luxembourg_CR\Graphs,Tables and Boxes\Chapter 3-3 - Labour market\&lt;/srcPath&gt;&#10;&lt;srcName&gt;LU Low wage trap.xlsx&lt;/srcName&gt;&#10;&lt;type&gt;graph&lt;/type&gt;&#10; &lt;srcSheet&gt;2015&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6-12-21T12:18:2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39359"/>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Footnote"/>
              <w:keepNext/>
              <w:rPr>
                <w:noProof/>
              </w:rPr>
            </w:pPr>
            <w:r>
              <w:rPr>
                <w:noProof/>
              </w:rPr>
              <w:t xml:space="preserve">(1) Low-wage trap for second earner in two-earner couple with two children, principal earner with 100% of average wage, second earner </w:t>
            </w:r>
            <w:r>
              <w:rPr>
                <w:noProof/>
              </w:rPr>
              <w:t>moving from 33% to 67% of average wage. The low-wage trap is defined as the rate at which taxes are increased and benefits withdrawn as earnings rise due to an increase in work productivity.</w:t>
            </w:r>
          </w:p>
          <w:p w:rsidR="002A43CB" w:rsidRDefault="0048172E">
            <w:pPr>
              <w:pStyle w:val="GraphSource"/>
              <w:keepNext/>
              <w:rPr>
                <w:noProof/>
              </w:rPr>
            </w:pPr>
            <w:r>
              <w:rPr>
                <w:b/>
                <w:i/>
                <w:noProof/>
              </w:rPr>
              <w:t>Source:</w:t>
            </w:r>
            <w:r>
              <w:rPr>
                <w:noProof/>
              </w:rPr>
              <w:t xml:space="preserve"> European Commission, OECD</w:t>
            </w:r>
          </w:p>
        </w:tc>
      </w:tr>
    </w:tbl>
    <w:p w:rsidR="002A43CB" w:rsidRDefault="0048172E">
      <w:pPr>
        <w:rPr>
          <w:noProof/>
        </w:rPr>
      </w:pPr>
      <w:r>
        <w:rPr>
          <w:b/>
          <w:noProof/>
        </w:rPr>
        <w:t xml:space="preserve">The low-wage trap for second </w:t>
      </w:r>
      <w:r>
        <w:rPr>
          <w:b/>
          <w:noProof/>
        </w:rPr>
        <w:t>earners, at 41 % (</w:t>
      </w:r>
      <w:r>
        <w:rPr>
          <w:noProof/>
          <w:vertAlign w:val="superscript"/>
        </w:rPr>
        <w:footnoteReference w:id="47"/>
      </w:r>
      <w:r>
        <w:rPr>
          <w:b/>
          <w:noProof/>
        </w:rPr>
        <w:t xml:space="preserve">), is relatively high in the EU context, (Graph </w:t>
      </w:r>
      <w:r>
        <w:rPr>
          <w:b/>
          <w:noProof/>
        </w:rPr>
        <w:fldChar w:fldCharType="begin"/>
      </w:r>
      <w:r>
        <w:rPr>
          <w:noProof/>
        </w:rPr>
        <w:instrText xml:space="preserve"> QUOTE "3.3.2"</w:instrText>
      </w:r>
      <w:r>
        <w:rPr>
          <w:noProof/>
        </w:rPr>
        <w:fldChar w:fldCharType="begin">
          <w:fldData xml:space="preserve">QwBSAE8AUwBTAFIARQBGAEUAUgBFAE4AQwBFACoARwBSAEEAUABIACoAYQA5ADIAMgA3ADQAYwBi
AC0ANwBmADkANQAtADQAYwBlADQALQA5ADYAYgA0AC0AZAA2ADEAZgBjAGMANwA1AGIAMwA5ADUA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3.3.2</w:t>
      </w:r>
      <w:r>
        <w:rPr>
          <w:b/>
          <w:noProof/>
        </w:rPr>
        <w:fldChar w:fldCharType="end"/>
      </w:r>
      <w:r>
        <w:rPr>
          <w:b/>
          <w:noProof/>
        </w:rPr>
        <w:t>)</w:t>
      </w:r>
      <w:r>
        <w:rPr>
          <w:noProof/>
        </w:rPr>
        <w:t>. The tax system plays an important role in this respect. The ma</w:t>
      </w:r>
      <w:r>
        <w:rPr>
          <w:noProof/>
        </w:rPr>
        <w:t>ndatory joint taxation system for married couples can in fact provide strong disincentives to work for the second earner in a couple. The tax reform (Section 3.1.1.) gives married couples the option to choose either joint or individual taxation. When choos</w:t>
      </w:r>
      <w:r>
        <w:rPr>
          <w:noProof/>
        </w:rPr>
        <w:t>ing to change in favour of individual taxation, a couple must then opt for individualisation with income reallocation or strict individualisation. However, only strict individualisation of the tax system would substantially remove the tax disincentive to t</w:t>
      </w:r>
      <w:r>
        <w:rPr>
          <w:noProof/>
        </w:rPr>
        <w:t>ake up more work for second earners.</w:t>
      </w:r>
    </w:p>
    <w:p w:rsidR="002A43CB" w:rsidRDefault="0048172E">
      <w:pPr>
        <w:rPr>
          <w:noProof/>
        </w:rPr>
      </w:pPr>
      <w:r>
        <w:rPr>
          <w:b/>
          <w:noProof/>
        </w:rPr>
        <w:t>In recent years, the government has intervened to remove several benefits based on household income that resulted in disincentives for women to participate in the labour market.</w:t>
      </w:r>
      <w:r>
        <w:rPr>
          <w:noProof/>
        </w:rPr>
        <w:t xml:space="preserve"> Over 2015 and 2016 the government initiat</w:t>
      </w:r>
      <w:r>
        <w:rPr>
          <w:noProof/>
        </w:rPr>
        <w:t>ed a review of the whole set of family-related transfers. This resulted in abolishing the education and maternity allowances, bringing social security to the needs of a modern society and abolishing some other benefits. At the same time, parental leave has</w:t>
      </w:r>
      <w:r>
        <w:rPr>
          <w:noProof/>
        </w:rPr>
        <w:t xml:space="preserve"> been encouraged, enabling parents to take time off to care for their children while keeping an attachment to the labour market (Section 3.1.4). </w:t>
      </w:r>
    </w:p>
    <w:p w:rsidR="002A43CB" w:rsidRDefault="0048172E">
      <w:pPr>
        <w:rPr>
          <w:noProof/>
        </w:rPr>
      </w:pPr>
      <w:r>
        <w:rPr>
          <w:b/>
          <w:noProof/>
        </w:rPr>
        <w:t xml:space="preserve">The labour market performance of immigrant women from non-EU countries is also weak. </w:t>
      </w:r>
      <w:r>
        <w:rPr>
          <w:noProof/>
        </w:rPr>
        <w:t>In 2015 the employment ra</w:t>
      </w:r>
      <w:r>
        <w:rPr>
          <w:noProof/>
        </w:rPr>
        <w:t>te of women from non-EU countries was 41.5 % as compared to 64.7 % for Luxembourgish women, resulting in a gap of 23.2 pps., well above the EU average of 18.4 pps. One reason for this could be that most women from non-EU countries (75 %) residing in Luxemb</w:t>
      </w:r>
      <w:r>
        <w:rPr>
          <w:noProof/>
        </w:rPr>
        <w:t>ourg came there to accompany their (working) husbands. The design of the tax and benefit system also plays a role.</w:t>
      </w:r>
    </w:p>
    <w:p w:rsidR="002A43CB" w:rsidRDefault="0048172E">
      <w:pPr>
        <w:pStyle w:val="Heading"/>
        <w:rPr>
          <w:noProof/>
        </w:rPr>
      </w:pPr>
      <w:r>
        <w:rPr>
          <w:noProof/>
        </w:rPr>
        <w:t>Mitigating the impacts of sectorial shifts in labour demand</w:t>
      </w:r>
    </w:p>
    <w:p w:rsidR="002A43CB" w:rsidRDefault="0048172E">
      <w:pPr>
        <w:rPr>
          <w:noProof/>
        </w:rPr>
      </w:pPr>
      <w:r>
        <w:rPr>
          <w:b/>
          <w:noProof/>
        </w:rPr>
        <w:t>The unemployed are more likely to be elderly, male, medium- and low-skilled worke</w:t>
      </w:r>
      <w:r>
        <w:rPr>
          <w:b/>
          <w:noProof/>
        </w:rPr>
        <w:t>rs, due partly to long-term changes in the employment structure.</w:t>
      </w:r>
      <w:r>
        <w:rPr>
          <w:noProof/>
        </w:rPr>
        <w:t xml:space="preserve"> For several years, employment has been shifting gradually away from manufacturing, employing mostly low- and medium-skilled workers, towards high-skilled services employing predominantly high</w:t>
      </w:r>
      <w:r>
        <w:rPr>
          <w:noProof/>
        </w:rPr>
        <w:t>-skilled workers. Occupations with shortages are all jobs requiring high qualifications and forecasts show that this will continue to be the case up to 2025. Financial and administration professionals, ICT professionals, medical doctors and technical and l</w:t>
      </w:r>
      <w:r>
        <w:rPr>
          <w:noProof/>
        </w:rPr>
        <w:t>ogistic engineers are in high demand.(</w:t>
      </w:r>
      <w:r>
        <w:rPr>
          <w:noProof/>
          <w:vertAlign w:val="superscript"/>
        </w:rPr>
        <w:footnoteReference w:id="48"/>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3.3.3:</w:t>
            </w:r>
            <w:r>
              <w:rPr>
                <w:b/>
                <w:noProof/>
              </w:rPr>
              <w:tab/>
              <w:t>Sectorial distribution of employment</w:t>
            </w:r>
          </w:p>
        </w:tc>
      </w:tr>
      <w:tr w:rsidR="002A43CB">
        <w:trPr>
          <w:cantSplit/>
        </w:trPr>
        <w:tc>
          <w:tcPr>
            <w:tcW w:w="4110" w:type="dxa"/>
            <w:shd w:val="clear" w:color="auto" w:fill="auto"/>
          </w:tcPr>
          <w:p w:rsidR="002A43CB" w:rsidRDefault="0048172E">
            <w:pPr>
              <w:pStyle w:val="GraphShape"/>
              <w:rPr>
                <w:noProof/>
                <w:sz w:val="2"/>
              </w:rPr>
            </w:pPr>
            <w:bookmarkStart w:id="44" w:name="_Toc474676071"/>
            <w:bookmarkEnd w:id="44"/>
            <w:r>
              <w:rPr>
                <w:noProof/>
                <w:sz w:val="2"/>
                <w:lang w:eastAsia="en-GB"/>
              </w:rPr>
              <w:drawing>
                <wp:inline distT="0" distB="0" distL="0" distR="0" wp14:anchorId="4E1E2F49" wp14:editId="7708DD81">
                  <wp:extent cx="2597595" cy="2441967"/>
                  <wp:effectExtent l="0" t="0" r="0" b="0"/>
                  <wp:docPr id="37" name="Picture 37" descr="&lt;_DISABLED_nbr_DISABLED_&gt;&lt;GETTEXTFROMWORD&gt;&lt;/nbr&gt;&#10;&lt;title&gt;&lt;GETTEXTFROMWORD&gt;&lt;/title&gt;&#10;&lt;_DISABLED_id_DISABLED_&gt;61fd9989-c961-4bd1-97e7-81e63fe45fce&lt;/id&gt;&#10;&lt;srcType&gt;EXCEL&lt;/srcType&gt;&#10;&lt;srcPath&gt;O:\2017 CRs\16 LU\16_Luxembourg_CR\Graphs,Tables and Boxes\Chapter 3-3 - Labour market\&lt;/srcPath&gt;&#10;&lt;srcName&gt;LU EMPLOYMENT by sector2 - DG EMPL.xlsx&lt;/srcName&gt;&#10;&lt;type&gt;graph&lt;/type&gt;&#10; &lt;srcSheet&gt;sector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0T19:55:4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244196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The population is upskilling in response to these shifts in labour demand, but older generations may continue to feel the impact of</w:t>
      </w:r>
      <w:r>
        <w:rPr>
          <w:b/>
          <w:noProof/>
        </w:rPr>
        <w:t xml:space="preserve"> these shifts until they retire.</w:t>
      </w:r>
      <w:r>
        <w:rPr>
          <w:noProof/>
        </w:rPr>
        <w:t xml:space="preserve"> The government is currently working on a strategy for logistics that could pave the way for career opportunities for the less qualified resident population</w:t>
      </w:r>
      <w:r>
        <w:rPr>
          <w:b/>
          <w:noProof/>
        </w:rPr>
        <w:t xml:space="preserve">. </w:t>
      </w:r>
      <w:r>
        <w:rPr>
          <w:noProof/>
        </w:rPr>
        <w:t>The recently created employers’ department in the PES has strength</w:t>
      </w:r>
      <w:r>
        <w:rPr>
          <w:noProof/>
        </w:rPr>
        <w:t>ened links with the business community. The recruitment goals announced by the Luxembourg Employers' Association (over 5000 jobseekers over 3 years compared to 2014) are likely to be met. Relevant training is proposed, focusing on new occupations in ICT an</w:t>
      </w:r>
      <w:r>
        <w:rPr>
          <w:noProof/>
        </w:rPr>
        <w:t>d logistics (see European Commission, 2016a, on Active labour market policies). To adapt vocational education and training to labour market needs, a law was adopted in March 2016, aiming to ensure quality learning outcomes. It is applicable from the beginn</w:t>
      </w:r>
      <w:r>
        <w:rPr>
          <w:noProof/>
        </w:rPr>
        <w:t>ing of the 2016/2017 school year. In collaboration with the professional chambers, the government will put emphasis on the implementation of quality assurance for work-based learning and define a process aimed at not discouraging companies, especially smal</w:t>
      </w:r>
      <w:r>
        <w:rPr>
          <w:noProof/>
        </w:rPr>
        <w:t>l and medium-sized enterprises, from offering apprenticeship and internship positions. In September 2015, a bill was passed on financial support for companies that invest in life-long learning for their employees. It also covers work adaptation training fo</w:t>
      </w:r>
      <w:r>
        <w:rPr>
          <w:noProof/>
        </w:rPr>
        <w:t>r low-skilled workers. While the overall rate of adult participation in life-long learning (18 % in 2015) is above the EU average (10.7 %), it is low among older workers (7.1 % in 2015), (see also European Commission, 2016a, on vocational education and tra</w:t>
      </w:r>
      <w:r>
        <w:rPr>
          <w:noProof/>
        </w:rPr>
        <w:t xml:space="preserve">ining challenges in Luxembourg).  </w:t>
      </w:r>
    </w:p>
    <w:p w:rsidR="002A43CB" w:rsidRDefault="0048172E">
      <w:pPr>
        <w:pStyle w:val="NumberedHeading1"/>
        <w:tabs>
          <w:tab w:val="left" w:pos="567"/>
        </w:tabs>
        <w:rPr>
          <w:noProof/>
        </w:rPr>
      </w:pPr>
      <w:bookmarkStart w:id="45" w:name="_Toc468961020"/>
      <w:r>
        <w:rPr>
          <w:noProof/>
        </w:rPr>
        <w:t>3.3.2.</w:t>
      </w:r>
      <w:r>
        <w:rPr>
          <w:noProof/>
        </w:rPr>
        <w:tab/>
        <w:t>Education</w:t>
      </w:r>
      <w:bookmarkEnd w:id="45"/>
      <w:r>
        <w:rPr>
          <w:noProof/>
        </w:rPr>
        <w:t xml:space="preserve"> </w:t>
      </w:r>
    </w:p>
    <w:p w:rsidR="002A43CB" w:rsidRDefault="0048172E">
      <w:pPr>
        <w:rPr>
          <w:noProof/>
        </w:rPr>
      </w:pPr>
      <w:r>
        <w:rPr>
          <w:b/>
          <w:noProof/>
        </w:rPr>
        <w:t xml:space="preserve">Basic skills outcomes are worse than the EU average. </w:t>
      </w:r>
      <w:r>
        <w:rPr>
          <w:noProof/>
        </w:rPr>
        <w:t xml:space="preserve">The proportion of low achievers in the 2015 OECD Programme for International Student Assessment (PISA) was higher than the EU average in all three areas tested fields (reading, mathematics and science), at 26 %. Performance worsened between 2012 and 2015, </w:t>
      </w:r>
      <w:r>
        <w:rPr>
          <w:noProof/>
        </w:rPr>
        <w:t xml:space="preserve">especially in reading and science. </w:t>
      </w:r>
    </w:p>
    <w:p w:rsidR="002A43CB" w:rsidRDefault="0048172E">
      <w:pPr>
        <w:rPr>
          <w:noProof/>
        </w:rPr>
      </w:pPr>
      <w:r>
        <w:rPr>
          <w:b/>
          <w:noProof/>
        </w:rPr>
        <w:t>There is a strong relationship between socioeconomic background and performance.</w:t>
      </w:r>
      <w:r>
        <w:rPr>
          <w:noProof/>
        </w:rPr>
        <w:t xml:space="preserve"> The performance gap between non-immigrants and first-generation immigrants is around the EU average, but second-generation immigrants do no</w:t>
      </w:r>
      <w:r>
        <w:rPr>
          <w:noProof/>
        </w:rPr>
        <w:t>t catch up with non-immigrants. Research shows that teachers’ tracking recommendations are biased against students with an immigrant background (Glock et al., 2013). Students from families where a language other than Luxembourgish is spoken are more likely</w:t>
      </w:r>
      <w:r>
        <w:rPr>
          <w:noProof/>
        </w:rPr>
        <w:t xml:space="preserve"> to fall behind in all subjects and be oriented to the technical tracks of secondary school, together with students who are less good in French. (</w:t>
      </w:r>
      <w:r>
        <w:rPr>
          <w:noProof/>
          <w:vertAlign w:val="superscript"/>
        </w:rPr>
        <w:footnoteReference w:id="49"/>
      </w:r>
      <w:r>
        <w:rPr>
          <w:noProof/>
        </w:rPr>
        <w:t>)  The difference in language regimes between the general and the technical tracks of secondary education nar</w:t>
      </w:r>
      <w:r>
        <w:rPr>
          <w:noProof/>
        </w:rPr>
        <w:t>rows the scope for switching from technical to general education. In 2013/2014, 47.4 % of Luxembourg pupils completing primary education were oriented to general secondary school, against only 11.4 % of Portuguese pupils and 33.6 % of pupils of other natio</w:t>
      </w:r>
      <w:r>
        <w:rPr>
          <w:noProof/>
        </w:rPr>
        <w:t>nalities (Ministry of Education/University of Luxembourg, 2015). There was a sharp increase in the number of minors applying for international protection in 2015/2016 (Ministry of Education, 2016). Special measures to address this intake have included welc</w:t>
      </w:r>
      <w:r>
        <w:rPr>
          <w:noProof/>
        </w:rPr>
        <w:t xml:space="preserve">ome classes in primary and secondary schools focussed on learning the language of instruction. These are also available to young adults. </w:t>
      </w:r>
    </w:p>
    <w:p w:rsidR="002A43CB" w:rsidRDefault="0048172E">
      <w:pPr>
        <w:rPr>
          <w:noProof/>
        </w:rPr>
      </w:pPr>
      <w:r>
        <w:rPr>
          <w:b/>
          <w:noProof/>
        </w:rPr>
        <w:t>Luxembourg's early school leaving rate rose by 3 pp in 2015, to 9.3 %.</w:t>
      </w:r>
      <w:r>
        <w:rPr>
          <w:noProof/>
        </w:rPr>
        <w:t xml:space="preserve"> While the rate is still below the EU average of</w:t>
      </w:r>
      <w:r>
        <w:rPr>
          <w:noProof/>
        </w:rPr>
        <w:t xml:space="preserve"> 11 % and Luxembourg's Europe 2020 national target of 10 %, the increase from the previous year is still substantial. In 2014, early school leaving rates were much higher (15.1 %) for native-born children with both parents born outside of the EU than for n</w:t>
      </w:r>
      <w:r>
        <w:rPr>
          <w:noProof/>
        </w:rPr>
        <w:t>ative-born without a migration background (5.4 %). On the positive side, virtually all children participate in early childhood education and care (ECEC) from age four. An amendment of the bill on youth, passed in April 2016, introduced mandatory quality st</w:t>
      </w:r>
      <w:r>
        <w:rPr>
          <w:noProof/>
        </w:rPr>
        <w:t>andards for all education and childcare services, parental assistants and youth centres. This can help prevent early school leaving in the long term.</w:t>
      </w:r>
    </w:p>
    <w:p w:rsidR="002A43CB" w:rsidRDefault="0048172E">
      <w:pPr>
        <w:rPr>
          <w:noProof/>
        </w:rPr>
      </w:pPr>
      <w:r>
        <w:rPr>
          <w:b/>
          <w:noProof/>
        </w:rPr>
        <w:t>The high frequency of grade repetitions is one of the factors behind the increasing early school leaving r</w:t>
      </w:r>
      <w:r>
        <w:rPr>
          <w:b/>
          <w:noProof/>
        </w:rPr>
        <w:t>ates.</w:t>
      </w:r>
      <w:r>
        <w:rPr>
          <w:noProof/>
        </w:rPr>
        <w:t xml:space="preserve"> The graduation rate in the minimum period of a secondary school programme is only 41%, the lowest among the OECD countries and far below the OECD average of 72% (OECD 2014). Grade repetition is high in all secondary school types but particularly so i</w:t>
      </w:r>
      <w:r>
        <w:rPr>
          <w:noProof/>
        </w:rPr>
        <w:t>n the lower cycles of the technical secondary school and lower technical secondary education (Klapproth and Schaltz, 2015, pp. 76-83). Data show that the probability of repeating a grade is almost 50 % higher for students of Portuguese nationality than for</w:t>
      </w:r>
      <w:r>
        <w:rPr>
          <w:noProof/>
        </w:rPr>
        <w:t xml:space="preserve"> Luxembourg students with similar school scores. Repeating years is costly (</w:t>
      </w:r>
      <w:r>
        <w:rPr>
          <w:noProof/>
          <w:vertAlign w:val="superscript"/>
        </w:rPr>
        <w:footnoteReference w:id="50"/>
      </w:r>
      <w:r>
        <w:rPr>
          <w:noProof/>
        </w:rPr>
        <w:t xml:space="preserve">) and demotivating for students: a survey showed that school failure was one of the major reasons given for interrupting their studies (Ministry of Education, 2015). </w:t>
      </w:r>
    </w:p>
    <w:p w:rsidR="002A43CB" w:rsidRDefault="0048172E">
      <w:pPr>
        <w:rPr>
          <w:i/>
          <w:noProof/>
        </w:rPr>
      </w:pPr>
      <w:r>
        <w:rPr>
          <w:b/>
          <w:noProof/>
        </w:rPr>
        <w:t xml:space="preserve">The reform of secondary education is under preparation and new legislative proposals were introduced in September 2016. </w:t>
      </w:r>
      <w:r>
        <w:rPr>
          <w:noProof/>
        </w:rPr>
        <w:t>In February 2016, the Minister signed an agreement with a national teacher trade-union (SNE) on measures to develop the quality of prima</w:t>
      </w:r>
      <w:r>
        <w:rPr>
          <w:noProof/>
        </w:rPr>
        <w:t>ry education (European Commission, 2016d)</w:t>
      </w:r>
      <w:r>
        <w:rPr>
          <w:i/>
          <w:noProof/>
        </w:rPr>
        <w:t>.</w:t>
      </w:r>
    </w:p>
    <w:p w:rsidR="002A43CB" w:rsidRDefault="0048172E">
      <w:pPr>
        <w:pStyle w:val="NumberedHeading1"/>
        <w:tabs>
          <w:tab w:val="left" w:pos="567"/>
        </w:tabs>
        <w:rPr>
          <w:noProof/>
        </w:rPr>
      </w:pPr>
      <w:bookmarkStart w:id="46" w:name="_Toc468961021"/>
      <w:r>
        <w:rPr>
          <w:noProof/>
        </w:rPr>
        <w:t>3.3.3.</w:t>
      </w:r>
      <w:r>
        <w:rPr>
          <w:noProof/>
        </w:rPr>
        <w:tab/>
        <w:t>Social policies</w:t>
      </w:r>
      <w:bookmarkEnd w:id="46"/>
      <w:r>
        <w:rPr>
          <w:noProof/>
        </w:rPr>
        <w:t xml:space="preserve"> </w:t>
      </w:r>
    </w:p>
    <w:p w:rsidR="002A43CB" w:rsidRDefault="0048172E">
      <w:pPr>
        <w:rPr>
          <w:noProof/>
        </w:rPr>
      </w:pPr>
      <w:r>
        <w:rPr>
          <w:b/>
          <w:noProof/>
        </w:rPr>
        <w:t>Poverty risks continue to be below the EU average, but social exclusion risks are high for children, one-parent households and non EU nationals.</w:t>
      </w:r>
      <w:r>
        <w:rPr>
          <w:noProof/>
        </w:rPr>
        <w:t xml:space="preserve"> The at-risk-of-poverty or social exclusion r</w:t>
      </w:r>
      <w:r>
        <w:rPr>
          <w:noProof/>
        </w:rPr>
        <w:t>ate (AROPE) increased from 16.8 % in 2011 to 18.5 % in 2015. The groups most at risk are single-parent households (44.  6% in 2015 against 45.5 % in 2011), migrants (non-EU nationals aged 18 and over: 46.4 % in 2015 against 47.7 % in 2011 and 12.1% for nat</w:t>
      </w:r>
      <w:r>
        <w:rPr>
          <w:noProof/>
        </w:rPr>
        <w:t>ionals) and children (23 % in 2015 against 21.7 % in 2011). In-work poverty increased to 11.6 % in 2015 and is above the EU average. The number of people at risk of poverty or social exclusion increased during the crisis years and has been relatively stabl</w:t>
      </w:r>
      <w:r>
        <w:rPr>
          <w:noProof/>
        </w:rPr>
        <w:t>e since 2012. It therefore seems that it will be difficult for Luxembourg to meet its 2020 targets, also in light of demographic factors.</w:t>
      </w:r>
    </w:p>
    <w:p w:rsidR="002A43CB" w:rsidRDefault="0048172E">
      <w:pPr>
        <w:rPr>
          <w:noProof/>
        </w:rPr>
      </w:pPr>
      <w:r>
        <w:rPr>
          <w:b/>
          <w:noProof/>
        </w:rPr>
        <w:t>The at-risk-of-poverty or social exclusion rates vary a lot between Luxembourgish citizens (12.1 % in 2015), EU-28 cit</w:t>
      </w:r>
      <w:r>
        <w:rPr>
          <w:b/>
          <w:noProof/>
        </w:rPr>
        <w:t>izens (20.9 %) and non EU citizens (46.4 %).</w:t>
      </w:r>
      <w:r>
        <w:rPr>
          <w:noProof/>
        </w:rPr>
        <w:t xml:space="preserve"> The differences are similar for monetary poverty (the at-risk-of-poverty rate is 42.8 % for non-EU citizens against 7.8 % for nationals) and for relative in-work poverty rates (36 %, with a 29.8 pps. gap to thos</w:t>
      </w:r>
      <w:r>
        <w:rPr>
          <w:noProof/>
        </w:rPr>
        <w:t>e born in Luxembourg, one of the highest in the EU). In light of the high number of recent asylum seekers, these challenges might persist. The December 2015 change in legislation - allowing asylum seekers to work after a period of 6 months after seeking as</w:t>
      </w:r>
      <w:r>
        <w:rPr>
          <w:noProof/>
        </w:rPr>
        <w:t xml:space="preserve">ylum - is welcome, as is the planned specialised section that will be created in 2017 in the Public Employment Services to deal with people who have been granted refugee status. </w:t>
      </w:r>
    </w:p>
    <w:p w:rsidR="002A43CB" w:rsidRDefault="0048172E">
      <w:pPr>
        <w:rPr>
          <w:noProof/>
        </w:rPr>
      </w:pPr>
      <w:r>
        <w:rPr>
          <w:b/>
          <w:noProof/>
        </w:rPr>
        <w:t xml:space="preserve">Social transfers are essential for reducing the at-risk-of-poverty rate even </w:t>
      </w:r>
      <w:r>
        <w:rPr>
          <w:b/>
          <w:noProof/>
        </w:rPr>
        <w:t>if the income of some 39 % of people on the minimum income (RMG) is below the at-risk-of-poverty threshold.</w:t>
      </w:r>
      <w:r>
        <w:rPr>
          <w:noProof/>
        </w:rPr>
        <w:t xml:space="preserve"> The at-risk-of-poverty rate reached 15.3 % after social transfers from 27.3 % before transfers in 2015, thus effectively reducing poverty in Luxembo</w:t>
      </w:r>
      <w:r>
        <w:rPr>
          <w:noProof/>
        </w:rPr>
        <w:t xml:space="preserve">urg. Several measures are intended to support the participation in the labour market of disadvantaged parents. A major reform of the minimum income </w:t>
      </w:r>
      <w:r>
        <w:rPr>
          <w:i/>
          <w:noProof/>
        </w:rPr>
        <w:t>(‘Revenu Minimum Garanti,</w:t>
      </w:r>
      <w:r>
        <w:rPr>
          <w:noProof/>
        </w:rPr>
        <w:t xml:space="preserve"> RMG´) was submitted to Parliament in the first half of 2017. The planned new incom</w:t>
      </w:r>
      <w:r>
        <w:rPr>
          <w:noProof/>
        </w:rPr>
        <w:t>e scheme REVIS (Social Inclusion Income) builds on a social and labour market inclusion approach, establishing a coherent system of income stabilisation, activation and vocational reintegration policies, with a focus on tackling child poverty and the pover</w:t>
      </w:r>
      <w:r>
        <w:rPr>
          <w:noProof/>
        </w:rPr>
        <w:t>ty of single-parent families, and simplifying its administration.  The reform is expected to considerably reduce the high inactivity traps generated by the current minimum income scheme (European Commission, 2016a). A new body, the National Social Inclusio</w:t>
      </w:r>
      <w:r>
        <w:rPr>
          <w:noProof/>
        </w:rPr>
        <w:t>n Office (ONIS) will be set up, with responsibility for social and occupational stabilisation measures for those furthest away from the labour market. The ministry is working with PES and the voluntary sector to reinforce services provision with specialise</w:t>
      </w:r>
      <w:r>
        <w:rPr>
          <w:noProof/>
        </w:rPr>
        <w:t xml:space="preserve">d staff for disadvantaged people. </w:t>
      </w:r>
    </w:p>
    <w:p w:rsidR="002A43CB" w:rsidRDefault="0048172E">
      <w:pPr>
        <w:rPr>
          <w:noProof/>
        </w:rPr>
      </w:pPr>
      <w:r>
        <w:rPr>
          <w:b/>
          <w:noProof/>
        </w:rPr>
        <w:t>The possible impact of various new measures in the area of family policies for disadvantaged people is not clear yet, due to their sequencing and timing issues.</w:t>
      </w:r>
      <w:r>
        <w:rPr>
          <w:noProof/>
        </w:rPr>
        <w:t xml:space="preserve"> The family allowances reform came into force in August 2016.</w:t>
      </w:r>
      <w:r>
        <w:rPr>
          <w:noProof/>
        </w:rPr>
        <w:t xml:space="preserve"> For new cases, families will receive the same allowance for each child (before, the allowance per child increased for the second and subsequent children), which represents a potential lowered support for larger families in the future. (</w:t>
      </w:r>
      <w:r>
        <w:rPr>
          <w:noProof/>
          <w:vertAlign w:val="superscript"/>
        </w:rPr>
        <w:footnoteReference w:id="51"/>
      </w:r>
      <w:r>
        <w:rPr>
          <w:noProof/>
        </w:rPr>
        <w:t>) The education al</w:t>
      </w:r>
      <w:r>
        <w:rPr>
          <w:noProof/>
        </w:rPr>
        <w:t>lowance was abolished in June 2015, but the reform of the parental leave system came into force in December 2016 (</w:t>
      </w:r>
      <w:r>
        <w:rPr>
          <w:noProof/>
          <w:vertAlign w:val="superscript"/>
        </w:rPr>
        <w:footnoteReference w:id="52"/>
      </w:r>
      <w:r>
        <w:rPr>
          <w:noProof/>
        </w:rPr>
        <w:t>), making it more flexible and accessible for people with precarious jobs. Another act under preparation, concerning the regular adaptation o</w:t>
      </w:r>
      <w:r>
        <w:rPr>
          <w:noProof/>
        </w:rPr>
        <w:t>f different family allowances to the evolution of the median wage, will show its effects only in 2018.</w:t>
      </w:r>
    </w:p>
    <w:p w:rsidR="002A43CB" w:rsidRDefault="002A43CB">
      <w:pPr>
        <w:rPr>
          <w:noProof/>
        </w:rPr>
      </w:pPr>
    </w:p>
    <w:p w:rsidR="002A43CB" w:rsidRDefault="002A43CB">
      <w:pPr>
        <w:rPr>
          <w:noProof/>
        </w:rPr>
        <w:sectPr w:rsidR="002A43CB">
          <w:headerReference w:type="even" r:id="rId79"/>
          <w:headerReference w:type="default" r:id="rId80"/>
          <w:footerReference w:type="even" r:id="rId81"/>
          <w:footerReference w:type="default" r:id="rId82"/>
          <w:headerReference w:type="first" r:id="rId83"/>
          <w:footerReference w:type="first" r:id="rId8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A43CB" w:rsidRDefault="0048172E">
      <w:pPr>
        <w:pStyle w:val="SectionTitleFramed7"/>
        <w:framePr w:wrap="notBeside"/>
        <w:rPr>
          <w:noProof/>
        </w:rPr>
      </w:pPr>
      <w:bookmarkStart w:id="47" w:name="_Toc474829374"/>
      <w:bookmarkStart w:id="48" w:name="_Toc468961023"/>
      <w:bookmarkEnd w:id="47"/>
      <w:r>
        <w:rPr>
          <w:noProof/>
        </w:rPr>
        <w:t>3.4. Investment</w:t>
      </w:r>
    </w:p>
    <w:p w:rsidR="002A43CB" w:rsidRDefault="0048172E">
      <w:pPr>
        <w:pStyle w:val="NumberedHeading1"/>
        <w:tabs>
          <w:tab w:val="left" w:pos="567"/>
        </w:tabs>
        <w:rPr>
          <w:noProof/>
        </w:rPr>
      </w:pPr>
      <w:r>
        <w:rPr>
          <w:noProof/>
        </w:rPr>
        <w:t>3.4.1.</w:t>
      </w:r>
      <w:r>
        <w:rPr>
          <w:noProof/>
        </w:rPr>
        <w:tab/>
        <w:t>Diversification policies</w:t>
      </w:r>
      <w:bookmarkEnd w:id="48"/>
      <w:r>
        <w:rPr>
          <w:noProof/>
        </w:rPr>
        <w:t xml:space="preserve"> </w:t>
      </w:r>
    </w:p>
    <w:p w:rsidR="002A43CB" w:rsidRDefault="0048172E">
      <w:pPr>
        <w:rPr>
          <w:noProof/>
        </w:rPr>
      </w:pPr>
      <w:r>
        <w:rPr>
          <w:b/>
          <w:noProof/>
        </w:rPr>
        <w:t>Reducing the economy's reliance on the financial sector remains a central long-term challenge.</w:t>
      </w:r>
      <w:r>
        <w:rPr>
          <w:noProof/>
        </w:rPr>
        <w:t xml:space="preserve"> As highlighted last year, the relatively large weight in the economy of this secto</w:t>
      </w:r>
      <w:r>
        <w:rPr>
          <w:noProof/>
        </w:rPr>
        <w:t>r is a risk factor (European Commission, 2016a). Diversification towards high value-added emerging activities remains a major challenge for the economic sustainability and development of Luxembourg. Given its technological development and high labour costs</w:t>
      </w:r>
      <w:r>
        <w:rPr>
          <w:noProof/>
        </w:rPr>
        <w:t>, Luxembourg's comparative advantage is likely to lie in sectors with high added value and high-skilled activities. Activities in these sectors tend to be technology- and knowledge-intensive. Areas identified as most promising are Information and Communica</w:t>
      </w:r>
      <w:r>
        <w:rPr>
          <w:noProof/>
        </w:rPr>
        <w:t>tion Technologies (ICT) (see Box 3.4.1), materials (composites), space and logistics. (</w:t>
      </w:r>
      <w:r>
        <w:rPr>
          <w:noProof/>
          <w:vertAlign w:val="superscript"/>
        </w:rPr>
        <w:footnoteReference w:id="53"/>
      </w:r>
      <w:r>
        <w:rPr>
          <w:noProof/>
        </w:rPr>
        <w:t>) The successful diversification of the economy will partly depend on efforts to strengthen investment in innovation and knowledge-based capital (KBC).</w:t>
      </w:r>
    </w:p>
    <w:p w:rsidR="002A43CB" w:rsidRDefault="0048172E">
      <w:pPr>
        <w:rPr>
          <w:noProof/>
        </w:rPr>
      </w:pPr>
      <w:r>
        <w:rPr>
          <w:b/>
          <w:noProof/>
        </w:rPr>
        <w:t>Luxembourg is pu</w:t>
      </w:r>
      <w:r>
        <w:rPr>
          <w:b/>
          <w:noProof/>
        </w:rPr>
        <w:t>rsuing a transition towards a new industrial model.</w:t>
      </w:r>
      <w:r>
        <w:rPr>
          <w:noProof/>
        </w:rPr>
        <w:t xml:space="preserve"> A strategic study on 'the third industrial revolution' commissioned by the government was released last November. The study encourages the transition to a new industrial model based on the convergence of </w:t>
      </w:r>
      <w:r>
        <w:rPr>
          <w:noProof/>
        </w:rPr>
        <w:t>ICT, renewable energy and new transport modes(</w:t>
      </w:r>
      <w:r>
        <w:rPr>
          <w:noProof/>
          <w:vertAlign w:val="superscript"/>
        </w:rPr>
        <w:footnoteReference w:id="54"/>
      </w:r>
      <w:r>
        <w:rPr>
          <w:noProof/>
        </w:rPr>
        <w:t>).Targeted areas include increasing energy efficiency, developing a high performance computing infrastructure, as well as setting up technology platforms for co-located industry and university researchers work</w:t>
      </w:r>
      <w:r>
        <w:rPr>
          <w:noProof/>
        </w:rPr>
        <w:t>ing on common transversal issues. The study will now be subject to a consultation with the relevant institutions. A national committee under the responsibility of the Minister for the Economy has been set up to coordinate the implementation of the measures</w:t>
      </w:r>
      <w:r>
        <w:rPr>
          <w:noProof/>
        </w:rPr>
        <w:t>, some of which have already received the endorsement of the government. The effective impact on diversification will depend on the specific measures to be implemented.</w:t>
      </w:r>
    </w:p>
    <w:p w:rsidR="002A43CB" w:rsidRDefault="0048172E">
      <w:pPr>
        <w:rPr>
          <w:noProof/>
        </w:rPr>
      </w:pPr>
      <w:r>
        <w:rPr>
          <w:b/>
          <w:noProof/>
        </w:rPr>
        <w:t>The low level of investment in intangible capital may have had a negative impact on tot</w:t>
      </w:r>
      <w:r>
        <w:rPr>
          <w:b/>
          <w:noProof/>
        </w:rPr>
        <w:t>al factor productivity (TFP).</w:t>
      </w:r>
      <w:r>
        <w:rPr>
          <w:noProof/>
        </w:rPr>
        <w:t xml:space="preserve"> Despite their relative resilience during the crisis, Luxembourg is the only Member State, with Finland and Greece, where investment in intangible capital decreased after the crisis. Investment growth in knowledge-based capital</w:t>
      </w:r>
      <w:r>
        <w:rPr>
          <w:noProof/>
        </w:rPr>
        <w:t xml:space="preserve"> (KBC) (</w:t>
      </w:r>
      <w:r>
        <w:rPr>
          <w:noProof/>
          <w:vertAlign w:val="superscript"/>
        </w:rPr>
        <w:footnoteReference w:id="55"/>
      </w:r>
      <w:r>
        <w:rPr>
          <w:noProof/>
        </w:rPr>
        <w:t xml:space="preserve">) has also significantly slowed down. This raises concerns because such investment is an important driver of productivity and growth (Corrado et al., 2012) as it usually underpins innovations and their subsequent adoption. The decline may suggest </w:t>
      </w:r>
      <w:r>
        <w:rPr>
          <w:noProof/>
        </w:rPr>
        <w:t>a slowdown in innovation performance detrimental to total factor productivity growth.</w:t>
      </w:r>
    </w:p>
    <w:p w:rsidR="002A43CB" w:rsidRDefault="0048172E">
      <w:pPr>
        <w:rPr>
          <w:noProof/>
        </w:rPr>
      </w:pPr>
      <w:r>
        <w:rPr>
          <w:b/>
          <w:noProof/>
        </w:rPr>
        <w:t>The sharp decrease in business expenditure on research and development (R&amp;D), a key type of intangible investments, is a matter of particular concern.</w:t>
      </w:r>
      <w:r>
        <w:rPr>
          <w:noProof/>
        </w:rPr>
        <w:t xml:space="preserve"> Public R&amp;D intensit</w:t>
      </w:r>
      <w:r>
        <w:rPr>
          <w:noProof/>
        </w:rPr>
        <w:t xml:space="preserve">y increased fivefold between 2000 and 2015, but business R&amp;D intensity dropped in the same period from 1.5 % of GDP to 0.7 %. </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keepNext/>
              <w:rPr>
                <w:noProof/>
              </w:rPr>
            </w:pPr>
            <w:bookmarkStart w:id="49" w:name="_Toc474676078"/>
            <w:bookmarkEnd w:id="49"/>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Pr>
        <w:tc>
          <w:tcPr>
            <w:tcW w:w="8505" w:type="dxa"/>
            <w:shd w:val="clear" w:color="auto" w:fill="F7FCFF"/>
          </w:tcPr>
          <w:p w:rsidR="002A43CB" w:rsidRDefault="0048172E">
            <w:pPr>
              <w:pStyle w:val="BoxShape"/>
              <w:rPr>
                <w:noProof/>
                <w:sz w:val="2"/>
              </w:rPr>
            </w:pPr>
            <w:r>
              <w:rPr>
                <w:noProof/>
                <w:sz w:val="2"/>
                <w:lang w:eastAsia="en-GB"/>
              </w:rPr>
              <w:drawing>
                <wp:inline distT="0" distB="0" distL="0" distR="0" wp14:anchorId="2A26A3D6" wp14:editId="276819E4">
                  <wp:extent cx="5040929" cy="3788161"/>
                  <wp:effectExtent l="0" t="0" r="7620" b="3175"/>
                  <wp:docPr id="38" name="Picture 38" descr="&lt;_DISABLED_nbr_DISABLED_&gt;3.4.1&lt;/nbr&gt;&#10;&lt;title&gt;Analysis of the ICT sector.&lt;/title&gt;&#10;&lt;_DISABLED_id_DISABLED_&gt;065c4e2e-2957-4fa2-b083-cfb7c7d5fee9&lt;/id&gt;&#10;&lt;srcType&gt;WORD&lt;/srcType&gt;&#10;&lt;srcPath&gt;O:\2017 CRs\16 LU\16_Luxembourg_CR\Graphs,Tables and Boxes\Chapter 3-4 - Investment\&lt;/srcPath&gt;&#10;&lt;srcName&gt;Box Analysis of the ICT sector.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31T11:47:4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40929" cy="3788161"/>
                          </a:xfrm>
                          <a:prstGeom prst="rect">
                            <a:avLst/>
                          </a:prstGeom>
                          <a:noFill/>
                          <a:ln>
                            <a:noFill/>
                          </a:ln>
                        </pic:spPr>
                      </pic:pic>
                    </a:graphicData>
                  </a:graphic>
                </wp:inline>
              </w:drawing>
            </w: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rPr>
                <w:noProof/>
              </w:rPr>
            </w:pPr>
          </w:p>
        </w:tc>
      </w:tr>
    </w:tbl>
    <w:p w:rsidR="002A43CB" w:rsidRDefault="0048172E">
      <w:pPr>
        <w:rPr>
          <w:noProof/>
        </w:rPr>
      </w:pPr>
      <w:r>
        <w:rPr>
          <w:b/>
          <w:noProof/>
        </w:rPr>
        <w:t>The decline in the productivity of the financial services sector remains a drag.</w:t>
      </w:r>
      <w:r>
        <w:rPr>
          <w:noProof/>
        </w:rPr>
        <w:t xml:space="preserve"> Like in most Member States, labour productivity growth has declined after the crisis. However, in contrast to its neighbouring countries, Luxembourg has not yet reached its 2007 level. (</w:t>
      </w:r>
      <w:r>
        <w:rPr>
          <w:noProof/>
          <w:vertAlign w:val="superscript"/>
        </w:rPr>
        <w:footnoteReference w:id="56"/>
      </w:r>
      <w:r>
        <w:rPr>
          <w:noProof/>
        </w:rPr>
        <w:t xml:space="preserve">)  After being strong in 2015, labour productivity growth is set to </w:t>
      </w:r>
      <w:r>
        <w:rPr>
          <w:noProof/>
        </w:rPr>
        <w:t>slow down again in 2016. The stagnation in the aftermath of the crisis is partly explained by the decline in the contribution of traditional growth drivers, especially the financial services sector. The latter's decline is largely due to the declining prod</w:t>
      </w:r>
      <w:r>
        <w:rPr>
          <w:noProof/>
        </w:rPr>
        <w:t xml:space="preserve">uctivity growth of the sector (the within effect) rather than to the movement of workers across sectors (cross-sectoral effect). </w:t>
      </w:r>
    </w:p>
    <w:p w:rsidR="002A43CB" w:rsidRDefault="0048172E">
      <w:pPr>
        <w:pStyle w:val="NumberedHeading1"/>
        <w:tabs>
          <w:tab w:val="left" w:pos="567"/>
        </w:tabs>
        <w:rPr>
          <w:noProof/>
        </w:rPr>
      </w:pPr>
      <w:r>
        <w:rPr>
          <w:noProof/>
        </w:rPr>
        <w:t>3.4.2.</w:t>
      </w:r>
      <w:r>
        <w:rPr>
          <w:noProof/>
        </w:rPr>
        <w:tab/>
        <w:t>The Circular economy</w:t>
      </w:r>
    </w:p>
    <w:p w:rsidR="002A43CB" w:rsidRDefault="0048172E">
      <w:pPr>
        <w:rPr>
          <w:noProof/>
        </w:rPr>
      </w:pPr>
      <w:r>
        <w:rPr>
          <w:b/>
          <w:noProof/>
        </w:rPr>
        <w:t>Over the past few years Luxembourg has increased its focus on the circular economy as a way of div</w:t>
      </w:r>
      <w:r>
        <w:rPr>
          <w:b/>
          <w:noProof/>
        </w:rPr>
        <w:t>ersifying economic activities and promoting competitiveness</w:t>
      </w:r>
      <w:r>
        <w:rPr>
          <w:noProof/>
        </w:rPr>
        <w:t>. In the context of the government diversification strategy, an eco-Innovation cluster was created. An inter-ministerial committee was set up in 2015 to bring together public actors and broaden con</w:t>
      </w:r>
      <w:r>
        <w:rPr>
          <w:noProof/>
        </w:rPr>
        <w:t xml:space="preserve">sensus on the circular economy. The strategy builds on the national commitment to a sustainable development model (see Box </w:t>
      </w:r>
      <w:r>
        <w:rPr>
          <w:noProof/>
        </w:rPr>
        <w:fldChar w:fldCharType="begin"/>
      </w:r>
      <w:r>
        <w:rPr>
          <w:noProof/>
        </w:rPr>
        <w:instrText xml:space="preserve"> QUOTE "3.4.2"</w:instrText>
      </w:r>
      <w:r>
        <w:rPr>
          <w:noProof/>
        </w:rPr>
        <w:fldChar w:fldCharType="begin">
          <w:fldData xml:space="preserve">QwBSAE8AUwBTAFIARQBGAEUAUgBFAE4AQwBFACoAQgBPAFgAKgA2AGYAMQBhADUAZQA3AGQALQAw
ADIANAA1AC0ANAA2ADEAMgAtADgAOAAxADMALQBhAGMAMQA5AGEANgA3ADcAOAA3AGMANgA=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 A dedica</w:t>
      </w:r>
      <w:r>
        <w:rPr>
          <w:noProof/>
        </w:rPr>
        <w:t>ted financial support scheme has been started for companies willing to develop a circular economy strategy. While the circular economy is gaining momentum within the government and the private sector, some barriers hamper further developments (Eco-Innovati</w:t>
      </w:r>
      <w:r>
        <w:rPr>
          <w:noProof/>
        </w:rPr>
        <w:t xml:space="preserve">on Observatory, 2015, page 11-12). </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keepNext/>
              <w:rPr>
                <w:noProof/>
              </w:rPr>
            </w:pPr>
            <w:bookmarkStart w:id="50" w:name="_Toc474676079"/>
            <w:bookmarkEnd w:id="50"/>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Pr>
        <w:tc>
          <w:tcPr>
            <w:tcW w:w="8505" w:type="dxa"/>
            <w:shd w:val="clear" w:color="auto" w:fill="F7FCFF"/>
          </w:tcPr>
          <w:p w:rsidR="002A43CB" w:rsidRDefault="0048172E">
            <w:pPr>
              <w:pStyle w:val="BoxShape"/>
              <w:rPr>
                <w:noProof/>
                <w:sz w:val="2"/>
              </w:rPr>
            </w:pPr>
            <w:r>
              <w:rPr>
                <w:noProof/>
                <w:sz w:val="2"/>
                <w:lang w:eastAsia="en-GB"/>
              </w:rPr>
              <w:drawing>
                <wp:inline distT="0" distB="0" distL="0" distR="0" wp14:anchorId="5FB60ECD" wp14:editId="6662B98B">
                  <wp:extent cx="5040929" cy="2825715"/>
                  <wp:effectExtent l="0" t="0" r="7620" b="0"/>
                  <wp:docPr id="39" name="Picture 39" descr="&lt;_DISABLED_nbr_DISABLED_&gt;3.4.2&lt;/nbr&gt;&#10;&lt;title&gt;Renewable energy and energy efficiency&lt;/title&gt;&#10;&lt;_DISABLED_id_DISABLED_&gt;6f1a5e7d-0245-4612-8813-ac19a67787c6&lt;/id&gt;&#10;&lt;srcType&gt;WORD&lt;/srcType&gt;&#10;&lt;srcPath&gt;O:\2017 CRs\16 LU\16_Luxembourg_CR\Graphs,Tables and Boxes\Chapter 3-4 - Investment\&lt;/srcPath&gt;&#10;&lt;srcName&gt;Box Energy.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31T15:32:5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040929" cy="2825715"/>
                          </a:xfrm>
                          <a:prstGeom prst="rect">
                            <a:avLst/>
                          </a:prstGeom>
                          <a:noFill/>
                          <a:ln>
                            <a:noFill/>
                          </a:ln>
                        </pic:spPr>
                      </pic:pic>
                    </a:graphicData>
                  </a:graphic>
                </wp:inline>
              </w:drawing>
            </w: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rPr>
                <w:noProof/>
              </w:rPr>
            </w:pPr>
          </w:p>
        </w:tc>
      </w:tr>
    </w:tbl>
    <w:p w:rsidR="002A43CB" w:rsidRDefault="0048172E">
      <w:pPr>
        <w:pStyle w:val="NumberedHeading1"/>
        <w:tabs>
          <w:tab w:val="left" w:pos="567"/>
        </w:tabs>
        <w:rPr>
          <w:noProof/>
        </w:rPr>
      </w:pPr>
      <w:bookmarkStart w:id="51" w:name="_Toc468961024"/>
      <w:r>
        <w:rPr>
          <w:noProof/>
        </w:rPr>
        <w:t>3.4.3.</w:t>
      </w:r>
      <w:r>
        <w:rPr>
          <w:noProof/>
        </w:rPr>
        <w:tab/>
        <w:t>Labour cost developments</w:t>
      </w:r>
      <w:bookmarkEnd w:id="51"/>
    </w:p>
    <w:p w:rsidR="002A43CB" w:rsidRDefault="0048172E">
      <w:pPr>
        <w:rPr>
          <w:noProof/>
        </w:rPr>
      </w:pPr>
      <w:r>
        <w:rPr>
          <w:b/>
          <w:noProof/>
        </w:rPr>
        <w:t>Wages and labour costs have increased in line with productivity developments since 2013.</w:t>
      </w:r>
      <w:r>
        <w:rPr>
          <w:noProof/>
        </w:rPr>
        <w:t xml:space="preserve"> The subdued wage developments recorded since 2013 have helped reverse the deterioration in cost competitiveness accumulated over the past decade (European Commission, 2016a). A very small increase in nominal unit labour costs of 0.3% was recorded in 2015,</w:t>
      </w:r>
      <w:r>
        <w:rPr>
          <w:noProof/>
        </w:rPr>
        <w:t xml:space="preserve"> and unit labour cost developments are expected to be minor in 2016. Looking at wage developments in real terms, over the years 2013-2015, wage growth lagged behind productivity growth, as in most Member states. The decrease in wage growth was also driven </w:t>
      </w:r>
      <w:r>
        <w:rPr>
          <w:noProof/>
        </w:rPr>
        <w:t>by a modulation in the automatic wage indexation, limiting the frequency of indexation between 2012 and 2014, since at least 12 months should have to elapse between two consecutive indexation steps of 2.5 %. Luxembourg returned to automatic wage indexation</w:t>
      </w:r>
      <w:r>
        <w:rPr>
          <w:noProof/>
        </w:rPr>
        <w:t xml:space="preserve"> in 2015. The temporary modulation of the automatic wage indexation decided in December 2011 for the period 2012-2014 came to an end in 2014. Given sluggish consumer prices and plummeting oil prices, the next automatic wage indexation was triggered only at</w:t>
      </w:r>
      <w:r>
        <w:rPr>
          <w:noProof/>
        </w:rPr>
        <w:t xml:space="preserve"> the beginning of 2017, leading to a nominal wage increase of 2.5% in 2017. In addition, workers paid at minimum wage will see their overall wage increasing by 3.9% in 2017 as the social minimum wage has been increased, with effect from January 2017, by 1.</w:t>
      </w:r>
      <w:r>
        <w:rPr>
          <w:noProof/>
        </w:rPr>
        <w:t>4% to align it with the evolution of average real wages over the period 2014-2015.(</w:t>
      </w:r>
      <w:r>
        <w:rPr>
          <w:noProof/>
          <w:vertAlign w:val="superscript"/>
        </w:rPr>
        <w:footnoteReference w:id="57"/>
      </w:r>
      <w:r>
        <w:rPr>
          <w:noProof/>
        </w:rPr>
        <w:t xml:space="preserve">) </w:t>
      </w:r>
    </w:p>
    <w:p w:rsidR="002A43CB" w:rsidRDefault="0048172E">
      <w:pPr>
        <w:pStyle w:val="NumberedHeading1"/>
        <w:tabs>
          <w:tab w:val="left" w:pos="567"/>
        </w:tabs>
        <w:rPr>
          <w:noProof/>
        </w:rPr>
      </w:pPr>
      <w:bookmarkStart w:id="52" w:name="_Toc468961025"/>
      <w:r>
        <w:rPr>
          <w:noProof/>
        </w:rPr>
        <w:t>3.4.4.</w:t>
      </w:r>
      <w:r>
        <w:rPr>
          <w:noProof/>
        </w:rPr>
        <w:tab/>
        <w:t>Business environment (business services and retail sector)</w:t>
      </w:r>
      <w:bookmarkEnd w:id="52"/>
    </w:p>
    <w:p w:rsidR="002A43CB" w:rsidRDefault="0048172E">
      <w:pPr>
        <w:pStyle w:val="Heading"/>
        <w:rPr>
          <w:noProof/>
        </w:rPr>
      </w:pPr>
      <w:r>
        <w:rPr>
          <w:noProof/>
        </w:rPr>
        <w:t xml:space="preserve">Business environment </w:t>
      </w:r>
    </w:p>
    <w:p w:rsidR="002A43CB" w:rsidRDefault="0048172E">
      <w:pPr>
        <w:rPr>
          <w:noProof/>
        </w:rPr>
      </w:pPr>
      <w:r>
        <w:rPr>
          <w:b/>
          <w:noProof/>
        </w:rPr>
        <w:t xml:space="preserve">Little progress has been made in enhancing the business environment in recent </w:t>
      </w:r>
      <w:r>
        <w:rPr>
          <w:b/>
          <w:noProof/>
        </w:rPr>
        <w:t>years.</w:t>
      </w:r>
      <w:r>
        <w:rPr>
          <w:noProof/>
        </w:rPr>
        <w:t xml:space="preserve"> According to the World Bank, Luxembourg ranks low in terms of ease of doing businesses (see Graph </w:t>
      </w:r>
      <w:r>
        <w:rPr>
          <w:noProof/>
        </w:rPr>
        <w:fldChar w:fldCharType="begin"/>
      </w:r>
      <w:r>
        <w:rPr>
          <w:noProof/>
        </w:rPr>
        <w:instrText xml:space="preserve"> QUOTE "3.4.1"</w:instrText>
      </w:r>
      <w:r>
        <w:rPr>
          <w:noProof/>
        </w:rPr>
        <w:fldChar w:fldCharType="begin">
          <w:fldData xml:space="preserve">QwBSAE8AUwBTAFIARQBGAEUAUgBFAE4AQwBFACoARwBSAEEAUABIACoAOQA1AGYAZQBlAGMAYwA0
AC0AZQBhAGIAYwAtADQAYgA5ADIALQA5ADUANwBmAC0AYQBhADEANQAxAGIANAAzADkAOAAzADAA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w:t>
      </w:r>
      <w:r>
        <w:rPr>
          <w:noProof/>
          <w:vertAlign w:val="superscript"/>
        </w:rPr>
        <w:footnoteReference w:id="58"/>
      </w:r>
      <w:r>
        <w:rPr>
          <w:noProof/>
        </w:rPr>
        <w:t>) This results from Lux</w:t>
      </w:r>
      <w:r>
        <w:rPr>
          <w:noProof/>
        </w:rPr>
        <w:t>embourg trailing other Member States in getting credit, protecting investors, and resolving insolvency. Other survey data sometimes yields different results from the data of the World Bank (Observatoire de la Compétitivité, 2016; Eurobarometer) (</w:t>
      </w:r>
      <w:r>
        <w:rPr>
          <w:noProof/>
          <w:vertAlign w:val="superscript"/>
        </w:rPr>
        <w:footnoteReference w:id="59"/>
      </w:r>
      <w:r>
        <w:rPr>
          <w:noProof/>
        </w:rPr>
        <w:t>). Nevert</w:t>
      </w:r>
      <w:r>
        <w:rPr>
          <w:noProof/>
        </w:rPr>
        <w:t>heless, there have been relatively few reforms to enhance the business environment in recent years.</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3.4.1:</w:t>
            </w:r>
            <w:r>
              <w:rPr>
                <w:b/>
                <w:noProof/>
              </w:rPr>
              <w:tab/>
              <w:t>Ease of doing business according to the World Bank, number of reforms 2010-2016</w:t>
            </w:r>
          </w:p>
        </w:tc>
      </w:tr>
      <w:tr w:rsidR="002A43CB">
        <w:trPr>
          <w:cantSplit/>
        </w:trPr>
        <w:tc>
          <w:tcPr>
            <w:tcW w:w="4110" w:type="dxa"/>
            <w:shd w:val="clear" w:color="auto" w:fill="auto"/>
          </w:tcPr>
          <w:p w:rsidR="002A43CB" w:rsidRDefault="0048172E">
            <w:pPr>
              <w:pStyle w:val="GraphShape"/>
              <w:rPr>
                <w:noProof/>
                <w:sz w:val="2"/>
              </w:rPr>
            </w:pPr>
            <w:bookmarkStart w:id="53" w:name="_Toc474676072"/>
            <w:bookmarkEnd w:id="53"/>
            <w:r>
              <w:rPr>
                <w:noProof/>
                <w:sz w:val="2"/>
                <w:lang w:eastAsia="en-GB"/>
              </w:rPr>
              <w:drawing>
                <wp:inline distT="0" distB="0" distL="0" distR="0" wp14:anchorId="7474F8FD" wp14:editId="4680E68A">
                  <wp:extent cx="2597595" cy="1336700"/>
                  <wp:effectExtent l="0" t="0" r="0" b="0"/>
                  <wp:docPr id="10" name="Picture 10" descr="&lt;_DISABLED_nbr_DISABLED_&gt;&lt;GETTEXTFROMWORD&gt;&lt;/nbr&gt;&#10;&lt;title&gt;&lt;GETTEXTFROMWORD&gt;&lt;/title&gt;&#10;&lt;_DISABLED_id_DISABLED_&gt;95feecc4-eabc-4b92-957f-aa151b439830&lt;/id&gt;&#10;&lt;srcType&gt;EXCEL&lt;/srcType&gt;&#10;&lt;srcPath&gt;O:\2017 CRs\16 LU\16_Luxembourg_CR\Graphs,Tables and Boxes\Chapter 3-4 - Investment\&lt;/srcPath&gt;&#10;&lt;srcName&gt;New DTF graph.xlsx&lt;/srcName&gt;&#10;&lt;type&gt;graph&lt;/type&gt;&#10; &lt;srcSheet&gt;expo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3T10:10: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1336700"/>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Footnote"/>
              <w:keepNext/>
              <w:rPr>
                <w:noProof/>
              </w:rPr>
            </w:pPr>
            <w:r>
              <w:rPr>
                <w:noProof/>
              </w:rPr>
              <w:t>The vertical segment indicates the variation in the indicat</w:t>
            </w:r>
            <w:r>
              <w:rPr>
                <w:noProof/>
              </w:rPr>
              <w:t xml:space="preserve">or between 2010 and 2016 (or the mentioned period in the following graphs) with the upper and minimum levels reached during the period. The distance to frontier (DTF) is reflected on a scale from 0 to 100, where 0 represents the lowest performance and 100 </w:t>
            </w:r>
            <w:r>
              <w:rPr>
                <w:noProof/>
              </w:rPr>
              <w:t>represents the frontier.</w:t>
            </w:r>
          </w:p>
          <w:p w:rsidR="002A43CB" w:rsidRDefault="0048172E">
            <w:pPr>
              <w:pStyle w:val="GraphSource"/>
              <w:keepNext/>
              <w:rPr>
                <w:noProof/>
              </w:rPr>
            </w:pPr>
            <w:r>
              <w:rPr>
                <w:b/>
                <w:i/>
                <w:noProof/>
              </w:rPr>
              <w:t>Source:</w:t>
            </w:r>
            <w:r>
              <w:rPr>
                <w:noProof/>
              </w:rPr>
              <w:t xml:space="preserve"> World Bank, Doing Business Database.</w:t>
            </w:r>
            <w:r>
              <w:rPr>
                <w:noProof/>
              </w:rPr>
              <w:br/>
            </w:r>
          </w:p>
        </w:tc>
      </w:tr>
    </w:tbl>
    <w:p w:rsidR="002A43CB" w:rsidRDefault="0048172E">
      <w:pPr>
        <w:rPr>
          <w:noProof/>
        </w:rPr>
      </w:pPr>
      <w:r>
        <w:rPr>
          <w:b/>
          <w:noProof/>
        </w:rPr>
        <w:t>Luxembourg is showing improvement, but</w:t>
      </w:r>
      <w:r>
        <w:rPr>
          <w:noProof/>
        </w:rPr>
        <w:t xml:space="preserve"> entrepreneurship is still not a preferred career choice. Early stage entrepreneurship is back on track, with around 50% more people engaged in new businesses than elsewhere in the EU, on average. However, there is still a low rate of established businesse</w:t>
      </w:r>
      <w:r>
        <w:rPr>
          <w:noProof/>
        </w:rPr>
        <w:t>s (half the EU average). Transferring property requires considerably more resources than the EU average. Businesses in Luxembourg also have twice the number of tax payment transactions to do than their peers on average. The Chamber of Commerce has publishe</w:t>
      </w:r>
      <w:r>
        <w:rPr>
          <w:noProof/>
        </w:rPr>
        <w:t>d a guide on transferring of businesses to provide entrepreneurs with practical information on transferring and taking over companies. Efforts have been made to provide a more responsive administration with better online access for small and medium-sized e</w:t>
      </w:r>
      <w:r>
        <w:rPr>
          <w:noProof/>
        </w:rPr>
        <w:t>nterprises (SMEs). (</w:t>
      </w:r>
      <w:r>
        <w:rPr>
          <w:noProof/>
          <w:vertAlign w:val="superscript"/>
        </w:rPr>
        <w:footnoteReference w:id="60"/>
      </w:r>
      <w:r>
        <w:rPr>
          <w:noProof/>
        </w:rPr>
        <w:t>)  Much has also been done to reduce administrative response times for different procedures. Measures have also been taken to digitalise administrative procedures, (</w:t>
      </w:r>
      <w:r>
        <w:rPr>
          <w:noProof/>
          <w:vertAlign w:val="superscript"/>
        </w:rPr>
        <w:footnoteReference w:id="61"/>
      </w:r>
      <w:r>
        <w:rPr>
          <w:noProof/>
        </w:rPr>
        <w:t xml:space="preserve">) accelerate administrative simplification (Box </w:t>
      </w:r>
      <w:r>
        <w:rPr>
          <w:noProof/>
        </w:rPr>
        <w:fldChar w:fldCharType="begin"/>
      </w:r>
      <w:r>
        <w:rPr>
          <w:noProof/>
        </w:rPr>
        <w:instrText xml:space="preserve"> QUOTE "3.4.3"</w:instrText>
      </w:r>
      <w:r>
        <w:rPr>
          <w:noProof/>
        </w:rPr>
        <w:fldChar w:fldCharType="begin">
          <w:fldData xml:space="preserve">QwBSAE8AUwBTAFIARQBGAEUAUgBFAE4AQwBFACoAQgBPAFgAKgBjAGEAYwA2ADAANAAxADAALQA0
ADcAMwAwAC0ANAAzAGYAZgAtAGIAZgA1ADYALQAxAGIAOABhADEAMQBhAGIAYgAwADEAOQA=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3.4.3</w:t>
      </w:r>
      <w:r>
        <w:rPr>
          <w:noProof/>
        </w:rPr>
        <w:fldChar w:fldCharType="end"/>
      </w:r>
      <w:r>
        <w:rPr>
          <w:noProof/>
        </w:rPr>
        <w:t>), (</w:t>
      </w:r>
      <w:r>
        <w:rPr>
          <w:noProof/>
          <w:vertAlign w:val="superscript"/>
        </w:rPr>
        <w:footnoteReference w:id="62"/>
      </w:r>
      <w:r>
        <w:rPr>
          <w:noProof/>
        </w:rPr>
        <w:t>) and simplify the legal and regulatory system for SMEs. (</w:t>
      </w:r>
      <w:r>
        <w:rPr>
          <w:noProof/>
          <w:vertAlign w:val="superscript"/>
        </w:rPr>
        <w:footnoteReference w:id="63"/>
      </w:r>
      <w:r>
        <w:rPr>
          <w:noProof/>
        </w:rPr>
        <w:t xml:space="preserve">) </w:t>
      </w:r>
    </w:p>
    <w:p w:rsidR="002A43CB" w:rsidRDefault="0048172E">
      <w:pPr>
        <w:rPr>
          <w:noProof/>
        </w:rPr>
      </w:pPr>
      <w:r>
        <w:rPr>
          <w:b/>
          <w:noProof/>
        </w:rPr>
        <w:t>Businesses are engaged in innovation, although business R&amp;D expenditure remains low.</w:t>
      </w:r>
      <w:r>
        <w:rPr>
          <w:noProof/>
        </w:rPr>
        <w:t xml:space="preserve"> Lux</w:t>
      </w:r>
      <w:r>
        <w:rPr>
          <w:noProof/>
        </w:rPr>
        <w:t>embourg's SMEs are overall more innovative than their EU peers. However, private R&amp;D investments and non-R&amp;D innovation expenditures (</w:t>
      </w:r>
      <w:r>
        <w:rPr>
          <w:noProof/>
          <w:vertAlign w:val="superscript"/>
        </w:rPr>
        <w:footnoteReference w:id="64"/>
      </w:r>
      <w:r>
        <w:rPr>
          <w:noProof/>
        </w:rPr>
        <w:t xml:space="preserve">) are below the EU-average. Luxembourg SMEs also lag behind their peers in terms of the commercialisation of innovation, </w:t>
      </w:r>
      <w:r>
        <w:rPr>
          <w:noProof/>
        </w:rPr>
        <w:t>especially on-line. The government has launched a comprehensive range of measures to encourage the creation of innovative start-ups. It is also taking action to raise the SME community's awareness through initiatives such as the 'Pakt Pro-Commerce' (see be</w:t>
      </w:r>
      <w:r>
        <w:rPr>
          <w:noProof/>
        </w:rPr>
        <w:t xml:space="preserve">low). </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rPr>
                <w:noProof/>
              </w:rPr>
            </w:pPr>
          </w:p>
        </w:tc>
      </w:tr>
    </w:tbl>
    <w:p w:rsidR="002A43CB" w:rsidRDefault="0048172E">
      <w:pPr>
        <w:pStyle w:val="Heading"/>
        <w:rPr>
          <w:noProof/>
        </w:rPr>
      </w:pPr>
      <w:r>
        <w:rPr>
          <w:noProof/>
        </w:rPr>
        <w:t>Competition in product and services markets</w:t>
      </w:r>
    </w:p>
    <w:p w:rsidR="002A43CB" w:rsidRDefault="0048172E">
      <w:pPr>
        <w:rPr>
          <w:noProof/>
        </w:rPr>
      </w:pPr>
      <w:r>
        <w:rPr>
          <w:b/>
          <w:noProof/>
        </w:rPr>
        <w:t>The functioning of services markets is critical for the cost competitiveness of the economy</w:t>
      </w:r>
      <w:r>
        <w:rPr>
          <w:noProof/>
        </w:rPr>
        <w:t xml:space="preserve">. The cost competitiveness of Luxembourg's economy deteriorated in the last decade, partly because unit labour </w:t>
      </w:r>
      <w:r>
        <w:rPr>
          <w:noProof/>
        </w:rPr>
        <w:t>costs (ULC) increased twice as much as in the euro area and four times as much as in Germany. The proportion of labour cost is relatively low however. (</w:t>
      </w:r>
      <w:r>
        <w:rPr>
          <w:noProof/>
          <w:vertAlign w:val="superscript"/>
        </w:rPr>
        <w:footnoteReference w:id="65"/>
      </w:r>
      <w:r>
        <w:rPr>
          <w:noProof/>
        </w:rPr>
        <w:t>) In contrast, the proportion of cost that is due to intermediate inputs from the services sector (60 %</w:t>
      </w:r>
      <w:r>
        <w:rPr>
          <w:noProof/>
        </w:rPr>
        <w:t>) is much larger and well above the EU average (24 %), notably in the services market. Although two thirds of these services are imported, high levels of restrictiveness in services markets can harm the competitiveness of businesses in Luxembourg. These da</w:t>
      </w:r>
      <w:r>
        <w:rPr>
          <w:noProof/>
        </w:rPr>
        <w:t xml:space="preserve">ta also point to the negative spillover effects that restrictions in the services markets of neighbouring economies could have on Luxembourg's competitiveness. </w:t>
      </w:r>
    </w:p>
    <w:p w:rsidR="002A43CB" w:rsidRDefault="0048172E">
      <w:pPr>
        <w:rPr>
          <w:noProof/>
        </w:rPr>
      </w:pPr>
      <w:r>
        <w:rPr>
          <w:b/>
          <w:noProof/>
        </w:rPr>
        <w:t>High regulatory barriers remain in the business services sector</w:t>
      </w:r>
      <w:r>
        <w:rPr>
          <w:noProof/>
        </w:rPr>
        <w:t>. According to a new indicator d</w:t>
      </w:r>
      <w:r>
        <w:rPr>
          <w:noProof/>
        </w:rPr>
        <w:t>eveloped by the European Commission,(</w:t>
      </w:r>
      <w:r>
        <w:rPr>
          <w:noProof/>
          <w:vertAlign w:val="superscript"/>
        </w:rPr>
        <w:footnoteReference w:id="66"/>
      </w:r>
      <w:r>
        <w:rPr>
          <w:noProof/>
        </w:rPr>
        <w:t>) the level of restrictiveness is higher in Luxembourg than the EU-weighted average for all the professions analysed, except for the profession of patent agent where the opposite is true and for the profession of touri</w:t>
      </w:r>
      <w:r>
        <w:rPr>
          <w:noProof/>
        </w:rPr>
        <w:t xml:space="preserve">st guide, which is not regulated (see Graph </w:t>
      </w:r>
      <w:r>
        <w:rPr>
          <w:noProof/>
        </w:rPr>
        <w:fldChar w:fldCharType="begin"/>
      </w:r>
      <w:r>
        <w:rPr>
          <w:noProof/>
        </w:rPr>
        <w:instrText xml:space="preserve"> QUOTE "3.4.2"</w:instrText>
      </w:r>
      <w:r>
        <w:rPr>
          <w:noProof/>
        </w:rPr>
        <w:fldChar w:fldCharType="begin">
          <w:fldData xml:space="preserve">QwBSAE8AUwBTAFIARQBGAEUAUgBFAE4AQwBFACoARwBSAEEAUABIACoANQA5AGIAYwA1ADkAMQA2
AC0AOQBjADkANQAtADQAYQBkAGMALQBhADIAZQBkAC0ANQA5ADYANABmADcANwAyADAAZQA3ADgA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 Amongst the professions analysed, restrictiveness is highest for lawyers. For all th</w:t>
      </w:r>
      <w:r>
        <w:rPr>
          <w:noProof/>
        </w:rPr>
        <w:t>ese professions, with the exception of real estate activities, the business turnover rate (</w:t>
      </w:r>
      <w:r>
        <w:rPr>
          <w:noProof/>
          <w:vertAlign w:val="superscript"/>
        </w:rPr>
        <w:footnoteReference w:id="67"/>
      </w:r>
      <w:r>
        <w:rPr>
          <w:noProof/>
        </w:rPr>
        <w:t>)is lower than the EU average and the average rate for the overall economy. The reform implemented in 2011 showed the significant impact of further liberalising pro</w:t>
      </w:r>
      <w:r>
        <w:rPr>
          <w:noProof/>
        </w:rPr>
        <w:t>fessional services. (</w:t>
      </w:r>
      <w:r>
        <w:rPr>
          <w:noProof/>
          <w:vertAlign w:val="superscript"/>
        </w:rPr>
        <w:footnoteReference w:id="68"/>
      </w:r>
      <w:r>
        <w:rPr>
          <w:noProof/>
        </w:rPr>
        <w:t>) Over the last two years Luxembourg has made some progress mainly regarding the professions of architect and engineer. In 2015 it has removed some shareholding and voting right requirements for architects and engineers. In 2016 it de</w:t>
      </w:r>
      <w:r>
        <w:rPr>
          <w:noProof/>
        </w:rPr>
        <w:t>cided to remove the fixed tariffs in public contracts for architects and engineers. It has also announced some simplification measures for the recognition of professional qualifications, in particular for access to the teaching profession.</w:t>
      </w:r>
    </w:p>
    <w:p w:rsidR="002A43CB" w:rsidRDefault="002A43CB">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Pr>
        <w:tc>
          <w:tcPr>
            <w:tcW w:w="8505" w:type="dxa"/>
            <w:shd w:val="clear" w:color="auto" w:fill="F7FCFF"/>
          </w:tcPr>
          <w:p w:rsidR="002A43CB" w:rsidRDefault="0048172E">
            <w:pPr>
              <w:pStyle w:val="BoxShape"/>
              <w:rPr>
                <w:noProof/>
                <w:sz w:val="2"/>
              </w:rPr>
            </w:pPr>
            <w:r>
              <w:rPr>
                <w:noProof/>
                <w:sz w:val="2"/>
                <w:lang w:eastAsia="en-GB"/>
              </w:rPr>
              <w:drawing>
                <wp:inline distT="0" distB="0" distL="0" distR="0" wp14:anchorId="5A1913DF" wp14:editId="0F1C46C1">
                  <wp:extent cx="5040929" cy="3087450"/>
                  <wp:effectExtent l="0" t="0" r="7620" b="0"/>
                  <wp:docPr id="63" name="Picture 63" descr="&lt;_DISABLED_nbr_DISABLED_&gt;3.4.3&lt;/nbr&gt;&#10;&lt;title&gt;Selected highlights: National action plan to support SMEs&lt;/title&gt;&#10;&lt;_DISABLED_id_DISABLED_&gt;cac60410-4730-43ff-bf56-1b8a11abb019&lt;/id&gt;&#10;&lt;srcType&gt;WORD&lt;/srcType&gt;&#10;&lt;srcPath&gt;O:\2017 CRs\16 LU\16_Luxembourg_CR\Graphs,Tables and Boxes\Chapter 3-4 - Investment\&lt;/srcPath&gt;&#10;&lt;srcName&gt;Box on selected highlights.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1T16:55:0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040929" cy="3087450"/>
                          </a:xfrm>
                          <a:prstGeom prst="rect">
                            <a:avLst/>
                          </a:prstGeom>
                          <a:noFill/>
                          <a:ln>
                            <a:noFill/>
                          </a:ln>
                        </pic:spPr>
                      </pic:pic>
                    </a:graphicData>
                  </a:graphic>
                </wp:inline>
              </w:drawing>
            </w: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rPr>
                <w:noProof/>
              </w:rPr>
            </w:pPr>
          </w:p>
        </w:tc>
      </w:tr>
    </w:tbl>
    <w:p w:rsidR="002A43CB" w:rsidRDefault="0048172E">
      <w:pPr>
        <w:rPr>
          <w:noProof/>
        </w:rPr>
      </w:pP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3.4.2:</w:t>
            </w:r>
            <w:r>
              <w:rPr>
                <w:b/>
                <w:noProof/>
              </w:rPr>
              <w:tab/>
              <w:t>Restrictiveness indicator, 2016, Luxembourg and the EU</w:t>
            </w:r>
          </w:p>
        </w:tc>
      </w:tr>
      <w:tr w:rsidR="002A43CB">
        <w:trPr>
          <w:cantSplit/>
        </w:trPr>
        <w:tc>
          <w:tcPr>
            <w:tcW w:w="4110" w:type="dxa"/>
            <w:shd w:val="clear" w:color="auto" w:fill="auto"/>
          </w:tcPr>
          <w:p w:rsidR="002A43CB" w:rsidRDefault="0048172E">
            <w:pPr>
              <w:pStyle w:val="GraphShape"/>
              <w:rPr>
                <w:noProof/>
                <w:sz w:val="2"/>
              </w:rPr>
            </w:pPr>
            <w:bookmarkStart w:id="54" w:name="_Toc474676073"/>
            <w:bookmarkEnd w:id="54"/>
            <w:r>
              <w:rPr>
                <w:noProof/>
                <w:sz w:val="2"/>
                <w:lang w:eastAsia="en-GB"/>
              </w:rPr>
              <w:drawing>
                <wp:inline distT="0" distB="0" distL="0" distR="0" wp14:anchorId="4AD30D70" wp14:editId="1DB76BCA">
                  <wp:extent cx="2597595" cy="2441777"/>
                  <wp:effectExtent l="0" t="0" r="0" b="0"/>
                  <wp:docPr id="64" name="Picture 64" descr="&lt;_DISABLED_nbr_DISABLED_&gt;&lt;GETTEXTFROMWORD&gt;&lt;/nbr&gt;&#10;&lt;title&gt;&lt;GETTEXTFROMWORD&gt;&lt;/title&gt;&#10;&lt;_DISABLED_id_DISABLED_&gt;59bc5916-9c95-4adc-a2ed-5964f7720e78&lt;/id&gt;&#10;&lt;srcType&gt;EXCEL&lt;/srcType&gt;&#10;&lt;srcPath&gt;O:\2017 CRs\16 LU\16_Luxembourg_CR\Graphs,Tables and Boxes\Chapter 3-4 - Investment\&lt;/srcPath&gt;&#10;&lt;srcName&gt;Restrictiveness indicator 2016.xlsx&lt;/srcName&gt;&#10;&lt;type&gt;graph&lt;/type&gt;&#10; &lt;srcSheet&gt;LU&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3T10:02:3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441777"/>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Footnote"/>
              <w:keepNext/>
              <w:rPr>
                <w:noProof/>
              </w:rPr>
            </w:pPr>
            <w:r>
              <w:rPr>
                <w:noProof/>
              </w:rPr>
              <w:t>(1) Numerical values on a scale from 0 to 6 are attributed for every restriction/variable. The higher the score, the more restrictive is the assessment.</w:t>
            </w:r>
          </w:p>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High consumer prices and mark-ups point to the existence of restrictions in retail.</w:t>
      </w:r>
      <w:r>
        <w:rPr>
          <w:noProof/>
        </w:rPr>
        <w:t xml:space="preserve"> A high level of restrictiveness in the conditions for retail establishment has been linked with low levels of competition in the sector, which in turn can have a negative i</w:t>
      </w:r>
      <w:r>
        <w:rPr>
          <w:noProof/>
        </w:rPr>
        <w:t>mpact on consumer choice and price levels (European Commission, 2015). While the level of mark-ups is difficult to monitor, available evidence shows that mark-ups in Luxembourg's retail sector are the highest in the EU. Consumer prices are also among the h</w:t>
      </w:r>
      <w:r>
        <w:rPr>
          <w:noProof/>
        </w:rPr>
        <w:t xml:space="preserve">ighest. Luxembourg considers that alleged territorial supply constraints play an important role in pushing up consumer prices. A joint consultation with the Netherlands and Belgium was recently launched on the subject. The analysis of the replies received </w:t>
      </w:r>
      <w:r>
        <w:rPr>
          <w:noProof/>
        </w:rPr>
        <w:t>will take place in 2017.</w:t>
      </w:r>
    </w:p>
    <w:p w:rsidR="002A43CB" w:rsidRDefault="0048172E">
      <w:pPr>
        <w:rPr>
          <w:noProof/>
        </w:rPr>
      </w:pPr>
      <w:r>
        <w:rPr>
          <w:b/>
          <w:noProof/>
        </w:rPr>
        <w:t>Luxembourg appears to apply particularly strict rules to the operation of shops, in addition to a restrictive framework for establishing new retail outlets. (</w:t>
      </w:r>
      <w:r>
        <w:rPr>
          <w:noProof/>
          <w:vertAlign w:val="superscript"/>
        </w:rPr>
        <w:footnoteReference w:id="69"/>
      </w:r>
      <w:r>
        <w:rPr>
          <w:b/>
          <w:noProof/>
        </w:rPr>
        <w:t>)</w:t>
      </w:r>
      <w:r>
        <w:rPr>
          <w:noProof/>
        </w:rPr>
        <w:t xml:space="preserve"> The conditions for establishing medium to large retail outlets (over 4</w:t>
      </w:r>
      <w:r>
        <w:rPr>
          <w:noProof/>
        </w:rPr>
        <w:t>00 square metres) in Luxembourg are particularly restrictive. Some requirements apply to stores with a relatively small surface. However, the Luxembourg authorities recently announced their intention to propose a wide-reaching reform of the retail establis</w:t>
      </w:r>
      <w:r>
        <w:rPr>
          <w:noProof/>
        </w:rPr>
        <w:t xml:space="preserve">hment framework. According to the Luxembourg authorities, the draft proposal should be submitted to parliament for approval in the first quarter of 2017. </w:t>
      </w:r>
    </w:p>
    <w:p w:rsidR="002A43CB" w:rsidRDefault="0048172E">
      <w:pPr>
        <w:rPr>
          <w:noProof/>
        </w:rPr>
      </w:pPr>
      <w:r>
        <w:rPr>
          <w:b/>
          <w:noProof/>
        </w:rPr>
        <w:t>Luxembourg has also adopted measures that could help improve the operational environment for retail.</w:t>
      </w:r>
      <w:r>
        <w:rPr>
          <w:noProof/>
        </w:rPr>
        <w:t xml:space="preserve"> </w:t>
      </w:r>
      <w:r>
        <w:rPr>
          <w:noProof/>
        </w:rPr>
        <w:t xml:space="preserve"> A law to remove restrictions on sales below cost and end-of-business sales was adopted at the end of 2016. (</w:t>
      </w:r>
      <w:r>
        <w:rPr>
          <w:noProof/>
          <w:vertAlign w:val="superscript"/>
        </w:rPr>
        <w:footnoteReference w:id="70"/>
      </w:r>
      <w:r>
        <w:rPr>
          <w:noProof/>
        </w:rPr>
        <w:t>) Luxembourg also authorised extended opening hours on Sundays and bank holidays in Luxembourg city during a test period that ended in September 2</w:t>
      </w:r>
      <w:r>
        <w:rPr>
          <w:noProof/>
        </w:rPr>
        <w:t>016. There are currently no plans to extend this measure. Luxembourg has adopted an action plan (</w:t>
      </w:r>
      <w:r>
        <w:rPr>
          <w:i/>
          <w:noProof/>
        </w:rPr>
        <w:t>Pakt Pro Commerce</w:t>
      </w:r>
      <w:r>
        <w:rPr>
          <w:noProof/>
        </w:rPr>
        <w:t>) to revitalise small retail based on cooperation with local authorities and support for digitisation. (</w:t>
      </w:r>
      <w:r>
        <w:rPr>
          <w:noProof/>
          <w:vertAlign w:val="superscript"/>
        </w:rPr>
        <w:footnoteReference w:id="71"/>
      </w:r>
      <w:r>
        <w:rPr>
          <w:noProof/>
        </w:rPr>
        <w:t>) Although the action plan does not i</w:t>
      </w:r>
      <w:r>
        <w:rPr>
          <w:noProof/>
        </w:rPr>
        <w:t>nvolve changes to the legal framework for retail, it may lead to improvements in productivity. It is being implemented in cooperation with business stakeholders and features measures around five axes. Measures have been launched under all axes but one.</w:t>
      </w:r>
    </w:p>
    <w:p w:rsidR="002A43CB" w:rsidRDefault="0048172E">
      <w:pPr>
        <w:pStyle w:val="NumberedHeading1"/>
        <w:tabs>
          <w:tab w:val="left" w:pos="567"/>
        </w:tabs>
        <w:rPr>
          <w:noProof/>
        </w:rPr>
      </w:pPr>
      <w:bookmarkStart w:id="55" w:name="_Toc468961026"/>
      <w:r>
        <w:rPr>
          <w:noProof/>
        </w:rPr>
        <w:t>3.4</w:t>
      </w:r>
      <w:r>
        <w:rPr>
          <w:noProof/>
        </w:rPr>
        <w:t>.5.</w:t>
      </w:r>
      <w:r>
        <w:rPr>
          <w:noProof/>
        </w:rPr>
        <w:tab/>
        <w:t>Investment in road and rail infrastructure</w:t>
      </w:r>
      <w:bookmarkEnd w:id="55"/>
    </w:p>
    <w:p w:rsidR="002A43CB" w:rsidRDefault="0048172E">
      <w:pPr>
        <w:rPr>
          <w:noProof/>
        </w:rPr>
      </w:pPr>
      <w:r>
        <w:rPr>
          <w:b/>
          <w:noProof/>
        </w:rPr>
        <w:t>In the light of the significant projected increase in population and the size of the workforce, the provision of an adequate transport infrastructure remains a challenge.</w:t>
      </w:r>
      <w:r>
        <w:rPr>
          <w:noProof/>
        </w:rPr>
        <w:t xml:space="preserve"> The significant increase in the number</w:t>
      </w:r>
      <w:r>
        <w:rPr>
          <w:noProof/>
        </w:rPr>
        <w:t xml:space="preserve"> of cross-border workers, the lengthening of distances travelled and the constant enlargement of source areas add to internal mobility requirements.</w:t>
      </w:r>
    </w:p>
    <w:p w:rsidR="002A43CB" w:rsidRDefault="0048172E">
      <w:pPr>
        <w:rPr>
          <w:noProof/>
        </w:rPr>
      </w:pPr>
      <w:r>
        <w:rPr>
          <w:b/>
          <w:noProof/>
        </w:rPr>
        <w:t>Luxembourg is among the EU countries where most time is spent in traffic, entailing a significant cost to t</w:t>
      </w:r>
      <w:r>
        <w:rPr>
          <w:b/>
          <w:noProof/>
        </w:rPr>
        <w:t xml:space="preserve">he economy and creating GHG emissions and air pollution, see Graph </w:t>
      </w:r>
      <w:r>
        <w:rPr>
          <w:b/>
          <w:noProof/>
        </w:rPr>
        <w:fldChar w:fldCharType="begin"/>
      </w:r>
      <w:r>
        <w:rPr>
          <w:noProof/>
        </w:rPr>
        <w:instrText xml:space="preserve"> QUOTE "3.4.3"</w:instrText>
      </w:r>
      <w:r>
        <w:rPr>
          <w:noProof/>
        </w:rPr>
        <w:fldChar w:fldCharType="begin">
          <w:fldData xml:space="preserve">QwBSAE8AUwBTAFIARQBGAEUAUgBFAE4AQwBFACoARwBSAEEAUABIACoAOQA2AGMAMABlADAAMAAw
AC0AMQA5AGUAYwAtADQAZAA2ADAALQBhAGMAMQA3AC0ANQAwADQAZgA4ADEAMQBmADQAMgAwAGEA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3.4.3</w:t>
      </w:r>
      <w:r>
        <w:rPr>
          <w:b/>
          <w:noProof/>
        </w:rPr>
        <w:fldChar w:fldCharType="end"/>
      </w:r>
      <w:r>
        <w:rPr>
          <w:noProof/>
        </w:rPr>
        <w:t>. This is noteworthy, given its comparatively low population dens</w:t>
      </w:r>
      <w:r>
        <w:rPr>
          <w:noProof/>
        </w:rPr>
        <w:t>ity and lack of any large cities. (</w:t>
      </w:r>
      <w:r>
        <w:rPr>
          <w:noProof/>
          <w:vertAlign w:val="superscript"/>
        </w:rPr>
        <w:footnoteReference w:id="72"/>
      </w:r>
      <w:r>
        <w:rPr>
          <w:noProof/>
        </w:rPr>
        <w:t>) Furthermore, Luxembourg has the highest motorisation rate in the EU. 92 % of cross-border commuters use a car to get to work. This behaviour could partially be related to the favourable tax treatment of company cars, a</w:t>
      </w:r>
      <w:r>
        <w:rPr>
          <w:noProof/>
        </w:rPr>
        <w:t xml:space="preserve">s well as to the low levels of transport taxes (see Section 3.1.1.). Peak-hour congestion in Luxembourg continues to constitute a major problem, above all in the capital city and on the main surrounding motorways and roads. For 2014, exceedances above the </w:t>
      </w:r>
      <w:r>
        <w:rPr>
          <w:noProof/>
        </w:rPr>
        <w:t>EU air quality standards have been registered. Furthermore, target values and long-term objectives for greenhouse gas emissions (cf. section 3.1.1.) and ozone concentrations are exceeded. (</w:t>
      </w:r>
      <w:r>
        <w:rPr>
          <w:noProof/>
          <w:vertAlign w:val="superscript"/>
        </w:rPr>
        <w:footnoteReference w:id="73"/>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Graph 3.4.3:</w:t>
            </w:r>
            <w:r>
              <w:rPr>
                <w:b/>
                <w:noProof/>
              </w:rPr>
              <w:tab/>
              <w:t>Hours lost in traffic</w:t>
            </w:r>
          </w:p>
        </w:tc>
      </w:tr>
      <w:tr w:rsidR="002A43CB">
        <w:trPr>
          <w:cantSplit/>
        </w:trPr>
        <w:tc>
          <w:tcPr>
            <w:tcW w:w="4110" w:type="dxa"/>
            <w:shd w:val="clear" w:color="auto" w:fill="auto"/>
          </w:tcPr>
          <w:p w:rsidR="002A43CB" w:rsidRDefault="0048172E">
            <w:pPr>
              <w:pStyle w:val="GraphShape"/>
              <w:rPr>
                <w:noProof/>
                <w:sz w:val="2"/>
              </w:rPr>
            </w:pPr>
            <w:bookmarkStart w:id="56" w:name="_Toc474676074"/>
            <w:bookmarkEnd w:id="56"/>
            <w:r>
              <w:rPr>
                <w:noProof/>
                <w:sz w:val="2"/>
                <w:lang w:eastAsia="en-GB"/>
              </w:rPr>
              <w:drawing>
                <wp:inline distT="0" distB="0" distL="0" distR="0" wp14:anchorId="20AEDFA7" wp14:editId="6FC6D724">
                  <wp:extent cx="2597595" cy="2438958"/>
                  <wp:effectExtent l="0" t="0" r="0" b="0"/>
                  <wp:docPr id="65" name="Picture 65" descr="&lt;_DISABLED_nbr_DISABLED_&gt;&lt;GETTEXTFROMWORD&gt;&lt;/nbr&gt;&#10;&lt;title&gt;&lt;GETTEXTFROMWORD&gt;&lt;/title&gt;&#10;&lt;_DISABLED_id_DISABLED_&gt;96c0e000-19ec-4d60-ac17-504f811f420a&lt;/id&gt;&#10;&lt;srcType&gt;EXCEL&lt;/srcType&gt;&#10;&lt;srcPath&gt;O:\2017 CRs\16 LU\16_Luxembourg_CR\Graphs,Tables and Boxes\Chapter 3-4 - Transport\&lt;/srcPath&gt;&#10;&lt;srcName&gt;Graph - Hours lost in traffic.xlsx&lt;/srcName&gt;&#10;&lt;type&gt;graph&lt;/type&gt;&#10; &lt;srcSheet&gt;hours los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5T17:39: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Investment in road infrastructure has decreased (in GDP terms) since the start of the decade</w:t>
      </w:r>
      <w:r>
        <w:rPr>
          <w:noProof/>
        </w:rPr>
        <w:t>. Following an investment peak in 2002, which resulted in an expansion of the motorway network, the investment rate has dropped sharply to aro</w:t>
      </w:r>
      <w:r>
        <w:rPr>
          <w:noProof/>
        </w:rPr>
        <w:t>und 0.45% of GDP and has since fluctuated around that level. The current investment rate is comparable to that of neighbouring countries, where investments in road infrastructure decreased more gradually during the period 1998-2014. In the rail sector, the</w:t>
      </w:r>
      <w:r>
        <w:rPr>
          <w:noProof/>
        </w:rPr>
        <w:t xml:space="preserve"> investment rate has fluctuated more. During part of the reference period, it exceeded that of neighbouring countries. Currently, it is still above average. However, Commission analysis (</w:t>
      </w:r>
      <w:r>
        <w:rPr>
          <w:noProof/>
          <w:vertAlign w:val="superscript"/>
        </w:rPr>
        <w:footnoteReference w:id="74"/>
      </w:r>
      <w:r>
        <w:rPr>
          <w:noProof/>
        </w:rPr>
        <w:t xml:space="preserve">) shows that road investment in Luxembourg has been at or below </w:t>
      </w:r>
      <w:r>
        <w:rPr>
          <w:noProof/>
        </w:rPr>
        <w:t>their structural rate (</w:t>
      </w:r>
      <w:r>
        <w:rPr>
          <w:noProof/>
          <w:vertAlign w:val="superscript"/>
        </w:rPr>
        <w:footnoteReference w:id="75"/>
      </w:r>
      <w:r>
        <w:rPr>
          <w:noProof/>
        </w:rPr>
        <w:t>) for more than a decade. Investment in the rail sector has also dipped below the structural rate in recent years (Matha T.Y. et al., 2014).</w:t>
      </w:r>
    </w:p>
    <w:p w:rsidR="002A43CB" w:rsidRDefault="0048172E">
      <w:pPr>
        <w:rPr>
          <w:noProof/>
        </w:rPr>
      </w:pPr>
      <w:r>
        <w:rPr>
          <w:b/>
          <w:noProof/>
        </w:rPr>
        <w:t>In spite of the recent underinvestment, the provision of land transport infrastructure, mea</w:t>
      </w:r>
      <w:r>
        <w:rPr>
          <w:b/>
          <w:noProof/>
        </w:rPr>
        <w:t>sured as the length of motorways and rail per person, appears to be comparatively high</w:t>
      </w:r>
      <w:r>
        <w:rPr>
          <w:noProof/>
        </w:rPr>
        <w:t xml:space="preserve"> in Luxembourg compared to the neighbouring countries. In particular, the provision of motorways appears to be relatively high compared to its neighbouring countries. </w:t>
      </w:r>
    </w:p>
    <w:tbl>
      <w:tblPr>
        <w:tblW w:w="0" w:type="auto"/>
        <w:tblLayout w:type="fixed"/>
        <w:tblCellMar>
          <w:left w:w="0" w:type="dxa"/>
          <w:right w:w="0" w:type="dxa"/>
        </w:tblCellMar>
        <w:tblLook w:val="0000" w:firstRow="0" w:lastRow="0" w:firstColumn="0" w:lastColumn="0" w:noHBand="0" w:noVBand="0"/>
      </w:tblPr>
      <w:tblGrid>
        <w:gridCol w:w="4110"/>
      </w:tblGrid>
      <w:tr w:rsidR="002A43CB">
        <w:trPr>
          <w:cantSplit/>
        </w:trPr>
        <w:tc>
          <w:tcPr>
            <w:tcW w:w="4110" w:type="dxa"/>
            <w:shd w:val="clear" w:color="auto" w:fill="auto"/>
          </w:tcPr>
          <w:p w:rsidR="002A43CB" w:rsidRDefault="0048172E">
            <w:pPr>
              <w:pStyle w:val="GraphTitle"/>
              <w:rPr>
                <w:b/>
                <w:noProof/>
              </w:rPr>
            </w:pPr>
            <w:r>
              <w:rPr>
                <w:noProof/>
              </w:rPr>
              <w:t>Gr</w:t>
            </w:r>
            <w:r>
              <w:rPr>
                <w:noProof/>
              </w:rPr>
              <w:t>aph 3.4.4:</w:t>
            </w:r>
            <w:r>
              <w:rPr>
                <w:b/>
                <w:noProof/>
              </w:rPr>
              <w:tab/>
              <w:t>Motorway density</w:t>
            </w:r>
          </w:p>
        </w:tc>
      </w:tr>
      <w:tr w:rsidR="002A43CB">
        <w:trPr>
          <w:cantSplit/>
        </w:trPr>
        <w:tc>
          <w:tcPr>
            <w:tcW w:w="4110" w:type="dxa"/>
            <w:shd w:val="clear" w:color="auto" w:fill="auto"/>
          </w:tcPr>
          <w:p w:rsidR="002A43CB" w:rsidRDefault="0048172E">
            <w:pPr>
              <w:pStyle w:val="GraphShape"/>
              <w:rPr>
                <w:noProof/>
                <w:sz w:val="2"/>
              </w:rPr>
            </w:pPr>
            <w:bookmarkStart w:id="57" w:name="_Toc474676075"/>
            <w:bookmarkEnd w:id="57"/>
            <w:r>
              <w:rPr>
                <w:noProof/>
                <w:sz w:val="2"/>
                <w:lang w:eastAsia="en-GB"/>
              </w:rPr>
              <w:drawing>
                <wp:inline distT="0" distB="0" distL="0" distR="0" wp14:anchorId="3A38793D" wp14:editId="238FE810">
                  <wp:extent cx="2597595" cy="2571682"/>
                  <wp:effectExtent l="0" t="0" r="0" b="635"/>
                  <wp:docPr id="9" name="Picture 9" descr="&lt;_DISABLED_nbr_DISABLED_&gt;&lt;GETTEXTFROMWORD&gt;&lt;/nbr&gt;&#10;&lt;title&gt;&lt;GETTEXTFROMWORD&gt;&lt;/title&gt;&#10;&lt;_DISABLED_id_DISABLED_&gt;bba45ae3-447e-4a49-920c-e10d54cfc475&lt;/id&gt;&#10;&lt;srcType&gt;EXCEL&lt;/srcType&gt;&#10;&lt;srcPath&gt;O:\2017 CRs\16 LU\16_Luxembourg_CR\Graphs,Tables and Boxes\Chapter 3-4 - Transport\&lt;/srcPath&gt;&#10;&lt;srcName&gt;Graph - Motorway density.xlsx&lt;/srcName&gt;&#10;&lt;type&gt;graph&lt;/type&gt;&#10; &lt;srcSheet&gt;network density (4M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5T17:41: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2571682"/>
                          </a:xfrm>
                          <a:prstGeom prst="rect">
                            <a:avLst/>
                          </a:prstGeom>
                          <a:noFill/>
                          <a:ln>
                            <a:noFill/>
                          </a:ln>
                        </pic:spPr>
                      </pic:pic>
                    </a:graphicData>
                  </a:graphic>
                </wp:inline>
              </w:drawing>
            </w:r>
          </w:p>
        </w:tc>
      </w:tr>
      <w:tr w:rsidR="002A43CB">
        <w:trPr>
          <w:cantSplit/>
        </w:trPr>
        <w:tc>
          <w:tcPr>
            <w:tcW w:w="4110" w:type="dxa"/>
            <w:shd w:val="clear" w:color="auto" w:fill="auto"/>
            <w:tcMar>
              <w:bottom w:w="240" w:type="dxa"/>
            </w:tcMar>
          </w:tcPr>
          <w:p w:rsidR="002A43CB" w:rsidRDefault="0048172E">
            <w:pPr>
              <w:pStyle w:val="GraphSource"/>
              <w:keepNext/>
              <w:rPr>
                <w:noProof/>
              </w:rPr>
            </w:pPr>
            <w:r>
              <w:rPr>
                <w:b/>
                <w:i/>
                <w:noProof/>
              </w:rPr>
              <w:t>Source:</w:t>
            </w:r>
            <w:r>
              <w:rPr>
                <w:noProof/>
              </w:rPr>
              <w:t xml:space="preserve"> European Commission</w:t>
            </w:r>
          </w:p>
        </w:tc>
      </w:tr>
    </w:tbl>
    <w:p w:rsidR="002A43CB" w:rsidRDefault="0048172E">
      <w:pPr>
        <w:rPr>
          <w:noProof/>
        </w:rPr>
      </w:pPr>
      <w:r>
        <w:rPr>
          <w:b/>
          <w:noProof/>
        </w:rPr>
        <w:t xml:space="preserve">The provision of road infrastructure, while still adequate, has not quite kept pace with the increase in traffic. </w:t>
      </w:r>
      <w:r>
        <w:rPr>
          <w:noProof/>
        </w:rPr>
        <w:t xml:space="preserve">The total length of motorways has increased by about 40 percent between 1998 and </w:t>
      </w:r>
      <w:r>
        <w:rPr>
          <w:noProof/>
        </w:rPr>
        <w:t>2015 (</w:t>
      </w:r>
      <w:r>
        <w:rPr>
          <w:noProof/>
          <w:vertAlign w:val="superscript"/>
        </w:rPr>
        <w:footnoteReference w:id="76"/>
      </w:r>
      <w:r>
        <w:rPr>
          <w:noProof/>
        </w:rPr>
        <w:t>), which roughly matches the increase in passenger traffic in the same period. However, freight traffic by road (</w:t>
      </w:r>
      <w:r>
        <w:rPr>
          <w:noProof/>
          <w:vertAlign w:val="superscript"/>
        </w:rPr>
        <w:footnoteReference w:id="77"/>
      </w:r>
      <w:r>
        <w:rPr>
          <w:noProof/>
        </w:rPr>
        <w:t>) has almost tripled since 1998. Furthermore, the data on passenger traffic includes only traffic by passenger cars registered in Luxem</w:t>
      </w:r>
      <w:r>
        <w:rPr>
          <w:noProof/>
        </w:rPr>
        <w:t xml:space="preserve">bourg. Since the share of cross-border commuters is high and the vast majority of them use the private car to commute, the actual traffic on the domestic network is likely to be considerably higher. </w:t>
      </w:r>
    </w:p>
    <w:p w:rsidR="002A43CB" w:rsidRDefault="0048172E">
      <w:pPr>
        <w:rPr>
          <w:noProof/>
        </w:rPr>
      </w:pPr>
      <w:r>
        <w:rPr>
          <w:b/>
          <w:noProof/>
        </w:rPr>
        <w:t>The rail sector shows a rather different pattern</w:t>
      </w:r>
      <w:r>
        <w:rPr>
          <w:noProof/>
        </w:rPr>
        <w:t>. The to</w:t>
      </w:r>
      <w:r>
        <w:rPr>
          <w:noProof/>
        </w:rPr>
        <w:t>tal length of rail lines has remained virtually constant during 1998-2014, whereas passenger traffic has grown by 83%. Freight traffic decreased to only 36% of its 2008 level, suggesting a shift of freight from rail to road during the period.</w:t>
      </w:r>
    </w:p>
    <w:p w:rsidR="002A43CB" w:rsidRDefault="0048172E">
      <w:pPr>
        <w:rPr>
          <w:noProof/>
        </w:rPr>
      </w:pPr>
      <w:r>
        <w:rPr>
          <w:b/>
          <w:noProof/>
        </w:rPr>
        <w:t xml:space="preserve">Against this </w:t>
      </w:r>
      <w:r>
        <w:rPr>
          <w:b/>
          <w:noProof/>
        </w:rPr>
        <w:t>background, the authorities have recently engaged in a number of projects to upgrade further the country's transport infrastructure, both rail (</w:t>
      </w:r>
      <w:r>
        <w:rPr>
          <w:noProof/>
          <w:vertAlign w:val="superscript"/>
        </w:rPr>
        <w:footnoteReference w:id="78"/>
      </w:r>
      <w:r>
        <w:rPr>
          <w:b/>
          <w:noProof/>
        </w:rPr>
        <w:t>) and road</w:t>
      </w:r>
      <w:r>
        <w:rPr>
          <w:noProof/>
        </w:rPr>
        <w:t>. An investment plan was launched at the beginning of the century with EUR 2,500 million spent on new</w:t>
      </w:r>
      <w:r>
        <w:rPr>
          <w:noProof/>
        </w:rPr>
        <w:t xml:space="preserve"> projects. An even more ambitious investment plan was started in 2014 with a budget of EUR 400 million per year for the coming years.</w:t>
      </w:r>
    </w:p>
    <w:p w:rsidR="002A43CB" w:rsidRDefault="0048172E">
      <w:pPr>
        <w:rPr>
          <w:noProof/>
        </w:rPr>
      </w:pPr>
      <w:r>
        <w:rPr>
          <w:b/>
          <w:noProof/>
        </w:rPr>
        <w:t>The extent of congestion in Luxembourg contrasts with the provision of the motorway network, which in quantitative terms a</w:t>
      </w:r>
      <w:r>
        <w:rPr>
          <w:b/>
          <w:noProof/>
        </w:rPr>
        <w:t>ppears adequate</w:t>
      </w:r>
      <w:r>
        <w:rPr>
          <w:noProof/>
        </w:rPr>
        <w:t>. This suggests, in addition to demand-focused policy, that currently policy coherence is not sufficiently observed. In particular, the developments in transport efficiency(</w:t>
      </w:r>
      <w:r>
        <w:rPr>
          <w:noProof/>
          <w:vertAlign w:val="superscript"/>
        </w:rPr>
        <w:footnoteReference w:id="79"/>
      </w:r>
      <w:r>
        <w:rPr>
          <w:noProof/>
        </w:rPr>
        <w:t>), air pollution, traffic congestion and the provision of housing d</w:t>
      </w:r>
      <w:r>
        <w:rPr>
          <w:noProof/>
        </w:rPr>
        <w:t>o not seem to always go hand in hand (see Section 3.1.1).</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F7FCFF"/>
          </w:tcPr>
          <w:p w:rsidR="002A43CB" w:rsidRDefault="002A43CB">
            <w:pPr>
              <w:pStyle w:val="SlimCell"/>
              <w:keepNext/>
              <w:rPr>
                <w:noProof/>
              </w:rPr>
            </w:pPr>
            <w:bookmarkStart w:id="58" w:name="_Toc474676080"/>
            <w:bookmarkEnd w:id="58"/>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Pr>
        <w:tc>
          <w:tcPr>
            <w:tcW w:w="8505" w:type="dxa"/>
            <w:shd w:val="clear" w:color="auto" w:fill="F7FCFF"/>
          </w:tcPr>
          <w:p w:rsidR="002A43CB" w:rsidRDefault="0048172E">
            <w:pPr>
              <w:pStyle w:val="BoxShape"/>
              <w:rPr>
                <w:noProof/>
                <w:sz w:val="2"/>
              </w:rPr>
            </w:pPr>
            <w:r>
              <w:rPr>
                <w:noProof/>
                <w:sz w:val="2"/>
                <w:lang w:eastAsia="en-GB"/>
              </w:rPr>
              <w:drawing>
                <wp:inline distT="0" distB="0" distL="0" distR="0" wp14:anchorId="62C66B8D" wp14:editId="7118F3D6">
                  <wp:extent cx="5040929" cy="6819521"/>
                  <wp:effectExtent l="0" t="0" r="7620" b="635"/>
                  <wp:docPr id="66" name="Picture 66" descr="&lt;_DISABLED_nbr_DISABLED_&gt;3.4.4&lt;/nbr&gt;&#10;&lt;title&gt;Investment challenges in Luxembourg&lt;/title&gt;&#10;&lt;_DISABLED_id_DISABLED_&gt;8b87f87a-36e7-4833-bbb6-431e48e5592f&lt;/id&gt;&#10;&lt;srcType&gt;WORD&lt;/srcType&gt;&#10;&lt;srcPath&gt;O:\2017 CRs\16 LU\16_Luxembourg_CR\Graphs,Tables and Boxes\Chapter 3-4 - Investment\&lt;/srcPath&gt;&#10;&lt;srcName&gt;Box Investment.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2T14:57:2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40929" cy="6819521"/>
                          </a:xfrm>
                          <a:prstGeom prst="rect">
                            <a:avLst/>
                          </a:prstGeom>
                          <a:noFill/>
                          <a:ln>
                            <a:noFill/>
                          </a:ln>
                        </pic:spPr>
                      </pic:pic>
                    </a:graphicData>
                  </a:graphic>
                </wp:inline>
              </w:drawing>
            </w:r>
          </w:p>
        </w:tc>
      </w:tr>
      <w:tr w:rsidR="002A43CB">
        <w:trPr>
          <w:cantSplit/>
          <w:trHeight w:val="20"/>
        </w:trPr>
        <w:tc>
          <w:tcPr>
            <w:tcW w:w="8505" w:type="dxa"/>
            <w:shd w:val="clear" w:color="auto" w:fill="F7FCFF"/>
          </w:tcPr>
          <w:p w:rsidR="002A43CB" w:rsidRDefault="002A43CB">
            <w:pPr>
              <w:pStyle w:val="SlimCell"/>
              <w:keepNext/>
              <w:rPr>
                <w:noProof/>
              </w:rPr>
            </w:pPr>
          </w:p>
        </w:tc>
      </w:tr>
      <w:tr w:rsidR="002A43CB">
        <w:trPr>
          <w:cantSplit/>
          <w:trHeight w:val="20"/>
        </w:trPr>
        <w:tc>
          <w:tcPr>
            <w:tcW w:w="8505" w:type="dxa"/>
            <w:shd w:val="clear" w:color="auto" w:fill="F7FCFF"/>
          </w:tcPr>
          <w:p w:rsidR="002A43CB" w:rsidRDefault="002A43CB">
            <w:pPr>
              <w:pStyle w:val="SlimCell"/>
              <w:rPr>
                <w:noProof/>
              </w:rPr>
            </w:pPr>
          </w:p>
        </w:tc>
      </w:tr>
    </w:tbl>
    <w:p w:rsidR="002A43CB" w:rsidRDefault="002A43CB">
      <w:pPr>
        <w:rPr>
          <w:noProof/>
        </w:rPr>
        <w:sectPr w:rsidR="002A43CB">
          <w:headerReference w:type="even" r:id="rId93"/>
          <w:headerReference w:type="default" r:id="rId94"/>
          <w:footerReference w:type="even" r:id="rId95"/>
          <w:footerReference w:type="default" r:id="rId96"/>
          <w:headerReference w:type="first" r:id="rId97"/>
          <w:footerReference w:type="first" r:id="rId9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394"/>
      </w:tblGrid>
      <w:tr w:rsidR="002A43CB">
        <w:tc>
          <w:tcPr>
            <w:tcW w:w="4111" w:type="dxa"/>
            <w:tcBorders>
              <w:top w:val="nil"/>
              <w:left w:val="nil"/>
              <w:bottom w:val="single" w:sz="4" w:space="0" w:color="auto"/>
              <w:right w:val="nil"/>
            </w:tcBorders>
            <w:shd w:val="clear" w:color="auto" w:fill="auto"/>
          </w:tcPr>
          <w:p w:rsidR="002A43CB" w:rsidRDefault="0048172E">
            <w:pPr>
              <w:pStyle w:val="SectionTitleFramedtwolines"/>
              <w:framePr w:wrap="notBeside"/>
              <w:rPr>
                <w:noProof/>
              </w:rPr>
            </w:pPr>
            <w:bookmarkStart w:id="59" w:name="_Toc474829375"/>
            <w:bookmarkEnd w:id="59"/>
            <w:r>
              <w:rPr>
                <w:noProof/>
              </w:rPr>
              <w:t>Annex A</w:t>
            </w:r>
          </w:p>
          <w:p w:rsidR="002A43CB" w:rsidRDefault="0048172E">
            <w:pPr>
              <w:pStyle w:val="AnnexTitleFramed"/>
              <w:framePr w:wrap="notBeside"/>
              <w:rPr>
                <w:noProof/>
              </w:rPr>
            </w:pPr>
            <w:r>
              <w:rPr>
                <w:noProof/>
              </w:rPr>
              <w:t>Overview Table</w:t>
            </w:r>
          </w:p>
          <w:p w:rsidR="002A43CB" w:rsidRDefault="0048172E">
            <w:pPr>
              <w:rPr>
                <w:b/>
                <w:noProof/>
              </w:rPr>
            </w:pPr>
            <w:r>
              <w:rPr>
                <w:b/>
                <w:noProof/>
              </w:rPr>
              <w:t>Commitments</w:t>
            </w:r>
          </w:p>
        </w:tc>
        <w:tc>
          <w:tcPr>
            <w:tcW w:w="4394" w:type="dxa"/>
            <w:tcBorders>
              <w:top w:val="nil"/>
              <w:left w:val="nil"/>
              <w:bottom w:val="single" w:sz="4" w:space="0" w:color="auto"/>
              <w:right w:val="nil"/>
            </w:tcBorders>
            <w:shd w:val="clear" w:color="auto" w:fill="auto"/>
            <w:vAlign w:val="bottom"/>
          </w:tcPr>
          <w:p w:rsidR="002A43CB" w:rsidRDefault="0048172E">
            <w:pPr>
              <w:jc w:val="left"/>
              <w:rPr>
                <w:b/>
                <w:noProof/>
              </w:rPr>
            </w:pPr>
            <w:r>
              <w:rPr>
                <w:b/>
                <w:noProof/>
              </w:rPr>
              <w:t xml:space="preserve">Summary assessment </w:t>
            </w:r>
            <w:r>
              <w:rPr>
                <w:b/>
                <w:noProof/>
              </w:rPr>
              <w:t>(</w:t>
            </w:r>
            <w:r>
              <w:rPr>
                <w:noProof/>
                <w:vertAlign w:val="superscript"/>
              </w:rPr>
              <w:footnoteReference w:id="80"/>
            </w:r>
            <w:r>
              <w:rPr>
                <w:b/>
                <w:noProof/>
              </w:rPr>
              <w: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394"/>
      </w:tblGrid>
      <w:tr w:rsidR="002A43CB">
        <w:tc>
          <w:tcPr>
            <w:tcW w:w="8505" w:type="dxa"/>
            <w:gridSpan w:val="2"/>
            <w:tcBorders>
              <w:top w:val="single" w:sz="4" w:space="0" w:color="auto"/>
              <w:left w:val="single" w:sz="4" w:space="0" w:color="auto"/>
              <w:bottom w:val="dashed" w:sz="4" w:space="0" w:color="auto"/>
            </w:tcBorders>
            <w:shd w:val="clear" w:color="auto" w:fill="auto"/>
          </w:tcPr>
          <w:p w:rsidR="002A43CB" w:rsidRDefault="0048172E">
            <w:pPr>
              <w:rPr>
                <w:b/>
                <w:noProof/>
              </w:rPr>
            </w:pPr>
            <w:r>
              <w:rPr>
                <w:b/>
                <w:noProof/>
              </w:rPr>
              <w:t>2016 Country-specific recommendations (CSRs)</w:t>
            </w:r>
          </w:p>
        </w:tc>
      </w:tr>
      <w:tr w:rsidR="002A43CB">
        <w:tc>
          <w:tcPr>
            <w:tcW w:w="4111" w:type="dxa"/>
            <w:tcBorders>
              <w:top w:val="single" w:sz="4" w:space="0" w:color="auto"/>
              <w:left w:val="single" w:sz="4" w:space="0" w:color="auto"/>
              <w:bottom w:val="dashed" w:sz="4" w:space="0" w:color="auto"/>
            </w:tcBorders>
            <w:shd w:val="clear" w:color="auto" w:fill="auto"/>
          </w:tcPr>
          <w:p w:rsidR="002A43CB" w:rsidRDefault="0048172E">
            <w:pPr>
              <w:rPr>
                <w:noProof/>
              </w:rPr>
            </w:pPr>
            <w:r>
              <w:rPr>
                <w:b/>
                <w:noProof/>
              </w:rPr>
              <w:t>CSR 1</w:t>
            </w:r>
            <w:r>
              <w:rPr>
                <w:noProof/>
              </w:rPr>
              <w:t xml:space="preserve">: Ensure the long-term sustainability of public pensions by increasing the effective retirement age, by limiting early retirement and increasing incentives to work longer, and by aligning the </w:t>
            </w:r>
            <w:r>
              <w:rPr>
                <w:noProof/>
              </w:rPr>
              <w:t>statutory retirement age to changes in life expectancy.</w:t>
            </w:r>
          </w:p>
          <w:p w:rsidR="002A43CB" w:rsidRDefault="0048172E">
            <w:pPr>
              <w:rPr>
                <w:noProof/>
              </w:rPr>
            </w:pPr>
            <w:r>
              <w:rPr>
                <w:noProof/>
              </w:rPr>
              <w:t>Ensure the long-term sustainability of public pensions</w:t>
            </w:r>
          </w:p>
          <w:p w:rsidR="002A43CB" w:rsidRDefault="002A43CB">
            <w:pPr>
              <w:rPr>
                <w:noProof/>
              </w:rPr>
            </w:pPr>
          </w:p>
          <w:p w:rsidR="002A43CB" w:rsidRDefault="002A43CB">
            <w:pPr>
              <w:rPr>
                <w:noProof/>
              </w:rPr>
            </w:pPr>
          </w:p>
          <w:p w:rsidR="002A43CB" w:rsidRDefault="002A43CB">
            <w:pPr>
              <w:rPr>
                <w:noProof/>
              </w:rPr>
            </w:pPr>
          </w:p>
          <w:p w:rsidR="002A43CB" w:rsidRDefault="002A43CB">
            <w:pPr>
              <w:rPr>
                <w:noProof/>
              </w:rPr>
            </w:pPr>
          </w:p>
          <w:p w:rsidR="002A43CB" w:rsidRDefault="002A43CB">
            <w:pPr>
              <w:rPr>
                <w:noProof/>
              </w:rPr>
            </w:pPr>
          </w:p>
          <w:p w:rsidR="002A43CB" w:rsidRDefault="002A43CB">
            <w:pPr>
              <w:rPr>
                <w:noProof/>
              </w:rPr>
            </w:pPr>
          </w:p>
          <w:p w:rsidR="002A43CB" w:rsidRDefault="002A43CB">
            <w:pPr>
              <w:rPr>
                <w:noProof/>
              </w:rPr>
            </w:pPr>
          </w:p>
          <w:p w:rsidR="002A43CB" w:rsidRDefault="002A43CB">
            <w:pPr>
              <w:rPr>
                <w:noProof/>
              </w:rPr>
            </w:pPr>
          </w:p>
          <w:p w:rsidR="002A43CB" w:rsidRDefault="0048172E">
            <w:pPr>
              <w:rPr>
                <w:noProof/>
              </w:rPr>
            </w:pPr>
            <w:r>
              <w:rPr>
                <w:noProof/>
              </w:rPr>
              <w:t>by increasing the effective retirement age,</w:t>
            </w:r>
          </w:p>
          <w:p w:rsidR="002A43CB" w:rsidRDefault="002A43CB">
            <w:pPr>
              <w:rPr>
                <w:noProof/>
              </w:rPr>
            </w:pPr>
          </w:p>
          <w:p w:rsidR="002A43CB" w:rsidRDefault="002A43CB">
            <w:pPr>
              <w:rPr>
                <w:noProof/>
              </w:rPr>
            </w:pPr>
          </w:p>
          <w:p w:rsidR="002A43CB" w:rsidRDefault="002A43CB">
            <w:pPr>
              <w:rPr>
                <w:noProof/>
              </w:rPr>
            </w:pPr>
          </w:p>
          <w:p w:rsidR="002A43CB" w:rsidRDefault="002A43CB">
            <w:pPr>
              <w:rPr>
                <w:noProof/>
              </w:rPr>
            </w:pPr>
          </w:p>
          <w:p w:rsidR="002A43CB" w:rsidRDefault="0048172E">
            <w:pPr>
              <w:rPr>
                <w:noProof/>
              </w:rPr>
            </w:pPr>
            <w:r>
              <w:rPr>
                <w:noProof/>
              </w:rPr>
              <w:t>by limiting early retirement and</w:t>
            </w:r>
          </w:p>
          <w:p w:rsidR="002A43CB" w:rsidRDefault="002A43CB">
            <w:pPr>
              <w:rPr>
                <w:noProof/>
              </w:rPr>
            </w:pPr>
          </w:p>
          <w:p w:rsidR="002A43CB" w:rsidRDefault="002A43CB">
            <w:pPr>
              <w:rPr>
                <w:noProof/>
              </w:rPr>
            </w:pPr>
          </w:p>
          <w:p w:rsidR="002A43CB" w:rsidRDefault="0048172E">
            <w:pPr>
              <w:rPr>
                <w:noProof/>
              </w:rPr>
            </w:pPr>
            <w:r>
              <w:rPr>
                <w:noProof/>
              </w:rPr>
              <w:t>increasing incentives to work longer,</w:t>
            </w:r>
          </w:p>
          <w:p w:rsidR="002A43CB" w:rsidRDefault="002A43CB">
            <w:pPr>
              <w:rPr>
                <w:noProof/>
              </w:rPr>
            </w:pPr>
          </w:p>
          <w:p w:rsidR="002A43CB" w:rsidRDefault="002A43CB">
            <w:pPr>
              <w:rPr>
                <w:noProof/>
              </w:rPr>
            </w:pPr>
          </w:p>
          <w:p w:rsidR="002A43CB" w:rsidRDefault="002A43CB">
            <w:pPr>
              <w:rPr>
                <w:noProof/>
              </w:rPr>
            </w:pPr>
          </w:p>
          <w:p w:rsidR="002A43CB" w:rsidRDefault="0048172E">
            <w:pPr>
              <w:rPr>
                <w:noProof/>
              </w:rPr>
            </w:pPr>
            <w:r>
              <w:rPr>
                <w:noProof/>
              </w:rPr>
              <w:t xml:space="preserve">and by </w:t>
            </w:r>
            <w:r>
              <w:rPr>
                <w:noProof/>
              </w:rPr>
              <w:t>aligning the statutory retirement age to changes in life expectancy.</w:t>
            </w:r>
          </w:p>
        </w:tc>
        <w:tc>
          <w:tcPr>
            <w:tcW w:w="4394" w:type="dxa"/>
            <w:tcBorders>
              <w:top w:val="single" w:sz="4" w:space="0" w:color="auto"/>
              <w:bottom w:val="dashed" w:sz="4" w:space="0" w:color="auto"/>
            </w:tcBorders>
            <w:shd w:val="clear" w:color="auto" w:fill="auto"/>
          </w:tcPr>
          <w:p w:rsidR="002A43CB" w:rsidRDefault="0048172E">
            <w:pPr>
              <w:rPr>
                <w:noProof/>
              </w:rPr>
            </w:pPr>
            <w:r>
              <w:rPr>
                <w:noProof/>
              </w:rPr>
              <w:t xml:space="preserve">Luxembourg has made </w:t>
            </w:r>
            <w:r>
              <w:rPr>
                <w:b/>
                <w:noProof/>
              </w:rPr>
              <w:t>limited progress</w:t>
            </w:r>
            <w:r>
              <w:rPr>
                <w:noProof/>
              </w:rPr>
              <w:t xml:space="preserve"> in addressing CSR1. Progress has limited for all subparts of the CSR and no progress has been made in relation to the recommendation to align the stat</w:t>
            </w:r>
            <w:r>
              <w:rPr>
                <w:noProof/>
              </w:rPr>
              <w:t>utory retirement age to changes in life expectancy.</w:t>
            </w:r>
          </w:p>
          <w:p w:rsidR="002A43CB" w:rsidRDefault="0048172E">
            <w:pPr>
              <w:rPr>
                <w:noProof/>
              </w:rPr>
            </w:pPr>
            <w:r>
              <w:rPr>
                <w:b/>
                <w:noProof/>
              </w:rPr>
              <w:t>Limited progress</w:t>
            </w:r>
            <w:r>
              <w:rPr>
                <w:noProof/>
              </w:rPr>
              <w:t xml:space="preserve"> in ensuring the sustainability of the public finances. A working group on pensions was set up in April 2016 with the task of carrying out a sustainability analysis of the pension system. </w:t>
            </w:r>
            <w:r>
              <w:rPr>
                <w:noProof/>
              </w:rPr>
              <w:t>In early December 2016 a report was published. It contains a detailed analysis of the situation of the national pension system. It shows inter alia that based on current scenario (the Ageing Working Group) revenues from contributions will remain higher tha</w:t>
            </w:r>
            <w:r>
              <w:rPr>
                <w:noProof/>
              </w:rPr>
              <w:t>n pension expenditure up to 2022 (the last year of the current contribution period). Simulations were also done with alternative scenarios. These simulations show that under less favourable economic and demographic assumptions, the size of the pension chal</w:t>
            </w:r>
            <w:r>
              <w:rPr>
                <w:noProof/>
              </w:rPr>
              <w:t xml:space="preserve">lenge could be larger than currently estimated. </w:t>
            </w:r>
          </w:p>
          <w:p w:rsidR="002A43CB" w:rsidRDefault="0048172E">
            <w:pPr>
              <w:rPr>
                <w:noProof/>
              </w:rPr>
            </w:pPr>
            <w:r>
              <w:rPr>
                <w:b/>
                <w:noProof/>
              </w:rPr>
              <w:t>Limited progress</w:t>
            </w:r>
            <w:r>
              <w:rPr>
                <w:noProof/>
              </w:rPr>
              <w:t xml:space="preserve"> in increasing the effective retirement age. A law on reclassification of workers with working disabilities has been adopted in 2015 and is being implemented since the beginning of 2016. It a</w:t>
            </w:r>
            <w:r>
              <w:rPr>
                <w:noProof/>
              </w:rPr>
              <w:t xml:space="preserve">ims to keep workers with disabilities in the labour market. It is too early to assess its impact however. </w:t>
            </w:r>
          </w:p>
          <w:p w:rsidR="002A43CB" w:rsidRDefault="0048172E">
            <w:pPr>
              <w:rPr>
                <w:noProof/>
              </w:rPr>
            </w:pPr>
            <w:r>
              <w:rPr>
                <w:b/>
                <w:noProof/>
              </w:rPr>
              <w:t>Limited progress</w:t>
            </w:r>
            <w:r>
              <w:rPr>
                <w:noProof/>
              </w:rPr>
              <w:t xml:space="preserve"> on reforms regarding early retirement. A draft law to modify existing legislation on early retirement is still to be discussed in th</w:t>
            </w:r>
            <w:r>
              <w:rPr>
                <w:noProof/>
              </w:rPr>
              <w:t>e Parliament.</w:t>
            </w:r>
          </w:p>
          <w:p w:rsidR="002A43CB" w:rsidRDefault="0048172E">
            <w:pPr>
              <w:rPr>
                <w:noProof/>
              </w:rPr>
            </w:pPr>
            <w:r>
              <w:rPr>
                <w:b/>
                <w:noProof/>
              </w:rPr>
              <w:t xml:space="preserve">Limited progress </w:t>
            </w:r>
            <w:r>
              <w:rPr>
                <w:noProof/>
              </w:rPr>
              <w:t>on increasing incentives to work longer. A legislative initiative, referred to as `</w:t>
            </w:r>
            <w:r>
              <w:rPr>
                <w:i/>
                <w:noProof/>
              </w:rPr>
              <w:t>Age Pact</w:t>
            </w:r>
            <w:r>
              <w:rPr>
                <w:noProof/>
              </w:rPr>
              <w:t>´, which includes a whole package of measures to keep workers longer in employment, is tabled in the Parliament, but it has not been a</w:t>
            </w:r>
            <w:r>
              <w:rPr>
                <w:noProof/>
              </w:rPr>
              <w:t>dopted yet.</w:t>
            </w:r>
          </w:p>
          <w:p w:rsidR="002A43CB" w:rsidRDefault="0048172E">
            <w:pPr>
              <w:rPr>
                <w:noProof/>
              </w:rPr>
            </w:pPr>
            <w:r>
              <w:rPr>
                <w:b/>
                <w:noProof/>
              </w:rPr>
              <w:t>No progress</w:t>
            </w:r>
            <w:r>
              <w:rPr>
                <w:noProof/>
              </w:rPr>
              <w:t xml:space="preserve"> in aligning the statutory retirement age to changes in life expectancy. There are no measures to link the effective retirement age to changes in life expectancy.</w:t>
            </w:r>
          </w:p>
          <w:p w:rsidR="002A43CB" w:rsidRDefault="002A43CB">
            <w:pPr>
              <w:rPr>
                <w:noProof/>
              </w:rPr>
            </w:pPr>
          </w:p>
        </w:tc>
      </w:tr>
      <w:tr w:rsidR="002A43CB">
        <w:tc>
          <w:tcPr>
            <w:tcW w:w="4111" w:type="dxa"/>
            <w:tcBorders>
              <w:top w:val="dashed" w:sz="4" w:space="0" w:color="auto"/>
              <w:left w:val="single" w:sz="4" w:space="0" w:color="auto"/>
              <w:bottom w:val="dashed" w:sz="4" w:space="0" w:color="auto"/>
            </w:tcBorders>
            <w:shd w:val="clear" w:color="auto" w:fill="auto"/>
          </w:tcPr>
          <w:p w:rsidR="002A43CB" w:rsidRDefault="0048172E">
            <w:pPr>
              <w:rPr>
                <w:noProof/>
              </w:rPr>
            </w:pPr>
            <w:r>
              <w:rPr>
                <w:b/>
                <w:noProof/>
              </w:rPr>
              <w:t>CSR 2</w:t>
            </w:r>
            <w:r>
              <w:rPr>
                <w:noProof/>
              </w:rPr>
              <w:t xml:space="preserve">: Remove barriers to investment and innovation that limit </w:t>
            </w:r>
            <w:r>
              <w:rPr>
                <w:noProof/>
              </w:rPr>
              <w:t>economic development in the business services sector. Address bottlenecks that hamper housing investment.</w:t>
            </w:r>
          </w:p>
          <w:p w:rsidR="002A43CB" w:rsidRDefault="0048172E">
            <w:pPr>
              <w:rPr>
                <w:noProof/>
              </w:rPr>
            </w:pPr>
            <w:r>
              <w:rPr>
                <w:noProof/>
              </w:rPr>
              <w:t xml:space="preserve">Remove barriers to investment and innovation that limit economic development in the business services sector. </w:t>
            </w:r>
          </w:p>
          <w:p w:rsidR="002A43CB" w:rsidRDefault="002A43CB">
            <w:pPr>
              <w:rPr>
                <w:noProof/>
              </w:rPr>
            </w:pPr>
          </w:p>
          <w:p w:rsidR="002A43CB" w:rsidRDefault="002A43CB">
            <w:pPr>
              <w:rPr>
                <w:noProof/>
              </w:rPr>
            </w:pPr>
          </w:p>
          <w:p w:rsidR="002A43CB" w:rsidRDefault="0048172E">
            <w:pPr>
              <w:rPr>
                <w:noProof/>
              </w:rPr>
            </w:pPr>
            <w:r>
              <w:rPr>
                <w:noProof/>
              </w:rPr>
              <w:t>Address bottlenecks that hamper housi</w:t>
            </w:r>
            <w:r>
              <w:rPr>
                <w:noProof/>
              </w:rPr>
              <w:t>ng investment.</w:t>
            </w:r>
          </w:p>
        </w:tc>
        <w:tc>
          <w:tcPr>
            <w:tcW w:w="4394" w:type="dxa"/>
            <w:tcBorders>
              <w:top w:val="dashed" w:sz="4" w:space="0" w:color="auto"/>
              <w:bottom w:val="dashed" w:sz="4" w:space="0" w:color="auto"/>
            </w:tcBorders>
            <w:shd w:val="clear" w:color="auto" w:fill="auto"/>
          </w:tcPr>
          <w:p w:rsidR="002A43CB" w:rsidRDefault="0048172E">
            <w:pPr>
              <w:rPr>
                <w:noProof/>
              </w:rPr>
            </w:pPr>
            <w:r>
              <w:rPr>
                <w:noProof/>
              </w:rPr>
              <w:t xml:space="preserve">Luxembourg has made </w:t>
            </w:r>
            <w:r>
              <w:rPr>
                <w:b/>
                <w:noProof/>
              </w:rPr>
              <w:t>limited progress</w:t>
            </w:r>
            <w:r>
              <w:rPr>
                <w:noProof/>
              </w:rPr>
              <w:t xml:space="preserve"> in addressing CSR 2. Progress has been limited in removing barriers to investment, while some progress has been made in addressing bottlenecks to housing investment.</w:t>
            </w:r>
          </w:p>
          <w:p w:rsidR="002A43CB" w:rsidRDefault="002A43CB">
            <w:pPr>
              <w:rPr>
                <w:noProof/>
              </w:rPr>
            </w:pPr>
          </w:p>
          <w:p w:rsidR="002A43CB" w:rsidRDefault="0048172E">
            <w:pPr>
              <w:rPr>
                <w:noProof/>
              </w:rPr>
            </w:pPr>
            <w:r>
              <w:rPr>
                <w:b/>
                <w:noProof/>
              </w:rPr>
              <w:t>Limited progress</w:t>
            </w:r>
            <w:r>
              <w:rPr>
                <w:noProof/>
              </w:rPr>
              <w:t xml:space="preserve"> in removing barriers</w:t>
            </w:r>
            <w:r>
              <w:rPr>
                <w:noProof/>
              </w:rPr>
              <w:t xml:space="preserve"> to investment and innovation that limit economic development in the business services sector. By decision of the ‘</w:t>
            </w:r>
            <w:r>
              <w:rPr>
                <w:i/>
                <w:noProof/>
              </w:rPr>
              <w:t>Conseil de Gouvernement</w:t>
            </w:r>
            <w:r>
              <w:rPr>
                <w:noProof/>
              </w:rPr>
              <w:t>’ of 2 September 2016, the fixed tariffs in public contracts for the services provided by architects and engineers hav</w:t>
            </w:r>
            <w:r>
              <w:rPr>
                <w:noProof/>
              </w:rPr>
              <w:t>e been abolished.</w:t>
            </w:r>
          </w:p>
          <w:p w:rsidR="002A43CB" w:rsidRDefault="0048172E">
            <w:pPr>
              <w:rPr>
                <w:noProof/>
              </w:rPr>
            </w:pPr>
            <w:r>
              <w:rPr>
                <w:b/>
                <w:noProof/>
              </w:rPr>
              <w:t xml:space="preserve">Some progress </w:t>
            </w:r>
            <w:r>
              <w:rPr>
                <w:noProof/>
              </w:rPr>
              <w:t xml:space="preserve">in addressing bottlenecks that hamper housing investment. Numerous measures have been adopted or are planned. The measures are: i) a reform of local government financing has been adopted in December 2016. It links, at least </w:t>
            </w:r>
            <w:r>
              <w:rPr>
                <w:noProof/>
              </w:rPr>
              <w:t>partially, the financing of the municipalities to initiatives favouring housing investment; ii) a draft 'Omnibus' law (n. 6704) has been approved at beginning of 2017. Among others, it aims at streamlining the building permits procedure; iii) the tax refor</w:t>
            </w:r>
            <w:r>
              <w:rPr>
                <w:noProof/>
              </w:rPr>
              <w:t>m includes measures intended to provide incentives to increase the supply of houses and construction land (temporary tax exemption for 50 % of the capital gain realised on the sale of constructible land); and iv) an initiative to produce a new sectoral hou</w:t>
            </w:r>
            <w:r>
              <w:rPr>
                <w:noProof/>
              </w:rPr>
              <w:t>sing plan. Nevertheless, the challenge ahead for the Luxembourg authorities remains sizeable.</w:t>
            </w:r>
            <w:r>
              <w:rPr>
                <w:b/>
                <w:noProof/>
              </w:rPr>
              <w:t xml:space="preserve"> </w:t>
            </w:r>
          </w:p>
        </w:tc>
      </w:tr>
      <w:tr w:rsidR="002A43CB">
        <w:tc>
          <w:tcPr>
            <w:tcW w:w="8505" w:type="dxa"/>
            <w:gridSpan w:val="2"/>
            <w:tcBorders>
              <w:left w:val="single" w:sz="4" w:space="0" w:color="auto"/>
              <w:bottom w:val="dashSmallGap" w:sz="4" w:space="0" w:color="auto"/>
            </w:tcBorders>
            <w:shd w:val="clear" w:color="auto" w:fill="auto"/>
          </w:tcPr>
          <w:p w:rsidR="002A43CB" w:rsidRDefault="0048172E">
            <w:pPr>
              <w:rPr>
                <w:b/>
                <w:noProof/>
              </w:rPr>
            </w:pPr>
            <w:r>
              <w:rPr>
                <w:b/>
                <w:noProof/>
              </w:rPr>
              <w:t>Europe 2020 (national targets and progress)</w:t>
            </w:r>
          </w:p>
        </w:tc>
      </w:tr>
      <w:tr w:rsidR="002A43CB">
        <w:tc>
          <w:tcPr>
            <w:tcW w:w="4111" w:type="dxa"/>
            <w:tcBorders>
              <w:left w:val="single" w:sz="4" w:space="0" w:color="auto"/>
              <w:bottom w:val="dashSmallGap" w:sz="4" w:space="0" w:color="auto"/>
            </w:tcBorders>
            <w:shd w:val="clear" w:color="auto" w:fill="auto"/>
          </w:tcPr>
          <w:p w:rsidR="002A43CB" w:rsidRDefault="0048172E">
            <w:pPr>
              <w:rPr>
                <w:noProof/>
              </w:rPr>
            </w:pPr>
            <w:r>
              <w:rPr>
                <w:noProof/>
              </w:rPr>
              <w:t xml:space="preserve">Employment: </w:t>
            </w:r>
          </w:p>
          <w:p w:rsidR="002A43CB" w:rsidRDefault="0048172E">
            <w:pPr>
              <w:rPr>
                <w:noProof/>
              </w:rPr>
            </w:pPr>
            <w:r>
              <w:rPr>
                <w:noProof/>
              </w:rPr>
              <w:t>73 %</w:t>
            </w:r>
          </w:p>
        </w:tc>
        <w:tc>
          <w:tcPr>
            <w:tcW w:w="4394" w:type="dxa"/>
            <w:tcBorders>
              <w:bottom w:val="dashSmallGap" w:sz="4" w:space="0" w:color="auto"/>
            </w:tcBorders>
            <w:shd w:val="clear" w:color="auto" w:fill="auto"/>
          </w:tcPr>
          <w:p w:rsidR="002A43CB" w:rsidRDefault="0048172E">
            <w:pPr>
              <w:rPr>
                <w:noProof/>
              </w:rPr>
            </w:pPr>
            <w:r>
              <w:rPr>
                <w:noProof/>
              </w:rPr>
              <w:t xml:space="preserve">The overall employment rate of the resident population decreased slightly from 72.1 % in 2014 to </w:t>
            </w:r>
            <w:r>
              <w:rPr>
                <w:noProof/>
              </w:rPr>
              <w:t>70.9 % in 2015, getting more distant from its target.</w:t>
            </w:r>
          </w:p>
        </w:tc>
      </w:tr>
      <w:tr w:rsidR="002A43CB">
        <w:tc>
          <w:tcPr>
            <w:tcW w:w="4111" w:type="dxa"/>
            <w:tcBorders>
              <w:top w:val="dashSmallGap" w:sz="4" w:space="0" w:color="auto"/>
              <w:left w:val="single" w:sz="4" w:space="0" w:color="auto"/>
              <w:bottom w:val="dashSmallGap" w:sz="4" w:space="0" w:color="auto"/>
            </w:tcBorders>
            <w:shd w:val="clear" w:color="auto" w:fill="auto"/>
          </w:tcPr>
          <w:p w:rsidR="002A43CB" w:rsidRDefault="0048172E">
            <w:pPr>
              <w:rPr>
                <w:noProof/>
              </w:rPr>
            </w:pPr>
            <w:r>
              <w:rPr>
                <w:noProof/>
              </w:rPr>
              <w:t>R&amp;D:</w:t>
            </w:r>
          </w:p>
          <w:p w:rsidR="002A43CB" w:rsidRDefault="0048172E">
            <w:pPr>
              <w:rPr>
                <w:noProof/>
              </w:rPr>
            </w:pPr>
            <w:r>
              <w:rPr>
                <w:noProof/>
              </w:rPr>
              <w:t>2.3 %-2.6 % of GDP (of which 1.5 % to 1.9 % for the private sector and 0.7 % to 0.8 % for public spending)</w:t>
            </w:r>
          </w:p>
        </w:tc>
        <w:tc>
          <w:tcPr>
            <w:tcW w:w="4394" w:type="dxa"/>
            <w:tcBorders>
              <w:top w:val="dashSmallGap" w:sz="4" w:space="0" w:color="auto"/>
              <w:bottom w:val="dashSmallGap" w:sz="4" w:space="0" w:color="auto"/>
            </w:tcBorders>
            <w:shd w:val="clear" w:color="auto" w:fill="auto"/>
          </w:tcPr>
          <w:p w:rsidR="002A43CB" w:rsidRDefault="0048172E">
            <w:pPr>
              <w:rPr>
                <w:noProof/>
              </w:rPr>
            </w:pPr>
            <w:r>
              <w:rPr>
                <w:noProof/>
              </w:rPr>
              <w:t>1.31 % (2015)</w:t>
            </w:r>
          </w:p>
          <w:p w:rsidR="002A43CB" w:rsidRDefault="0048172E">
            <w:pPr>
              <w:rPr>
                <w:noProof/>
              </w:rPr>
            </w:pPr>
            <w:r>
              <w:rPr>
                <w:noProof/>
              </w:rPr>
              <w:t xml:space="preserve">Luxembourg is not at all on track to reach its R&amp;D intensity target for </w:t>
            </w:r>
            <w:r>
              <w:rPr>
                <w:noProof/>
              </w:rPr>
              <w:t>2020, due to a sharp decrease in business R&amp;D intensity (from 1.46 % of GDP in 2000 to 0.67 % in 2015). Public sector R&amp;D intensity on the contrary steadily increased from 0.12 % in 2000 to 0.64 % in 2015. This fivefold increase reflects the willingness of</w:t>
            </w:r>
            <w:r>
              <w:rPr>
                <w:noProof/>
              </w:rPr>
              <w:t xml:space="preserve"> the Grand-Duchy to build up its public research capacities from a situation where, 30 years ago, the public research system was in fact non-existent.</w:t>
            </w:r>
          </w:p>
        </w:tc>
      </w:tr>
      <w:tr w:rsidR="002A43CB">
        <w:tc>
          <w:tcPr>
            <w:tcW w:w="4111" w:type="dxa"/>
            <w:tcBorders>
              <w:top w:val="dashSmallGap" w:sz="4" w:space="0" w:color="auto"/>
              <w:left w:val="single" w:sz="4" w:space="0" w:color="auto"/>
              <w:bottom w:val="dashSmallGap" w:sz="4" w:space="0" w:color="auto"/>
            </w:tcBorders>
            <w:shd w:val="clear" w:color="auto" w:fill="auto"/>
          </w:tcPr>
          <w:p w:rsidR="002A43CB" w:rsidRDefault="0048172E">
            <w:pPr>
              <w:rPr>
                <w:noProof/>
              </w:rPr>
            </w:pPr>
            <w:r>
              <w:rPr>
                <w:noProof/>
              </w:rPr>
              <w:t>Greenhouse gas emissions:</w:t>
            </w:r>
          </w:p>
          <w:p w:rsidR="002A43CB" w:rsidRDefault="0048172E">
            <w:pPr>
              <w:rPr>
                <w:noProof/>
              </w:rPr>
            </w:pPr>
            <w:r>
              <w:rPr>
                <w:noProof/>
              </w:rPr>
              <w:t xml:space="preserve">20 % compared to 2005 emission (from sources not covered by the Emission </w:t>
            </w:r>
            <w:r>
              <w:rPr>
                <w:noProof/>
              </w:rPr>
              <w:t>Trading System)°</w:t>
            </w:r>
          </w:p>
        </w:tc>
        <w:tc>
          <w:tcPr>
            <w:tcW w:w="4394" w:type="dxa"/>
            <w:tcBorders>
              <w:top w:val="dashSmallGap" w:sz="4" w:space="0" w:color="auto"/>
              <w:bottom w:val="dashSmallGap" w:sz="4" w:space="0" w:color="auto"/>
            </w:tcBorders>
            <w:shd w:val="clear" w:color="auto" w:fill="auto"/>
          </w:tcPr>
          <w:p w:rsidR="002A43CB" w:rsidRDefault="0048172E">
            <w:pPr>
              <w:rPr>
                <w:noProof/>
              </w:rPr>
            </w:pPr>
            <w:r>
              <w:rPr>
                <w:noProof/>
              </w:rPr>
              <w:t>According to the latest national projections submitted to the Commission and taking into account existing measures, it is expected that non-ETS emission will decrease by 15% between 2005 and 2020 and then the target will be missed, (i.e. a</w:t>
            </w:r>
            <w:r>
              <w:rPr>
                <w:noProof/>
              </w:rPr>
              <w:t xml:space="preserve"> projected shortfall of 5 percentage points).</w:t>
            </w:r>
          </w:p>
          <w:p w:rsidR="002A43CB" w:rsidRDefault="0048172E">
            <w:pPr>
              <w:rPr>
                <w:noProof/>
              </w:rPr>
            </w:pPr>
            <w:r>
              <w:rPr>
                <w:noProof/>
              </w:rPr>
              <w:t>Non-ETS 2015 target: -10 %</w:t>
            </w:r>
          </w:p>
        </w:tc>
      </w:tr>
      <w:tr w:rsidR="002A43CB">
        <w:tc>
          <w:tcPr>
            <w:tcW w:w="4111" w:type="dxa"/>
            <w:tcBorders>
              <w:top w:val="dashSmallGap" w:sz="4" w:space="0" w:color="auto"/>
              <w:left w:val="single" w:sz="4" w:space="0" w:color="auto"/>
              <w:bottom w:val="dashSmallGap" w:sz="4" w:space="0" w:color="auto"/>
            </w:tcBorders>
            <w:shd w:val="clear" w:color="auto" w:fill="auto"/>
          </w:tcPr>
          <w:p w:rsidR="002A43CB" w:rsidRDefault="0048172E">
            <w:pPr>
              <w:rPr>
                <w:noProof/>
              </w:rPr>
            </w:pPr>
            <w:r>
              <w:rPr>
                <w:noProof/>
              </w:rPr>
              <w:t>Renewable energy target:</w:t>
            </w:r>
          </w:p>
          <w:p w:rsidR="002A43CB" w:rsidRDefault="0048172E">
            <w:pPr>
              <w:rPr>
                <w:noProof/>
              </w:rPr>
            </w:pPr>
            <w:r>
              <w:rPr>
                <w:noProof/>
              </w:rPr>
              <w:t>11 %</w:t>
            </w:r>
          </w:p>
          <w:p w:rsidR="002A43CB" w:rsidRDefault="0048172E">
            <w:pPr>
              <w:rPr>
                <w:noProof/>
              </w:rPr>
            </w:pPr>
            <w:r>
              <w:rPr>
                <w:noProof/>
              </w:rPr>
              <w:t>Share of renewable energy in all modes of transport</w:t>
            </w:r>
          </w:p>
        </w:tc>
        <w:tc>
          <w:tcPr>
            <w:tcW w:w="4394" w:type="dxa"/>
            <w:tcBorders>
              <w:top w:val="dashSmallGap" w:sz="4" w:space="0" w:color="auto"/>
              <w:bottom w:val="dashSmallGap" w:sz="4" w:space="0" w:color="auto"/>
            </w:tcBorders>
            <w:shd w:val="clear" w:color="auto" w:fill="auto"/>
          </w:tcPr>
          <w:p w:rsidR="002A43CB" w:rsidRDefault="0048172E">
            <w:pPr>
              <w:rPr>
                <w:noProof/>
              </w:rPr>
            </w:pPr>
            <w:r>
              <w:rPr>
                <w:noProof/>
              </w:rPr>
              <w:t xml:space="preserve">In 2015, the share of renewable energy sources in final energy consumption (5.0 %) was above the </w:t>
            </w:r>
            <w:r>
              <w:rPr>
                <w:noProof/>
              </w:rPr>
              <w:t>indicative trajectory for 2015-2016 (5.4 %). (</w:t>
            </w:r>
            <w:r>
              <w:rPr>
                <w:noProof/>
                <w:vertAlign w:val="superscript"/>
              </w:rPr>
              <w:footnoteReference w:id="81"/>
            </w:r>
            <w:r>
              <w:rPr>
                <w:noProof/>
              </w:rPr>
              <w:t>) As the trajectory will become steeper towards 2020. Luxembourg will have to continue to promote renewable energy deployment in all sectors to achieve its renewable energy target.</w:t>
            </w:r>
          </w:p>
        </w:tc>
      </w:tr>
      <w:tr w:rsidR="002A43CB">
        <w:tc>
          <w:tcPr>
            <w:tcW w:w="4111" w:type="dxa"/>
            <w:tcBorders>
              <w:top w:val="dashSmallGap" w:sz="4" w:space="0" w:color="auto"/>
              <w:left w:val="single" w:sz="4" w:space="0" w:color="auto"/>
              <w:bottom w:val="dashSmallGap" w:sz="4" w:space="0" w:color="auto"/>
            </w:tcBorders>
            <w:shd w:val="clear" w:color="auto" w:fill="auto"/>
          </w:tcPr>
          <w:p w:rsidR="002A43CB" w:rsidRDefault="0048172E">
            <w:pPr>
              <w:rPr>
                <w:noProof/>
              </w:rPr>
            </w:pPr>
            <w:r>
              <w:rPr>
                <w:noProof/>
              </w:rPr>
              <w:t>Energy efficiency:</w:t>
            </w:r>
          </w:p>
          <w:p w:rsidR="002A43CB" w:rsidRDefault="0048172E">
            <w:pPr>
              <w:rPr>
                <w:noProof/>
              </w:rPr>
            </w:pPr>
            <w:r>
              <w:rPr>
                <w:noProof/>
              </w:rPr>
              <w:t>Luxembou</w:t>
            </w:r>
            <w:r>
              <w:rPr>
                <w:noProof/>
              </w:rPr>
              <w:t xml:space="preserve">rg has set an indicative national energy efficiency target which implies reaching a 2020 level of 4.48 Mtoe, expressed in primary consumption and 4.24 Mtoe expressed in final energy consumption.  </w:t>
            </w:r>
          </w:p>
          <w:p w:rsidR="002A43CB" w:rsidRDefault="002A43CB">
            <w:pPr>
              <w:rPr>
                <w:noProof/>
              </w:rPr>
            </w:pPr>
          </w:p>
        </w:tc>
        <w:tc>
          <w:tcPr>
            <w:tcW w:w="4394" w:type="dxa"/>
            <w:tcBorders>
              <w:top w:val="dashSmallGap" w:sz="4" w:space="0" w:color="auto"/>
              <w:bottom w:val="dashSmallGap" w:sz="4" w:space="0" w:color="auto"/>
            </w:tcBorders>
            <w:shd w:val="clear" w:color="auto" w:fill="auto"/>
          </w:tcPr>
          <w:p w:rsidR="002A43CB" w:rsidRDefault="0048172E">
            <w:pPr>
              <w:rPr>
                <w:noProof/>
              </w:rPr>
            </w:pPr>
            <w:r>
              <w:rPr>
                <w:noProof/>
              </w:rPr>
              <w:t>Luxembourg has made good progress on energy efficiency. Th</w:t>
            </w:r>
            <w:r>
              <w:rPr>
                <w:noProof/>
              </w:rPr>
              <w:t>e country reduced its primary energy consumption by -1% from 4.19 Mtoe in 2014 to 4.14 Mtoe in 2015. Final energy consumption decreased by -0.3% from 4 Mtoe in 2014 to 3.99 Mtoe in 2015. Even if Luxembourg has already achieved levels of primary and final e</w:t>
            </w:r>
            <w:r>
              <w:rPr>
                <w:noProof/>
              </w:rPr>
              <w:t xml:space="preserve">nergy consumption which are below the indicative national 2020 targets (4.5 Mtoe in primary energy consumption and 4.2 Mtoe in final energy consumption) it would need to make an effort to keep these levels until 2020. </w:t>
            </w:r>
          </w:p>
        </w:tc>
      </w:tr>
      <w:tr w:rsidR="002A43CB">
        <w:tc>
          <w:tcPr>
            <w:tcW w:w="4111" w:type="dxa"/>
            <w:tcBorders>
              <w:top w:val="dashSmallGap" w:sz="4" w:space="0" w:color="auto"/>
              <w:left w:val="single" w:sz="4" w:space="0" w:color="auto"/>
              <w:bottom w:val="dashSmallGap" w:sz="4" w:space="0" w:color="auto"/>
            </w:tcBorders>
            <w:shd w:val="clear" w:color="auto" w:fill="auto"/>
          </w:tcPr>
          <w:p w:rsidR="002A43CB" w:rsidRDefault="0048172E">
            <w:pPr>
              <w:rPr>
                <w:noProof/>
              </w:rPr>
            </w:pPr>
            <w:r>
              <w:rPr>
                <w:noProof/>
              </w:rPr>
              <w:t>Early school leaving:</w:t>
            </w:r>
          </w:p>
          <w:p w:rsidR="002A43CB" w:rsidRDefault="0048172E">
            <w:pPr>
              <w:rPr>
                <w:noProof/>
              </w:rPr>
            </w:pPr>
            <w:r>
              <w:rPr>
                <w:noProof/>
              </w:rPr>
              <w:t>&lt;10 %</w:t>
            </w:r>
          </w:p>
        </w:tc>
        <w:tc>
          <w:tcPr>
            <w:tcW w:w="4394" w:type="dxa"/>
            <w:tcBorders>
              <w:top w:val="dashSmallGap" w:sz="4" w:space="0" w:color="auto"/>
              <w:bottom w:val="dashSmallGap" w:sz="4" w:space="0" w:color="auto"/>
            </w:tcBorders>
            <w:shd w:val="clear" w:color="auto" w:fill="auto"/>
          </w:tcPr>
          <w:p w:rsidR="002A43CB" w:rsidRDefault="0048172E">
            <w:pPr>
              <w:rPr>
                <w:noProof/>
                <w:highlight w:val="yellow"/>
              </w:rPr>
            </w:pPr>
            <w:r>
              <w:rPr>
                <w:noProof/>
              </w:rPr>
              <w:t>The earl</w:t>
            </w:r>
            <w:r>
              <w:rPr>
                <w:noProof/>
              </w:rPr>
              <w:t>y school leaving rate rose by 3 percentage points in 2015, to 9.3%. While the rate is still below the EU average of 11% and Luxembourg's Europe 2020 national target of 10%, the increase from the previous year is substantial. National data for 2013/2014, th</w:t>
            </w:r>
            <w:r>
              <w:rPr>
                <w:noProof/>
              </w:rPr>
              <w:t>e latest year available, also indicate an increase from the previous year and estimate the rate at more than 13%.</w:t>
            </w:r>
          </w:p>
        </w:tc>
      </w:tr>
      <w:tr w:rsidR="002A43CB">
        <w:tc>
          <w:tcPr>
            <w:tcW w:w="4111" w:type="dxa"/>
            <w:tcBorders>
              <w:top w:val="dashSmallGap" w:sz="4" w:space="0" w:color="auto"/>
              <w:left w:val="single" w:sz="4" w:space="0" w:color="auto"/>
              <w:bottom w:val="dashSmallGap" w:sz="4" w:space="0" w:color="auto"/>
            </w:tcBorders>
            <w:shd w:val="clear" w:color="auto" w:fill="auto"/>
          </w:tcPr>
          <w:p w:rsidR="002A43CB" w:rsidRDefault="0048172E">
            <w:pPr>
              <w:rPr>
                <w:noProof/>
              </w:rPr>
            </w:pPr>
            <w:r>
              <w:rPr>
                <w:noProof/>
              </w:rPr>
              <w:t>Tertiary education:</w:t>
            </w:r>
          </w:p>
          <w:p w:rsidR="002A43CB" w:rsidRDefault="0048172E">
            <w:pPr>
              <w:rPr>
                <w:noProof/>
              </w:rPr>
            </w:pPr>
            <w:r>
              <w:rPr>
                <w:noProof/>
              </w:rPr>
              <w:t>&gt;40 % (national target 66%)</w:t>
            </w:r>
          </w:p>
        </w:tc>
        <w:tc>
          <w:tcPr>
            <w:tcW w:w="4394" w:type="dxa"/>
            <w:tcBorders>
              <w:top w:val="dashSmallGap" w:sz="4" w:space="0" w:color="auto"/>
              <w:bottom w:val="dashSmallGap" w:sz="4" w:space="0" w:color="auto"/>
            </w:tcBorders>
            <w:shd w:val="clear" w:color="auto" w:fill="auto"/>
          </w:tcPr>
          <w:p w:rsidR="002A43CB" w:rsidRDefault="0048172E">
            <w:pPr>
              <w:rPr>
                <w:noProof/>
                <w:highlight w:val="yellow"/>
              </w:rPr>
            </w:pPr>
            <w:r>
              <w:rPr>
                <w:noProof/>
              </w:rPr>
              <w:t xml:space="preserve">The tertiary educational attainment rate among 30-34 year olds stood at 52.3% in 2015, well </w:t>
            </w:r>
            <w:r>
              <w:rPr>
                <w:noProof/>
              </w:rPr>
              <w:t>above the EU target of 40%. To strengthen its knowledge economy, Luxembourg has set the target of further increasing the rate to 66 % by 2020.</w:t>
            </w:r>
          </w:p>
        </w:tc>
      </w:tr>
      <w:tr w:rsidR="002A43CB">
        <w:tc>
          <w:tcPr>
            <w:tcW w:w="4111" w:type="dxa"/>
            <w:tcBorders>
              <w:top w:val="dashSmallGap" w:sz="4" w:space="0" w:color="auto"/>
              <w:left w:val="single" w:sz="4" w:space="0" w:color="auto"/>
              <w:bottom w:val="single" w:sz="4" w:space="0" w:color="auto"/>
            </w:tcBorders>
            <w:shd w:val="clear" w:color="auto" w:fill="auto"/>
          </w:tcPr>
          <w:p w:rsidR="002A43CB" w:rsidRDefault="0048172E">
            <w:pPr>
              <w:rPr>
                <w:noProof/>
              </w:rPr>
            </w:pPr>
            <w:r>
              <w:rPr>
                <w:noProof/>
              </w:rPr>
              <w:t>Poverty/social exclusion:</w:t>
            </w:r>
          </w:p>
          <w:p w:rsidR="002A43CB" w:rsidRDefault="0048172E">
            <w:pPr>
              <w:rPr>
                <w:noProof/>
              </w:rPr>
            </w:pPr>
            <w:r>
              <w:rPr>
                <w:noProof/>
              </w:rPr>
              <w:t>reduction of the number of people threatened by poverty or social exclusion by 6 000 i</w:t>
            </w:r>
            <w:r>
              <w:rPr>
                <w:noProof/>
              </w:rPr>
              <w:t>n 2020.</w:t>
            </w:r>
          </w:p>
        </w:tc>
        <w:tc>
          <w:tcPr>
            <w:tcW w:w="4394" w:type="dxa"/>
            <w:tcBorders>
              <w:top w:val="dashSmallGap" w:sz="4" w:space="0" w:color="auto"/>
              <w:bottom w:val="single" w:sz="4" w:space="0" w:color="auto"/>
            </w:tcBorders>
            <w:shd w:val="clear" w:color="auto" w:fill="auto"/>
          </w:tcPr>
          <w:p w:rsidR="002A43CB" w:rsidRDefault="0048172E">
            <w:pPr>
              <w:rPr>
                <w:noProof/>
              </w:rPr>
            </w:pPr>
            <w:r>
              <w:rPr>
                <w:noProof/>
              </w:rPr>
              <w:t xml:space="preserve">In 2015, 95000 people were at risk of poverty or social exclusion (starting from 84.000 in 2011), 1000 less than in 2014 but still well above the target set in 2012. </w:t>
            </w:r>
          </w:p>
        </w:tc>
      </w:tr>
    </w:tbl>
    <w:p w:rsidR="002A43CB" w:rsidRDefault="002A43CB">
      <w:pPr>
        <w:rPr>
          <w:noProof/>
        </w:rPr>
        <w:sectPr w:rsidR="002A43CB">
          <w:headerReference w:type="even" r:id="rId99"/>
          <w:headerReference w:type="default" r:id="rId100"/>
          <w:footerReference w:type="even" r:id="rId101"/>
          <w:footerReference w:type="default" r:id="rId102"/>
          <w:headerReference w:type="first" r:id="rId103"/>
          <w:footerReference w:type="first" r:id="rId104"/>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2A43CB" w:rsidRDefault="0048172E">
      <w:pPr>
        <w:pStyle w:val="SectionTitleFramedtwolines1"/>
        <w:framePr w:wrap="notBeside"/>
        <w:rPr>
          <w:noProof/>
        </w:rPr>
      </w:pPr>
      <w:bookmarkStart w:id="60" w:name="_Toc474676045"/>
      <w:bookmarkStart w:id="61" w:name="_Toc474829376"/>
      <w:bookmarkEnd w:id="60"/>
      <w:bookmarkEnd w:id="61"/>
      <w:r>
        <w:rPr>
          <w:noProof/>
        </w:rPr>
        <w:t>Annex B</w:t>
      </w:r>
    </w:p>
    <w:p w:rsidR="002A43CB" w:rsidRDefault="0048172E">
      <w:pPr>
        <w:pStyle w:val="AnnexTitleFramed1"/>
        <w:framePr w:wrap="notBeside"/>
        <w:rPr>
          <w:noProof/>
        </w:rPr>
      </w:pPr>
      <w:r>
        <w:rPr>
          <w:noProof/>
        </w:rPr>
        <w:t>MIP Scoreboard</w:t>
      </w:r>
    </w:p>
    <w:p w:rsidR="002A43CB" w:rsidRDefault="002A43CB">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2A43CB">
            <w:pPr>
              <w:pStyle w:val="SlimCell"/>
              <w:keepNext/>
              <w:rPr>
                <w:noProof/>
              </w:rPr>
            </w:pPr>
          </w:p>
        </w:tc>
      </w:tr>
      <w:tr w:rsidR="002A43CB">
        <w:trPr>
          <w:cantSplit/>
        </w:trPr>
        <w:tc>
          <w:tcPr>
            <w:tcW w:w="8505" w:type="dxa"/>
            <w:shd w:val="clear" w:color="auto" w:fill="auto"/>
          </w:tcPr>
          <w:p w:rsidR="002A43CB" w:rsidRDefault="0048172E">
            <w:pPr>
              <w:pStyle w:val="TableTitle"/>
              <w:rPr>
                <w:b/>
                <w:noProof/>
              </w:rPr>
            </w:pPr>
            <w:r>
              <w:rPr>
                <w:noProof/>
              </w:rPr>
              <w:t>Table B.1:</w:t>
            </w:r>
            <w:r>
              <w:rPr>
                <w:b/>
                <w:noProof/>
              </w:rPr>
              <w:tab/>
              <w:t>The MIP scoreboard for Luxembourg</w:t>
            </w:r>
          </w:p>
        </w:tc>
      </w:tr>
      <w:tr w:rsidR="002A43CB">
        <w:trPr>
          <w:cantSplit/>
        </w:trPr>
        <w:tc>
          <w:tcPr>
            <w:tcW w:w="8505" w:type="dxa"/>
            <w:shd w:val="clear" w:color="auto" w:fill="auto"/>
          </w:tcPr>
          <w:p w:rsidR="002A43CB" w:rsidRDefault="0048172E">
            <w:pPr>
              <w:pStyle w:val="TableShape"/>
              <w:rPr>
                <w:noProof/>
                <w:sz w:val="2"/>
              </w:rPr>
            </w:pPr>
            <w:r>
              <w:rPr>
                <w:noProof/>
                <w:sz w:val="2"/>
                <w:lang w:eastAsia="en-GB"/>
              </w:rPr>
              <w:drawing>
                <wp:inline distT="0" distB="0" distL="0" distR="0" wp14:anchorId="654F3CFF" wp14:editId="2BE3DDD3">
                  <wp:extent cx="5400929" cy="5086589"/>
                  <wp:effectExtent l="0" t="0" r="9525" b="0"/>
                  <wp:docPr id="67" name="Picture 67" descr="&lt;_DISABLED_nbr_DISABLED_&gt;&lt;GETTEXTFROMWORD&gt;&lt;/nbr&gt;&#10;&lt;title&gt;&lt;GETTEXTFROMWORD&gt;&lt;/title&gt;&#10;&lt;_DISABLED_id_DISABLED_&gt;04fae45d-5943-422e-bfa0-067bc5e20bac&lt;/id&gt;&#10;&lt;srcType&gt;EXCEL&lt;/srcType&gt;&#10;&lt;srcPath&gt;O:\2017 CRs\16 LU\16_Luxembourg_CR\Graphs,Tables and Boxes\Annex B\&lt;/srcPath&gt;&#10;&lt;srcName&gt;16 LU MIP Table 2017.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6-12-21T15:22: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400929" cy="5086589"/>
                          </a:xfrm>
                          <a:prstGeom prst="rect">
                            <a:avLst/>
                          </a:prstGeom>
                          <a:noFill/>
                          <a:ln>
                            <a:noFill/>
                          </a:ln>
                        </pic:spPr>
                      </pic:pic>
                    </a:graphicData>
                  </a:graphic>
                </wp:inline>
              </w:drawing>
            </w:r>
          </w:p>
        </w:tc>
      </w:tr>
      <w:tr w:rsidR="002A43CB">
        <w:trPr>
          <w:cantSplit/>
        </w:trPr>
        <w:tc>
          <w:tcPr>
            <w:tcW w:w="8505" w:type="dxa"/>
            <w:shd w:val="clear" w:color="auto" w:fill="auto"/>
          </w:tcPr>
          <w:p w:rsidR="002A43CB" w:rsidRDefault="0048172E">
            <w:pPr>
              <w:pStyle w:val="TableFootnote"/>
              <w:rPr>
                <w:noProof/>
              </w:rPr>
            </w:pPr>
            <w:r>
              <w:rPr>
                <w:noProof/>
              </w:rPr>
              <w:t xml:space="preserve">Flags: b: break in time series. i: see metadata.          </w:t>
            </w:r>
            <w:r>
              <w:rPr>
                <w:noProof/>
              </w:rPr>
              <w:br/>
              <w:t>"Note: 1) Unemployment rate: for 2006 i = Eurostat back-calculation</w:t>
            </w:r>
            <w:r>
              <w:rPr>
                <w:noProof/>
              </w:rPr>
              <w:t xml:space="preserve"> to include 2011 Population Census results. 2) Youth unemployment rate: for 2006 i = Eurostat back-calculation to include 2011 Population Census results.</w:t>
            </w:r>
          </w:p>
          <w:p w:rsidR="002A43CB" w:rsidRDefault="0048172E">
            <w:pPr>
              <w:pStyle w:val="TableSource"/>
              <w:rPr>
                <w:noProof/>
              </w:rPr>
            </w:pPr>
            <w:r>
              <w:rPr>
                <w:b/>
                <w:i/>
                <w:noProof/>
              </w:rPr>
              <w:t>Source:</w:t>
            </w:r>
            <w:r>
              <w:rPr>
                <w:noProof/>
              </w:rPr>
              <w:t xml:space="preserve"> European Commission, Eurostat and Directorate General for Economic and Financial Affairs (for Real Effective Exchange Rate), and International Monetary Fund</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2A43CB">
      <w:pPr>
        <w:rPr>
          <w:noProof/>
        </w:rPr>
        <w:sectPr w:rsidR="002A43CB">
          <w:headerReference w:type="even" r:id="rId106"/>
          <w:headerReference w:type="default" r:id="rId107"/>
          <w:footerReference w:type="even" r:id="rId108"/>
          <w:footerReference w:type="default" r:id="rId109"/>
          <w:headerReference w:type="first" r:id="rId110"/>
          <w:footerReference w:type="first" r:id="rId111"/>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48172E">
            <w:pPr>
              <w:pStyle w:val="SectionTitleFramedtwolines2"/>
              <w:framePr w:w="0" w:hRule="auto" w:wrap="auto" w:vAnchor="margin" w:yAlign="inline"/>
              <w:rPr>
                <w:noProof/>
              </w:rPr>
            </w:pPr>
            <w:bookmarkStart w:id="62" w:name="_Toc474676046"/>
            <w:bookmarkStart w:id="63" w:name="_Toc474829377"/>
            <w:bookmarkEnd w:id="62"/>
            <w:bookmarkEnd w:id="63"/>
            <w:r>
              <w:rPr>
                <w:noProof/>
              </w:rPr>
              <w:t>Annex C</w:t>
            </w:r>
          </w:p>
          <w:p w:rsidR="002A43CB" w:rsidRDefault="0048172E">
            <w:pPr>
              <w:pStyle w:val="AnnexTitleFramed2"/>
              <w:framePr w:w="0" w:hRule="auto" w:wrap="auto" w:vAnchor="margin" w:yAlign="inline"/>
              <w:rPr>
                <w:noProof/>
              </w:rPr>
            </w:pPr>
            <w:r>
              <w:rPr>
                <w:noProof/>
              </w:rPr>
              <w:t>Standard Tables</w:t>
            </w:r>
          </w:p>
          <w:p w:rsidR="002A43CB" w:rsidRDefault="002A43CB">
            <w:pPr>
              <w:pStyle w:val="SlimCell"/>
              <w:keepNext/>
              <w:rPr>
                <w:noProof/>
              </w:rPr>
            </w:pPr>
          </w:p>
        </w:tc>
      </w:tr>
      <w:tr w:rsidR="002A43CB">
        <w:trPr>
          <w:cantSplit/>
        </w:trPr>
        <w:tc>
          <w:tcPr>
            <w:tcW w:w="8505" w:type="dxa"/>
            <w:shd w:val="clear" w:color="auto" w:fill="auto"/>
          </w:tcPr>
          <w:p w:rsidR="002A43CB" w:rsidRDefault="0048172E">
            <w:pPr>
              <w:pStyle w:val="TableTitle"/>
              <w:rPr>
                <w:b/>
                <w:noProof/>
              </w:rPr>
            </w:pPr>
            <w:r>
              <w:rPr>
                <w:noProof/>
              </w:rPr>
              <w:t>Table C.1:</w:t>
            </w:r>
            <w:r>
              <w:rPr>
                <w:b/>
                <w:noProof/>
              </w:rPr>
              <w:tab/>
              <w:t>Financial market indicators</w:t>
            </w:r>
          </w:p>
        </w:tc>
      </w:tr>
      <w:tr w:rsidR="002A43CB">
        <w:trPr>
          <w:cantSplit/>
        </w:trPr>
        <w:tc>
          <w:tcPr>
            <w:tcW w:w="8505" w:type="dxa"/>
            <w:shd w:val="clear" w:color="auto" w:fill="auto"/>
          </w:tcPr>
          <w:p w:rsidR="002A43CB" w:rsidRDefault="0048172E">
            <w:pPr>
              <w:pStyle w:val="TableShape"/>
              <w:rPr>
                <w:noProof/>
                <w:sz w:val="2"/>
              </w:rPr>
            </w:pPr>
            <w:r>
              <w:rPr>
                <w:noProof/>
                <w:sz w:val="2"/>
                <w:lang w:eastAsia="en-GB"/>
              </w:rPr>
              <w:drawing>
                <wp:inline distT="0" distB="0" distL="0" distR="0" wp14:anchorId="5FC1C3AA" wp14:editId="277C2CB2">
                  <wp:extent cx="5400929" cy="2028920"/>
                  <wp:effectExtent l="0" t="0" r="9525" b="9525"/>
                  <wp:docPr id="68" name="Picture 68" descr="&lt;_DISABLED_nbr_DISABLED_&gt;&lt;GETTEXTFROMWORD&gt;&lt;/nbr&gt;&#10;&lt;title&gt;&lt;GETTEXTFROMWORD&gt;&lt;/title&gt;&#10;&lt;_DISABLED_id_DISABLED_&gt;c49a3031-7637-44fd-964b-2f7805f68a46&lt;/id&gt;&#10;&lt;srcType&gt;EXCEL&lt;/srcType&gt;&#10;&lt;srcPath&gt;P:\European Semester\2017\Working space for country desks\06 Country Reports\08 Statistical Annex tables- standard tables\03 Compiled by MS\16 LU\&lt;/srcPath&gt;&#10;&lt;srcName&gt;16 LU Standard tables.xls&lt;/srcName&gt;&#10;&lt;type&gt;table&lt;/type&gt;&#10; &lt;srcSheet&gt;LU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4:50:3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400929" cy="2028920"/>
                          </a:xfrm>
                          <a:prstGeom prst="rect">
                            <a:avLst/>
                          </a:prstGeom>
                          <a:noFill/>
                          <a:ln>
                            <a:noFill/>
                          </a:ln>
                        </pic:spPr>
                      </pic:pic>
                    </a:graphicData>
                  </a:graphic>
                </wp:inline>
              </w:drawing>
            </w:r>
          </w:p>
        </w:tc>
      </w:tr>
      <w:tr w:rsidR="002A43CB">
        <w:trPr>
          <w:cantSplit/>
        </w:trPr>
        <w:tc>
          <w:tcPr>
            <w:tcW w:w="8505" w:type="dxa"/>
            <w:shd w:val="clear" w:color="auto" w:fill="auto"/>
          </w:tcPr>
          <w:p w:rsidR="002A43CB" w:rsidRDefault="0048172E">
            <w:pPr>
              <w:pStyle w:val="TableFootnote"/>
              <w:rPr>
                <w:noProof/>
              </w:rPr>
            </w:pPr>
            <w:r>
              <w:rPr>
                <w:noProof/>
              </w:rPr>
              <w:t>(1) Latest data Q2 2016.</w:t>
            </w:r>
            <w:r>
              <w:rPr>
                <w:noProof/>
              </w:rPr>
              <w:br/>
              <w:t>(2) Quarterly values are not annualised.</w:t>
            </w:r>
            <w:r>
              <w:rPr>
                <w:noProof/>
              </w:rPr>
              <w:br/>
              <w:t>* Measures in basis points</w:t>
            </w:r>
          </w:p>
          <w:p w:rsidR="002A43CB" w:rsidRDefault="0048172E">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2A43CB">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2A43CB">
            <w:pPr>
              <w:pStyle w:val="SlimCell"/>
              <w:keepNext/>
              <w:rPr>
                <w:noProof/>
              </w:rPr>
            </w:pPr>
            <w:bookmarkStart w:id="64" w:name="_Toc474676047"/>
            <w:bookmarkEnd w:id="64"/>
          </w:p>
        </w:tc>
      </w:tr>
      <w:tr w:rsidR="002A43CB">
        <w:trPr>
          <w:cantSplit/>
        </w:trPr>
        <w:tc>
          <w:tcPr>
            <w:tcW w:w="8505" w:type="dxa"/>
            <w:shd w:val="clear" w:color="auto" w:fill="auto"/>
          </w:tcPr>
          <w:p w:rsidR="002A43CB" w:rsidRDefault="0048172E">
            <w:pPr>
              <w:pStyle w:val="TableTitle"/>
              <w:rPr>
                <w:b/>
                <w:noProof/>
              </w:rPr>
            </w:pPr>
            <w:r>
              <w:rPr>
                <w:noProof/>
              </w:rPr>
              <w:t>Table C.2:</w:t>
            </w:r>
            <w:r>
              <w:rPr>
                <w:b/>
                <w:noProof/>
              </w:rPr>
              <w:tab/>
              <w:t>Labour market and social indicators</w:t>
            </w:r>
          </w:p>
        </w:tc>
      </w:tr>
      <w:tr w:rsidR="002A43CB">
        <w:trPr>
          <w:cantSplit/>
        </w:trPr>
        <w:tc>
          <w:tcPr>
            <w:tcW w:w="8505" w:type="dxa"/>
            <w:shd w:val="clear" w:color="auto" w:fill="auto"/>
          </w:tcPr>
          <w:p w:rsidR="002A43CB" w:rsidRDefault="0048172E">
            <w:pPr>
              <w:pStyle w:val="TableShape"/>
              <w:rPr>
                <w:noProof/>
                <w:sz w:val="2"/>
              </w:rPr>
            </w:pPr>
            <w:r>
              <w:rPr>
                <w:noProof/>
                <w:sz w:val="2"/>
                <w:lang w:eastAsia="en-GB"/>
              </w:rPr>
              <w:drawing>
                <wp:inline distT="0" distB="0" distL="0" distR="0" wp14:anchorId="61CB7DA2" wp14:editId="569F88F1">
                  <wp:extent cx="5400929" cy="4247400"/>
                  <wp:effectExtent l="0" t="0" r="0" b="1270"/>
                  <wp:docPr id="69" name="Picture 69" descr="&lt;_DISABLED_nbr_DISABLED_&gt;&lt;GETTEXTFROMWORD&gt;&lt;/nbr&gt;&#10;&lt;title&gt;&lt;GETTEXTFROMWORD&gt;&lt;/title&gt;&#10;&lt;_DISABLED_id_DISABLED_&gt;b1ef3877-5566-423a-b84f-e44424fd0826&lt;/id&gt;&#10;&lt;srcType&gt;EXCEL&lt;/srcType&gt;&#10;&lt;srcPath&gt;P:\European Semester\2017\Working space for country desks\06 Country Reports\08 Statistical Annex tables- standard tables\03 Compiled by MS\16 LU\&lt;/srcPath&gt;&#10;&lt;srcName&gt;16 LU Standard tables.xls&lt;/srcName&gt;&#10;&lt;type&gt;table&lt;/type&gt;&#10; &lt;srcSheet&gt;LU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4:50:3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00929" cy="4247400"/>
                          </a:xfrm>
                          <a:prstGeom prst="rect">
                            <a:avLst/>
                          </a:prstGeom>
                          <a:noFill/>
                          <a:ln>
                            <a:noFill/>
                          </a:ln>
                        </pic:spPr>
                      </pic:pic>
                    </a:graphicData>
                  </a:graphic>
                </wp:inline>
              </w:drawing>
            </w:r>
          </w:p>
        </w:tc>
      </w:tr>
      <w:tr w:rsidR="002A43CB" w:rsidRPr="0048172E">
        <w:trPr>
          <w:cantSplit/>
        </w:trPr>
        <w:tc>
          <w:tcPr>
            <w:tcW w:w="8505" w:type="dxa"/>
            <w:shd w:val="clear" w:color="auto" w:fill="auto"/>
          </w:tcPr>
          <w:p w:rsidR="002A43CB" w:rsidRDefault="0048172E">
            <w:pPr>
              <w:pStyle w:val="TableFootnote"/>
              <w:rPr>
                <w:noProof/>
              </w:rPr>
            </w:pPr>
            <w:r>
              <w:rPr>
                <w:noProof/>
              </w:rPr>
              <w:t xml:space="preserve">1 Unemployed persons are all those who were not employed but had actively sought work and were ready to begin working immediately or within 2 weeks.      </w:t>
            </w:r>
            <w:r>
              <w:rPr>
                <w:noProof/>
              </w:rPr>
              <w:br/>
              <w:t xml:space="preserve">2 Long-term unemployed are peoples who have been unemployed for at least 12 months.      </w:t>
            </w:r>
            <w:r>
              <w:rPr>
                <w:noProof/>
              </w:rPr>
              <w:br/>
              <w:t>3 Not in ed</w:t>
            </w:r>
            <w:r>
              <w:rPr>
                <w:noProof/>
              </w:rPr>
              <w:t xml:space="preserve">ucation employment or training.      </w:t>
            </w:r>
            <w:r>
              <w:rPr>
                <w:noProof/>
              </w:rPr>
              <w:br/>
              <w:t xml:space="preserve">4 Average of first three quarters of 2016. Data for total unemployment and youth unemployment rates are seasonally adjusted.      </w:t>
            </w:r>
          </w:p>
          <w:p w:rsidR="002A43CB" w:rsidRDefault="0048172E">
            <w:pPr>
              <w:pStyle w:val="TableSource"/>
              <w:rPr>
                <w:noProof/>
                <w:lang w:val="fr-BE"/>
              </w:rPr>
            </w:pPr>
            <w:r>
              <w:rPr>
                <w:b/>
                <w:i/>
                <w:noProof/>
                <w:lang w:val="fr-BE"/>
              </w:rPr>
              <w:t>Source:</w:t>
            </w:r>
            <w:r>
              <w:rPr>
                <w:noProof/>
                <w:lang w:val="fr-BE"/>
              </w:rPr>
              <w:t xml:space="preserve"> European Commission (EU Labour Force Survey).</w:t>
            </w:r>
          </w:p>
        </w:tc>
      </w:tr>
      <w:tr w:rsidR="002A43CB" w:rsidRPr="0048172E">
        <w:trPr>
          <w:cantSplit/>
          <w:trHeight w:val="20"/>
        </w:trPr>
        <w:tc>
          <w:tcPr>
            <w:tcW w:w="8505" w:type="dxa"/>
            <w:shd w:val="clear" w:color="auto" w:fill="auto"/>
          </w:tcPr>
          <w:p w:rsidR="002A43CB" w:rsidRDefault="002A43CB">
            <w:pPr>
              <w:pStyle w:val="SlimCell"/>
              <w:rPr>
                <w:noProof/>
                <w:lang w:val="fr-BE"/>
              </w:rPr>
            </w:pPr>
          </w:p>
        </w:tc>
      </w:tr>
    </w:tbl>
    <w:p w:rsidR="002A43CB" w:rsidRDefault="002A43CB">
      <w:pPr>
        <w:pStyle w:val="MultipageDelimiter"/>
        <w:rPr>
          <w:noProof/>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rsidRPr="0048172E">
        <w:trPr>
          <w:cantSplit/>
          <w:trHeight w:val="20"/>
        </w:trPr>
        <w:tc>
          <w:tcPr>
            <w:tcW w:w="8505" w:type="dxa"/>
            <w:shd w:val="clear" w:color="auto" w:fill="auto"/>
          </w:tcPr>
          <w:p w:rsidR="002A43CB" w:rsidRDefault="002A43CB">
            <w:pPr>
              <w:pStyle w:val="SlimCell"/>
              <w:keepNext/>
              <w:rPr>
                <w:noProof/>
                <w:lang w:val="fr-BE"/>
              </w:rPr>
            </w:pPr>
            <w:bookmarkStart w:id="65" w:name="_Toc474676048"/>
            <w:bookmarkEnd w:id="65"/>
          </w:p>
        </w:tc>
      </w:tr>
      <w:tr w:rsidR="002A43CB">
        <w:trPr>
          <w:cantSplit/>
        </w:trPr>
        <w:tc>
          <w:tcPr>
            <w:tcW w:w="8505" w:type="dxa"/>
            <w:shd w:val="clear" w:color="auto" w:fill="auto"/>
          </w:tcPr>
          <w:p w:rsidR="002A43CB" w:rsidRDefault="0048172E">
            <w:pPr>
              <w:pStyle w:val="TableTitle"/>
              <w:rPr>
                <w:b/>
                <w:noProof/>
              </w:rPr>
            </w:pPr>
            <w:r>
              <w:rPr>
                <w:noProof/>
              </w:rPr>
              <w:t>Table C.3:</w:t>
            </w:r>
            <w:r>
              <w:rPr>
                <w:b/>
                <w:noProof/>
              </w:rPr>
              <w:tab/>
              <w:t xml:space="preserve">Labour market </w:t>
            </w:r>
            <w:r>
              <w:rPr>
                <w:b/>
                <w:noProof/>
              </w:rPr>
              <w:t>and social indicators (cont.)</w:t>
            </w:r>
          </w:p>
        </w:tc>
      </w:tr>
      <w:tr w:rsidR="002A43CB">
        <w:trPr>
          <w:cantSplit/>
        </w:trPr>
        <w:tc>
          <w:tcPr>
            <w:tcW w:w="8505" w:type="dxa"/>
            <w:shd w:val="clear" w:color="auto" w:fill="auto"/>
          </w:tcPr>
          <w:p w:rsidR="002A43CB" w:rsidRDefault="0048172E">
            <w:pPr>
              <w:pStyle w:val="TableShape"/>
              <w:rPr>
                <w:noProof/>
                <w:sz w:val="2"/>
              </w:rPr>
            </w:pPr>
            <w:r>
              <w:rPr>
                <w:noProof/>
                <w:sz w:val="2"/>
              </w:rPr>
              <w:t xml:space="preserve"> </w:t>
            </w:r>
            <w:r>
              <w:rPr>
                <w:noProof/>
                <w:sz w:val="2"/>
                <w:lang w:eastAsia="en-GB"/>
              </w:rPr>
              <w:drawing>
                <wp:inline distT="0" distB="0" distL="0" distR="0" wp14:anchorId="41555E44" wp14:editId="030E32F2">
                  <wp:extent cx="5461445" cy="4106173"/>
                  <wp:effectExtent l="0" t="0" r="635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61063" cy="4105886"/>
                          </a:xfrm>
                          <a:prstGeom prst="rect">
                            <a:avLst/>
                          </a:prstGeom>
                          <a:noFill/>
                          <a:ln>
                            <a:noFill/>
                          </a:ln>
                        </pic:spPr>
                      </pic:pic>
                    </a:graphicData>
                  </a:graphic>
                </wp:inline>
              </w:drawing>
            </w:r>
          </w:p>
        </w:tc>
      </w:tr>
      <w:tr w:rsidR="002A43CB">
        <w:trPr>
          <w:cantSplit/>
        </w:trPr>
        <w:tc>
          <w:tcPr>
            <w:tcW w:w="8505" w:type="dxa"/>
            <w:shd w:val="clear" w:color="auto" w:fill="auto"/>
          </w:tcPr>
          <w:p w:rsidR="002A43CB" w:rsidRDefault="0048172E">
            <w:pPr>
              <w:pStyle w:val="TableFootnote"/>
              <w:rPr>
                <w:noProof/>
              </w:rPr>
            </w:pPr>
            <w:r>
              <w:rPr>
                <w:noProof/>
              </w:rPr>
              <w:t>(1) People at risk of poverty or social exclusion: individuals who are at risk of poverty and/or suffering from severe material deprivation and/or living in households with zero or very low work intensity.</w:t>
            </w:r>
            <w:r>
              <w:rPr>
                <w:noProof/>
              </w:rPr>
              <w:br/>
              <w:t xml:space="preserve">(2) </w:t>
            </w:r>
            <w:r>
              <w:rPr>
                <w:noProof/>
              </w:rPr>
              <w:t>At-risk-of-poverty rate: proportion of people with an equivalised disposable income below 60</w:t>
            </w:r>
            <w:r>
              <w:rPr>
                <w:rFonts w:ascii="Arial" w:hAnsi="Arial" w:cs="Arial"/>
                <w:noProof/>
              </w:rPr>
              <w:t> </w:t>
            </w:r>
            <w:r>
              <w:rPr>
                <w:noProof/>
              </w:rPr>
              <w:t xml:space="preserve">% of the national equivalised median income. </w:t>
            </w:r>
            <w:r>
              <w:rPr>
                <w:noProof/>
              </w:rPr>
              <w:br/>
              <w:t>(3) Proportion of people who experience at least four of the following forms of deprivation: not being able to afford</w:t>
            </w:r>
            <w:r>
              <w:rPr>
                <w:noProof/>
              </w:rPr>
              <w:t xml:space="preserve"> to i) pay their rent or utility bills, ii) keep their home adequately warm, iii) face unexpected expenses, iv) eat meat, fish or a protein equivalent every second day, v) enjoy a week of holiday away from home once a year, vi) have a car, vii) have a wash</w:t>
            </w:r>
            <w:r>
              <w:rPr>
                <w:noProof/>
              </w:rPr>
              <w:t>ing machine, viii) have a colour TV, or ix) have a telephone.</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w:t>
            </w:r>
            <w:r>
              <w:rPr>
                <w:noProof/>
              </w:rPr>
              <w:t>otal work-time potential in the previous 12 months.</w:t>
            </w:r>
            <w:r>
              <w:rPr>
                <w:noProof/>
              </w:rPr>
              <w:br/>
              <w:t>(5) For EE, CY, MT, SI and SK, thresholds in nominal values in euros; harmonised index of consumer prices (HICP) = 100 in 2006 (2007 survey refers to 2006 incomes).</w:t>
            </w:r>
          </w:p>
          <w:p w:rsidR="002A43CB" w:rsidRDefault="0048172E">
            <w:pPr>
              <w:pStyle w:val="TableSource"/>
              <w:rPr>
                <w:noProof/>
              </w:rPr>
            </w:pPr>
            <w:r>
              <w:rPr>
                <w:b/>
                <w:i/>
                <w:noProof/>
              </w:rPr>
              <w:t>Source:</w:t>
            </w:r>
            <w:r>
              <w:rPr>
                <w:noProof/>
              </w:rPr>
              <w:t xml:space="preserve"> For expenditure for social prot</w:t>
            </w:r>
            <w:r>
              <w:rPr>
                <w:noProof/>
              </w:rPr>
              <w:t>ection benefits ESSPROS; for social inclusion EU-SILC.</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2A43CB">
      <w:pPr>
        <w:rPr>
          <w:noProof/>
        </w:rPr>
      </w:pPr>
    </w:p>
    <w:p w:rsidR="002A43CB" w:rsidRDefault="002A43CB">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2A43CB">
            <w:pPr>
              <w:pStyle w:val="SlimCell"/>
              <w:keepNext/>
              <w:rPr>
                <w:noProof/>
              </w:rPr>
            </w:pPr>
            <w:bookmarkStart w:id="66" w:name="_Toc474676049"/>
            <w:bookmarkEnd w:id="66"/>
          </w:p>
        </w:tc>
      </w:tr>
      <w:tr w:rsidR="002A43CB">
        <w:trPr>
          <w:cantSplit/>
        </w:trPr>
        <w:tc>
          <w:tcPr>
            <w:tcW w:w="8505" w:type="dxa"/>
            <w:shd w:val="clear" w:color="auto" w:fill="auto"/>
          </w:tcPr>
          <w:p w:rsidR="002A43CB" w:rsidRDefault="0048172E">
            <w:pPr>
              <w:pStyle w:val="TableTitle"/>
              <w:rPr>
                <w:b/>
                <w:noProof/>
              </w:rPr>
            </w:pPr>
            <w:r>
              <w:rPr>
                <w:noProof/>
              </w:rPr>
              <w:t>Table C.4:</w:t>
            </w:r>
            <w:r>
              <w:rPr>
                <w:b/>
                <w:noProof/>
              </w:rPr>
              <w:tab/>
              <w:t>Product market performance and policy indicators</w:t>
            </w:r>
          </w:p>
        </w:tc>
      </w:tr>
      <w:tr w:rsidR="002A43CB">
        <w:trPr>
          <w:cantSplit/>
        </w:trPr>
        <w:tc>
          <w:tcPr>
            <w:tcW w:w="8505" w:type="dxa"/>
            <w:shd w:val="clear" w:color="auto" w:fill="auto"/>
          </w:tcPr>
          <w:p w:rsidR="002A43CB" w:rsidRDefault="0048172E">
            <w:pPr>
              <w:pStyle w:val="TableShape"/>
              <w:rPr>
                <w:noProof/>
                <w:sz w:val="2"/>
              </w:rPr>
            </w:pPr>
            <w:r>
              <w:rPr>
                <w:noProof/>
                <w:sz w:val="2"/>
                <w:lang w:eastAsia="en-GB"/>
              </w:rPr>
              <w:drawing>
                <wp:inline distT="0" distB="0" distL="0" distR="0" wp14:anchorId="52C51207" wp14:editId="6D518583">
                  <wp:extent cx="5400929" cy="5010064"/>
                  <wp:effectExtent l="0" t="0" r="0" b="635"/>
                  <wp:docPr id="71" name="Picture 71" descr="&lt;_DISABLED_nbr_DISABLED_&gt;&lt;GETTEXTFROMWORD&gt;&lt;/nbr&gt;&#10;&lt;title&gt;&lt;GETTEXTFROMWORD&gt;&lt;/title&gt;&#10;&lt;_DISABLED_id_DISABLED_&gt;9505fa4d-8d05-429a-a3a8-4f6f269e0db8&lt;/id&gt;&#10;&lt;srcType&gt;EXCEL&lt;/srcType&gt;&#10;&lt;srcPath&gt;P:\European Semester\2017\Working space for country desks\06 Country Reports\08 Statistical Annex tables- standard tables\03 Compiled by MS\16 LU\&lt;/srcPath&gt;&#10;&lt;srcName&gt;16 LU Standard tables.xls&lt;/srcName&gt;&#10;&lt;type&gt;table&lt;/type&gt;&#10; &lt;srcSheet&gt;LU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4:50:3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00929" cy="5010064"/>
                          </a:xfrm>
                          <a:prstGeom prst="rect">
                            <a:avLst/>
                          </a:prstGeom>
                          <a:noFill/>
                          <a:ln>
                            <a:noFill/>
                          </a:ln>
                        </pic:spPr>
                      </pic:pic>
                    </a:graphicData>
                  </a:graphic>
                </wp:inline>
              </w:drawing>
            </w:r>
          </w:p>
        </w:tc>
      </w:tr>
      <w:tr w:rsidR="002A43CB">
        <w:trPr>
          <w:cantSplit/>
        </w:trPr>
        <w:tc>
          <w:tcPr>
            <w:tcW w:w="8505" w:type="dxa"/>
            <w:shd w:val="clear" w:color="auto" w:fill="auto"/>
          </w:tcPr>
          <w:p w:rsidR="002A43CB" w:rsidRDefault="0048172E">
            <w:pPr>
              <w:pStyle w:val="TableFootnote"/>
              <w:rPr>
                <w:noProof/>
              </w:rPr>
            </w:pPr>
            <w:r>
              <w:rPr>
                <w:noProof/>
              </w:rPr>
              <w:t xml:space="preserve">1 The methodologies, including the assumptions, for this indicator are shown in detail at: http://www.doingbusiness.org/methodology.       </w:t>
            </w:r>
            <w:r>
              <w:rPr>
                <w:noProof/>
              </w:rPr>
              <w:br/>
              <w:t>2 Average of the answer to question Q7B_a. "[Bank loan]: If you applied and tried to negotiate for this type of fina</w:t>
            </w:r>
            <w:r>
              <w:rPr>
                <w:noProof/>
              </w:rPr>
              <w:t xml:space="preserve">ncing over the past six months, what was the outcome?". Answers were codified as follows: zero if received everything, one if received most of it, two if only received a limited part of it, three if refused or rejected and treated as missing values if the </w:t>
            </w:r>
            <w:r>
              <w:rPr>
                <w:noProof/>
              </w:rPr>
              <w:t xml:space="preserve">application is still pending or if the outcome is not known.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5 Index: 0 = not r</w:t>
            </w:r>
            <w:r>
              <w:rPr>
                <w:noProof/>
              </w:rPr>
              <w:t xml:space="preserve">egulated; 6 = most regulated. The methodologies of the OECD product market regulation indicators are shown in detail at: http://www.oecd.org/competition/reform/indicatorsofproductmarketregulationhomepage.htm      </w:t>
            </w:r>
            <w:r>
              <w:rPr>
                <w:noProof/>
              </w:rPr>
              <w:br/>
              <w:t xml:space="preserve">6 Aggregate OECD indicators of regulation </w:t>
            </w:r>
            <w:r>
              <w:rPr>
                <w:noProof/>
              </w:rPr>
              <w:t>in energy, transport and communications .</w:t>
            </w:r>
          </w:p>
          <w:p w:rsidR="002A43CB" w:rsidRDefault="0048172E">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w:t>
            </w:r>
            <w:r>
              <w:rPr>
                <w:noProof/>
              </w:rPr>
              <w:t xml:space="preserve"> loans).</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2A43CB">
      <w:pPr>
        <w:rPr>
          <w:noProof/>
        </w:rPr>
      </w:pPr>
    </w:p>
    <w:p w:rsidR="002A43CB" w:rsidRDefault="002A43CB">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A43CB">
        <w:trPr>
          <w:cantSplit/>
          <w:trHeight w:val="20"/>
        </w:trPr>
        <w:tc>
          <w:tcPr>
            <w:tcW w:w="8505" w:type="dxa"/>
            <w:shd w:val="clear" w:color="auto" w:fill="auto"/>
          </w:tcPr>
          <w:p w:rsidR="002A43CB" w:rsidRDefault="002A43CB">
            <w:pPr>
              <w:pStyle w:val="SlimCell"/>
              <w:keepNext/>
              <w:rPr>
                <w:noProof/>
              </w:rPr>
            </w:pPr>
            <w:bookmarkStart w:id="67" w:name="_Toc474676050"/>
            <w:bookmarkEnd w:id="67"/>
          </w:p>
        </w:tc>
      </w:tr>
      <w:tr w:rsidR="002A43CB">
        <w:trPr>
          <w:cantSplit/>
        </w:trPr>
        <w:tc>
          <w:tcPr>
            <w:tcW w:w="8505" w:type="dxa"/>
            <w:shd w:val="clear" w:color="auto" w:fill="auto"/>
          </w:tcPr>
          <w:p w:rsidR="002A43CB" w:rsidRDefault="0048172E">
            <w:pPr>
              <w:pStyle w:val="TableTitle"/>
              <w:rPr>
                <w:b/>
                <w:noProof/>
              </w:rPr>
            </w:pPr>
            <w:r>
              <w:rPr>
                <w:noProof/>
              </w:rPr>
              <w:t>Table C.5:</w:t>
            </w:r>
            <w:r>
              <w:rPr>
                <w:b/>
                <w:noProof/>
              </w:rPr>
              <w:tab/>
              <w:t>Green growth</w:t>
            </w:r>
          </w:p>
        </w:tc>
      </w:tr>
      <w:tr w:rsidR="002A43CB">
        <w:trPr>
          <w:cantSplit/>
        </w:trPr>
        <w:tc>
          <w:tcPr>
            <w:tcW w:w="8505" w:type="dxa"/>
            <w:shd w:val="clear" w:color="auto" w:fill="auto"/>
          </w:tcPr>
          <w:p w:rsidR="002A43CB" w:rsidRDefault="0048172E">
            <w:pPr>
              <w:pStyle w:val="TableShape"/>
              <w:rPr>
                <w:noProof/>
                <w:sz w:val="2"/>
              </w:rPr>
            </w:pPr>
            <w:r>
              <w:rPr>
                <w:noProof/>
                <w:sz w:val="2"/>
              </w:rPr>
              <w:t xml:space="preserve"> </w:t>
            </w:r>
            <w:r>
              <w:rPr>
                <w:noProof/>
                <w:sz w:val="2"/>
                <w:lang w:eastAsia="en-GB"/>
              </w:rPr>
              <w:drawing>
                <wp:inline distT="0" distB="0" distL="0" distR="0" wp14:anchorId="6B7BE3CE" wp14:editId="0ADF415D">
                  <wp:extent cx="5046453" cy="3756541"/>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46453" cy="3756541"/>
                          </a:xfrm>
                          <a:prstGeom prst="rect">
                            <a:avLst/>
                          </a:prstGeom>
                          <a:noFill/>
                          <a:ln>
                            <a:noFill/>
                          </a:ln>
                        </pic:spPr>
                      </pic:pic>
                    </a:graphicData>
                  </a:graphic>
                </wp:inline>
              </w:drawing>
            </w:r>
          </w:p>
        </w:tc>
      </w:tr>
      <w:tr w:rsidR="002A43CB">
        <w:trPr>
          <w:cantSplit/>
        </w:trPr>
        <w:tc>
          <w:tcPr>
            <w:tcW w:w="8505" w:type="dxa"/>
            <w:shd w:val="clear" w:color="auto" w:fill="auto"/>
          </w:tcPr>
          <w:p w:rsidR="002A43CB" w:rsidRDefault="0048172E">
            <w:pPr>
              <w:pStyle w:val="TableFootnote"/>
              <w:rPr>
                <w:noProof/>
              </w:rPr>
            </w:pPr>
            <w:r>
              <w:rPr>
                <w:noProof/>
              </w:rPr>
              <w:t xml:space="preserve">All macro intensity indicators are expressed as a ratio of a physical quantity to GDP (in 2005 prices)        </w:t>
            </w:r>
            <w:r>
              <w:rPr>
                <w:noProof/>
              </w:rPr>
              <w:br/>
            </w:r>
            <w:r>
              <w:rPr>
                <w:noProof/>
              </w:rPr>
              <w:t xml:space="preserve">          Energy intensity: gross inland energy consumption (in kgoe) divided by GDP (in EUR)        </w:t>
            </w:r>
            <w:r>
              <w:rPr>
                <w:noProof/>
              </w:rPr>
              <w:br/>
              <w:t xml:space="preserve">          Carbon intensity: greenhouse gas emissions (in kg CO2 equivalents) divided by GDP (in EUR)        </w:t>
            </w:r>
            <w:r>
              <w:rPr>
                <w:noProof/>
              </w:rPr>
              <w:br/>
              <w:t xml:space="preserve">          Resource intensity: domestic materi</w:t>
            </w:r>
            <w:r>
              <w:rPr>
                <w:noProof/>
              </w:rPr>
              <w:t xml:space="preserve">al consumption (in kg) divided by GDP (in EUR)        </w:t>
            </w:r>
            <w:r>
              <w:rPr>
                <w:noProof/>
              </w:rPr>
              <w:br/>
              <w:t xml:space="preserve">          Waste intensity: waste (in kg) divided by GDP (in EUR)        </w:t>
            </w:r>
            <w:r>
              <w:rPr>
                <w:noProof/>
              </w:rPr>
              <w:br/>
              <w:t xml:space="preserve">Energy balance of trade: the balance of energy exports and imports, expressed as % of GDP          </w:t>
            </w:r>
            <w:r>
              <w:rPr>
                <w:noProof/>
              </w:rPr>
              <w:br/>
              <w:t>Weighting of energy in HICP:</w:t>
            </w:r>
            <w:r>
              <w:rPr>
                <w:noProof/>
              </w:rPr>
              <w:t xml:space="preserve"> the proportion of "energy" items in the consumption basket used for the construction of the HICP        </w:t>
            </w:r>
            <w:r>
              <w:rPr>
                <w:noProof/>
              </w:rPr>
              <w:br/>
              <w:t xml:space="preserve">Difference between energy price change and inflation: energy component of HICP, and total HICP inflation (annual % change)        </w:t>
            </w:r>
            <w:r>
              <w:rPr>
                <w:noProof/>
              </w:rPr>
              <w:br/>
              <w:t>Real unit energy co</w:t>
            </w:r>
            <w:r>
              <w:rPr>
                <w:noProof/>
              </w:rPr>
              <w:t xml:space="preserve">st: real energy costs as a percentage of total value added for the economy        </w:t>
            </w:r>
            <w:r>
              <w:rPr>
                <w:noProof/>
              </w:rPr>
              <w:br/>
              <w:t xml:space="preserve">Environmental taxes over labour taxes and GDP: from European Commission's database, ‘Taxation trends in the European Union’        </w:t>
            </w:r>
            <w:r>
              <w:rPr>
                <w:noProof/>
              </w:rPr>
              <w:br/>
              <w:t>Industry energy intensity: final energy c</w:t>
            </w:r>
            <w:r>
              <w:rPr>
                <w:noProof/>
              </w:rPr>
              <w:t xml:space="preserve">onsumption of industry (in kgoe) divided by gross value added of industry (in 2005 EUR)         </w:t>
            </w:r>
            <w:r>
              <w:rPr>
                <w:noProof/>
              </w:rPr>
              <w:br/>
              <w:t xml:space="preserve">Real unit energy costs for manufacturing industry excluding refining : real costs as a percentage of value added for  manufacturing sectors        </w:t>
            </w:r>
            <w:r>
              <w:rPr>
                <w:noProof/>
              </w:rPr>
              <w:br/>
              <w:t>Share of en</w:t>
            </w:r>
            <w:r>
              <w:rPr>
                <w:noProof/>
              </w:rPr>
              <w:t xml:space="preserve">ergy-intensive industries in the economy: share of gross value added of the energy-intensive industries in GDP        </w:t>
            </w:r>
            <w:r>
              <w:rPr>
                <w:noProof/>
              </w:rPr>
              <w:br/>
              <w:t xml:space="preserve">Electricity and gas prices for medium-sized industrial users: consumption band 500–20 00MWh and 10 000–100 000 GJ; figures excl. VAT.    </w:t>
            </w:r>
            <w:r>
              <w:rPr>
                <w:noProof/>
              </w:rPr>
              <w:t xml:space="preserve">    </w:t>
            </w:r>
            <w:r>
              <w:rPr>
                <w:noProof/>
              </w:rPr>
              <w:br/>
              <w:t xml:space="preserve">Recycling rate of municipal waste: ratio of recycled and composted municipal waste to total municipal waste        </w:t>
            </w:r>
            <w:r>
              <w:rPr>
                <w:noProof/>
              </w:rPr>
              <w:br/>
              <w:t xml:space="preserve">Public R&amp;D for energy or for the environment: government spending on R&amp;D for these categories as % of GDP        </w:t>
            </w:r>
            <w:r>
              <w:rPr>
                <w:noProof/>
              </w:rPr>
              <w:br/>
              <w:t>Proportion of greenho</w:t>
            </w:r>
            <w:r>
              <w:rPr>
                <w:noProof/>
              </w:rPr>
              <w:t xml:space="preserve">use gas (GHG) emissions covered by EU Emissions Trading System (ETS) (excluding aviation): based on greenhouse gas emissions  (excl land use, land use change and forestry) as reported by Member States to the European Environment Agency         </w:t>
            </w:r>
            <w:r>
              <w:rPr>
                <w:noProof/>
              </w:rPr>
              <w:br/>
              <w:t>Transport e</w:t>
            </w:r>
            <w:r>
              <w:rPr>
                <w:noProof/>
              </w:rPr>
              <w:t xml:space="preserve">nergy intensity: final energy consumption of transport activity (kgoe) divided by transport industry gross value added (in 2005 EUR)        </w:t>
            </w:r>
            <w:r>
              <w:rPr>
                <w:noProof/>
              </w:rPr>
              <w:br/>
              <w:t>Transport carbon intensity: greenhouse gas emissions in transport activity divided by gross value added of the tran</w:t>
            </w:r>
            <w:r>
              <w:rPr>
                <w:noProof/>
              </w:rPr>
              <w:t xml:space="preserve">sport sector        </w:t>
            </w:r>
            <w:r>
              <w:rPr>
                <w:noProof/>
              </w:rPr>
              <w:br/>
              <w:t xml:space="preserve">Energy import dependency: net energy imports divided by gross inland energy consumption incl. consumption of international bunker fuels        </w:t>
            </w:r>
            <w:r>
              <w:rPr>
                <w:noProof/>
              </w:rPr>
              <w:br/>
              <w:t>Aggregated supplier concentration index:  covers oil, gas and coal. Smaller values indicate</w:t>
            </w:r>
            <w:r>
              <w:rPr>
                <w:noProof/>
              </w:rPr>
              <w:t xml:space="preserve"> larger diversification and hence lower risk.        </w:t>
            </w:r>
            <w:r>
              <w:rPr>
                <w:noProof/>
              </w:rPr>
              <w:br/>
              <w:t xml:space="preserve">Diversification of the energy mix: Herfindahl index over natural gas, total petrol products, nuclear heat, renewable energies and solid fuels        </w:t>
            </w:r>
            <w:r>
              <w:rPr>
                <w:noProof/>
              </w:rPr>
              <w:br/>
              <w:t>* European Commission and European Environment Agenc</w:t>
            </w:r>
            <w:r>
              <w:rPr>
                <w:noProof/>
              </w:rPr>
              <w:t xml:space="preserve">y        </w:t>
            </w:r>
            <w:r>
              <w:rPr>
                <w:noProof/>
              </w:rPr>
              <w:br/>
            </w:r>
          </w:p>
          <w:p w:rsidR="002A43CB" w:rsidRDefault="0048172E">
            <w:pPr>
              <w:pStyle w:val="TableSource"/>
              <w:rPr>
                <w:noProof/>
              </w:rPr>
            </w:pPr>
            <w:r>
              <w:rPr>
                <w:b/>
                <w:i/>
                <w:noProof/>
              </w:rPr>
              <w:t>Source:</w:t>
            </w:r>
            <w:r>
              <w:rPr>
                <w:noProof/>
              </w:rPr>
              <w:t xml:space="preserve"> European Commission (Eurostat) unless indicated otherwise</w:t>
            </w:r>
          </w:p>
        </w:tc>
      </w:tr>
      <w:tr w:rsidR="002A43CB">
        <w:trPr>
          <w:cantSplit/>
          <w:trHeight w:val="20"/>
        </w:trPr>
        <w:tc>
          <w:tcPr>
            <w:tcW w:w="8505" w:type="dxa"/>
            <w:shd w:val="clear" w:color="auto" w:fill="auto"/>
          </w:tcPr>
          <w:p w:rsidR="002A43CB" w:rsidRDefault="002A43CB">
            <w:pPr>
              <w:pStyle w:val="SlimCell"/>
              <w:rPr>
                <w:noProof/>
              </w:rPr>
            </w:pPr>
          </w:p>
        </w:tc>
      </w:tr>
    </w:tbl>
    <w:p w:rsidR="002A43CB" w:rsidRDefault="002A43CB">
      <w:pPr>
        <w:rPr>
          <w:noProof/>
        </w:rPr>
        <w:sectPr w:rsidR="002A43CB">
          <w:headerReference w:type="even" r:id="rId117"/>
          <w:headerReference w:type="default" r:id="rId118"/>
          <w:footerReference w:type="even" r:id="rId119"/>
          <w:footerReference w:type="default" r:id="rId120"/>
          <w:headerReference w:type="first" r:id="rId121"/>
          <w:footerReference w:type="first" r:id="rId122"/>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2A43CB" w:rsidRDefault="0048172E">
      <w:pPr>
        <w:pStyle w:val="SectionTitleFramed8"/>
        <w:framePr w:wrap="notBeside"/>
        <w:rPr>
          <w:noProof/>
          <w:lang w:val="fr-FR"/>
        </w:rPr>
      </w:pPr>
      <w:bookmarkStart w:id="68" w:name="_Toc474829378"/>
      <w:bookmarkEnd w:id="68"/>
      <w:r>
        <w:rPr>
          <w:noProof/>
          <w:lang w:val="fr-FR"/>
        </w:rPr>
        <w:t>References</w:t>
      </w:r>
    </w:p>
    <w:p w:rsidR="002A43CB" w:rsidRDefault="0048172E">
      <w:pPr>
        <w:rPr>
          <w:noProof/>
        </w:rPr>
      </w:pPr>
      <w:r>
        <w:rPr>
          <w:noProof/>
          <w:lang w:val="fr-BE"/>
        </w:rPr>
        <w:t xml:space="preserve">Banque centrale du Luxembourg, (2017), Bulletin BCL 216/3. </w:t>
      </w:r>
      <w:r>
        <w:rPr>
          <w:noProof/>
        </w:rPr>
        <w:t xml:space="preserve">Available at: </w:t>
      </w:r>
      <w:hyperlink r:id="rId123" w:history="1">
        <w:r>
          <w:rPr>
            <w:rStyle w:val="Hyperlink"/>
            <w:noProof/>
          </w:rPr>
          <w:t>http://www.bcl.lu/fr/publications/bulletins_bcl/Bulletin_BCL_2016_3/index.html</w:t>
        </w:r>
      </w:hyperlink>
      <w:r>
        <w:rPr>
          <w:noProof/>
        </w:rPr>
        <w:t>.</w:t>
      </w:r>
    </w:p>
    <w:p w:rsidR="002A43CB" w:rsidRDefault="0048172E">
      <w:pPr>
        <w:rPr>
          <w:noProof/>
        </w:rPr>
      </w:pPr>
      <w:r>
        <w:rPr>
          <w:noProof/>
          <w:lang w:val="fr-BE"/>
        </w:rPr>
        <w:t>CES, Con</w:t>
      </w:r>
      <w:r>
        <w:rPr>
          <w:noProof/>
          <w:lang w:val="fr-BE"/>
        </w:rPr>
        <w:t xml:space="preserve">seil Economique et Social, (2015), </w:t>
      </w:r>
      <w:r>
        <w:rPr>
          <w:i/>
          <w:noProof/>
          <w:lang w:val="fr-BE"/>
        </w:rPr>
        <w:t>Analyse des données fiscales au Luxembourg</w:t>
      </w:r>
      <w:r>
        <w:rPr>
          <w:noProof/>
          <w:lang w:val="fr-BE"/>
        </w:rPr>
        <w:t xml:space="preserve">. </w:t>
      </w:r>
      <w:r>
        <w:rPr>
          <w:noProof/>
        </w:rPr>
        <w:t xml:space="preserve">Available at: </w:t>
      </w:r>
      <w:hyperlink r:id="rId124" w:history="1">
        <w:r>
          <w:rPr>
            <w:rStyle w:val="Hyperlink"/>
            <w:noProof/>
          </w:rPr>
          <w:t>https://ces.public.lu/fr/index.html</w:t>
        </w:r>
      </w:hyperlink>
    </w:p>
    <w:p w:rsidR="002A43CB" w:rsidRDefault="0048172E">
      <w:pPr>
        <w:rPr>
          <w:noProof/>
        </w:rPr>
      </w:pPr>
      <w:r>
        <w:rPr>
          <w:noProof/>
        </w:rPr>
        <w:t xml:space="preserve">Corrado, C., J. Haskel., C. Jona-Lasinio and M. Iommi, (2012), </w:t>
      </w:r>
      <w:r>
        <w:rPr>
          <w:i/>
          <w:noProof/>
        </w:rPr>
        <w:t>Intangible C</w:t>
      </w:r>
      <w:r>
        <w:rPr>
          <w:i/>
          <w:noProof/>
        </w:rPr>
        <w:t>apital and Growth in Advanced Economies: Measurement Methods and Comparative Results</w:t>
      </w:r>
      <w:r>
        <w:rPr>
          <w:noProof/>
        </w:rPr>
        <w:t>, IZA Discussion paper n. 6733.</w:t>
      </w:r>
    </w:p>
    <w:p w:rsidR="002A43CB" w:rsidRDefault="0048172E">
      <w:pPr>
        <w:rPr>
          <w:noProof/>
        </w:rPr>
      </w:pPr>
      <w:r>
        <w:rPr>
          <w:noProof/>
        </w:rPr>
        <w:t xml:space="preserve">Eco-Innovation Observatory, (2015), </w:t>
      </w:r>
      <w:r>
        <w:rPr>
          <w:i/>
          <w:noProof/>
        </w:rPr>
        <w:t>Country Profile 2014-2015: Luxembourg.</w:t>
      </w:r>
      <w:r>
        <w:rPr>
          <w:noProof/>
        </w:rPr>
        <w:t xml:space="preserve"> Available at: </w:t>
      </w:r>
      <w:hyperlink r:id="rId125" w:history="1">
        <w:r>
          <w:rPr>
            <w:rStyle w:val="Hyperlink"/>
            <w:noProof/>
          </w:rPr>
          <w:t>https://ec.europa.eu/environment/ecoap/sites/ecoap_stayconnected/files/field/field-country-files/luxembourg_eco-innovation_2015.pdf</w:t>
        </w:r>
      </w:hyperlink>
      <w:r>
        <w:rPr>
          <w:noProof/>
        </w:rPr>
        <w:t>.</w:t>
      </w:r>
    </w:p>
    <w:p w:rsidR="002A43CB" w:rsidRDefault="0048172E">
      <w:pPr>
        <w:rPr>
          <w:noProof/>
        </w:rPr>
      </w:pPr>
      <w:r>
        <w:rPr>
          <w:noProof/>
        </w:rPr>
        <w:t>European Central Bank, (20</w:t>
      </w:r>
      <w:r>
        <w:rPr>
          <w:noProof/>
        </w:rPr>
        <w:t>16),  The household finance and consumption survey: results from the second wave, Statistics Paper Series n. 18/2016.</w:t>
      </w:r>
    </w:p>
    <w:p w:rsidR="002A43CB" w:rsidRDefault="002A43CB">
      <w:pPr>
        <w:rPr>
          <w:noProof/>
        </w:rPr>
      </w:pPr>
    </w:p>
    <w:p w:rsidR="002A43CB" w:rsidRDefault="0048172E">
      <w:pPr>
        <w:rPr>
          <w:noProof/>
        </w:rPr>
      </w:pPr>
      <w:r>
        <w:rPr>
          <w:noProof/>
        </w:rPr>
        <w:t xml:space="preserve">European Commission, (2016a), </w:t>
      </w:r>
      <w:r>
        <w:rPr>
          <w:i/>
          <w:noProof/>
        </w:rPr>
        <w:t>Country report for Luxembourg</w:t>
      </w:r>
      <w:r>
        <w:rPr>
          <w:noProof/>
        </w:rPr>
        <w:t xml:space="preserve">. Available at: </w:t>
      </w:r>
      <w:hyperlink r:id="rId126" w:history="1">
        <w:r>
          <w:rPr>
            <w:rStyle w:val="Hyperlink"/>
            <w:noProof/>
          </w:rPr>
          <w:t>http://ec.europa.eu/europe2020/pdf/csr2016/cr2016_luxembourg_en.pdf</w:t>
        </w:r>
      </w:hyperlink>
      <w:r>
        <w:rPr>
          <w:noProof/>
        </w:rPr>
        <w:t>.</w:t>
      </w:r>
    </w:p>
    <w:p w:rsidR="002A43CB" w:rsidRDefault="0048172E">
      <w:pPr>
        <w:rPr>
          <w:noProof/>
        </w:rPr>
      </w:pPr>
      <w:r>
        <w:rPr>
          <w:noProof/>
        </w:rPr>
        <w:t xml:space="preserve">European Commission, (2016b), </w:t>
      </w:r>
      <w:r>
        <w:rPr>
          <w:i/>
          <w:noProof/>
        </w:rPr>
        <w:t>Taxation trends in the European Union, Publications Office of the European Union</w:t>
      </w:r>
      <w:r>
        <w:rPr>
          <w:noProof/>
        </w:rPr>
        <w:t xml:space="preserve">, Luxembourg. Available at: </w:t>
      </w:r>
      <w:hyperlink r:id="rId127" w:history="1">
        <w:r>
          <w:rPr>
            <w:rStyle w:val="Hyperlink"/>
            <w:noProof/>
          </w:rPr>
          <w:t>http://ec.europa.eu/taxation_customs/sites/taxation/files/resources/documents/taxation/gen_info/economi</w:t>
        </w:r>
        <w:r>
          <w:rPr>
            <w:rStyle w:val="Hyperlink"/>
            <w:noProof/>
          </w:rPr>
          <w:t>c_analysis/tax_structures/2016/econ_analysis_report_2016.pdf</w:t>
        </w:r>
      </w:hyperlink>
      <w:r>
        <w:rPr>
          <w:noProof/>
        </w:rPr>
        <w:t>.</w:t>
      </w:r>
    </w:p>
    <w:p w:rsidR="002A43CB" w:rsidRDefault="0048172E">
      <w:pPr>
        <w:rPr>
          <w:noProof/>
        </w:rPr>
      </w:pPr>
      <w:r>
        <w:rPr>
          <w:noProof/>
        </w:rPr>
        <w:t xml:space="preserve">European Commission, (2016c), </w:t>
      </w:r>
      <w:r>
        <w:rPr>
          <w:i/>
          <w:noProof/>
        </w:rPr>
        <w:t>EU Tax Policies: 2016 Scoreboard</w:t>
      </w:r>
      <w:r>
        <w:rPr>
          <w:noProof/>
        </w:rPr>
        <w:t xml:space="preserve">, Publications Office of the European Union, Luxembourg. Available at: </w:t>
      </w:r>
      <w:hyperlink r:id="rId128" w:history="1">
        <w:r>
          <w:rPr>
            <w:rStyle w:val="Hyperlink"/>
            <w:noProof/>
          </w:rPr>
          <w:t>https://ec.europa.eu/taxation_customs/sites/taxation/files/2016-09-15_scoreboard-indicators.pdf</w:t>
        </w:r>
      </w:hyperlink>
      <w:r>
        <w:rPr>
          <w:noProof/>
        </w:rPr>
        <w:t>.</w:t>
      </w:r>
    </w:p>
    <w:p w:rsidR="002A43CB" w:rsidRDefault="0048172E">
      <w:pPr>
        <w:rPr>
          <w:noProof/>
        </w:rPr>
      </w:pPr>
      <w:r>
        <w:rPr>
          <w:noProof/>
        </w:rPr>
        <w:t xml:space="preserve">European Commission, (2015a), </w:t>
      </w:r>
      <w:r>
        <w:rPr>
          <w:i/>
          <w:noProof/>
        </w:rPr>
        <w:t>A Single Market Str</w:t>
      </w:r>
      <w:r>
        <w:rPr>
          <w:i/>
          <w:noProof/>
        </w:rPr>
        <w:t>ategy for Europe - Analysis and Evidence,</w:t>
      </w:r>
      <w:r>
        <w:rPr>
          <w:noProof/>
        </w:rPr>
        <w:t xml:space="preserve"> SWD(2015) 202. Available at: </w:t>
      </w:r>
      <w:hyperlink r:id="rId129" w:history="1">
        <w:r>
          <w:rPr>
            <w:rStyle w:val="Hyperlink"/>
            <w:noProof/>
          </w:rPr>
          <w:t>http://ec.europa.eu/DocsRoom/documents/14012?locale=en</w:t>
        </w:r>
      </w:hyperlink>
      <w:r>
        <w:rPr>
          <w:noProof/>
        </w:rPr>
        <w:t>.</w:t>
      </w:r>
    </w:p>
    <w:p w:rsidR="002A43CB" w:rsidRDefault="0048172E">
      <w:pPr>
        <w:rPr>
          <w:noProof/>
        </w:rPr>
      </w:pPr>
      <w:r>
        <w:rPr>
          <w:noProof/>
        </w:rPr>
        <w:t xml:space="preserve">European Commission, (2015b), </w:t>
      </w:r>
      <w:r>
        <w:rPr>
          <w:i/>
          <w:noProof/>
        </w:rPr>
        <w:t>Tax reform in EU Member Stat</w:t>
      </w:r>
      <w:r>
        <w:rPr>
          <w:i/>
          <w:noProof/>
        </w:rPr>
        <w:t>es</w:t>
      </w:r>
      <w:r>
        <w:rPr>
          <w:noProof/>
        </w:rPr>
        <w:t xml:space="preserve">, Institutional Paper 008. Available at: </w:t>
      </w:r>
      <w:hyperlink r:id="rId130" w:history="1">
        <w:r>
          <w:rPr>
            <w:rStyle w:val="Hyperlink"/>
            <w:noProof/>
          </w:rPr>
          <w:t>http://ec.europa.eu/economy_finance/publications/eeip/pdf/ip008_en.pdf</w:t>
        </w:r>
      </w:hyperlink>
      <w:r>
        <w:rPr>
          <w:noProof/>
        </w:rPr>
        <w:t>.</w:t>
      </w:r>
    </w:p>
    <w:p w:rsidR="002A43CB" w:rsidRDefault="0048172E">
      <w:pPr>
        <w:rPr>
          <w:noProof/>
        </w:rPr>
      </w:pPr>
      <w:r>
        <w:rPr>
          <w:noProof/>
        </w:rPr>
        <w:t>European Commission, (2015c)</w:t>
      </w:r>
      <w:r>
        <w:rPr>
          <w:i/>
          <w:noProof/>
        </w:rPr>
        <w:t>, Country Factsheet Luxemb</w:t>
      </w:r>
      <w:r>
        <w:rPr>
          <w:i/>
          <w:noProof/>
        </w:rPr>
        <w:t>ourg  Accompanying the Communication State of the Energy Union</w:t>
      </w:r>
      <w:r>
        <w:rPr>
          <w:noProof/>
        </w:rPr>
        <w:t xml:space="preserve">,  SWD(2015) 232 final. Available at: </w:t>
      </w:r>
      <w:hyperlink r:id="rId131" w:history="1">
        <w:r>
          <w:rPr>
            <w:rStyle w:val="Hyperlink"/>
            <w:noProof/>
          </w:rPr>
          <w:t>http://eur-lex.europa.eu/legal-content/EN/TXT/?uri=CELEX%3A52015SC023</w:t>
        </w:r>
        <w:r>
          <w:rPr>
            <w:rStyle w:val="Hyperlink"/>
            <w:noProof/>
          </w:rPr>
          <w:t>2</w:t>
        </w:r>
      </w:hyperlink>
      <w:r>
        <w:rPr>
          <w:noProof/>
        </w:rPr>
        <w:t>.</w:t>
      </w:r>
    </w:p>
    <w:p w:rsidR="002A43CB" w:rsidRDefault="0048172E">
      <w:pPr>
        <w:rPr>
          <w:noProof/>
        </w:rPr>
      </w:pPr>
      <w:r>
        <w:rPr>
          <w:noProof/>
        </w:rPr>
        <w:t xml:space="preserve">European Commission, (2015d), </w:t>
      </w:r>
      <w:r>
        <w:rPr>
          <w:i/>
          <w:noProof/>
        </w:rPr>
        <w:t>Challenges to Member States’ Investment Environments’</w:t>
      </w:r>
      <w:r>
        <w:rPr>
          <w:noProof/>
        </w:rPr>
        <w:t xml:space="preserve">, SWD (2015) 400 final. Available at: </w:t>
      </w:r>
      <w:hyperlink r:id="rId132" w:history="1">
        <w:r>
          <w:rPr>
            <w:rStyle w:val="Hyperlink"/>
            <w:noProof/>
          </w:rPr>
          <w:t>http://ec.europa.eu/europe2020/challenges-to-member-states-investment-environments/index_en.htm</w:t>
        </w:r>
      </w:hyperlink>
      <w:r>
        <w:rPr>
          <w:noProof/>
        </w:rPr>
        <w:t>.</w:t>
      </w:r>
    </w:p>
    <w:p w:rsidR="002A43CB" w:rsidRDefault="0048172E">
      <w:pPr>
        <w:rPr>
          <w:noProof/>
        </w:rPr>
      </w:pPr>
      <w:r>
        <w:rPr>
          <w:noProof/>
        </w:rPr>
        <w:t xml:space="preserve">European Commission, (2014), </w:t>
      </w:r>
      <w:r>
        <w:rPr>
          <w:i/>
          <w:noProof/>
        </w:rPr>
        <w:t>Country report for Luxembourg</w:t>
      </w:r>
      <w:r>
        <w:rPr>
          <w:noProof/>
        </w:rPr>
        <w:t xml:space="preserve">. Available at: </w:t>
      </w:r>
      <w:hyperlink r:id="rId133" w:history="1">
        <w:r>
          <w:rPr>
            <w:rStyle w:val="Hyperlink"/>
            <w:noProof/>
          </w:rPr>
          <w:t>http://ec.europa.eu/europe2020/pdf/csr2014/swd2014_luxembourg_en.pdf</w:t>
        </w:r>
      </w:hyperlink>
      <w:r>
        <w:rPr>
          <w:noProof/>
        </w:rPr>
        <w:t>.</w:t>
      </w:r>
    </w:p>
    <w:p w:rsidR="002A43CB" w:rsidRDefault="0048172E">
      <w:pPr>
        <w:rPr>
          <w:noProof/>
        </w:rPr>
      </w:pPr>
      <w:r>
        <w:rPr>
          <w:noProof/>
        </w:rPr>
        <w:t xml:space="preserve">Glock, S., Krolak-Schwerdt, S., Klapproth, F., Boehmer, M. (2013), </w:t>
      </w:r>
      <w:r>
        <w:rPr>
          <w:i/>
          <w:noProof/>
        </w:rPr>
        <w:t>Beyond judgment bias: How students’ ethnicity and academic profile consistency influence teachers’ tracking judgments</w:t>
      </w:r>
      <w:r>
        <w:rPr>
          <w:noProof/>
        </w:rPr>
        <w:t xml:space="preserve">. </w:t>
      </w:r>
      <w:r>
        <w:rPr>
          <w:noProof/>
        </w:rPr>
        <w:t>Social Psychology of Education, 16:555-573.</w:t>
      </w:r>
    </w:p>
    <w:p w:rsidR="002A43CB" w:rsidRDefault="0048172E">
      <w:pPr>
        <w:rPr>
          <w:noProof/>
          <w:lang w:val="de-DE"/>
        </w:rPr>
      </w:pPr>
      <w:r>
        <w:rPr>
          <w:noProof/>
        </w:rPr>
        <w:t xml:space="preserve">Klapproth, F. and P. Schaltz, (2015),  </w:t>
      </w:r>
      <w:r>
        <w:rPr>
          <w:i/>
          <w:noProof/>
        </w:rPr>
        <w:t>Klassenwiederholungen in Luxemburg</w:t>
      </w:r>
      <w:r>
        <w:rPr>
          <w:noProof/>
        </w:rPr>
        <w:t xml:space="preserve">, in Ministry of Education / University of Luxemburg: Bildungsbericht Luxemburg 2015. </w:t>
      </w:r>
      <w:r>
        <w:rPr>
          <w:noProof/>
          <w:lang w:val="de-DE"/>
        </w:rPr>
        <w:t xml:space="preserve">Band 2: Analysen und Befunde. Available at: </w:t>
      </w:r>
      <w:hyperlink r:id="rId134" w:history="1">
        <w:r>
          <w:rPr>
            <w:rStyle w:val="Hyperlink"/>
            <w:noProof/>
            <w:lang w:val="de-DE"/>
          </w:rPr>
          <w:t>http://www.men.public.lu/catalogue-publications/themes-transversaux/statistiques-analyses/bildungsbericht/2015/band-2.pdf</w:t>
        </w:r>
      </w:hyperlink>
    </w:p>
    <w:p w:rsidR="002A43CB" w:rsidRDefault="0048172E">
      <w:pPr>
        <w:rPr>
          <w:noProof/>
          <w:lang w:val="fr-BE"/>
        </w:rPr>
      </w:pPr>
      <w:r>
        <w:rPr>
          <w:noProof/>
        </w:rPr>
        <w:t>Matha</w:t>
      </w:r>
      <w:r>
        <w:rPr>
          <w:noProof/>
        </w:rPr>
        <w:t xml:space="preserve"> T.Y., A. Porpiglia and M. Ziegelmeyer, (2014), </w:t>
      </w:r>
      <w:r>
        <w:rPr>
          <w:i/>
          <w:noProof/>
        </w:rPr>
        <w:t>Cross-border commuting and consuming: An empirical investigation</w:t>
      </w:r>
      <w:r>
        <w:rPr>
          <w:noProof/>
        </w:rPr>
        <w:t xml:space="preserve">. </w:t>
      </w:r>
      <w:r>
        <w:rPr>
          <w:noProof/>
          <w:lang w:val="fr-BE"/>
        </w:rPr>
        <w:t>Banque Centrale du Luxembourg. Working paper.</w:t>
      </w:r>
    </w:p>
    <w:p w:rsidR="002A43CB" w:rsidRDefault="0048172E">
      <w:pPr>
        <w:rPr>
          <w:noProof/>
        </w:rPr>
      </w:pPr>
      <w:r>
        <w:rPr>
          <w:noProof/>
          <w:lang w:val="fr-BE"/>
        </w:rPr>
        <w:t xml:space="preserve">Ministry of Education, (2015), </w:t>
      </w:r>
      <w:r>
        <w:rPr>
          <w:i/>
          <w:noProof/>
          <w:lang w:val="fr-BE"/>
        </w:rPr>
        <w:t>Le décrochage scolaire au Luxembourg: Parcours et caractéristique</w:t>
      </w:r>
      <w:r>
        <w:rPr>
          <w:i/>
          <w:noProof/>
          <w:lang w:val="fr-BE"/>
        </w:rPr>
        <w:t>s des jeunes en rupture scolaire</w:t>
      </w:r>
      <w:r>
        <w:rPr>
          <w:noProof/>
          <w:lang w:val="fr-BE"/>
        </w:rPr>
        <w:t xml:space="preserve">. </w:t>
      </w:r>
      <w:r>
        <w:rPr>
          <w:noProof/>
        </w:rPr>
        <w:t xml:space="preserve">Available at: </w:t>
      </w:r>
      <w:hyperlink r:id="rId135" w:history="1">
        <w:r>
          <w:rPr>
            <w:rStyle w:val="Hyperlink"/>
            <w:noProof/>
          </w:rPr>
          <w:t>http://www.men.public.lu/catalogue-publications/secondaire/statisti</w:t>
        </w:r>
        <w:r>
          <w:rPr>
            <w:rStyle w:val="Hyperlink"/>
            <w:noProof/>
          </w:rPr>
          <w:t>ques-analyses/decrochage-scolaire/decrochage-11-12/fr.pdf</w:t>
        </w:r>
      </w:hyperlink>
      <w:r>
        <w:rPr>
          <w:noProof/>
        </w:rPr>
        <w:t>.</w:t>
      </w:r>
    </w:p>
    <w:p w:rsidR="002A43CB" w:rsidRDefault="0048172E">
      <w:pPr>
        <w:rPr>
          <w:noProof/>
        </w:rPr>
      </w:pPr>
      <w:r>
        <w:rPr>
          <w:noProof/>
        </w:rPr>
        <w:t xml:space="preserve">Ministry of Education, (2016), </w:t>
      </w:r>
      <w:r>
        <w:rPr>
          <w:i/>
          <w:noProof/>
        </w:rPr>
        <w:t>Rapport d’activités 2015</w:t>
      </w:r>
      <w:r>
        <w:rPr>
          <w:noProof/>
        </w:rPr>
        <w:t xml:space="preserve">. Available at: </w:t>
      </w:r>
      <w:hyperlink r:id="rId136" w:history="1">
        <w:r>
          <w:rPr>
            <w:rStyle w:val="Hyperlink"/>
            <w:noProof/>
          </w:rPr>
          <w:t>http://www.men.public.lu/catalogue-publications/themes-transversaux/rapport-activites-ministere/2015/1-fr.pdf</w:t>
        </w:r>
      </w:hyperlink>
      <w:r>
        <w:rPr>
          <w:noProof/>
        </w:rPr>
        <w:t>.</w:t>
      </w:r>
    </w:p>
    <w:p w:rsidR="002A43CB" w:rsidRDefault="0048172E">
      <w:pPr>
        <w:rPr>
          <w:noProof/>
        </w:rPr>
      </w:pPr>
      <w:r>
        <w:rPr>
          <w:noProof/>
          <w:lang w:val="fr-BE"/>
        </w:rPr>
        <w:t xml:space="preserve">Observatoire de la compétitivité, (2016), </w:t>
      </w:r>
      <w:r>
        <w:rPr>
          <w:i/>
          <w:noProof/>
          <w:lang w:val="fr-BE"/>
        </w:rPr>
        <w:t>Bilan compétitivité 2016, Vers une croissance qualitative</w:t>
      </w:r>
      <w:r>
        <w:rPr>
          <w:noProof/>
          <w:lang w:val="fr-BE"/>
        </w:rPr>
        <w:t xml:space="preserve">,  Ministère de l’Économie, Luxembourg. </w:t>
      </w:r>
      <w:r>
        <w:rPr>
          <w:noProof/>
        </w:rPr>
        <w:t>Availa</w:t>
      </w:r>
      <w:r>
        <w:rPr>
          <w:noProof/>
        </w:rPr>
        <w:t xml:space="preserve">ble at: </w:t>
      </w:r>
      <w:hyperlink r:id="rId137" w:history="1">
        <w:r>
          <w:rPr>
            <w:rStyle w:val="Hyperlink"/>
            <w:noProof/>
          </w:rPr>
          <w:t>http://www.gouvernement.lu/odc</w:t>
        </w:r>
      </w:hyperlink>
      <w:r>
        <w:rPr>
          <w:noProof/>
        </w:rPr>
        <w:t>.</w:t>
      </w:r>
    </w:p>
    <w:p w:rsidR="002A43CB" w:rsidRDefault="0048172E">
      <w:pPr>
        <w:rPr>
          <w:noProof/>
        </w:rPr>
      </w:pPr>
      <w:r>
        <w:rPr>
          <w:noProof/>
        </w:rPr>
        <w:t xml:space="preserve">Ramboll Management Consulting and Corit Advisory, (2015), </w:t>
      </w:r>
      <w:r>
        <w:rPr>
          <w:i/>
          <w:noProof/>
        </w:rPr>
        <w:t>Study on Structures of Aggressive Tax Planning and Indicators</w:t>
      </w:r>
      <w:r>
        <w:rPr>
          <w:noProof/>
        </w:rPr>
        <w:t>, European Commission, Taxation Paper n°61.</w:t>
      </w:r>
    </w:p>
    <w:p w:rsidR="002A43CB" w:rsidRDefault="0048172E">
      <w:pPr>
        <w:rPr>
          <w:noProof/>
        </w:rPr>
      </w:pPr>
      <w:r>
        <w:rPr>
          <w:noProof/>
        </w:rPr>
        <w:t>Van de</w:t>
      </w:r>
      <w:r>
        <w:rPr>
          <w:noProof/>
        </w:rPr>
        <w:t xml:space="preserve">r Marel, J. Kren, and M. Iootty, (2016), </w:t>
      </w:r>
      <w:r>
        <w:rPr>
          <w:i/>
          <w:noProof/>
        </w:rPr>
        <w:t>Liberalizing Services in the EU: What Regulatory Barriers Benefit Productivity? Multiple-country Firm-level Evidence</w:t>
      </w:r>
      <w:r>
        <w:rPr>
          <w:noProof/>
        </w:rPr>
        <w:t>, background paper.</w:t>
      </w:r>
    </w:p>
    <w:p w:rsidR="002A43CB" w:rsidRDefault="002A43CB">
      <w:pPr>
        <w:rPr>
          <w:noProof/>
        </w:rPr>
      </w:pPr>
    </w:p>
    <w:sectPr w:rsidR="002A43CB">
      <w:headerReference w:type="even" r:id="rId138"/>
      <w:headerReference w:type="default" r:id="rId139"/>
      <w:footerReference w:type="even" r:id="rId140"/>
      <w:footerReference w:type="default" r:id="rId141"/>
      <w:headerReference w:type="first" r:id="rId142"/>
      <w:footerReference w:type="first" r:id="rId143"/>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3CB" w:rsidRDefault="0048172E">
      <w:pPr>
        <w:spacing w:after="0"/>
      </w:pPr>
      <w:r>
        <w:separator/>
      </w:r>
    </w:p>
  </w:endnote>
  <w:endnote w:type="continuationSeparator" w:id="0">
    <w:p w:rsidR="002A43CB" w:rsidRDefault="0048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2E" w:rsidRPr="0048172E" w:rsidRDefault="0048172E" w:rsidP="0048172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w:instrText>
    </w:r>
    <w:r>
      <w:instrText xml:space="preserve">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w:instrText>
    </w:r>
    <w:r>
      <w:instrText xml:space="preserv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2E" w:rsidRPr="0048172E" w:rsidRDefault="0048172E" w:rsidP="0048172E">
    <w:pPr>
      <w:pStyle w:val="FooterCoverPage"/>
      <w:rPr>
        <w:rFonts w:ascii="Arial" w:hAnsi="Arial" w:cs="Arial"/>
        <w:b/>
        <w:sz w:val="48"/>
      </w:rPr>
    </w:pPr>
    <w:r w:rsidRPr="0048172E">
      <w:rPr>
        <w:rFonts w:ascii="Arial" w:hAnsi="Arial" w:cs="Arial"/>
        <w:b/>
        <w:sz w:val="48"/>
      </w:rPr>
      <w:t>EN</w:t>
    </w:r>
    <w:r w:rsidRPr="0048172E">
      <w:rPr>
        <w:rFonts w:ascii="Arial" w:hAnsi="Arial" w:cs="Arial"/>
        <w:b/>
        <w:sz w:val="48"/>
      </w:rPr>
      <w:tab/>
    </w:r>
    <w:r w:rsidRPr="0048172E">
      <w:rPr>
        <w:rFonts w:ascii="Arial" w:hAnsi="Arial" w:cs="Arial"/>
        <w:b/>
        <w:sz w:val="48"/>
      </w:rPr>
      <w:tab/>
    </w:r>
    <w:fldSimple w:instr=" DOCVARIABLE &quot;LW_Confidence&quot; \* MERGEFORMAT ">
      <w:r>
        <w:t xml:space="preserve"> </w:t>
      </w:r>
    </w:fldSimple>
    <w:r w:rsidRPr="0048172E">
      <w:tab/>
    </w:r>
    <w:proofErr w:type="spellStart"/>
    <w:r w:rsidRPr="0048172E">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2E" w:rsidRPr="0048172E" w:rsidRDefault="0048172E" w:rsidP="0048172E">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1</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46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51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53</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
    </w:pPr>
    <w:r>
      <w:fldChar w:fldCharType="begin"/>
    </w:r>
    <w:r>
      <w:instrText xml:space="preserve"> PAGE  \* MERGEFORMAT </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Footer"/>
    </w:pPr>
  </w:p>
  <w:p w:rsidR="002A43CB" w:rsidRDefault="0048172E">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3CB" w:rsidRDefault="0048172E">
      <w:pPr>
        <w:spacing w:after="0"/>
      </w:pPr>
      <w:r>
        <w:separator/>
      </w:r>
    </w:p>
  </w:footnote>
  <w:footnote w:type="continuationSeparator" w:id="0">
    <w:p w:rsidR="002A43CB" w:rsidRDefault="0048172E">
      <w:r>
        <w:continuationSeparator/>
      </w:r>
    </w:p>
  </w:footnote>
  <w:footnote w:id="1">
    <w:p w:rsidR="002A43CB" w:rsidRDefault="0048172E">
      <w:pPr>
        <w:pStyle w:val="FootnoteText"/>
      </w:pPr>
      <w:r>
        <w:t>(</w:t>
      </w:r>
      <w:r>
        <w:rPr>
          <w:vertAlign w:val="superscript"/>
        </w:rPr>
        <w:footnoteRef/>
      </w:r>
      <w:r>
        <w:t>)</w:t>
      </w:r>
      <w:r>
        <w:tab/>
        <w:t>In July 2015 STATEC revised the estimate economic output for 2013 at 4.3 %, up from an estimation of 2.0 %. Estimations of growth for 2014 have as well been subject to sharp revisions. In July 2015, GDP growth was estimated at 5.6 % to be revised down t</w:t>
      </w:r>
      <w:r>
        <w:t>o 4.1 % in November. Lately, in October 2016, GDP growth for 2015 was revised down to 3.5% from the June estimate of 4.8%.</w:t>
      </w:r>
    </w:p>
  </w:footnote>
  <w:footnote w:id="2">
    <w:p w:rsidR="002A43CB" w:rsidRDefault="0048172E">
      <w:pPr>
        <w:pStyle w:val="FootnoteText"/>
      </w:pPr>
      <w:r>
        <w:t>(</w:t>
      </w:r>
      <w:r>
        <w:rPr>
          <w:vertAlign w:val="superscript"/>
        </w:rPr>
        <w:footnoteRef/>
      </w:r>
      <w:r>
        <w:t>)</w:t>
      </w:r>
      <w:r>
        <w:tab/>
        <w:t>As measured by the S80/S20 income quintile share ratio. This is the ratio of total income received by the 20 % of households with</w:t>
      </w:r>
      <w:r>
        <w:t xml:space="preserve"> the highest income (top quintile) to that received by the 20 % of households with the lowest income (lowest quintile). Income must be understood as </w:t>
      </w:r>
      <w:proofErr w:type="spellStart"/>
      <w:r>
        <w:t>equivalised</w:t>
      </w:r>
      <w:proofErr w:type="spellEnd"/>
      <w:r>
        <w:t xml:space="preserve"> disposable income. Data should be interpreted with care because they are for resident household</w:t>
      </w:r>
      <w:r>
        <w:t>s only. As such they do not capture the effects on the income distribution of the large number of cross-border workers.</w:t>
      </w:r>
    </w:p>
  </w:footnote>
  <w:footnote w:id="3">
    <w:p w:rsidR="002A43CB" w:rsidRDefault="0048172E">
      <w:pPr>
        <w:pStyle w:val="FootnoteText"/>
      </w:pPr>
      <w:r>
        <w:t>(</w:t>
      </w:r>
      <w:r>
        <w:rPr>
          <w:vertAlign w:val="superscript"/>
        </w:rPr>
        <w:footnoteRef/>
      </w:r>
      <w:r>
        <w:t>)</w:t>
      </w:r>
      <w:r>
        <w:tab/>
        <w:t>The S80/S20 ratio increased from 3.9 in 2005 to 4.6 in 2013 after which it decreased again to 4.3 in 2015.</w:t>
      </w:r>
    </w:p>
  </w:footnote>
  <w:footnote w:id="4">
    <w:p w:rsidR="002A43CB" w:rsidRDefault="0048172E">
      <w:pPr>
        <w:pStyle w:val="FootnoteText"/>
      </w:pPr>
      <w:r>
        <w:t>(</w:t>
      </w:r>
      <w:r>
        <w:rPr>
          <w:vertAlign w:val="superscript"/>
        </w:rPr>
        <w:footnoteRef/>
      </w:r>
      <w:r>
        <w:t>)</w:t>
      </w:r>
      <w:r>
        <w:tab/>
        <w:t xml:space="preserve">The Gini coefficient </w:t>
      </w:r>
      <w:r>
        <w:t xml:space="preserve">was 0.48 in 2015 before taxes, social transfers and pensions were taken into account, and 0.29 after taxes, transfers and pensions - a gap of 19 </w:t>
      </w:r>
      <w:proofErr w:type="spellStart"/>
      <w:r>
        <w:t>pps</w:t>
      </w:r>
      <w:proofErr w:type="spellEnd"/>
      <w:r>
        <w:t xml:space="preserve">. This is similar than the EU average of 20 </w:t>
      </w:r>
      <w:proofErr w:type="spellStart"/>
      <w:r>
        <w:t>pps</w:t>
      </w:r>
      <w:proofErr w:type="spellEnd"/>
      <w:proofErr w:type="gramStart"/>
      <w:r>
        <w:t>,.</w:t>
      </w:r>
      <w:proofErr w:type="gramEnd"/>
    </w:p>
  </w:footnote>
  <w:footnote w:id="5">
    <w:p w:rsidR="002A43CB" w:rsidRDefault="0048172E">
      <w:pPr>
        <w:pStyle w:val="FootnoteText"/>
      </w:pPr>
      <w:r>
        <w:t>(</w:t>
      </w:r>
      <w:r>
        <w:rPr>
          <w:vertAlign w:val="superscript"/>
        </w:rPr>
        <w:footnoteRef/>
      </w:r>
      <w:r>
        <w:t>)</w:t>
      </w:r>
      <w:r>
        <w:tab/>
        <w:t>See for more analysis, including a breakdown of income</w:t>
      </w:r>
      <w:r>
        <w:t xml:space="preserve"> inequality by revenue source, in: Rapport travail </w:t>
      </w:r>
      <w:proofErr w:type="gramStart"/>
      <w:r>
        <w:t>et</w:t>
      </w:r>
      <w:proofErr w:type="gramEnd"/>
      <w:r>
        <w:t xml:space="preserve"> </w:t>
      </w:r>
      <w:proofErr w:type="spellStart"/>
      <w:r>
        <w:t>cohésion</w:t>
      </w:r>
      <w:proofErr w:type="spellEnd"/>
      <w:r>
        <w:t xml:space="preserve"> </w:t>
      </w:r>
      <w:proofErr w:type="spellStart"/>
      <w:r>
        <w:t>sociale</w:t>
      </w:r>
      <w:proofErr w:type="spellEnd"/>
      <w:r>
        <w:t xml:space="preserve"> (2016) STATEC.</w:t>
      </w:r>
    </w:p>
  </w:footnote>
  <w:footnote w:id="6">
    <w:p w:rsidR="002A43CB" w:rsidRDefault="0048172E">
      <w:pPr>
        <w:pStyle w:val="FootnoteText"/>
      </w:pPr>
      <w:proofErr w:type="gramStart"/>
      <w:r>
        <w:t>(</w:t>
      </w:r>
      <w:r>
        <w:rPr>
          <w:vertAlign w:val="superscript"/>
        </w:rPr>
        <w:footnoteRef/>
      </w:r>
      <w:r>
        <w:t>)</w:t>
      </w:r>
      <w:r>
        <w:tab/>
        <w:t>Difference between total assets and total liabilities.</w:t>
      </w:r>
      <w:proofErr w:type="gramEnd"/>
    </w:p>
  </w:footnote>
  <w:footnote w:id="7">
    <w:p w:rsidR="002A43CB" w:rsidRDefault="0048172E">
      <w:pPr>
        <w:pStyle w:val="FootnoteText"/>
      </w:pPr>
      <w:proofErr w:type="gramStart"/>
      <w:r>
        <w:t>(</w:t>
      </w:r>
      <w:r>
        <w:rPr>
          <w:vertAlign w:val="superscript"/>
        </w:rPr>
        <w:footnoteRef/>
      </w:r>
      <w:r>
        <w:t>)</w:t>
      </w:r>
      <w:r>
        <w:tab/>
        <w:t>Relevant threshold in the context of the macroeconomic imbalance procedure.</w:t>
      </w:r>
      <w:proofErr w:type="gramEnd"/>
    </w:p>
  </w:footnote>
  <w:footnote w:id="8">
    <w:p w:rsidR="002A43CB" w:rsidRDefault="0048172E">
      <w:pPr>
        <w:pStyle w:val="FootnoteText"/>
      </w:pPr>
      <w:r>
        <w:t>(</w:t>
      </w:r>
      <w:r>
        <w:rPr>
          <w:vertAlign w:val="superscript"/>
        </w:rPr>
        <w:footnoteRef/>
      </w:r>
      <w:r>
        <w:t>)</w:t>
      </w:r>
      <w:r>
        <w:tab/>
        <w:t>The balance of goods has be</w:t>
      </w:r>
      <w:r>
        <w:t>en significantly revised and improved in line with the new international standards on the balance of payments statistics (European Commission, 2016a).</w:t>
      </w:r>
    </w:p>
  </w:footnote>
  <w:footnote w:id="9">
    <w:p w:rsidR="002A43CB" w:rsidRDefault="0048172E">
      <w:pPr>
        <w:pStyle w:val="FootnoteText"/>
      </w:pPr>
      <w:r>
        <w:t>(</w:t>
      </w:r>
      <w:r>
        <w:rPr>
          <w:vertAlign w:val="superscript"/>
        </w:rPr>
        <w:footnoteRef/>
      </w:r>
      <w:r>
        <w:t>)</w:t>
      </w:r>
      <w:r>
        <w:tab/>
        <w:t>For the assessment of other reforms implemented in the past, see in particular section 3.1 and 3.2.</w:t>
      </w:r>
    </w:p>
  </w:footnote>
  <w:footnote w:id="10">
    <w:p w:rsidR="002A43CB" w:rsidRDefault="0048172E">
      <w:pPr>
        <w:pStyle w:val="FootnoteText"/>
      </w:pPr>
      <w:r>
        <w:t>(</w:t>
      </w:r>
      <w:r>
        <w:rPr>
          <w:vertAlign w:val="superscript"/>
        </w:rPr>
        <w:footnoteRef/>
      </w:r>
      <w:r>
        <w:t>)</w:t>
      </w:r>
      <w:r>
        <w:tab/>
        <w:t>50.1% of the persons reclassified externally are over 50.</w:t>
      </w:r>
    </w:p>
  </w:footnote>
  <w:footnote w:id="11">
    <w:p w:rsidR="002A43CB" w:rsidRDefault="0048172E">
      <w:pPr>
        <w:pStyle w:val="FootnoteText"/>
      </w:pPr>
      <w:r>
        <w:t>(</w:t>
      </w:r>
      <w:r>
        <w:rPr>
          <w:vertAlign w:val="superscript"/>
        </w:rPr>
        <w:footnoteRef/>
      </w:r>
      <w:r>
        <w:t>)</w:t>
      </w:r>
      <w:r>
        <w:tab/>
        <w:t>Information on the level of progress and actions taken to address the policy advice in each respective subpart of a CSR is presented in the Overview Table in the Annex. This overall assessmen</w:t>
      </w:r>
      <w:r>
        <w:t>t does not include an assessment of compliance with the Stability and Growth Pact.</w:t>
      </w:r>
    </w:p>
  </w:footnote>
  <w:footnote w:id="12">
    <w:p w:rsidR="002A43CB" w:rsidRDefault="0048172E">
      <w:pPr>
        <w:pStyle w:val="FootnoteText"/>
      </w:pPr>
      <w:r>
        <w:t>(</w:t>
      </w:r>
      <w:r>
        <w:rPr>
          <w:vertAlign w:val="superscript"/>
        </w:rPr>
        <w:footnoteRef/>
      </w:r>
      <w:r>
        <w:t>)</w:t>
      </w:r>
      <w:r>
        <w:tab/>
        <w:t>By law of 29 June 2016, the tax rate applicable to capital gains on real estate transactions occurring between 1 July 2016 and 31 December 2017 has been reduced to a qua</w:t>
      </w:r>
      <w:r>
        <w:t xml:space="preserve">rter of the global rate (instead of half of the global rate applicable). </w:t>
      </w:r>
    </w:p>
  </w:footnote>
  <w:footnote w:id="13">
    <w:p w:rsidR="002A43CB" w:rsidRDefault="0048172E">
      <w:pPr>
        <w:pStyle w:val="FootnoteText"/>
      </w:pPr>
      <w:r>
        <w:t>(</w:t>
      </w:r>
      <w:r>
        <w:rPr>
          <w:vertAlign w:val="superscript"/>
        </w:rPr>
        <w:footnoteRef/>
      </w:r>
      <w:r>
        <w:t>)</w:t>
      </w:r>
      <w:r>
        <w:tab/>
        <w:t xml:space="preserve">In the exercise only the measures from </w:t>
      </w:r>
      <w:proofErr w:type="spellStart"/>
      <w:r>
        <w:t>i</w:t>
      </w:r>
      <w:proofErr w:type="spellEnd"/>
      <w:r>
        <w:t>) to vii) have been included in the simulation.</w:t>
      </w:r>
    </w:p>
  </w:footnote>
  <w:footnote w:id="14">
    <w:p w:rsidR="002A43CB" w:rsidRDefault="0048172E">
      <w:pPr>
        <w:pStyle w:val="FootnoteText"/>
      </w:pPr>
      <w:proofErr w:type="gramStart"/>
      <w:r>
        <w:t>(</w:t>
      </w:r>
      <w:r>
        <w:rPr>
          <w:vertAlign w:val="superscript"/>
        </w:rPr>
        <w:footnoteRef/>
      </w:r>
      <w:r>
        <w:t>)</w:t>
      </w:r>
      <w:r>
        <w:tab/>
        <w:t>Draft Budgetary Plan - Luxembourg, 2016-2017, page 4.</w:t>
      </w:r>
      <w:proofErr w:type="gramEnd"/>
      <w:r>
        <w:t xml:space="preserve"> The estimate reports the impact </w:t>
      </w:r>
      <w:r>
        <w:t xml:space="preserve">of the corporate income tax. </w:t>
      </w:r>
    </w:p>
  </w:footnote>
  <w:footnote w:id="15">
    <w:p w:rsidR="002A43CB" w:rsidRDefault="0048172E">
      <w:pPr>
        <w:pStyle w:val="FootnoteText"/>
      </w:pPr>
      <w:r>
        <w:t>(</w:t>
      </w:r>
      <w:r>
        <w:rPr>
          <w:vertAlign w:val="superscript"/>
        </w:rPr>
        <w:footnoteRef/>
      </w:r>
      <w:r>
        <w:t>)</w:t>
      </w:r>
      <w:r>
        <w:tab/>
        <w:t xml:space="preserve">Aggressive tax planning consists in taking advantage of the technicalities of a tax system or of mismatches between two or more tax systems for the purpose of reducing tax liability (source: Commission Recommendation of 6 </w:t>
      </w:r>
      <w:r>
        <w:t xml:space="preserve">December 2012 on aggressive tax planning (2012/772/EU)). For an overview of the most common structures of aggressive tax planning and the provisions (or lack thereof) necessary for these structures to work, see </w:t>
      </w:r>
      <w:proofErr w:type="spellStart"/>
      <w:r>
        <w:t>Ramboll</w:t>
      </w:r>
      <w:proofErr w:type="spellEnd"/>
      <w:r>
        <w:t xml:space="preserve"> Management Consulting and </w:t>
      </w:r>
      <w:proofErr w:type="spellStart"/>
      <w:r>
        <w:t>Corit</w:t>
      </w:r>
      <w:proofErr w:type="spellEnd"/>
      <w:r>
        <w:t xml:space="preserve"> Advis</w:t>
      </w:r>
      <w:r>
        <w:t>ory (2016), Study on Structures of Aggressive Tax Planning and Indicators, European Commission Taxation Paper n°61. It should be noted that country-specific information provided in the study gives the state of play by May/June 2015.</w:t>
      </w:r>
    </w:p>
  </w:footnote>
  <w:footnote w:id="16">
    <w:p w:rsidR="002A43CB" w:rsidRDefault="0048172E">
      <w:pPr>
        <w:pStyle w:val="FootnoteText"/>
      </w:pPr>
      <w:r>
        <w:t>(</w:t>
      </w:r>
      <w:r>
        <w:rPr>
          <w:vertAlign w:val="superscript"/>
        </w:rPr>
        <w:footnoteRef/>
      </w:r>
      <w:r>
        <w:t>)</w:t>
      </w:r>
      <w:r>
        <w:tab/>
        <w:t>For more details, s</w:t>
      </w:r>
      <w:r>
        <w:t>ee European Commission, 2016a.</w:t>
      </w:r>
    </w:p>
  </w:footnote>
  <w:footnote w:id="17">
    <w:p w:rsidR="002A43CB" w:rsidRDefault="0048172E">
      <w:pPr>
        <w:pStyle w:val="FootnoteText"/>
      </w:pPr>
      <w:r>
        <w:t>(</w:t>
      </w:r>
      <w:r>
        <w:rPr>
          <w:vertAlign w:val="superscript"/>
        </w:rPr>
        <w:footnoteRef/>
      </w:r>
      <w:r>
        <w:t>)</w:t>
      </w:r>
      <w:r>
        <w:tab/>
        <w:t>In 2015, the level of inward and outward foreign direct investment amounted respectively to 5868% and 6867% of GDP. The share of inward and outward FDI held by SPE amounted respectively to 93% and 95% of GDP. The flows of</w:t>
      </w:r>
      <w:r>
        <w:t xml:space="preserve"> dividends paid and received (calculated as net income on FDI) amounted respectively to 85.6% of GDP and 108.9% of GDP. Interests received (calculated as net income on FDI) amounted to 23.02% of GDP and the royalties paid and received amounted respectively</w:t>
      </w:r>
      <w:r>
        <w:t xml:space="preserve"> to 5.5 % of GDP </w:t>
      </w:r>
      <w:proofErr w:type="gramStart"/>
      <w:r>
        <w:t>and  2.3</w:t>
      </w:r>
      <w:proofErr w:type="gramEnd"/>
      <w:r>
        <w:t>% of GDP in 2015.</w:t>
      </w:r>
    </w:p>
  </w:footnote>
  <w:footnote w:id="18">
    <w:p w:rsidR="002A43CB" w:rsidRDefault="0048172E">
      <w:pPr>
        <w:pStyle w:val="FootnoteText"/>
      </w:pPr>
      <w:proofErr w:type="gramStart"/>
      <w:r>
        <w:t>(</w:t>
      </w:r>
      <w:r>
        <w:rPr>
          <w:vertAlign w:val="superscript"/>
        </w:rPr>
        <w:footnoteRef/>
      </w:r>
      <w:r>
        <w:t>)</w:t>
      </w:r>
      <w:r>
        <w:tab/>
        <w:t>European Environment Agency 2016, Environmental taxation and EU environmental policies.</w:t>
      </w:r>
      <w:proofErr w:type="gramEnd"/>
      <w:r>
        <w:t xml:space="preserve"> </w:t>
      </w:r>
      <w:proofErr w:type="gramStart"/>
      <w:r>
        <w:t>Table 4.3 on p.24.</w:t>
      </w:r>
      <w:proofErr w:type="gramEnd"/>
    </w:p>
  </w:footnote>
  <w:footnote w:id="19">
    <w:p w:rsidR="002A43CB" w:rsidRDefault="0048172E">
      <w:pPr>
        <w:pStyle w:val="FootnoteText"/>
      </w:pPr>
      <w:r>
        <w:t>(</w:t>
      </w:r>
      <w:r>
        <w:rPr>
          <w:vertAlign w:val="superscript"/>
        </w:rPr>
        <w:footnoteRef/>
      </w:r>
      <w:r>
        <w:t>)</w:t>
      </w:r>
      <w:r>
        <w:tab/>
        <w:t>Diesel fuel affects local air pollution much stronger than gasoline, primarily due to the higher e</w:t>
      </w:r>
      <w:r>
        <w:t>missions of particulate matter and nitrogen oxides per litre.</w:t>
      </w:r>
    </w:p>
  </w:footnote>
  <w:footnote w:id="20">
    <w:p w:rsidR="002A43CB" w:rsidRDefault="0048172E">
      <w:pPr>
        <w:pStyle w:val="FootnoteText"/>
      </w:pPr>
      <w:proofErr w:type="gramStart"/>
      <w:r>
        <w:t>(</w:t>
      </w:r>
      <w:r>
        <w:rPr>
          <w:vertAlign w:val="superscript"/>
        </w:rPr>
        <w:footnoteRef/>
      </w:r>
      <w:r>
        <w:t>)</w:t>
      </w:r>
      <w:r>
        <w:tab/>
        <w:t>European Automobile Manufacturers Association, 2013 data.</w:t>
      </w:r>
      <w:proofErr w:type="gramEnd"/>
    </w:p>
  </w:footnote>
  <w:footnote w:id="21">
    <w:p w:rsidR="002A43CB" w:rsidRDefault="0048172E">
      <w:pPr>
        <w:pStyle w:val="FootnoteText"/>
        <w:rPr>
          <w:lang w:val="de-DE"/>
        </w:rPr>
      </w:pPr>
      <w:r>
        <w:rPr>
          <w:lang w:val="de-DE"/>
        </w:rPr>
        <w:t>(</w:t>
      </w:r>
      <w:r>
        <w:rPr>
          <w:vertAlign w:val="superscript"/>
        </w:rPr>
        <w:footnoteRef/>
      </w:r>
      <w:r>
        <w:rPr>
          <w:lang w:val="de-DE"/>
        </w:rPr>
        <w:t>)</w:t>
      </w:r>
      <w:r>
        <w:rPr>
          <w:lang w:val="de-DE"/>
        </w:rPr>
        <w:tab/>
        <w:t xml:space="preserve">Ermittlung und Bewertung der positiven und negativen Wirkungen des Treibstoffverkaufs unter besonderer Berücksichtigung </w:t>
      </w:r>
      <w:r>
        <w:rPr>
          <w:lang w:val="de-DE"/>
        </w:rPr>
        <w:t xml:space="preserve">negativer externer Umwelt- und Gesundheitseffekte – Status quo 2012 und maßnahmeninduzierte Veränderungen, </w:t>
      </w:r>
      <w:proofErr w:type="spellStart"/>
      <w:r>
        <w:rPr>
          <w:lang w:val="de-DE"/>
        </w:rPr>
        <w:t>Government</w:t>
      </w:r>
      <w:proofErr w:type="spellEnd"/>
      <w:r>
        <w:rPr>
          <w:lang w:val="de-DE"/>
        </w:rPr>
        <w:t xml:space="preserve"> </w:t>
      </w:r>
      <w:proofErr w:type="spellStart"/>
      <w:r>
        <w:rPr>
          <w:lang w:val="de-DE"/>
        </w:rPr>
        <w:t>of</w:t>
      </w:r>
      <w:proofErr w:type="spellEnd"/>
      <w:r>
        <w:rPr>
          <w:lang w:val="de-DE"/>
        </w:rPr>
        <w:t xml:space="preserve"> Luxembourg, 25 November 2016.</w:t>
      </w:r>
    </w:p>
  </w:footnote>
  <w:footnote w:id="22">
    <w:p w:rsidR="002A43CB" w:rsidRDefault="0048172E">
      <w:pPr>
        <w:pStyle w:val="FootnoteText"/>
      </w:pPr>
      <w:r>
        <w:t>(</w:t>
      </w:r>
      <w:r>
        <w:rPr>
          <w:vertAlign w:val="superscript"/>
        </w:rPr>
        <w:footnoteRef/>
      </w:r>
      <w:r>
        <w:t>)</w:t>
      </w:r>
      <w:r>
        <w:tab/>
        <w:t>Report from the Commission, "Implementing the Paris Agreement - Progress of the EU towards the at lea</w:t>
      </w:r>
      <w:r>
        <w:t>st -40% target", COM(2016) 707 final</w:t>
      </w:r>
    </w:p>
  </w:footnote>
  <w:footnote w:id="23">
    <w:p w:rsidR="002A43CB" w:rsidRDefault="0048172E">
      <w:pPr>
        <w:pStyle w:val="FootnoteText"/>
      </w:pPr>
      <w:r>
        <w:t>(</w:t>
      </w:r>
      <w:r>
        <w:rPr>
          <w:vertAlign w:val="superscript"/>
        </w:rPr>
        <w:footnoteRef/>
      </w:r>
      <w:r>
        <w:t>)</w:t>
      </w:r>
      <w:r>
        <w:tab/>
        <w:t>The Fiscal Rule Index is calculated by the Commission annually based on self-declared data from the Member States. The latest update has a cut-off date of end-2014. The index is based on five dimensions of the stren</w:t>
      </w:r>
      <w:r>
        <w:t>gth of all fiscal rules in place (legal base, room for revising objectives, monitoring and enforcement bodies, enforcement mechanism and media visibility) and adjusted for the sector coverage for each country.</w:t>
      </w:r>
    </w:p>
  </w:footnote>
  <w:footnote w:id="24">
    <w:p w:rsidR="002A43CB" w:rsidRDefault="0048172E">
      <w:pPr>
        <w:pStyle w:val="FootnoteText"/>
      </w:pPr>
      <w:r>
        <w:t>(</w:t>
      </w:r>
      <w:r>
        <w:rPr>
          <w:vertAlign w:val="superscript"/>
        </w:rPr>
        <w:footnoteRef/>
      </w:r>
      <w:r>
        <w:t>)</w:t>
      </w:r>
      <w:r>
        <w:tab/>
        <w:t>The macroeconomic forecasts underlying the</w:t>
      </w:r>
      <w:r>
        <w:t xml:space="preserve"> government budgetary planning are prepared by the "</w:t>
      </w:r>
      <w:proofErr w:type="spellStart"/>
      <w:r>
        <w:t>Institut</w:t>
      </w:r>
      <w:proofErr w:type="spellEnd"/>
      <w:r>
        <w:t xml:space="preserve"> national de la </w:t>
      </w:r>
      <w:proofErr w:type="spellStart"/>
      <w:r>
        <w:t>statistique</w:t>
      </w:r>
      <w:proofErr w:type="spellEnd"/>
      <w:r>
        <w:t xml:space="preserve"> </w:t>
      </w:r>
      <w:proofErr w:type="gramStart"/>
      <w:r>
        <w:t>et</w:t>
      </w:r>
      <w:proofErr w:type="gramEnd"/>
      <w:r>
        <w:t xml:space="preserve"> des </w:t>
      </w:r>
      <w:proofErr w:type="spellStart"/>
      <w:r>
        <w:t>études</w:t>
      </w:r>
      <w:proofErr w:type="spellEnd"/>
      <w:r>
        <w:t xml:space="preserve"> </w:t>
      </w:r>
      <w:proofErr w:type="spellStart"/>
      <w:r>
        <w:t>économiques</w:t>
      </w:r>
      <w:proofErr w:type="spellEnd"/>
      <w:r>
        <w:t xml:space="preserve"> du Grand-</w:t>
      </w:r>
      <w:proofErr w:type="spellStart"/>
      <w:r>
        <w:t>Duché</w:t>
      </w:r>
      <w:proofErr w:type="spellEnd"/>
      <w:r>
        <w:t xml:space="preserve"> du Luxembourg" (STATEC).</w:t>
      </w:r>
    </w:p>
  </w:footnote>
  <w:footnote w:id="25">
    <w:p w:rsidR="002A43CB" w:rsidRDefault="0048172E">
      <w:pPr>
        <w:pStyle w:val="FootnoteText"/>
      </w:pPr>
      <w:r>
        <w:t>(</w:t>
      </w:r>
      <w:r>
        <w:rPr>
          <w:vertAlign w:val="superscript"/>
        </w:rPr>
        <w:footnoteRef/>
      </w:r>
      <w:r>
        <w:t>)</w:t>
      </w:r>
      <w:r>
        <w:tab/>
        <w:t>See Debt Sustainability Monitor 2016 (European Commission Institutional Paper no. 047, January 201</w:t>
      </w:r>
      <w:r>
        <w:t>7).</w:t>
      </w:r>
    </w:p>
  </w:footnote>
  <w:footnote w:id="26">
    <w:p w:rsidR="002A43CB" w:rsidRDefault="0048172E">
      <w:pPr>
        <w:pStyle w:val="FootnoteText"/>
      </w:pPr>
      <w:r>
        <w:t>(</w:t>
      </w:r>
      <w:r>
        <w:rPr>
          <w:vertAlign w:val="superscript"/>
        </w:rPr>
        <w:footnoteRef/>
      </w:r>
      <w:r>
        <w:t>)</w:t>
      </w:r>
      <w:r>
        <w:tab/>
        <w:t>Between 1990 and 2015 total population increased by 49.2% (compared to 9.0% on average in the EA19), while over the same period the labour force increased by 116.2%. The composition of the labour force has experience a significant shift as the shar</w:t>
      </w:r>
      <w:r>
        <w:t>e of frontier workers in the overall labour force has moved from 33.6% in 2000 to 43% in 2015.</w:t>
      </w:r>
    </w:p>
  </w:footnote>
  <w:footnote w:id="27">
    <w:p w:rsidR="002A43CB" w:rsidRDefault="0048172E">
      <w:pPr>
        <w:pStyle w:val="FootnoteText"/>
      </w:pPr>
      <w:r>
        <w:t>(</w:t>
      </w:r>
      <w:r>
        <w:rPr>
          <w:vertAlign w:val="superscript"/>
        </w:rPr>
        <w:footnoteRef/>
      </w:r>
      <w:r>
        <w:t>)</w:t>
      </w:r>
      <w:r>
        <w:tab/>
        <w:t>In 2015, the number of new contributors increased by 2.5% compared to the previous year. Nevertheless, the increase was well below the increase in the number</w:t>
      </w:r>
      <w:r>
        <w:t xml:space="preserve"> of new pensions, In light of the large number of pensions paid to non-residents, most of which are not completed, the financial situation of the system is better off than the demographic evolution shows.</w:t>
      </w:r>
    </w:p>
  </w:footnote>
  <w:footnote w:id="28">
    <w:p w:rsidR="002A43CB" w:rsidRDefault="0048172E">
      <w:pPr>
        <w:pStyle w:val="FootnoteText"/>
      </w:pPr>
      <w:r>
        <w:t>(</w:t>
      </w:r>
      <w:r>
        <w:rPr>
          <w:vertAlign w:val="superscript"/>
        </w:rPr>
        <w:footnoteRef/>
      </w:r>
      <w:r>
        <w:t>)</w:t>
      </w:r>
      <w:r>
        <w:tab/>
        <w:t>These projections represent a sharp downward re</w:t>
      </w:r>
      <w:r>
        <w:t>vision compared to the previous 2012 Ageing report projections and largely reflect more favourable demographic assumptions, in the absence of a new pension reform.</w:t>
      </w:r>
    </w:p>
  </w:footnote>
  <w:footnote w:id="29">
    <w:p w:rsidR="002A43CB" w:rsidRDefault="0048172E">
      <w:pPr>
        <w:pStyle w:val="FootnoteText"/>
      </w:pPr>
      <w:r>
        <w:t>(</w:t>
      </w:r>
      <w:r>
        <w:rPr>
          <w:vertAlign w:val="superscript"/>
        </w:rPr>
        <w:footnoteRef/>
      </w:r>
      <w:r>
        <w:t>)</w:t>
      </w:r>
      <w:r>
        <w:tab/>
        <w:t>According to the 2012 pension reform a review of the sustainability of the pension syste</w:t>
      </w:r>
      <w:r>
        <w:t>m should take place every 5 years, then the first one should have occurred in 2017.</w:t>
      </w:r>
    </w:p>
  </w:footnote>
  <w:footnote w:id="30">
    <w:p w:rsidR="002A43CB" w:rsidRDefault="0048172E">
      <w:pPr>
        <w:pStyle w:val="FootnoteText"/>
      </w:pPr>
      <w:r>
        <w:t>(</w:t>
      </w:r>
      <w:r>
        <w:rPr>
          <w:vertAlign w:val="superscript"/>
        </w:rPr>
        <w:footnoteRef/>
      </w:r>
      <w:r>
        <w:t>)</w:t>
      </w:r>
      <w:r>
        <w:tab/>
        <w:t xml:space="preserve">Estimation based on national information as published at: </w:t>
      </w:r>
      <w:hyperlink r:id="rId1" w:history="1">
        <w:r>
          <w:rPr>
            <w:rStyle w:val="Hyperlink"/>
          </w:rPr>
          <w:t>ht</w:t>
        </w:r>
        <w:r>
          <w:rPr>
            <w:rStyle w:val="Hyperlink"/>
          </w:rPr>
          <w:t>tp://www.isog.public.lu/islux/assurance-pension/analyse-et-resultats/les-prestations.html</w:t>
        </w:r>
      </w:hyperlink>
      <w:r>
        <w:t xml:space="preserve">. See Graph </w:t>
      </w:r>
      <w:r>
        <w:fldChar w:fldCharType="begin"/>
      </w:r>
      <w:r>
        <w:instrText xml:space="preserve"> QUOTE "3.1.6"</w:instrText>
      </w:r>
      <w:r>
        <w:fldChar w:fldCharType="begin">
          <w:fldData xml:space="preserve">QwBSAE8AUwBTAFIARQBGAEUAUgBFAE4AQwBFACoARwBSAEEAUABIACoAMAA2ADIAOABlADIAMQA5
AC0AZgBlADQAZgAtADQAYQBkAGEALQBhAGMAOQBhAC0ANwAwADAAOABhADQAOQBjADIAYgBkADcA
</w:fldData>
        </w:fldChar>
      </w:r>
      <w:r>
        <w:instrText xml:space="preserve"> ADDIN </w:instrText>
      </w:r>
      <w:r>
        <w:fldChar w:fldCharType="end"/>
      </w:r>
      <w:r>
        <w:instrText xml:space="preserve"> </w:instrText>
      </w:r>
      <w:r>
        <w:fldChar w:fldCharType="separate"/>
      </w:r>
      <w:r>
        <w:t>3.1.6</w:t>
      </w:r>
      <w:r>
        <w:fldChar w:fldCharType="end"/>
      </w:r>
      <w:r>
        <w:t>.</w:t>
      </w:r>
    </w:p>
  </w:footnote>
  <w:footnote w:id="31">
    <w:p w:rsidR="002A43CB" w:rsidRDefault="0048172E">
      <w:pPr>
        <w:pStyle w:val="FootnoteText"/>
      </w:pPr>
      <w:proofErr w:type="gramStart"/>
      <w:r>
        <w:t>(</w:t>
      </w:r>
      <w:r>
        <w:rPr>
          <w:vertAlign w:val="superscript"/>
        </w:rPr>
        <w:footnoteRef/>
      </w:r>
      <w:r>
        <w:t>)</w:t>
      </w:r>
      <w:r>
        <w:tab/>
        <w:t xml:space="preserve">Cf. at </w:t>
      </w:r>
      <w:r>
        <w:t>http://www.isog.public.lu/islux/assurance-pension/analyse-et-resultats/les-prestations.html.</w:t>
      </w:r>
      <w:proofErr w:type="gramEnd"/>
    </w:p>
  </w:footnote>
  <w:footnote w:id="32">
    <w:p w:rsidR="002A43CB" w:rsidRDefault="0048172E">
      <w:pPr>
        <w:pStyle w:val="FootnoteText"/>
      </w:pPr>
      <w:r>
        <w:t>(</w:t>
      </w:r>
      <w:r>
        <w:rPr>
          <w:vertAlign w:val="superscript"/>
        </w:rPr>
        <w:footnoteRef/>
      </w:r>
      <w:r>
        <w:t>)</w:t>
      </w:r>
      <w:r>
        <w:tab/>
        <w:t>In accordance with Article 130(2) CRD IV, in January 2016 the CSSF exempted small and medium-sized investment firms from the countercyclical capital buffer.</w:t>
      </w:r>
    </w:p>
  </w:footnote>
  <w:footnote w:id="33">
    <w:p w:rsidR="002A43CB" w:rsidRDefault="0048172E">
      <w:pPr>
        <w:pStyle w:val="FootnoteText"/>
      </w:pPr>
      <w:r>
        <w:t>(</w:t>
      </w:r>
      <w:r>
        <w:rPr>
          <w:vertAlign w:val="superscript"/>
        </w:rPr>
        <w:footnoteRef/>
      </w:r>
      <w:r>
        <w:t>)</w:t>
      </w:r>
      <w:r>
        <w:tab/>
        <w:t xml:space="preserve">These banks are Deutsche Bank LU (1%), </w:t>
      </w:r>
      <w:proofErr w:type="spellStart"/>
      <w:r>
        <w:t>Société</w:t>
      </w:r>
      <w:proofErr w:type="spellEnd"/>
      <w:r>
        <w:t xml:space="preserve"> </w:t>
      </w:r>
      <w:proofErr w:type="spellStart"/>
      <w:r>
        <w:t>Générale</w:t>
      </w:r>
      <w:proofErr w:type="spellEnd"/>
      <w:r>
        <w:t xml:space="preserve"> Bank &amp; Trust (1%), </w:t>
      </w:r>
      <w:proofErr w:type="spellStart"/>
      <w:r>
        <w:t>Banque</w:t>
      </w:r>
      <w:proofErr w:type="spellEnd"/>
      <w:r>
        <w:t xml:space="preserve"> et </w:t>
      </w:r>
      <w:proofErr w:type="spellStart"/>
      <w:r>
        <w:t>Caisse</w:t>
      </w:r>
      <w:proofErr w:type="spellEnd"/>
      <w:r>
        <w:t xml:space="preserve"> </w:t>
      </w:r>
      <w:proofErr w:type="spellStart"/>
      <w:r>
        <w:t>d'Epagne</w:t>
      </w:r>
      <w:proofErr w:type="spellEnd"/>
      <w:r>
        <w:t xml:space="preserve"> de </w:t>
      </w:r>
      <w:proofErr w:type="spellStart"/>
      <w:r>
        <w:t>l'Etat</w:t>
      </w:r>
      <w:proofErr w:type="spellEnd"/>
      <w:r>
        <w:t xml:space="preserve"> Luxembourg (0.5%), BGL BNP Paribas (0.5%), CACEIS Bank LU (0.5%) and </w:t>
      </w:r>
      <w:proofErr w:type="spellStart"/>
      <w:r>
        <w:t>Banque</w:t>
      </w:r>
      <w:proofErr w:type="spellEnd"/>
      <w:r>
        <w:t xml:space="preserve"> </w:t>
      </w:r>
      <w:proofErr w:type="spellStart"/>
      <w:r>
        <w:t>Internationale</w:t>
      </w:r>
      <w:proofErr w:type="spellEnd"/>
      <w:r>
        <w:t xml:space="preserve"> a Luxembourg (0.5%).</w:t>
      </w:r>
    </w:p>
  </w:footnote>
  <w:footnote w:id="34">
    <w:p w:rsidR="002A43CB" w:rsidRDefault="0048172E">
      <w:pPr>
        <w:pStyle w:val="FootnoteText"/>
      </w:pPr>
      <w:r>
        <w:t>(</w:t>
      </w:r>
      <w:r>
        <w:rPr>
          <w:vertAlign w:val="superscript"/>
        </w:rPr>
        <w:footnoteRef/>
      </w:r>
      <w:r>
        <w:t>)</w:t>
      </w:r>
      <w:r>
        <w:tab/>
        <w:t>The deflated house price in</w:t>
      </w:r>
      <w:r>
        <w:t>dex estimated as the ratio between the house price index and the national accounts deflator for private final consumption expenditure (households and non-profit institutions serving households (NPISHs). Source: Eurostat.</w:t>
      </w:r>
    </w:p>
  </w:footnote>
  <w:footnote w:id="35">
    <w:p w:rsidR="002A43CB" w:rsidRDefault="0048172E">
      <w:pPr>
        <w:pStyle w:val="FootnoteText"/>
      </w:pPr>
      <w:r>
        <w:t>(</w:t>
      </w:r>
      <w:r>
        <w:rPr>
          <w:vertAlign w:val="superscript"/>
        </w:rPr>
        <w:footnoteRef/>
      </w:r>
      <w:r>
        <w:t>)</w:t>
      </w:r>
      <w:r>
        <w:tab/>
        <w:t>Only Individuals up to 40 years</w:t>
      </w:r>
      <w:r>
        <w:t xml:space="preserve"> old can benefit from the measure.</w:t>
      </w:r>
    </w:p>
  </w:footnote>
  <w:footnote w:id="36">
    <w:p w:rsidR="002A43CB" w:rsidRDefault="0048172E">
      <w:pPr>
        <w:pStyle w:val="FootnoteText"/>
      </w:pPr>
      <w:r>
        <w:t>(</w:t>
      </w:r>
      <w:r>
        <w:rPr>
          <w:vertAlign w:val="superscript"/>
        </w:rPr>
        <w:footnoteRef/>
      </w:r>
      <w:r>
        <w:t>)</w:t>
      </w:r>
      <w:r>
        <w:tab/>
        <w:t xml:space="preserve">The European Systemic Risk Board issued on 22 September 2016 a warning to Luxembourg </w:t>
      </w:r>
      <w:r>
        <w:rPr>
          <w:rFonts w:hint="eastAsia"/>
          <w:lang w:eastAsia="ko-KR"/>
        </w:rPr>
        <w:t xml:space="preserve">as it identified </w:t>
      </w:r>
      <w:r>
        <w:rPr>
          <w:lang w:eastAsia="ko-KR"/>
        </w:rPr>
        <w:t xml:space="preserve">medium-term vulnerabilities in the residential real estate sector in Luxembourg, in relation to the combination of </w:t>
      </w:r>
      <w:r>
        <w:rPr>
          <w:lang w:eastAsia="ko-KR"/>
        </w:rPr>
        <w:t>high residential real estate prices and increasing household indebtedness.</w:t>
      </w:r>
      <w:r>
        <w:t xml:space="preserve"> </w:t>
      </w:r>
    </w:p>
  </w:footnote>
  <w:footnote w:id="37">
    <w:p w:rsidR="002A43CB" w:rsidRDefault="0048172E">
      <w:pPr>
        <w:pStyle w:val="FootnoteText"/>
        <w:rPr>
          <w:lang w:val="fr-BE"/>
        </w:rPr>
      </w:pPr>
      <w:r>
        <w:rPr>
          <w:lang w:val="fr-BE"/>
        </w:rPr>
        <w:t>(</w:t>
      </w:r>
      <w:r>
        <w:rPr>
          <w:vertAlign w:val="superscript"/>
        </w:rPr>
        <w:footnoteRef/>
      </w:r>
      <w:r>
        <w:rPr>
          <w:lang w:val="fr-BE"/>
        </w:rPr>
        <w:t>)</w:t>
      </w:r>
      <w:r>
        <w:rPr>
          <w:lang w:val="fr-BE"/>
        </w:rPr>
        <w:tab/>
        <w:t>BCL, Revue de stabilité financière, 2016.</w:t>
      </w:r>
    </w:p>
  </w:footnote>
  <w:footnote w:id="38">
    <w:p w:rsidR="002A43CB" w:rsidRDefault="0048172E">
      <w:pPr>
        <w:pStyle w:val="FootnoteText"/>
      </w:pPr>
      <w:r>
        <w:rPr>
          <w:lang w:val="fr-BE"/>
        </w:rPr>
        <w:t>(</w:t>
      </w:r>
      <w:r>
        <w:rPr>
          <w:vertAlign w:val="superscript"/>
        </w:rPr>
        <w:footnoteRef/>
      </w:r>
      <w:r>
        <w:rPr>
          <w:lang w:val="fr-BE"/>
        </w:rPr>
        <w:t>)</w:t>
      </w:r>
      <w:r>
        <w:rPr>
          <w:lang w:val="fr-BE"/>
        </w:rPr>
        <w:tab/>
        <w:t xml:space="preserve">STATEC, Projection des ménages privés et des besoins en logements 2010-2030 », </w:t>
      </w:r>
      <w:proofErr w:type="spellStart"/>
      <w:r>
        <w:rPr>
          <w:lang w:val="fr-BE"/>
        </w:rPr>
        <w:t>Working</w:t>
      </w:r>
      <w:proofErr w:type="spellEnd"/>
      <w:r>
        <w:rPr>
          <w:lang w:val="fr-BE"/>
        </w:rPr>
        <w:t xml:space="preserve"> </w:t>
      </w:r>
      <w:proofErr w:type="spellStart"/>
      <w:r>
        <w:rPr>
          <w:lang w:val="fr-BE"/>
        </w:rPr>
        <w:t>Papers</w:t>
      </w:r>
      <w:proofErr w:type="spellEnd"/>
      <w:r>
        <w:rPr>
          <w:lang w:val="fr-BE"/>
        </w:rPr>
        <w:t xml:space="preserve">, Septembre 2011, p. 51. </w:t>
      </w:r>
      <w:r>
        <w:t xml:space="preserve">An average annual population increase of 1.27% was used as underlying working assumption. Nevertheless between 2010 and 2015 population increased by an annual average of 2.32%, implying that </w:t>
      </w:r>
      <w:proofErr w:type="gramStart"/>
      <w:r>
        <w:t>an even higher housing needs</w:t>
      </w:r>
      <w:proofErr w:type="gramEnd"/>
      <w:r>
        <w:t xml:space="preserve">.  </w:t>
      </w:r>
    </w:p>
  </w:footnote>
  <w:footnote w:id="39">
    <w:p w:rsidR="002A43CB" w:rsidRDefault="0048172E">
      <w:pPr>
        <w:pStyle w:val="FootnoteText"/>
      </w:pPr>
      <w:proofErr w:type="gramStart"/>
      <w:r>
        <w:t>(</w:t>
      </w:r>
      <w:r>
        <w:rPr>
          <w:vertAlign w:val="superscript"/>
        </w:rPr>
        <w:footnoteRef/>
      </w:r>
      <w:r>
        <w:t>)</w:t>
      </w:r>
      <w:r>
        <w:tab/>
        <w:t>Luxembourg’s national concept</w:t>
      </w:r>
      <w:r>
        <w:t xml:space="preserve"> for transport and territorial development (IVL).</w:t>
      </w:r>
      <w:proofErr w:type="gramEnd"/>
    </w:p>
  </w:footnote>
  <w:footnote w:id="40">
    <w:p w:rsidR="002A43CB" w:rsidRDefault="0048172E">
      <w:pPr>
        <w:pStyle w:val="FootnoteText"/>
      </w:pPr>
      <w:r>
        <w:t>(</w:t>
      </w:r>
      <w:r>
        <w:rPr>
          <w:vertAlign w:val="superscript"/>
        </w:rPr>
        <w:footnoteRef/>
      </w:r>
      <w:r>
        <w:t>)</w:t>
      </w:r>
      <w:r>
        <w:tab/>
        <w:t>See the initiative "</w:t>
      </w:r>
      <w:proofErr w:type="spellStart"/>
      <w:r>
        <w:t>Wéi</w:t>
      </w:r>
      <w:proofErr w:type="spellEnd"/>
      <w:r>
        <w:t xml:space="preserve"> e qualitative </w:t>
      </w:r>
      <w:proofErr w:type="spellStart"/>
      <w:r>
        <w:t>Wuesstem</w:t>
      </w:r>
      <w:proofErr w:type="spellEnd"/>
      <w:r>
        <w:t xml:space="preserve"> </w:t>
      </w:r>
      <w:proofErr w:type="spellStart"/>
      <w:r>
        <w:t>fir</w:t>
      </w:r>
      <w:proofErr w:type="spellEnd"/>
      <w:r>
        <w:t xml:space="preserve"> </w:t>
      </w:r>
      <w:proofErr w:type="spellStart"/>
      <w:r>
        <w:t>ein</w:t>
      </w:r>
      <w:proofErr w:type="spellEnd"/>
      <w:r>
        <w:t xml:space="preserve"> Land", available at http://www.gouvernement.lu/6466657.</w:t>
      </w:r>
    </w:p>
  </w:footnote>
  <w:footnote w:id="41">
    <w:p w:rsidR="002A43CB" w:rsidRDefault="0048172E">
      <w:pPr>
        <w:pStyle w:val="FootnoteText"/>
        <w:rPr>
          <w:lang w:val="fr-BE"/>
        </w:rPr>
      </w:pPr>
      <w:r>
        <w:rPr>
          <w:lang w:val="fr-BE"/>
        </w:rPr>
        <w:t>(</w:t>
      </w:r>
      <w:r>
        <w:rPr>
          <w:vertAlign w:val="superscript"/>
        </w:rPr>
        <w:footnoteRef/>
      </w:r>
      <w:r>
        <w:rPr>
          <w:lang w:val="fr-BE"/>
        </w:rPr>
        <w:t>)</w:t>
      </w:r>
      <w:r>
        <w:rPr>
          <w:lang w:val="fr-BE"/>
        </w:rPr>
        <w:tab/>
        <w:t xml:space="preserve">L'Observatoire de l'Habitat, Le potentiel foncier destiné à l’habitat au Luxembourg en </w:t>
      </w:r>
      <w:r>
        <w:rPr>
          <w:lang w:val="fr-BE"/>
        </w:rPr>
        <w:t xml:space="preserve">2013, </w:t>
      </w:r>
      <w:proofErr w:type="spellStart"/>
      <w:r>
        <w:rPr>
          <w:lang w:val="fr-BE"/>
        </w:rPr>
        <w:t>October</w:t>
      </w:r>
      <w:proofErr w:type="spellEnd"/>
      <w:r>
        <w:rPr>
          <w:lang w:val="fr-BE"/>
        </w:rPr>
        <w:t xml:space="preserve"> 2015.</w:t>
      </w:r>
    </w:p>
  </w:footnote>
  <w:footnote w:id="42">
    <w:p w:rsidR="002A43CB" w:rsidRDefault="0048172E">
      <w:pPr>
        <w:pStyle w:val="FootnoteText"/>
      </w:pPr>
      <w:r>
        <w:t>(</w:t>
      </w:r>
      <w:r>
        <w:rPr>
          <w:vertAlign w:val="superscript"/>
        </w:rPr>
        <w:footnoteRef/>
      </w:r>
      <w:r>
        <w:t>)</w:t>
      </w:r>
      <w:r>
        <w:tab/>
        <w:t>See for more details: http://www.gouvernement.lu/6646229/13-conseil-gouvernement</w:t>
      </w:r>
    </w:p>
  </w:footnote>
  <w:footnote w:id="43">
    <w:p w:rsidR="002A43CB" w:rsidRDefault="0048172E">
      <w:pPr>
        <w:pStyle w:val="FootnoteText"/>
      </w:pPr>
      <w:r>
        <w:t>(</w:t>
      </w:r>
      <w:r>
        <w:rPr>
          <w:vertAlign w:val="superscript"/>
        </w:rPr>
        <w:footnoteRef/>
      </w:r>
      <w:r>
        <w:t>)</w:t>
      </w:r>
      <w:r>
        <w:tab/>
        <w:t>Provisional 2016 LFS quarterly data also do not point to an improvement.</w:t>
      </w:r>
    </w:p>
  </w:footnote>
  <w:footnote w:id="44">
    <w:p w:rsidR="002A43CB" w:rsidRDefault="0048172E">
      <w:pPr>
        <w:pStyle w:val="FootnoteText"/>
      </w:pPr>
      <w:r>
        <w:t>(</w:t>
      </w:r>
      <w:r>
        <w:rPr>
          <w:vertAlign w:val="superscript"/>
        </w:rPr>
        <w:footnoteRef/>
      </w:r>
      <w:r>
        <w:t>)</w:t>
      </w:r>
      <w:r>
        <w:tab/>
        <w:t>Due to a redesign of the Labour Force survey in 2015, precise percenta</w:t>
      </w:r>
      <w:r>
        <w:t>ges are not given but annual data, in combination with quarterly 2016 data suggests that employment rates of older workers have not improved in 2015.</w:t>
      </w:r>
    </w:p>
  </w:footnote>
  <w:footnote w:id="45">
    <w:p w:rsidR="002A43CB" w:rsidRDefault="0048172E">
      <w:pPr>
        <w:pStyle w:val="FootnoteText"/>
      </w:pPr>
      <w:r>
        <w:t>(</w:t>
      </w:r>
      <w:r>
        <w:rPr>
          <w:vertAlign w:val="superscript"/>
        </w:rPr>
        <w:footnoteRef/>
      </w:r>
      <w:r>
        <w:t>)</w:t>
      </w:r>
      <w:r>
        <w:tab/>
        <w:t>According to the ISCED 2011 definition there are nine levels of education, from level 0 to level 8 (te</w:t>
      </w:r>
      <w:r>
        <w:t>rtiary education is more detailed): ISCED 0: Early childhood education (‘less than primary’ for educational attainment); ISCED 1: Primary education; ISCED 2: Lower secondary education; ISCED 3: Upper secondary education; ISCED 4: Post-secondary non-tertiar</w:t>
      </w:r>
      <w:r>
        <w:t>y education; ISCED 5: Short-cycle tertiary education; ISCED 6: Bachelor’s or equivalent level; ISCED 7: Master’s or equivalent level; ISCED 8: Doctoral or equivalent level.</w:t>
      </w:r>
    </w:p>
  </w:footnote>
  <w:footnote w:id="46">
    <w:p w:rsidR="002A43CB" w:rsidRDefault="0048172E">
      <w:pPr>
        <w:pStyle w:val="FootnoteText"/>
      </w:pPr>
      <w:r>
        <w:t>(</w:t>
      </w:r>
      <w:r>
        <w:rPr>
          <w:vertAlign w:val="superscript"/>
        </w:rPr>
        <w:footnoteRef/>
      </w:r>
      <w:r>
        <w:t>)</w:t>
      </w:r>
      <w:r>
        <w:tab/>
        <w:t>Within 3 years of its adoption, companies with more than 150 employees would ha</w:t>
      </w:r>
      <w:r>
        <w:t>ve to present an age management plan focusing on at least three of the following issues: recruiting older workers, facilitating career changes, improving working conditions, giving access to life-long learning and passing- skills on to younger generations.</w:t>
      </w:r>
      <w:r>
        <w:t xml:space="preserve"> Financial support for the implementation of such plans is also planned for smaller companies willing to submit an age management plan. The reform will only cover 39% of employees.</w:t>
      </w:r>
    </w:p>
  </w:footnote>
  <w:footnote w:id="47">
    <w:p w:rsidR="002A43CB" w:rsidRDefault="0048172E">
      <w:pPr>
        <w:pStyle w:val="FootnoteText"/>
      </w:pPr>
      <w:proofErr w:type="gramStart"/>
      <w:r>
        <w:t>(</w:t>
      </w:r>
      <w:r>
        <w:rPr>
          <w:vertAlign w:val="superscript"/>
        </w:rPr>
        <w:footnoteRef/>
      </w:r>
      <w:r>
        <w:t>)</w:t>
      </w:r>
      <w:r>
        <w:tab/>
        <w:t>Percentage of the gross earnings that is 'taxed away' by the combined e</w:t>
      </w:r>
      <w:r>
        <w:t>ffects of the withdrawal of benefits and higher tax and social security contributions.</w:t>
      </w:r>
      <w:proofErr w:type="gramEnd"/>
    </w:p>
  </w:footnote>
  <w:footnote w:id="48">
    <w:p w:rsidR="002A43CB" w:rsidRDefault="0048172E">
      <w:pPr>
        <w:pStyle w:val="FootnoteText"/>
      </w:pPr>
      <w:proofErr w:type="gramStart"/>
      <w:r>
        <w:t>(</w:t>
      </w:r>
      <w:r>
        <w:rPr>
          <w:vertAlign w:val="superscript"/>
        </w:rPr>
        <w:footnoteRef/>
      </w:r>
      <w:r>
        <w:t>)</w:t>
      </w:r>
      <w:r>
        <w:tab/>
        <w:t>CEDEFOP (2016): Skills Panorama, analytical highlights.</w:t>
      </w:r>
      <w:proofErr w:type="gramEnd"/>
      <w:r>
        <w:t xml:space="preserve"> Luxembourg: Mismatch priority occupations. Available at: </w:t>
      </w:r>
    </w:p>
    <w:p w:rsidR="002A43CB" w:rsidRDefault="0048172E">
      <w:pPr>
        <w:pStyle w:val="FootnoteText"/>
      </w:pPr>
      <w:r>
        <w:t>http://skillspanorama.cedefop.europa.eu/en/analytic</w:t>
      </w:r>
      <w:r>
        <w:t>al_highligths/luxembourg-mismatch-priority-occupations.</w:t>
      </w:r>
    </w:p>
  </w:footnote>
  <w:footnote w:id="49">
    <w:p w:rsidR="002A43CB" w:rsidRDefault="0048172E">
      <w:pPr>
        <w:pStyle w:val="FootnoteText"/>
      </w:pPr>
      <w:r>
        <w:t>(</w:t>
      </w:r>
      <w:r>
        <w:rPr>
          <w:vertAlign w:val="superscript"/>
        </w:rPr>
        <w:footnoteRef/>
      </w:r>
      <w:r>
        <w:t>)</w:t>
      </w:r>
      <w:r>
        <w:tab/>
        <w:t>The proportion of students in the two different tracks was 32 % in the general and 68 % in the technical path in 2013/2014 (</w:t>
      </w:r>
      <w:r>
        <w:rPr>
          <w:lang w:eastAsia="zh-CN"/>
        </w:rPr>
        <w:t>Ministry of Education</w:t>
      </w:r>
      <w:r>
        <w:t>/University of Luxemburg, 2015). As of 2016/2017, p</w:t>
      </w:r>
      <w:r>
        <w:t>arents are to be involved in the orientation decision.</w:t>
      </w:r>
    </w:p>
  </w:footnote>
  <w:footnote w:id="50">
    <w:p w:rsidR="002A43CB" w:rsidRDefault="0048172E">
      <w:pPr>
        <w:pStyle w:val="FootnoteText"/>
      </w:pPr>
      <w:r>
        <w:t>(</w:t>
      </w:r>
      <w:r>
        <w:rPr>
          <w:vertAlign w:val="superscript"/>
        </w:rPr>
        <w:footnoteRef/>
      </w:r>
      <w:r>
        <w:t>)</w:t>
      </w:r>
      <w:r>
        <w:tab/>
        <w:t xml:space="preserve">The additional year of schooling for one student generates costs of more than 18.000 € (MENJE 2016. </w:t>
      </w:r>
      <w:proofErr w:type="spellStart"/>
      <w:r>
        <w:t>L’enseignement</w:t>
      </w:r>
      <w:proofErr w:type="spellEnd"/>
      <w:r>
        <w:t xml:space="preserve"> </w:t>
      </w:r>
      <w:proofErr w:type="spellStart"/>
      <w:r>
        <w:t>luxembourgeois</w:t>
      </w:r>
      <w:proofErr w:type="spellEnd"/>
      <w:r>
        <w:t xml:space="preserve"> </w:t>
      </w:r>
      <w:proofErr w:type="spellStart"/>
      <w:proofErr w:type="gramStart"/>
      <w:r>
        <w:t>en</w:t>
      </w:r>
      <w:proofErr w:type="spellEnd"/>
      <w:r>
        <w:t xml:space="preserve">  </w:t>
      </w:r>
      <w:proofErr w:type="spellStart"/>
      <w:r>
        <w:t>chiffres</w:t>
      </w:r>
      <w:proofErr w:type="spellEnd"/>
      <w:proofErr w:type="gramEnd"/>
      <w:r>
        <w:t xml:space="preserve">. </w:t>
      </w:r>
      <w:proofErr w:type="spellStart"/>
      <w:proofErr w:type="gramStart"/>
      <w:r>
        <w:t>Année</w:t>
      </w:r>
      <w:proofErr w:type="spellEnd"/>
      <w:r>
        <w:t xml:space="preserve"> </w:t>
      </w:r>
      <w:proofErr w:type="spellStart"/>
      <w:r>
        <w:t>scolaire</w:t>
      </w:r>
      <w:proofErr w:type="spellEnd"/>
      <w:r>
        <w:t xml:space="preserve"> 2014-2015).</w:t>
      </w:r>
      <w:proofErr w:type="gramEnd"/>
    </w:p>
  </w:footnote>
  <w:footnote w:id="51">
    <w:p w:rsidR="002A43CB" w:rsidRDefault="0048172E">
      <w:pPr>
        <w:pStyle w:val="FootnoteText"/>
      </w:pPr>
      <w:r>
        <w:t>(</w:t>
      </w:r>
      <w:r>
        <w:rPr>
          <w:vertAlign w:val="superscript"/>
        </w:rPr>
        <w:footnoteRef/>
      </w:r>
      <w:r>
        <w:t>)</w:t>
      </w:r>
      <w:r>
        <w:tab/>
        <w:t>Up to about EUR 240 pe</w:t>
      </w:r>
      <w:r>
        <w:t>r month for a family with three children.</w:t>
      </w:r>
    </w:p>
  </w:footnote>
  <w:footnote w:id="52">
    <w:p w:rsidR="002A43CB" w:rsidRDefault="0048172E">
      <w:pPr>
        <w:pStyle w:val="FootnoteText"/>
      </w:pPr>
      <w:r>
        <w:t>(</w:t>
      </w:r>
      <w:r>
        <w:rPr>
          <w:vertAlign w:val="superscript"/>
        </w:rPr>
        <w:footnoteRef/>
      </w:r>
      <w:r>
        <w:t>)</w:t>
      </w:r>
      <w:r>
        <w:tab/>
        <w:t>Law n. 6935 of 3 November 2016.</w:t>
      </w:r>
    </w:p>
  </w:footnote>
  <w:footnote w:id="53">
    <w:p w:rsidR="002A43CB" w:rsidRDefault="0048172E">
      <w:pPr>
        <w:pStyle w:val="FootnoteText"/>
      </w:pPr>
      <w:r>
        <w:t>(</w:t>
      </w:r>
      <w:r>
        <w:rPr>
          <w:vertAlign w:val="superscript"/>
        </w:rPr>
        <w:footnoteRef/>
      </w:r>
      <w:r>
        <w:t>)</w:t>
      </w:r>
      <w:r>
        <w:tab/>
        <w:t xml:space="preserve">Cf. Alexander S, </w:t>
      </w:r>
      <w:proofErr w:type="spellStart"/>
      <w:r>
        <w:t>Rumpf</w:t>
      </w:r>
      <w:proofErr w:type="spellEnd"/>
      <w:r>
        <w:t>, G, del Rio, JC; RIO Country Report 2016: Luxembourg  (pending publication)</w:t>
      </w:r>
    </w:p>
  </w:footnote>
  <w:footnote w:id="54">
    <w:p w:rsidR="002A43CB" w:rsidRDefault="0048172E">
      <w:pPr>
        <w:pStyle w:val="FootnoteText"/>
      </w:pPr>
      <w:r>
        <w:t>(</w:t>
      </w:r>
      <w:r>
        <w:rPr>
          <w:vertAlign w:val="superscript"/>
        </w:rPr>
        <w:footnoteRef/>
      </w:r>
      <w:r>
        <w:t>)</w:t>
      </w:r>
      <w:r>
        <w:tab/>
        <w:t>Namely: energy, mobility, building sector, food sector, industry, finan</w:t>
      </w:r>
      <w:r>
        <w:t>ce, smart economy, circular economy, prosumers and social model.</w:t>
      </w:r>
    </w:p>
  </w:footnote>
  <w:footnote w:id="55">
    <w:p w:rsidR="002A43CB" w:rsidRDefault="0048172E">
      <w:pPr>
        <w:pStyle w:val="FootnoteText"/>
      </w:pPr>
      <w:r>
        <w:t>(</w:t>
      </w:r>
      <w:r>
        <w:rPr>
          <w:vertAlign w:val="superscript"/>
        </w:rPr>
        <w:footnoteRef/>
      </w:r>
      <w:r>
        <w:t>)</w:t>
      </w:r>
      <w:r>
        <w:tab/>
        <w:t>These investments include expenditures in human capital, e.g. in the form of education and training, public and private scientific research, business expenditures for product research and</w:t>
      </w:r>
      <w:r>
        <w:t xml:space="preserve"> development, market development and organisational and management efficiency.</w:t>
      </w:r>
    </w:p>
  </w:footnote>
  <w:footnote w:id="56">
    <w:p w:rsidR="002A43CB" w:rsidRDefault="0048172E">
      <w:pPr>
        <w:pStyle w:val="FootnoteText"/>
      </w:pPr>
      <w:r>
        <w:t>(</w:t>
      </w:r>
      <w:r>
        <w:rPr>
          <w:vertAlign w:val="superscript"/>
        </w:rPr>
        <w:footnoteRef/>
      </w:r>
      <w:r>
        <w:t>)</w:t>
      </w:r>
      <w:r>
        <w:tab/>
        <w:t>Data for change in period 2007-2016 of labour productivity per hour worked in US$ (converted to 2015 price level with updated 2011 PPPs): 6% Germany, 4% Belgium, the Netherl</w:t>
      </w:r>
      <w:r>
        <w:t>ands and France, and -1% Luxembourg. Source: The Conference Board Database.</w:t>
      </w:r>
    </w:p>
  </w:footnote>
  <w:footnote w:id="57">
    <w:p w:rsidR="002A43CB" w:rsidRDefault="0048172E">
      <w:pPr>
        <w:pStyle w:val="FootnoteText"/>
      </w:pPr>
      <w:r>
        <w:t>(</w:t>
      </w:r>
      <w:r>
        <w:rPr>
          <w:vertAlign w:val="superscript"/>
        </w:rPr>
        <w:footnoteRef/>
      </w:r>
      <w:r>
        <w:t>)</w:t>
      </w:r>
      <w:r>
        <w:tab/>
        <w:t>Law n. 7085 of 15 December 2016.</w:t>
      </w:r>
    </w:p>
  </w:footnote>
  <w:footnote w:id="58">
    <w:p w:rsidR="002A43CB" w:rsidRDefault="0048172E">
      <w:pPr>
        <w:pStyle w:val="FootnoteText"/>
      </w:pPr>
      <w:r>
        <w:t>(</w:t>
      </w:r>
      <w:r>
        <w:rPr>
          <w:vertAlign w:val="superscript"/>
        </w:rPr>
        <w:footnoteRef/>
      </w:r>
      <w:r>
        <w:t>)</w:t>
      </w:r>
      <w:r>
        <w:tab/>
        <w:t>Luxembourg is ranked 59th in the World Bank's Doing Business 2017, while it was ranked 57th in the previous edition. It is the third lowest</w:t>
      </w:r>
      <w:r>
        <w:t xml:space="preserve"> ranking amongst Member States, only higher than those of Greece and Malta. </w:t>
      </w:r>
      <w:proofErr w:type="gramStart"/>
      <w:r>
        <w:t>Cf. Doing Business 2016, World Bank.</w:t>
      </w:r>
      <w:proofErr w:type="gramEnd"/>
    </w:p>
  </w:footnote>
  <w:footnote w:id="59">
    <w:p w:rsidR="002A43CB" w:rsidRDefault="0048172E">
      <w:pPr>
        <w:pStyle w:val="FootnoteText"/>
      </w:pPr>
      <w:r>
        <w:t>(</w:t>
      </w:r>
      <w:r>
        <w:rPr>
          <w:vertAlign w:val="superscript"/>
        </w:rPr>
        <w:footnoteRef/>
      </w:r>
      <w:r>
        <w:t>)</w:t>
      </w:r>
      <w:r>
        <w:tab/>
      </w:r>
      <w:r>
        <w:t xml:space="preserve">There are various potential reasons for the discrepancies between surveys, including the different focus and sampling strategies, and implementation lags not well captured by the Doing Business methodology.  </w:t>
      </w:r>
    </w:p>
  </w:footnote>
  <w:footnote w:id="60">
    <w:p w:rsidR="002A43CB" w:rsidRDefault="0048172E">
      <w:pPr>
        <w:pStyle w:val="FootnoteText"/>
      </w:pPr>
      <w:proofErr w:type="gramStart"/>
      <w:r>
        <w:t>(</w:t>
      </w:r>
      <w:r>
        <w:rPr>
          <w:vertAlign w:val="superscript"/>
        </w:rPr>
        <w:footnoteRef/>
      </w:r>
      <w:r>
        <w:t>)</w:t>
      </w:r>
      <w:r>
        <w:tab/>
        <w:t>Part of the site online portal ‘www.guichet</w:t>
      </w:r>
      <w:r>
        <w:t>.lu’.</w:t>
      </w:r>
      <w:proofErr w:type="gramEnd"/>
    </w:p>
  </w:footnote>
  <w:footnote w:id="61">
    <w:p w:rsidR="002A43CB" w:rsidRDefault="0048172E">
      <w:pPr>
        <w:pStyle w:val="FootnoteText"/>
      </w:pPr>
      <w:proofErr w:type="gramStart"/>
      <w:r>
        <w:t>(</w:t>
      </w:r>
      <w:r>
        <w:rPr>
          <w:vertAlign w:val="superscript"/>
        </w:rPr>
        <w:footnoteRef/>
      </w:r>
      <w:r>
        <w:t>)</w:t>
      </w:r>
      <w:r>
        <w:tab/>
        <w:t xml:space="preserve">The ‘Digital Luxembourg’ initiative - Digital </w:t>
      </w:r>
      <w:proofErr w:type="spellStart"/>
      <w:r>
        <w:t>Lëtzebuerg</w:t>
      </w:r>
      <w:proofErr w:type="spellEnd"/>
      <w:r>
        <w:t>.</w:t>
      </w:r>
      <w:proofErr w:type="gramEnd"/>
    </w:p>
  </w:footnote>
  <w:footnote w:id="62">
    <w:p w:rsidR="002A43CB" w:rsidRDefault="0048172E">
      <w:pPr>
        <w:pStyle w:val="FootnoteText"/>
      </w:pPr>
      <w:r>
        <w:t>(</w:t>
      </w:r>
      <w:r>
        <w:rPr>
          <w:vertAlign w:val="superscript"/>
        </w:rPr>
        <w:footnoteRef/>
      </w:r>
      <w:r>
        <w:t>)</w:t>
      </w:r>
      <w:r>
        <w:tab/>
        <w:t>European Commission (2016a), Small Business Act - Fact sheet Luxembourg.</w:t>
      </w:r>
    </w:p>
  </w:footnote>
  <w:footnote w:id="63">
    <w:p w:rsidR="002A43CB" w:rsidRDefault="0048172E">
      <w:pPr>
        <w:pStyle w:val="FootnoteText"/>
      </w:pPr>
      <w:proofErr w:type="gramStart"/>
      <w:r>
        <w:t>(</w:t>
      </w:r>
      <w:r>
        <w:rPr>
          <w:vertAlign w:val="superscript"/>
        </w:rPr>
        <w:footnoteRef/>
      </w:r>
      <w:r>
        <w:t>)</w:t>
      </w:r>
      <w:r>
        <w:tab/>
        <w:t>Current update of the ‘Luxembourgish Accounting Law’ and the ‘draft bill on the introduction of a company w</w:t>
      </w:r>
      <w:r>
        <w:t>ith simplified limited liability’ currently under review by the Council of State.</w:t>
      </w:r>
      <w:proofErr w:type="gramEnd"/>
    </w:p>
  </w:footnote>
  <w:footnote w:id="64">
    <w:p w:rsidR="002A43CB" w:rsidRDefault="0048172E">
      <w:pPr>
        <w:pStyle w:val="FootnoteText"/>
      </w:pPr>
      <w:proofErr w:type="gramStart"/>
      <w:r>
        <w:t>(</w:t>
      </w:r>
      <w:r>
        <w:rPr>
          <w:vertAlign w:val="superscript"/>
        </w:rPr>
        <w:footnoteRef/>
      </w:r>
      <w:r>
        <w:t>)</w:t>
      </w:r>
      <w:r>
        <w:tab/>
        <w:t>Innovation expenditure for enterprises, excluding R&amp;D expenditures (e.g. investment in equipment and machinery, acquisition of patents and licenses.</w:t>
      </w:r>
      <w:proofErr w:type="gramEnd"/>
    </w:p>
  </w:footnote>
  <w:footnote w:id="65">
    <w:p w:rsidR="002A43CB" w:rsidRDefault="0048172E">
      <w:pPr>
        <w:pStyle w:val="FootnoteText"/>
      </w:pPr>
      <w:r>
        <w:t>(</w:t>
      </w:r>
      <w:r>
        <w:rPr>
          <w:vertAlign w:val="superscript"/>
        </w:rPr>
        <w:footnoteRef/>
      </w:r>
      <w:r>
        <w:t>)</w:t>
      </w:r>
      <w:r>
        <w:tab/>
        <w:t>Labour costs repr</w:t>
      </w:r>
      <w:r>
        <w:t>esent "only" 16% of the production cost for Luxemburg's businesses, in comparison with 26% in the EU as a whole.</w:t>
      </w:r>
    </w:p>
  </w:footnote>
  <w:footnote w:id="66">
    <w:p w:rsidR="002A43CB" w:rsidRDefault="0048172E">
      <w:pPr>
        <w:pStyle w:val="FootnoteText"/>
      </w:pPr>
      <w:r>
        <w:t>(</w:t>
      </w:r>
      <w:r>
        <w:rPr>
          <w:vertAlign w:val="superscript"/>
        </w:rPr>
        <w:footnoteRef/>
      </w:r>
      <w:r>
        <w:t>)</w:t>
      </w:r>
      <w:r>
        <w:tab/>
        <w:t xml:space="preserve">The European Commission has developed a new composite indicator on restrictiveness of most existing barriers to the access to and exercise </w:t>
      </w:r>
      <w:r>
        <w:t>of regulated professions. It is based on data collected from Member States, complemented by desk research. This new indicator has many similarities with the Commission's indicator assessing the barriers in business services published in 2015, but also diff</w:t>
      </w:r>
      <w:r>
        <w:t xml:space="preserve">ers from it in certain aspects. Cf. </w:t>
      </w:r>
      <w:proofErr w:type="gramStart"/>
      <w:r>
        <w:t>SWD(</w:t>
      </w:r>
      <w:proofErr w:type="gramEnd"/>
      <w:r>
        <w:t>2016) 436 final.</w:t>
      </w:r>
    </w:p>
  </w:footnote>
  <w:footnote w:id="67">
    <w:p w:rsidR="002A43CB" w:rsidRDefault="0048172E">
      <w:pPr>
        <w:pStyle w:val="FootnoteText"/>
      </w:pPr>
      <w:r>
        <w:t>(</w:t>
      </w:r>
      <w:r>
        <w:rPr>
          <w:vertAlign w:val="superscript"/>
        </w:rPr>
        <w:footnoteRef/>
      </w:r>
      <w:r>
        <w:t>)</w:t>
      </w:r>
      <w:r>
        <w:tab/>
        <w:t>Business churn rate is calculated as the ratio of the sum of newly founded and closed enterprises to the total number of enterprises in year t. No data available for patent agent related activiti</w:t>
      </w:r>
      <w:r>
        <w:t>es.</w:t>
      </w:r>
    </w:p>
  </w:footnote>
  <w:footnote w:id="68">
    <w:p w:rsidR="002A43CB" w:rsidRDefault="0048172E">
      <w:pPr>
        <w:pStyle w:val="FootnoteText"/>
      </w:pPr>
      <w:r>
        <w:t>(</w:t>
      </w:r>
      <w:r>
        <w:rPr>
          <w:vertAlign w:val="superscript"/>
        </w:rPr>
        <w:footnoteRef/>
      </w:r>
      <w:r>
        <w:t>)</w:t>
      </w:r>
      <w:r>
        <w:tab/>
        <w:t xml:space="preserve">Luxembourg conducted in 2011 a reform to facilitate access to the professions of arts, craft and industry as well as to some liberal professions. It brought changes to facilitate the access to the professions covered with simplified administrative </w:t>
      </w:r>
      <w:r>
        <w:t>procedures and also to enlarge the scope of activities of the professions. Comparing the 15 months after the reform with the 15 months preceding the reform it was found that the number of permits issued for new businesses increased by 19% and the number of</w:t>
      </w:r>
      <w:r>
        <w:t xml:space="preserve"> permits issued for existing businesses due to the broadening of activity increased by 172%. A total of 30 to 40% of companies have benefited from the reform.</w:t>
      </w:r>
    </w:p>
  </w:footnote>
  <w:footnote w:id="69">
    <w:p w:rsidR="002A43CB" w:rsidRDefault="0048172E">
      <w:pPr>
        <w:pStyle w:val="FootnoteText"/>
      </w:pPr>
      <w:r>
        <w:t>(</w:t>
      </w:r>
      <w:r>
        <w:rPr>
          <w:vertAlign w:val="superscript"/>
        </w:rPr>
        <w:footnoteRef/>
      </w:r>
      <w:r>
        <w:t>)</w:t>
      </w:r>
      <w:r>
        <w:tab/>
        <w:t>Luxembourg recently scored highest in both the Commission and the OECD's assessment of restri</w:t>
      </w:r>
      <w:r>
        <w:t>ctiveness of regulation for establishment of new retail outlets.</w:t>
      </w:r>
    </w:p>
  </w:footnote>
  <w:footnote w:id="70">
    <w:p w:rsidR="002A43CB" w:rsidRDefault="0048172E">
      <w:pPr>
        <w:pStyle w:val="FootnoteText"/>
        <w:rPr>
          <w:lang w:val="fr-BE"/>
        </w:rPr>
      </w:pPr>
      <w:r>
        <w:rPr>
          <w:lang w:val="fr-BE"/>
        </w:rPr>
        <w:t>(</w:t>
      </w:r>
      <w:r>
        <w:rPr>
          <w:vertAlign w:val="superscript"/>
        </w:rPr>
        <w:footnoteRef/>
      </w:r>
      <w:r>
        <w:rPr>
          <w:lang w:val="fr-BE"/>
        </w:rPr>
        <w:t>)</w:t>
      </w:r>
      <w:r>
        <w:rPr>
          <w:lang w:val="fr-BE"/>
        </w:rPr>
        <w:tab/>
        <w:t xml:space="preserve">Law 7038 of 23 </w:t>
      </w:r>
      <w:proofErr w:type="spellStart"/>
      <w:r>
        <w:rPr>
          <w:lang w:val="fr-BE"/>
        </w:rPr>
        <w:t>December</w:t>
      </w:r>
      <w:proofErr w:type="spellEnd"/>
      <w:r>
        <w:rPr>
          <w:lang w:val="fr-BE"/>
        </w:rPr>
        <w:t xml:space="preserve"> 2016, Loi sur les ventes en soldes et sur trottoir et la publicité trompeuse et comparative.</w:t>
      </w:r>
    </w:p>
  </w:footnote>
  <w:footnote w:id="71">
    <w:p w:rsidR="002A43CB" w:rsidRDefault="0048172E">
      <w:pPr>
        <w:pStyle w:val="FootnoteText"/>
      </w:pPr>
      <w:r>
        <w:t>(</w:t>
      </w:r>
      <w:r>
        <w:rPr>
          <w:vertAlign w:val="superscript"/>
        </w:rPr>
        <w:footnoteRef/>
      </w:r>
      <w:r>
        <w:t>)</w:t>
      </w:r>
      <w:r>
        <w:tab/>
      </w:r>
      <w:proofErr w:type="spellStart"/>
      <w:r>
        <w:t>Pakt</w:t>
      </w:r>
      <w:proofErr w:type="spellEnd"/>
      <w:r>
        <w:t xml:space="preserve"> Pro Commerce, April 2016.</w:t>
      </w:r>
    </w:p>
  </w:footnote>
  <w:footnote w:id="72">
    <w:p w:rsidR="002A43CB" w:rsidRDefault="0048172E">
      <w:pPr>
        <w:pStyle w:val="FootnoteText"/>
      </w:pPr>
      <w:r>
        <w:t>(</w:t>
      </w:r>
      <w:r>
        <w:rPr>
          <w:vertAlign w:val="superscript"/>
        </w:rPr>
        <w:footnoteRef/>
      </w:r>
      <w:r>
        <w:t>)</w:t>
      </w:r>
      <w:r>
        <w:tab/>
        <w:t>The capital city, Luxembourg Ci</w:t>
      </w:r>
      <w:r>
        <w:t xml:space="preserve">ty, has about 104,000 inhabitants. Other settlements are towns of at most 32,000 inhabitants.  </w:t>
      </w:r>
    </w:p>
  </w:footnote>
  <w:footnote w:id="73">
    <w:p w:rsidR="002A43CB" w:rsidRDefault="0048172E">
      <w:pPr>
        <w:pStyle w:val="FootnoteText"/>
      </w:pPr>
      <w:r>
        <w:t>(</w:t>
      </w:r>
      <w:r>
        <w:rPr>
          <w:vertAlign w:val="superscript"/>
        </w:rPr>
        <w:footnoteRef/>
      </w:r>
      <w:r>
        <w:t>)</w:t>
      </w:r>
      <w:r>
        <w:tab/>
        <w:t xml:space="preserve">EIONET, </w:t>
      </w:r>
      <w:proofErr w:type="gramStart"/>
      <w:r>
        <w:t>The</w:t>
      </w:r>
      <w:proofErr w:type="gramEnd"/>
      <w:r>
        <w:t xml:space="preserve"> Air Quality Portal.</w:t>
      </w:r>
    </w:p>
  </w:footnote>
  <w:footnote w:id="74">
    <w:p w:rsidR="002A43CB" w:rsidRDefault="0048172E">
      <w:pPr>
        <w:pStyle w:val="FootnoteText"/>
      </w:pPr>
      <w:r>
        <w:t>(</w:t>
      </w:r>
      <w:r>
        <w:rPr>
          <w:vertAlign w:val="superscript"/>
        </w:rPr>
        <w:footnoteRef/>
      </w:r>
      <w:r>
        <w:t>)</w:t>
      </w:r>
      <w:r>
        <w:tab/>
        <w:t xml:space="preserve">Up-dated data of "Infrastructure in the EU: Developments and Impact on Growth", European Economy, Occasional Papers, n. </w:t>
      </w:r>
      <w:r>
        <w:t>203.</w:t>
      </w:r>
    </w:p>
  </w:footnote>
  <w:footnote w:id="75">
    <w:p w:rsidR="002A43CB" w:rsidRDefault="0048172E">
      <w:pPr>
        <w:pStyle w:val="FootnoteText"/>
      </w:pPr>
      <w:r>
        <w:t>(</w:t>
      </w:r>
      <w:r>
        <w:rPr>
          <w:vertAlign w:val="superscript"/>
        </w:rPr>
        <w:footnoteRef/>
      </w:r>
      <w:r>
        <w:t>)</w:t>
      </w:r>
      <w:r>
        <w:tab/>
      </w:r>
      <w:r>
        <w:rPr>
          <w:lang w:val="en-US"/>
        </w:rPr>
        <w:t>The structural rate refers to a model-predicted investment rate which accounts for country-specific macro-economic and sector-related factors, including traffic intensity.</w:t>
      </w:r>
    </w:p>
  </w:footnote>
  <w:footnote w:id="76">
    <w:p w:rsidR="002A43CB" w:rsidRDefault="0048172E">
      <w:pPr>
        <w:pStyle w:val="FootnoteText"/>
        <w:rPr>
          <w:lang w:val="fr-BE"/>
        </w:rPr>
      </w:pPr>
      <w:r>
        <w:rPr>
          <w:lang w:val="fr-BE"/>
        </w:rPr>
        <w:t>(</w:t>
      </w:r>
      <w:r>
        <w:rPr>
          <w:vertAlign w:val="superscript"/>
        </w:rPr>
        <w:footnoteRef/>
      </w:r>
      <w:r>
        <w:rPr>
          <w:lang w:val="fr-BE"/>
        </w:rPr>
        <w:t>)</w:t>
      </w:r>
      <w:r>
        <w:rPr>
          <w:lang w:val="fr-BE"/>
        </w:rPr>
        <w:tab/>
        <w:t xml:space="preserve">Sources: </w:t>
      </w:r>
      <w:proofErr w:type="spellStart"/>
      <w:r>
        <w:rPr>
          <w:lang w:val="fr-BE"/>
        </w:rPr>
        <w:t>European</w:t>
      </w:r>
      <w:proofErr w:type="spellEnd"/>
      <w:r>
        <w:rPr>
          <w:lang w:val="fr-BE"/>
        </w:rPr>
        <w:t xml:space="preserve"> Commission (2016) EU Transport in Figures. </w:t>
      </w:r>
      <w:proofErr w:type="spellStart"/>
      <w:r>
        <w:rPr>
          <w:lang w:val="fr-BE"/>
        </w:rPr>
        <w:t>Statistica</w:t>
      </w:r>
      <w:r>
        <w:rPr>
          <w:lang w:val="fr-BE"/>
        </w:rPr>
        <w:t>l</w:t>
      </w:r>
      <w:proofErr w:type="spellEnd"/>
      <w:r>
        <w:rPr>
          <w:lang w:val="fr-BE"/>
        </w:rPr>
        <w:t xml:space="preserve"> </w:t>
      </w:r>
      <w:proofErr w:type="spellStart"/>
      <w:r>
        <w:rPr>
          <w:lang w:val="fr-BE"/>
        </w:rPr>
        <w:t>Pocketbook</w:t>
      </w:r>
      <w:proofErr w:type="spellEnd"/>
      <w:r>
        <w:rPr>
          <w:lang w:val="fr-BE"/>
        </w:rPr>
        <w:t xml:space="preserve"> 2016 and Grand </w:t>
      </w:r>
      <w:proofErr w:type="spellStart"/>
      <w:r>
        <w:rPr>
          <w:lang w:val="fr-BE"/>
        </w:rPr>
        <w:t>Duchy</w:t>
      </w:r>
      <w:proofErr w:type="spellEnd"/>
      <w:r>
        <w:rPr>
          <w:lang w:val="fr-BE"/>
        </w:rPr>
        <w:t xml:space="preserve"> of Luxembourg, Portail des Ponts et Chaussées: http://www.pch.public.lu/fr/reseau-routier/statistiques/index.html</w:t>
      </w:r>
    </w:p>
  </w:footnote>
  <w:footnote w:id="77">
    <w:p w:rsidR="002A43CB" w:rsidRDefault="0048172E">
      <w:pPr>
        <w:pStyle w:val="FootnoteText"/>
      </w:pPr>
      <w:r>
        <w:t>(</w:t>
      </w:r>
      <w:r>
        <w:rPr>
          <w:vertAlign w:val="superscript"/>
        </w:rPr>
        <w:footnoteRef/>
      </w:r>
      <w:r>
        <w:t>)</w:t>
      </w:r>
      <w:r>
        <w:tab/>
        <w:t>Haulage performed within the territory of Luxembourg by any vehicle, irrespective of the country in whic</w:t>
      </w:r>
      <w:r>
        <w:t xml:space="preserve">h it is registered. Values from 2005 are directly from European Commission (2016) EU Transport in Figures. </w:t>
      </w:r>
      <w:proofErr w:type="gramStart"/>
      <w:r>
        <w:t>Statistical Pocketbook 2016.</w:t>
      </w:r>
      <w:proofErr w:type="gramEnd"/>
      <w:r>
        <w:t xml:space="preserve"> Values before 2005 are estimated based on the assumption that the ratio of haulage according to the territorial principl</w:t>
      </w:r>
      <w:r>
        <w:t>e to haulage by registered vehicles is constant and equal to the ratio in 2005.</w:t>
      </w:r>
    </w:p>
  </w:footnote>
  <w:footnote w:id="78">
    <w:p w:rsidR="002A43CB" w:rsidRDefault="0048172E">
      <w:pPr>
        <w:pStyle w:val="FootnoteText"/>
      </w:pPr>
      <w:r>
        <w:t>(</w:t>
      </w:r>
      <w:r>
        <w:rPr>
          <w:vertAlign w:val="superscript"/>
        </w:rPr>
        <w:footnoteRef/>
      </w:r>
      <w:r>
        <w:t>)</w:t>
      </w:r>
      <w:r>
        <w:tab/>
        <w:t>See for more detail: http://www.cfl.lu/espaces/infrastructure/en/les-grands-projets/descriptif-des-projets</w:t>
      </w:r>
    </w:p>
  </w:footnote>
  <w:footnote w:id="79">
    <w:p w:rsidR="002A43CB" w:rsidRDefault="0048172E">
      <w:pPr>
        <w:pStyle w:val="FootnoteText"/>
      </w:pPr>
      <w:r>
        <w:t>(</w:t>
      </w:r>
      <w:r>
        <w:rPr>
          <w:vertAlign w:val="superscript"/>
        </w:rPr>
        <w:footnoteRef/>
      </w:r>
      <w:r>
        <w:t>)</w:t>
      </w:r>
      <w:r>
        <w:tab/>
        <w:t>Communication on the European Strategy for Low-Emission Mobil</w:t>
      </w:r>
      <w:r>
        <w:t xml:space="preserve">ity, COM(2016)501 final indicates several measures: promoting multi-modality and public transport and to accelerate the shift to a more sustainable and low-emission mobility in terms of carbon and air pollutants </w:t>
      </w:r>
    </w:p>
  </w:footnote>
  <w:footnote w:id="80">
    <w:p w:rsidR="002A43CB" w:rsidRDefault="0048172E">
      <w:pPr>
        <w:pStyle w:val="FootnoteText"/>
      </w:pPr>
      <w:r>
        <w:t>(</w:t>
      </w:r>
      <w:r>
        <w:rPr>
          <w:vertAlign w:val="superscript"/>
        </w:rPr>
        <w:footnoteRef/>
      </w:r>
      <w:r>
        <w:t>)</w:t>
      </w:r>
      <w:r>
        <w:tab/>
        <w:t>The following categories are used to as</w:t>
      </w:r>
      <w:r>
        <w:t>sess progress in implementing the 2016 CSRs:</w:t>
      </w:r>
    </w:p>
    <w:p w:rsidR="002A43CB" w:rsidRDefault="0048172E">
      <w:pPr>
        <w:pStyle w:val="FootnoteText"/>
      </w:pPr>
      <w:r>
        <w:rPr>
          <w:u w:val="single"/>
        </w:rPr>
        <w:t>No progress</w:t>
      </w:r>
      <w:r>
        <w:t xml:space="preserve">: The Member State has not credibly announced nor adopted any measures to address the CSR. Below a number of non-exhaustive typical situations that could be covered under this, to be interpreted on a </w:t>
      </w:r>
      <w:r>
        <w:t xml:space="preserve">case by case basis taking into account country-specific conditions: </w:t>
      </w:r>
    </w:p>
    <w:p w:rsidR="002A43CB" w:rsidRDefault="0048172E">
      <w:pPr>
        <w:pStyle w:val="FootnoteText"/>
      </w:pPr>
      <w:r>
        <w:t>(</w:t>
      </w:r>
      <w:proofErr w:type="spellStart"/>
      <w:r>
        <w:t>i</w:t>
      </w:r>
      <w:proofErr w:type="spellEnd"/>
      <w:r>
        <w:t>) no legal, administrative, or budgetary measures have been announced in the National Reform Programme or in other official communication to the national Parliament / relevant parliamentary committees, the European Commission, or announced in public (e.g</w:t>
      </w:r>
      <w:r>
        <w:t xml:space="preserve">. in a press statement, information on government's website); </w:t>
      </w:r>
    </w:p>
    <w:p w:rsidR="002A43CB" w:rsidRDefault="0048172E">
      <w:pPr>
        <w:pStyle w:val="FootnoteText"/>
      </w:pPr>
      <w:r>
        <w:t xml:space="preserve">(ii) no non-legislative acts have been presented by the governing or legislator body; </w:t>
      </w:r>
    </w:p>
    <w:p w:rsidR="002A43CB" w:rsidRDefault="0048172E">
      <w:pPr>
        <w:pStyle w:val="FootnoteText"/>
      </w:pPr>
      <w:r>
        <w:t>(iii) the Member State has taken initial steps in addressing the CSR, such as commissioning a study or set</w:t>
      </w:r>
      <w:r>
        <w:t>ting up a study group to analyse possible measures that would need to be taken (unless the CSR explicitly asks for orientations or exploratory actions), while clearly-specified measure(s) to address the CSR has not been proposed.</w:t>
      </w:r>
    </w:p>
    <w:p w:rsidR="002A43CB" w:rsidRDefault="0048172E">
      <w:pPr>
        <w:pStyle w:val="FootnoteText"/>
      </w:pPr>
      <w:r>
        <w:rPr>
          <w:u w:val="single"/>
        </w:rPr>
        <w:t>Limited progress</w:t>
      </w:r>
      <w:r>
        <w:t>: The Memb</w:t>
      </w:r>
      <w:r>
        <w:t xml:space="preserve">er State has: </w:t>
      </w:r>
    </w:p>
    <w:p w:rsidR="002A43CB" w:rsidRDefault="0048172E">
      <w:pPr>
        <w:pStyle w:val="FootnoteText"/>
      </w:pPr>
      <w:proofErr w:type="spellStart"/>
      <w:r>
        <w:t>i</w:t>
      </w:r>
      <w:proofErr w:type="spellEnd"/>
      <w:r>
        <w:t xml:space="preserve">) announced certain measures but these only address the CSR to a limited extent; </w:t>
      </w:r>
    </w:p>
    <w:p w:rsidR="002A43CB" w:rsidRDefault="0048172E">
      <w:pPr>
        <w:pStyle w:val="FootnoteText"/>
      </w:pPr>
      <w:r>
        <w:t xml:space="preserve">and/or </w:t>
      </w:r>
    </w:p>
    <w:p w:rsidR="002A43CB" w:rsidRDefault="0048172E">
      <w:pPr>
        <w:pStyle w:val="FootnoteText"/>
      </w:pPr>
      <w:r>
        <w:t xml:space="preserve">ii) presented legislative acts in the governing or legislator body but these have not been adopted yet and substantial non-legislative further work is needed before the CSR will be implemented; </w:t>
      </w:r>
    </w:p>
    <w:p w:rsidR="002A43CB" w:rsidRDefault="0048172E">
      <w:pPr>
        <w:pStyle w:val="FootnoteText"/>
      </w:pPr>
      <w:r>
        <w:t xml:space="preserve">iii) </w:t>
      </w:r>
      <w:proofErr w:type="gramStart"/>
      <w:r>
        <w:t>presented</w:t>
      </w:r>
      <w:proofErr w:type="gramEnd"/>
      <w:r>
        <w:t xml:space="preserve"> non-legislative acts, yet with no further foll</w:t>
      </w:r>
      <w:r>
        <w:t>ow-up in terms of implementation which is needed to address the CSR.</w:t>
      </w:r>
    </w:p>
    <w:p w:rsidR="002A43CB" w:rsidRDefault="0048172E">
      <w:pPr>
        <w:pStyle w:val="FootnoteText"/>
      </w:pPr>
      <w:r>
        <w:rPr>
          <w:u w:val="single"/>
        </w:rPr>
        <w:t>Some progress</w:t>
      </w:r>
      <w:r>
        <w:t>: The Member State has adopted measures that partly address the CSR and/or the Member State has adopted measures that address the CSR, but a fair amount of work is still need</w:t>
      </w:r>
      <w:r>
        <w:t>ed to fully address the CSR as only a few of the adopted measures have been implemented. For instance: adopted by national parliament; by ministerial decision; but no implementing decisions are in place.</w:t>
      </w:r>
    </w:p>
    <w:p w:rsidR="002A43CB" w:rsidRDefault="0048172E">
      <w:pPr>
        <w:pStyle w:val="FootnoteText"/>
      </w:pPr>
      <w:r>
        <w:rPr>
          <w:u w:val="single"/>
        </w:rPr>
        <w:t>Substantial progress</w:t>
      </w:r>
      <w:r>
        <w:t>: The Member State has adopted m</w:t>
      </w:r>
      <w:r>
        <w:t>easures that go a long way in addressing the CSR and most of which have been implemented.</w:t>
      </w:r>
    </w:p>
    <w:p w:rsidR="002A43CB" w:rsidRDefault="0048172E">
      <w:pPr>
        <w:pStyle w:val="FootnoteText"/>
      </w:pPr>
      <w:proofErr w:type="gramStart"/>
      <w:r>
        <w:rPr>
          <w:u w:val="single"/>
        </w:rPr>
        <w:t>Fully implemented</w:t>
      </w:r>
      <w:r>
        <w:t>: The Member State has implemented all measures needed to address the CSR appropriately.</w:t>
      </w:r>
      <w:proofErr w:type="gramEnd"/>
    </w:p>
  </w:footnote>
  <w:footnote w:id="81">
    <w:p w:rsidR="002A43CB" w:rsidRDefault="0048172E">
      <w:pPr>
        <w:pStyle w:val="FootnoteText"/>
      </w:pPr>
      <w:r>
        <w:t>(</w:t>
      </w:r>
      <w:r>
        <w:rPr>
          <w:vertAlign w:val="superscript"/>
        </w:rPr>
        <w:footnoteRef/>
      </w:r>
      <w:r>
        <w:t>)</w:t>
      </w:r>
      <w:r>
        <w:tab/>
        <w:t xml:space="preserve">Renewable energy shares for 2015 are approximations and </w:t>
      </w:r>
      <w:r>
        <w:t xml:space="preserve">not official data, reflecting the available data (04.10.2016). See the </w:t>
      </w:r>
      <w:proofErr w:type="spellStart"/>
      <w:r>
        <w:t>Öko-Institut</w:t>
      </w:r>
      <w:proofErr w:type="spellEnd"/>
      <w:r>
        <w:t xml:space="preserve"> Report: Study on Technical Assistance in Realisation of the 2016 Report on Renewable Energy</w:t>
      </w:r>
      <w:proofErr w:type="gramStart"/>
      <w:r>
        <w:t>,  http</w:t>
      </w:r>
      <w:proofErr w:type="gramEnd"/>
      <w:r>
        <w:t>://ec.europa.eu/energy/en/studies.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2E" w:rsidRPr="0048172E" w:rsidRDefault="0048172E" w:rsidP="0048172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2E" w:rsidRPr="0048172E" w:rsidRDefault="0048172E" w:rsidP="0048172E">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A. Overview Table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2E" w:rsidRPr="0048172E" w:rsidRDefault="0048172E" w:rsidP="0048172E">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B. MIP Scoreboard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C. Standard Tables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References</w:t>
    </w:r>
  </w:p>
  <w:p w:rsidR="002A43CB" w:rsidRDefault="002A43CB">
    <w:pPr>
      <w:pStyle w:val="HeaderSubtitleRight3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48172E">
    <w:pPr>
      <w:pStyle w:val="HeaderTitleRight"/>
    </w:pPr>
    <w:r>
      <w:t>Executive summary</w:t>
    </w:r>
  </w:p>
  <w:p w:rsidR="002A43CB" w:rsidRDefault="002A43CB">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CB" w:rsidRDefault="002A4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CC928382"/>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3"/>
  </w:num>
  <w:num w:numId="6">
    <w:abstractNumId w:val="4"/>
  </w:num>
  <w:num w:numId="7">
    <w:abstractNumId w:val="6"/>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30721"/>
  </w:hdrShapeDefaults>
  <w:footnotePr>
    <w:pos w:val="beneathText"/>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D453AB69D1AF47C7B9D40E399E22D310"/>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_x000b_"/>
    <w:docVar w:name="LW_PART_NBR" w:val="1"/>
    <w:docVar w:name="LW_PART_NBR_TOTAL" w:val="1"/>
    <w:docVar w:name="LW_REF.INST.NEW" w:val="SWD"/>
    <w:docVar w:name="LW_REF.INST.NEW_ADOPTED" w:val="final"/>
    <w:docVar w:name="LW_REF.INST.NEW_TEXT" w:val="(2017) 81"/>
    <w:docVar w:name="LW_REF.INTERNE" w:val="&lt;UNUSED&gt;"/>
    <w:docVar w:name="LW_SUPERTITRE" w:val="&lt;UNUSED&gt;"/>
    <w:docVar w:name="LW_TITRE.OBJ.CP" w:val="Country Report Luxembourg 2017"/>
    <w:docVar w:name="LW_TYPE.DOC.CP" w:val="COMMISSION STAFF WORKING DOCUMENT"/>
    <w:docVar w:name="LW_TYPEACTEPRINCIPAL.CP" w:val="COMMUNICATION FROM THE COMMISSION TO THE EUROPEAN PARLIAMENT, THE COUNCIL, THE EUROPEAN CENTRAL BANK AND THE EUROGROUP_x000b_"/>
  </w:docVars>
  <w:rsids>
    <w:rsidRoot w:val="002A43CB"/>
    <w:rsid w:val="002A43CB"/>
    <w:rsid w:val="00481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5"/>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6"/>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styleId="Hyperlink">
    <w:name w:val="Hyperlink"/>
    <w:basedOn w:val="DefaultParagraphFont"/>
    <w:uiPriority w:val="99"/>
    <w:unhideWhenUsed/>
    <w:rPr>
      <w:color w:val="0000FF" w:themeColor="hyperlink"/>
      <w:u w:val="single"/>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5"/>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6"/>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styleId="Hyperlink">
    <w:name w:val="Hyperlink"/>
    <w:basedOn w:val="DefaultParagraphFont"/>
    <w:uiPriority w:val="99"/>
    <w:unhideWhenUsed/>
    <w:rPr>
      <w:color w:val="0000FF" w:themeColor="hyperlink"/>
      <w:u w:val="single"/>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34.xml"/><Relationship Id="rId21" Type="http://schemas.openxmlformats.org/officeDocument/2006/relationships/header" Target="header7.xml"/><Relationship Id="rId42" Type="http://schemas.openxmlformats.org/officeDocument/2006/relationships/image" Target="media/image11.emf"/><Relationship Id="rId47" Type="http://schemas.openxmlformats.org/officeDocument/2006/relationships/header" Target="header15.xml"/><Relationship Id="rId63" Type="http://schemas.openxmlformats.org/officeDocument/2006/relationships/image" Target="media/image20.emf"/><Relationship Id="rId68" Type="http://schemas.openxmlformats.org/officeDocument/2006/relationships/image" Target="media/image25.emf"/><Relationship Id="rId84" Type="http://schemas.openxmlformats.org/officeDocument/2006/relationships/footer" Target="footer24.xml"/><Relationship Id="rId89" Type="http://schemas.openxmlformats.org/officeDocument/2006/relationships/image" Target="media/image34.emf"/><Relationship Id="rId112" Type="http://schemas.openxmlformats.org/officeDocument/2006/relationships/image" Target="media/image39.emf"/><Relationship Id="rId133" Type="http://schemas.openxmlformats.org/officeDocument/2006/relationships/hyperlink" Target="http://ec.europa.eu/europe2020/pdf/csr2014/swd2014_luxembourg_en.pdf" TargetMode="External"/><Relationship Id="rId138" Type="http://schemas.openxmlformats.org/officeDocument/2006/relationships/header" Target="header37.xml"/><Relationship Id="rId16" Type="http://schemas.openxmlformats.org/officeDocument/2006/relationships/header" Target="header5.xml"/><Relationship Id="rId107" Type="http://schemas.openxmlformats.org/officeDocument/2006/relationships/header" Target="header32.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footer" Target="footer10.xml"/><Relationship Id="rId53" Type="http://schemas.openxmlformats.org/officeDocument/2006/relationships/image" Target="media/image16.emf"/><Relationship Id="rId58" Type="http://schemas.openxmlformats.org/officeDocument/2006/relationships/header" Target="header17.xml"/><Relationship Id="rId74" Type="http://schemas.openxmlformats.org/officeDocument/2006/relationships/footer" Target="footer21.xml"/><Relationship Id="rId79" Type="http://schemas.openxmlformats.org/officeDocument/2006/relationships/header" Target="header22.xml"/><Relationship Id="rId102" Type="http://schemas.openxmlformats.org/officeDocument/2006/relationships/footer" Target="footer29.xml"/><Relationship Id="rId123" Type="http://schemas.openxmlformats.org/officeDocument/2006/relationships/hyperlink" Target="http://www.bcl.lu/fr/publications/bulletins_bcl/Bulletin_BCL_2016_3/index.html" TargetMode="External"/><Relationship Id="rId128" Type="http://schemas.openxmlformats.org/officeDocument/2006/relationships/hyperlink" Target="https://ec.europa.eu/taxation_customs/sites/taxation/files/2016-09-15_scoreboard-indicators.pdf"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5.emf"/><Relationship Id="rId95" Type="http://schemas.openxmlformats.org/officeDocument/2006/relationships/footer" Target="footer25.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header" Target="header13.xml"/><Relationship Id="rId48" Type="http://schemas.openxmlformats.org/officeDocument/2006/relationships/footer" Target="footer15.xml"/><Relationship Id="rId64" Type="http://schemas.openxmlformats.org/officeDocument/2006/relationships/image" Target="media/image21.emf"/><Relationship Id="rId69" Type="http://schemas.openxmlformats.org/officeDocument/2006/relationships/header" Target="header19.xml"/><Relationship Id="rId113" Type="http://schemas.openxmlformats.org/officeDocument/2006/relationships/image" Target="media/image40.emf"/><Relationship Id="rId118" Type="http://schemas.openxmlformats.org/officeDocument/2006/relationships/header" Target="header35.xml"/><Relationship Id="rId134" Type="http://schemas.openxmlformats.org/officeDocument/2006/relationships/hyperlink" Target="http://www.men.public.lu/catalogue-publications/themes-transversaux/statistiques-analyses/bildungsbericht/2015/band-2.pdf" TargetMode="External"/><Relationship Id="rId139" Type="http://schemas.openxmlformats.org/officeDocument/2006/relationships/header" Target="header38.xml"/><Relationship Id="rId80" Type="http://schemas.openxmlformats.org/officeDocument/2006/relationships/header" Target="header23.xml"/><Relationship Id="rId85" Type="http://schemas.openxmlformats.org/officeDocument/2006/relationships/image" Target="media/image30.emf"/><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footer" Target="footer11.xml"/><Relationship Id="rId46" Type="http://schemas.openxmlformats.org/officeDocument/2006/relationships/footer" Target="footer14.xml"/><Relationship Id="rId59" Type="http://schemas.openxmlformats.org/officeDocument/2006/relationships/footer" Target="footer16.xml"/><Relationship Id="rId67" Type="http://schemas.openxmlformats.org/officeDocument/2006/relationships/image" Target="media/image24.emf"/><Relationship Id="rId103" Type="http://schemas.openxmlformats.org/officeDocument/2006/relationships/header" Target="header30.xml"/><Relationship Id="rId108" Type="http://schemas.openxmlformats.org/officeDocument/2006/relationships/footer" Target="footer31.xml"/><Relationship Id="rId116" Type="http://schemas.openxmlformats.org/officeDocument/2006/relationships/image" Target="media/image43.emf"/><Relationship Id="rId124" Type="http://schemas.openxmlformats.org/officeDocument/2006/relationships/hyperlink" Target="https://ces.public.lu/fr/index.html" TargetMode="External"/><Relationship Id="rId129" Type="http://schemas.openxmlformats.org/officeDocument/2006/relationships/hyperlink" Target="http://ec.europa.eu/DocsRoom/documents/14012?locale=en" TargetMode="External"/><Relationship Id="rId137" Type="http://schemas.openxmlformats.org/officeDocument/2006/relationships/hyperlink" Target="http://www.gouvernement.lu/odc" TargetMode="External"/><Relationship Id="rId20" Type="http://schemas.openxmlformats.org/officeDocument/2006/relationships/footer" Target="footer6.xml"/><Relationship Id="rId41" Type="http://schemas.openxmlformats.org/officeDocument/2006/relationships/image" Target="media/image10.emf"/><Relationship Id="rId54" Type="http://schemas.openxmlformats.org/officeDocument/2006/relationships/image" Target="media/image17.emf"/><Relationship Id="rId62" Type="http://schemas.openxmlformats.org/officeDocument/2006/relationships/footer" Target="footer18.xml"/><Relationship Id="rId70" Type="http://schemas.openxmlformats.org/officeDocument/2006/relationships/header" Target="header20.xml"/><Relationship Id="rId75" Type="http://schemas.openxmlformats.org/officeDocument/2006/relationships/image" Target="media/image26.emf"/><Relationship Id="rId83" Type="http://schemas.openxmlformats.org/officeDocument/2006/relationships/header" Target="header24.xml"/><Relationship Id="rId88" Type="http://schemas.openxmlformats.org/officeDocument/2006/relationships/image" Target="media/image33.emf"/><Relationship Id="rId91" Type="http://schemas.openxmlformats.org/officeDocument/2006/relationships/image" Target="media/image36.emf"/><Relationship Id="rId96" Type="http://schemas.openxmlformats.org/officeDocument/2006/relationships/footer" Target="footer26.xml"/><Relationship Id="rId111" Type="http://schemas.openxmlformats.org/officeDocument/2006/relationships/footer" Target="footer33.xml"/><Relationship Id="rId132" Type="http://schemas.openxmlformats.org/officeDocument/2006/relationships/hyperlink" Target="http://ec.europa.eu/europe2020/challenges-to-member-states-investment-environments/index_en.htm" TargetMode="External"/><Relationship Id="rId140" Type="http://schemas.openxmlformats.org/officeDocument/2006/relationships/footer" Target="footer37.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header" Target="header11.xml"/><Relationship Id="rId49" Type="http://schemas.openxmlformats.org/officeDocument/2006/relationships/image" Target="media/image12.emf"/><Relationship Id="rId57" Type="http://schemas.openxmlformats.org/officeDocument/2006/relationships/header" Target="header16.xml"/><Relationship Id="rId106" Type="http://schemas.openxmlformats.org/officeDocument/2006/relationships/header" Target="header31.xml"/><Relationship Id="rId114" Type="http://schemas.openxmlformats.org/officeDocument/2006/relationships/image" Target="media/image41.emf"/><Relationship Id="rId119" Type="http://schemas.openxmlformats.org/officeDocument/2006/relationships/footer" Target="footer34.xml"/><Relationship Id="rId127" Type="http://schemas.openxmlformats.org/officeDocument/2006/relationships/hyperlink" Target="http://ec.europa.eu/taxation_customs/sites/taxation/files/resources/documents/taxation/gen_info/economic_analysis/tax_structures/2016/econ_analysis_report_2016.pdf" TargetMode="External"/><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header" Target="header14.xml"/><Relationship Id="rId52" Type="http://schemas.openxmlformats.org/officeDocument/2006/relationships/image" Target="media/image15.emf"/><Relationship Id="rId60" Type="http://schemas.openxmlformats.org/officeDocument/2006/relationships/footer" Target="footer17.xml"/><Relationship Id="rId65" Type="http://schemas.openxmlformats.org/officeDocument/2006/relationships/image" Target="media/image22.emf"/><Relationship Id="rId73" Type="http://schemas.openxmlformats.org/officeDocument/2006/relationships/header" Target="header21.xml"/><Relationship Id="rId78" Type="http://schemas.openxmlformats.org/officeDocument/2006/relationships/image" Target="media/image29.emf"/><Relationship Id="rId81" Type="http://schemas.openxmlformats.org/officeDocument/2006/relationships/footer" Target="footer22.xml"/><Relationship Id="rId86" Type="http://schemas.openxmlformats.org/officeDocument/2006/relationships/image" Target="media/image31.emf"/><Relationship Id="rId94" Type="http://schemas.openxmlformats.org/officeDocument/2006/relationships/header" Target="header26.xml"/><Relationship Id="rId99" Type="http://schemas.openxmlformats.org/officeDocument/2006/relationships/header" Target="header28.xml"/><Relationship Id="rId101" Type="http://schemas.openxmlformats.org/officeDocument/2006/relationships/footer" Target="footer28.xml"/><Relationship Id="rId122" Type="http://schemas.openxmlformats.org/officeDocument/2006/relationships/footer" Target="footer36.xml"/><Relationship Id="rId130" Type="http://schemas.openxmlformats.org/officeDocument/2006/relationships/hyperlink" Target="http://ec.europa.eu/economy_finance/publications/eeip/pdf/ip008_en.pdf" TargetMode="External"/><Relationship Id="rId135" Type="http://schemas.openxmlformats.org/officeDocument/2006/relationships/hyperlink" Target="http://www.men.public.lu/catalogue-publications/secondaire/statistiques-analyses/decrochage-scolaire/decrochage-11-12/fr.pdf" TargetMode="External"/><Relationship Id="rId143" Type="http://schemas.openxmlformats.org/officeDocument/2006/relationships/footer" Target="footer3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2.xml"/><Relationship Id="rId109" Type="http://schemas.openxmlformats.org/officeDocument/2006/relationships/footer" Target="footer32.xml"/><Relationship Id="rId34" Type="http://schemas.openxmlformats.org/officeDocument/2006/relationships/image" Target="media/image9.png"/><Relationship Id="rId50" Type="http://schemas.openxmlformats.org/officeDocument/2006/relationships/image" Target="media/image13.emf"/><Relationship Id="rId55" Type="http://schemas.openxmlformats.org/officeDocument/2006/relationships/image" Target="media/image18.emf"/><Relationship Id="rId76" Type="http://schemas.openxmlformats.org/officeDocument/2006/relationships/image" Target="media/image27.emf"/><Relationship Id="rId97" Type="http://schemas.openxmlformats.org/officeDocument/2006/relationships/header" Target="header27.xml"/><Relationship Id="rId104" Type="http://schemas.openxmlformats.org/officeDocument/2006/relationships/footer" Target="footer30.xml"/><Relationship Id="rId120" Type="http://schemas.openxmlformats.org/officeDocument/2006/relationships/footer" Target="footer35.xml"/><Relationship Id="rId125" Type="http://schemas.openxmlformats.org/officeDocument/2006/relationships/hyperlink" Target="https://ec.europa.eu/environment/ecoap/sites/ecoap_stayconnected/files/field/field-country-files/luxembourg_eco-innovation_2015.pdf" TargetMode="External"/><Relationship Id="rId141"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footer" Target="footer19.xml"/><Relationship Id="rId92" Type="http://schemas.openxmlformats.org/officeDocument/2006/relationships/image" Target="media/image37.emf"/><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footer" Target="footer12.xml"/><Relationship Id="rId45" Type="http://schemas.openxmlformats.org/officeDocument/2006/relationships/footer" Target="footer13.xml"/><Relationship Id="rId66" Type="http://schemas.openxmlformats.org/officeDocument/2006/relationships/image" Target="media/image23.emf"/><Relationship Id="rId87" Type="http://schemas.openxmlformats.org/officeDocument/2006/relationships/image" Target="media/image32.emf"/><Relationship Id="rId110" Type="http://schemas.openxmlformats.org/officeDocument/2006/relationships/header" Target="header33.xml"/><Relationship Id="rId115" Type="http://schemas.openxmlformats.org/officeDocument/2006/relationships/image" Target="media/image42.emf"/><Relationship Id="rId131" Type="http://schemas.openxmlformats.org/officeDocument/2006/relationships/hyperlink" Target="http://eur-lex.europa.eu/legal-content/EN/TXT/?uri=CELEX%3A52015SC0232" TargetMode="External"/><Relationship Id="rId136" Type="http://schemas.openxmlformats.org/officeDocument/2006/relationships/hyperlink" Target="http://www.men.public.lu/catalogue-publications/themes-transversaux/rapport-activites-ministere/2015/1-fr.pdf" TargetMode="External"/><Relationship Id="rId61" Type="http://schemas.openxmlformats.org/officeDocument/2006/relationships/header" Target="header18.xml"/><Relationship Id="rId82" Type="http://schemas.openxmlformats.org/officeDocument/2006/relationships/footer" Target="footer23.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header" Target="header10.xml"/><Relationship Id="rId56" Type="http://schemas.openxmlformats.org/officeDocument/2006/relationships/image" Target="media/image19.emf"/><Relationship Id="rId77" Type="http://schemas.openxmlformats.org/officeDocument/2006/relationships/image" Target="media/image28.emf"/><Relationship Id="rId100" Type="http://schemas.openxmlformats.org/officeDocument/2006/relationships/header" Target="header29.xml"/><Relationship Id="rId105" Type="http://schemas.openxmlformats.org/officeDocument/2006/relationships/image" Target="media/image38.emf"/><Relationship Id="rId126" Type="http://schemas.openxmlformats.org/officeDocument/2006/relationships/hyperlink" Target="http://ec.europa.eu/europe2020/pdf/csr2016/cr2016_luxembourg_en.pdf" TargetMode="External"/><Relationship Id="rId8" Type="http://schemas.openxmlformats.org/officeDocument/2006/relationships/image" Target="media/image1.emf"/><Relationship Id="rId51" Type="http://schemas.openxmlformats.org/officeDocument/2006/relationships/image" Target="media/image14.emf"/><Relationship Id="rId72" Type="http://schemas.openxmlformats.org/officeDocument/2006/relationships/footer" Target="footer20.xml"/><Relationship Id="rId93" Type="http://schemas.openxmlformats.org/officeDocument/2006/relationships/header" Target="header25.xml"/><Relationship Id="rId98" Type="http://schemas.openxmlformats.org/officeDocument/2006/relationships/footer" Target="footer27.xml"/><Relationship Id="rId121" Type="http://schemas.openxmlformats.org/officeDocument/2006/relationships/header" Target="header36.xml"/><Relationship Id="rId142" Type="http://schemas.openxmlformats.org/officeDocument/2006/relationships/header" Target="header39.xml"/></Relationships>
</file>

<file path=word/_rels/footnotes.xml.rels><?xml version="1.0" encoding="UTF-8" standalone="yes"?>
<Relationships xmlns="http://schemas.openxmlformats.org/package/2006/relationships"><Relationship Id="rId1" Type="http://schemas.openxmlformats.org/officeDocument/2006/relationships/hyperlink" Target="http://www.isog.public.lu/islux/assurance-pension/analyse-et-resultats/les-pres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56</Pages>
  <Words>19658</Words>
  <Characters>107728</Characters>
  <Application>Microsoft Office Word</Application>
  <DocSecurity>0</DocSecurity>
  <Lines>2911</Lines>
  <Paragraphs>497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23</cp:revision>
  <cp:lastPrinted>2017-02-21T14:08:00Z</cp:lastPrinted>
  <dcterms:created xsi:type="dcterms:W3CDTF">2017-02-15T14:05:00Z</dcterms:created>
  <dcterms:modified xsi:type="dcterms:W3CDTF">2017-02-21T14:09:00Z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