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A1" w:rsidRDefault="00EE321D" w:rsidP="00EE321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F244865718040C3BF0C58A70EB3FB16" style="width:450.6pt;height:526.2pt">
            <v:imagedata r:id="rId9" o:title=""/>
          </v:shape>
        </w:pict>
      </w:r>
    </w:p>
    <w:bookmarkEnd w:id="0"/>
    <w:p w:rsidR="003240A1" w:rsidRDefault="003240A1">
      <w:pPr>
        <w:rPr>
          <w:noProof/>
        </w:rPr>
        <w:sectPr w:rsidR="003240A1" w:rsidSect="00EE321D">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3240A1" w:rsidRDefault="00EE321D">
      <w:pPr>
        <w:pStyle w:val="SectionTitleFramed"/>
        <w:framePr w:wrap="notBeside"/>
        <w:rPr>
          <w:noProof/>
        </w:rPr>
      </w:pPr>
      <w:bookmarkStart w:id="1" w:name="_GoBack"/>
      <w:bookmarkEnd w:id="1"/>
      <w:r>
        <w:rPr>
          <w:noProof/>
        </w:rPr>
        <w:lastRenderedPageBreak/>
        <w:t>Contents</w:t>
      </w:r>
    </w:p>
    <w:p w:rsidR="003240A1" w:rsidRDefault="00EE321D">
      <w:pPr>
        <w:pStyle w:val="TOC7"/>
        <w:divId w:val="2003657586"/>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_Toc473809268 \* MERGEFORMAT </w:instrText>
      </w:r>
      <w:r>
        <w:rPr>
          <w:noProof/>
          <w:webHidden/>
        </w:rPr>
      </w:r>
      <w:r>
        <w:rPr>
          <w:noProof/>
          <w:webHidden/>
        </w:rPr>
        <w:fldChar w:fldCharType="separate"/>
      </w:r>
      <w:r>
        <w:rPr>
          <w:noProof/>
          <w:webHidden/>
        </w:rPr>
        <w:t>1</w:t>
      </w:r>
      <w:r>
        <w:rPr>
          <w:noProof/>
          <w:webHidden/>
        </w:rPr>
        <w:fldChar w:fldCharType="end"/>
      </w:r>
    </w:p>
    <w:p w:rsidR="003240A1" w:rsidRDefault="00EE321D">
      <w:pPr>
        <w:pStyle w:val="TOC2"/>
        <w:divId w:val="2003657586"/>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_Toc473809269 \* MERGEFORMAT </w:instrText>
      </w:r>
      <w:r>
        <w:rPr>
          <w:noProof/>
          <w:webHidden/>
        </w:rPr>
      </w:r>
      <w:r>
        <w:rPr>
          <w:noProof/>
          <w:webHidden/>
        </w:rPr>
        <w:fldChar w:fldCharType="separate"/>
      </w:r>
      <w:r>
        <w:rPr>
          <w:noProof/>
          <w:webHidden/>
        </w:rPr>
        <w:t>4</w:t>
      </w:r>
      <w:r>
        <w:rPr>
          <w:noProof/>
          <w:webHidden/>
        </w:rPr>
        <w:fldChar w:fldCharType="end"/>
      </w:r>
    </w:p>
    <w:p w:rsidR="003240A1" w:rsidRDefault="00EE321D">
      <w:pPr>
        <w:pStyle w:val="TOC2"/>
        <w:divId w:val="2003657586"/>
        <w:rPr>
          <w:rFonts w:eastAsiaTheme="minorEastAsia"/>
          <w:noProof/>
        </w:rPr>
      </w:pPr>
      <w:r>
        <w:rPr>
          <w:noProof/>
        </w:rPr>
        <w:t>2.</w:t>
      </w:r>
      <w:r>
        <w:rPr>
          <w:rFonts w:eastAsiaTheme="minorEastAsia"/>
          <w:noProof/>
        </w:rPr>
        <w:tab/>
      </w:r>
      <w:r>
        <w:rPr>
          <w:noProof/>
        </w:rPr>
        <w:t>Progress with country-specific recommendatio</w:t>
      </w:r>
      <w:r>
        <w:rPr>
          <w:noProof/>
        </w:rPr>
        <w:t>ns</w:t>
      </w:r>
      <w:r>
        <w:rPr>
          <w:noProof/>
          <w:webHidden/>
        </w:rPr>
        <w:tab/>
      </w:r>
      <w:r>
        <w:rPr>
          <w:noProof/>
          <w:webHidden/>
        </w:rPr>
        <w:fldChar w:fldCharType="begin"/>
      </w:r>
      <w:r>
        <w:rPr>
          <w:noProof/>
          <w:webHidden/>
        </w:rPr>
        <w:instrText xml:space="preserve"> PAGEREF \h _Toc473809270 \* MERGEFORMAT </w:instrText>
      </w:r>
      <w:r>
        <w:rPr>
          <w:noProof/>
          <w:webHidden/>
        </w:rPr>
      </w:r>
      <w:r>
        <w:rPr>
          <w:noProof/>
          <w:webHidden/>
        </w:rPr>
        <w:fldChar w:fldCharType="separate"/>
      </w:r>
      <w:r>
        <w:rPr>
          <w:noProof/>
          <w:webHidden/>
        </w:rPr>
        <w:t>10</w:t>
      </w:r>
      <w:r>
        <w:rPr>
          <w:noProof/>
          <w:webHidden/>
        </w:rPr>
        <w:fldChar w:fldCharType="end"/>
      </w:r>
    </w:p>
    <w:p w:rsidR="003240A1" w:rsidRDefault="00EE321D">
      <w:pPr>
        <w:pStyle w:val="TOC2"/>
        <w:divId w:val="2003657586"/>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_Toc473809271 \* MERGEFORMAT </w:instrText>
      </w:r>
      <w:r>
        <w:rPr>
          <w:noProof/>
          <w:webHidden/>
        </w:rPr>
      </w:r>
      <w:r>
        <w:rPr>
          <w:noProof/>
          <w:webHidden/>
        </w:rPr>
        <w:fldChar w:fldCharType="separate"/>
      </w:r>
      <w:r>
        <w:rPr>
          <w:noProof/>
          <w:webHidden/>
        </w:rPr>
        <w:t>13</w:t>
      </w:r>
      <w:r>
        <w:rPr>
          <w:noProof/>
          <w:webHidden/>
        </w:rPr>
        <w:fldChar w:fldCharType="end"/>
      </w:r>
    </w:p>
    <w:p w:rsidR="003240A1" w:rsidRDefault="00EE321D">
      <w:pPr>
        <w:pStyle w:val="TOC3"/>
        <w:divId w:val="2003657586"/>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_Toc473809272 \* MERGEFORMAT </w:instrText>
      </w:r>
      <w:r>
        <w:rPr>
          <w:noProof/>
          <w:webHidden/>
        </w:rPr>
      </w:r>
      <w:r>
        <w:rPr>
          <w:noProof/>
          <w:webHidden/>
        </w:rPr>
        <w:fldChar w:fldCharType="separate"/>
      </w:r>
      <w:r>
        <w:rPr>
          <w:noProof/>
          <w:webHidden/>
        </w:rPr>
        <w:t>13</w:t>
      </w:r>
      <w:r>
        <w:rPr>
          <w:noProof/>
          <w:webHidden/>
        </w:rPr>
        <w:fldChar w:fldCharType="end"/>
      </w:r>
    </w:p>
    <w:p w:rsidR="003240A1" w:rsidRDefault="00EE321D">
      <w:pPr>
        <w:pStyle w:val="TOC3"/>
        <w:divId w:val="2003657586"/>
        <w:rPr>
          <w:rFonts w:eastAsiaTheme="minorEastAsia"/>
          <w:noProof/>
        </w:rPr>
      </w:pPr>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_Toc473809273 \* MERGEFORMAT </w:instrText>
      </w:r>
      <w:r>
        <w:rPr>
          <w:noProof/>
          <w:webHidden/>
        </w:rPr>
      </w:r>
      <w:r>
        <w:rPr>
          <w:noProof/>
          <w:webHidden/>
        </w:rPr>
        <w:fldChar w:fldCharType="separate"/>
      </w:r>
      <w:r>
        <w:rPr>
          <w:noProof/>
          <w:webHidden/>
        </w:rPr>
        <w:t>16</w:t>
      </w:r>
      <w:r>
        <w:rPr>
          <w:noProof/>
          <w:webHidden/>
        </w:rPr>
        <w:fldChar w:fldCharType="end"/>
      </w:r>
    </w:p>
    <w:p w:rsidR="003240A1" w:rsidRDefault="00EE321D">
      <w:pPr>
        <w:pStyle w:val="TOC3"/>
        <w:divId w:val="2003657586"/>
        <w:rPr>
          <w:rFonts w:eastAsiaTheme="minorEastAsia"/>
          <w:noProof/>
        </w:rPr>
      </w:pPr>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_Toc473809274 \* MERGEFORMAT </w:instrText>
      </w:r>
      <w:r>
        <w:rPr>
          <w:noProof/>
          <w:webHidden/>
        </w:rPr>
      </w:r>
      <w:r>
        <w:rPr>
          <w:noProof/>
          <w:webHidden/>
        </w:rPr>
        <w:fldChar w:fldCharType="separate"/>
      </w:r>
      <w:r>
        <w:rPr>
          <w:noProof/>
          <w:webHidden/>
        </w:rPr>
        <w:t>18</w:t>
      </w:r>
      <w:r>
        <w:rPr>
          <w:noProof/>
          <w:webHidden/>
        </w:rPr>
        <w:fldChar w:fldCharType="end"/>
      </w:r>
    </w:p>
    <w:p w:rsidR="003240A1" w:rsidRDefault="00EE321D">
      <w:pPr>
        <w:pStyle w:val="TOC3"/>
        <w:divId w:val="2003657586"/>
        <w:rPr>
          <w:rFonts w:eastAsiaTheme="minorEastAsia"/>
          <w:noProof/>
        </w:rPr>
      </w:pPr>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_Toc473809275 \* MERGEFORMAT </w:instrText>
      </w:r>
      <w:r>
        <w:rPr>
          <w:noProof/>
          <w:webHidden/>
        </w:rPr>
      </w:r>
      <w:r>
        <w:rPr>
          <w:noProof/>
          <w:webHidden/>
        </w:rPr>
        <w:fldChar w:fldCharType="separate"/>
      </w:r>
      <w:r>
        <w:rPr>
          <w:noProof/>
          <w:webHidden/>
        </w:rPr>
        <w:t>28</w:t>
      </w:r>
      <w:r>
        <w:rPr>
          <w:noProof/>
          <w:webHidden/>
        </w:rPr>
        <w:fldChar w:fldCharType="end"/>
      </w:r>
    </w:p>
    <w:p w:rsidR="003240A1" w:rsidRDefault="00EE321D">
      <w:pPr>
        <w:pStyle w:val="TOC3"/>
        <w:divId w:val="2003657586"/>
        <w:rPr>
          <w:rFonts w:eastAsiaTheme="minorEastAsia"/>
          <w:noProof/>
        </w:rPr>
      </w:pPr>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_Toc473809276 \* MERGEFORMAT </w:instrText>
      </w:r>
      <w:r>
        <w:rPr>
          <w:noProof/>
          <w:webHidden/>
        </w:rPr>
      </w:r>
      <w:r>
        <w:rPr>
          <w:noProof/>
          <w:webHidden/>
        </w:rPr>
        <w:fldChar w:fldCharType="separate"/>
      </w:r>
      <w:r>
        <w:rPr>
          <w:noProof/>
          <w:webHidden/>
        </w:rPr>
        <w:t>32</w:t>
      </w:r>
      <w:r>
        <w:rPr>
          <w:noProof/>
          <w:webHidden/>
        </w:rPr>
        <w:fldChar w:fldCharType="end"/>
      </w:r>
    </w:p>
    <w:p w:rsidR="003240A1" w:rsidRDefault="00EE321D">
      <w:pPr>
        <w:pStyle w:val="TOC3"/>
        <w:divId w:val="2003657586"/>
        <w:rPr>
          <w:rFonts w:eastAsiaTheme="minorEastAsia"/>
          <w:noProof/>
        </w:rPr>
      </w:pPr>
      <w:r>
        <w:rPr>
          <w:noProof/>
        </w:rPr>
        <w:t>3.6.</w:t>
      </w:r>
      <w:r>
        <w:rPr>
          <w:rFonts w:eastAsiaTheme="minorEastAsia"/>
          <w:noProof/>
        </w:rPr>
        <w:tab/>
      </w:r>
      <w:r>
        <w:rPr>
          <w:noProof/>
        </w:rPr>
        <w:t>Public administration</w:t>
      </w:r>
      <w:r>
        <w:rPr>
          <w:noProof/>
          <w:webHidden/>
        </w:rPr>
        <w:tab/>
      </w:r>
      <w:r>
        <w:rPr>
          <w:noProof/>
          <w:webHidden/>
        </w:rPr>
        <w:fldChar w:fldCharType="begin"/>
      </w:r>
      <w:r>
        <w:rPr>
          <w:noProof/>
          <w:webHidden/>
        </w:rPr>
        <w:instrText xml:space="preserve"> PAGEREF \h _Toc473809277 \* MERGEFORMAT </w:instrText>
      </w:r>
      <w:r>
        <w:rPr>
          <w:noProof/>
          <w:webHidden/>
        </w:rPr>
      </w:r>
      <w:r>
        <w:rPr>
          <w:noProof/>
          <w:webHidden/>
        </w:rPr>
        <w:fldChar w:fldCharType="separate"/>
      </w:r>
      <w:r>
        <w:rPr>
          <w:noProof/>
          <w:webHidden/>
        </w:rPr>
        <w:t>37</w:t>
      </w:r>
      <w:r>
        <w:rPr>
          <w:noProof/>
          <w:webHidden/>
        </w:rPr>
        <w:fldChar w:fldCharType="end"/>
      </w:r>
    </w:p>
    <w:p w:rsidR="003240A1" w:rsidRDefault="00EE321D">
      <w:pPr>
        <w:pStyle w:val="TOC2"/>
        <w:divId w:val="2003657586"/>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_Toc473809278 \* MERGEF</w:instrText>
      </w:r>
      <w:r>
        <w:rPr>
          <w:noProof/>
          <w:webHidden/>
        </w:rPr>
        <w:instrText xml:space="preserve">ORMAT </w:instrText>
      </w:r>
      <w:r>
        <w:rPr>
          <w:noProof/>
          <w:webHidden/>
        </w:rPr>
      </w:r>
      <w:r>
        <w:rPr>
          <w:noProof/>
          <w:webHidden/>
        </w:rPr>
        <w:fldChar w:fldCharType="separate"/>
      </w:r>
      <w:r>
        <w:rPr>
          <w:noProof/>
          <w:webHidden/>
        </w:rPr>
        <w:t>38</w:t>
      </w:r>
      <w:r>
        <w:rPr>
          <w:noProof/>
          <w:webHidden/>
        </w:rPr>
        <w:fldChar w:fldCharType="end"/>
      </w:r>
    </w:p>
    <w:p w:rsidR="003240A1" w:rsidRDefault="00EE321D">
      <w:pPr>
        <w:pStyle w:val="TOC2"/>
        <w:divId w:val="2003657586"/>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_Toc473809279 \* MERGEFORMAT </w:instrText>
      </w:r>
      <w:r>
        <w:rPr>
          <w:noProof/>
          <w:webHidden/>
        </w:rPr>
      </w:r>
      <w:r>
        <w:rPr>
          <w:noProof/>
          <w:webHidden/>
        </w:rPr>
        <w:fldChar w:fldCharType="separate"/>
      </w:r>
      <w:r>
        <w:rPr>
          <w:noProof/>
          <w:webHidden/>
        </w:rPr>
        <w:t>44</w:t>
      </w:r>
      <w:r>
        <w:rPr>
          <w:noProof/>
          <w:webHidden/>
        </w:rPr>
        <w:fldChar w:fldCharType="end"/>
      </w:r>
    </w:p>
    <w:p w:rsidR="003240A1" w:rsidRDefault="00EE321D">
      <w:pPr>
        <w:pStyle w:val="TOC2"/>
        <w:divId w:val="2003657586"/>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_Toc473809280 \* MERGEFORMAT </w:instrText>
      </w:r>
      <w:r>
        <w:rPr>
          <w:noProof/>
          <w:webHidden/>
        </w:rPr>
      </w:r>
      <w:r>
        <w:rPr>
          <w:noProof/>
          <w:webHidden/>
        </w:rPr>
        <w:fldChar w:fldCharType="separate"/>
      </w:r>
      <w:r>
        <w:rPr>
          <w:noProof/>
          <w:webHidden/>
        </w:rPr>
        <w:t>45</w:t>
      </w:r>
      <w:r>
        <w:rPr>
          <w:noProof/>
          <w:webHidden/>
        </w:rPr>
        <w:fldChar w:fldCharType="end"/>
      </w:r>
    </w:p>
    <w:p w:rsidR="003240A1" w:rsidRDefault="00EE321D">
      <w:pPr>
        <w:pStyle w:val="TOC7"/>
        <w:divId w:val="2003657586"/>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_Toc473809281 \* MERGEFORMAT </w:instrText>
      </w:r>
      <w:r>
        <w:rPr>
          <w:noProof/>
          <w:webHidden/>
        </w:rPr>
      </w:r>
      <w:r>
        <w:rPr>
          <w:noProof/>
          <w:webHidden/>
        </w:rPr>
        <w:fldChar w:fldCharType="separate"/>
      </w:r>
      <w:r>
        <w:rPr>
          <w:noProof/>
          <w:webHidden/>
        </w:rPr>
        <w:t>5</w:t>
      </w:r>
      <w:r>
        <w:rPr>
          <w:noProof/>
          <w:webHidden/>
        </w:rPr>
        <w:fldChar w:fldCharType="end"/>
      </w:r>
      <w:r>
        <w:rPr>
          <w:noProof/>
          <w:webHidden/>
        </w:rPr>
        <w:t>0</w:t>
      </w:r>
    </w:p>
    <w:p w:rsidR="003240A1" w:rsidRDefault="003240A1">
      <w:pPr>
        <w:divId w:val="2003657586"/>
        <w:rPr>
          <w:noProof/>
        </w:rPr>
      </w:pPr>
    </w:p>
    <w:p w:rsidR="003240A1" w:rsidRDefault="00EE321D">
      <w:pPr>
        <w:pStyle w:val="HEADINGTOC"/>
        <w:divId w:val="2003657586"/>
        <w:rPr>
          <w:noProof/>
        </w:rPr>
      </w:pPr>
      <w:r>
        <w:rPr>
          <w:noProof/>
        </w:rPr>
        <w:t>LIST OF Tables</w:t>
      </w:r>
    </w:p>
    <w:p w:rsidR="003240A1" w:rsidRDefault="00EE321D">
      <w:pPr>
        <w:pStyle w:val="TOC5"/>
        <w:divId w:val="2003657586"/>
        <w:rPr>
          <w:rFonts w:eastAsiaTheme="minorEastAsia"/>
          <w:noProof/>
        </w:rPr>
      </w:pPr>
      <w:r>
        <w:rPr>
          <w:noProof/>
        </w:rPr>
        <w:t>1.1.</w:t>
      </w:r>
      <w:r>
        <w:rPr>
          <w:rFonts w:eastAsiaTheme="minorEastAsia"/>
          <w:noProof/>
        </w:rPr>
        <w:tab/>
      </w:r>
      <w:r>
        <w:rPr>
          <w:noProof/>
        </w:rPr>
        <w:t>Key economic, financial and social indicators</w:t>
      </w:r>
      <w:r>
        <w:rPr>
          <w:noProof/>
          <w:webHidden/>
        </w:rPr>
        <w:tab/>
      </w:r>
      <w:r>
        <w:rPr>
          <w:noProof/>
          <w:webHidden/>
        </w:rPr>
        <w:fldChar w:fldCharType="begin"/>
      </w:r>
      <w:r>
        <w:rPr>
          <w:noProof/>
          <w:webHidden/>
        </w:rPr>
        <w:instrText xml:space="preserve"> PAGEREF \h _Toc473809282 \* MERGEFORMAT </w:instrText>
      </w:r>
      <w:r>
        <w:rPr>
          <w:noProof/>
          <w:webHidden/>
        </w:rPr>
      </w:r>
      <w:r>
        <w:rPr>
          <w:noProof/>
          <w:webHidden/>
        </w:rPr>
        <w:fldChar w:fldCharType="separate"/>
      </w:r>
      <w:r>
        <w:rPr>
          <w:noProof/>
          <w:webHidden/>
        </w:rPr>
        <w:t>9</w:t>
      </w:r>
      <w:r>
        <w:rPr>
          <w:noProof/>
          <w:webHidden/>
        </w:rPr>
        <w:fldChar w:fldCharType="end"/>
      </w:r>
    </w:p>
    <w:p w:rsidR="003240A1" w:rsidRDefault="00EE321D">
      <w:pPr>
        <w:pStyle w:val="TOC5"/>
        <w:divId w:val="2003657586"/>
        <w:rPr>
          <w:rFonts w:eastAsiaTheme="minorEastAsia"/>
          <w:noProof/>
        </w:rPr>
      </w:pPr>
      <w:r>
        <w:rPr>
          <w:noProof/>
        </w:rPr>
        <w:t>2.1.</w:t>
      </w:r>
      <w:r>
        <w:rPr>
          <w:rFonts w:eastAsiaTheme="minorEastAsia"/>
          <w:noProof/>
        </w:rPr>
        <w:tab/>
      </w:r>
      <w:r>
        <w:rPr>
          <w:noProof/>
        </w:rPr>
        <w:t>Summary tabl</w:t>
      </w:r>
      <w:r>
        <w:rPr>
          <w:noProof/>
        </w:rPr>
        <w:t>e of 2016 CSR assessment</w:t>
      </w:r>
      <w:r>
        <w:rPr>
          <w:noProof/>
          <w:webHidden/>
        </w:rPr>
        <w:tab/>
      </w:r>
      <w:r>
        <w:rPr>
          <w:noProof/>
          <w:webHidden/>
        </w:rPr>
        <w:fldChar w:fldCharType="begin"/>
      </w:r>
      <w:r>
        <w:rPr>
          <w:noProof/>
          <w:webHidden/>
        </w:rPr>
        <w:instrText xml:space="preserve"> PAGEREF \h _Toc473809283 \* MERGEFORMAT </w:instrText>
      </w:r>
      <w:r>
        <w:rPr>
          <w:noProof/>
          <w:webHidden/>
        </w:rPr>
      </w:r>
      <w:r>
        <w:rPr>
          <w:noProof/>
          <w:webHidden/>
        </w:rPr>
        <w:fldChar w:fldCharType="separate"/>
      </w:r>
      <w:r>
        <w:rPr>
          <w:noProof/>
          <w:webHidden/>
        </w:rPr>
        <w:t>11</w:t>
      </w:r>
      <w:r>
        <w:rPr>
          <w:noProof/>
          <w:webHidden/>
        </w:rPr>
        <w:fldChar w:fldCharType="end"/>
      </w:r>
    </w:p>
    <w:p w:rsidR="003240A1" w:rsidRDefault="00EE321D">
      <w:pPr>
        <w:pStyle w:val="TOC5"/>
        <w:divId w:val="2003657586"/>
        <w:rPr>
          <w:rFonts w:eastAsiaTheme="minorEastAsia"/>
          <w:noProof/>
        </w:rPr>
      </w:pPr>
      <w:r>
        <w:rPr>
          <w:noProof/>
        </w:rPr>
        <w:t>3.2.1.</w:t>
      </w:r>
      <w:r>
        <w:rPr>
          <w:rFonts w:eastAsiaTheme="minorEastAsia"/>
          <w:noProof/>
        </w:rPr>
        <w:tab/>
      </w:r>
      <w:r>
        <w:rPr>
          <w:noProof/>
        </w:rPr>
        <w:t>Financial soundness indicators</w:t>
      </w:r>
      <w:r>
        <w:rPr>
          <w:noProof/>
          <w:webHidden/>
        </w:rPr>
        <w:tab/>
      </w:r>
      <w:r>
        <w:rPr>
          <w:noProof/>
          <w:webHidden/>
        </w:rPr>
        <w:fldChar w:fldCharType="begin"/>
      </w:r>
      <w:r>
        <w:rPr>
          <w:noProof/>
          <w:webHidden/>
        </w:rPr>
        <w:instrText xml:space="preserve"> PAGEREF \h _Toc473809284 \* MERGEFORMAT </w:instrText>
      </w:r>
      <w:r>
        <w:rPr>
          <w:noProof/>
          <w:webHidden/>
        </w:rPr>
      </w:r>
      <w:r>
        <w:rPr>
          <w:noProof/>
          <w:webHidden/>
        </w:rPr>
        <w:fldChar w:fldCharType="separate"/>
      </w:r>
      <w:r>
        <w:rPr>
          <w:noProof/>
          <w:webHidden/>
        </w:rPr>
        <w:t>16</w:t>
      </w:r>
      <w:r>
        <w:rPr>
          <w:noProof/>
          <w:webHidden/>
        </w:rPr>
        <w:fldChar w:fldCharType="end"/>
      </w:r>
    </w:p>
    <w:p w:rsidR="003240A1" w:rsidRDefault="00EE321D">
      <w:pPr>
        <w:pStyle w:val="TOC5"/>
        <w:divId w:val="2003657586"/>
        <w:rPr>
          <w:rFonts w:eastAsiaTheme="minorEastAsia"/>
          <w:noProof/>
        </w:rPr>
      </w:pPr>
      <w:r>
        <w:rPr>
          <w:noProof/>
        </w:rPr>
        <w:t>B.1.</w:t>
      </w:r>
      <w:r>
        <w:rPr>
          <w:rFonts w:eastAsiaTheme="minorEastAsia"/>
          <w:noProof/>
        </w:rPr>
        <w:tab/>
      </w:r>
      <w:r>
        <w:rPr>
          <w:noProof/>
        </w:rPr>
        <w:t>Macroeconomic imbalances scoreboard</w:t>
      </w:r>
      <w:r>
        <w:rPr>
          <w:noProof/>
          <w:webHidden/>
        </w:rPr>
        <w:tab/>
      </w:r>
      <w:r>
        <w:rPr>
          <w:noProof/>
          <w:webHidden/>
        </w:rPr>
        <w:fldChar w:fldCharType="begin"/>
      </w:r>
      <w:r>
        <w:rPr>
          <w:noProof/>
          <w:webHidden/>
        </w:rPr>
        <w:instrText xml:space="preserve"> PAGEREF \h _Toc473809285 \* MERGEFORMAT </w:instrText>
      </w:r>
      <w:r>
        <w:rPr>
          <w:noProof/>
          <w:webHidden/>
        </w:rPr>
      </w:r>
      <w:r>
        <w:rPr>
          <w:noProof/>
          <w:webHidden/>
        </w:rPr>
        <w:fldChar w:fldCharType="separate"/>
      </w:r>
      <w:r>
        <w:rPr>
          <w:noProof/>
          <w:webHidden/>
        </w:rPr>
        <w:t>44</w:t>
      </w:r>
      <w:r>
        <w:rPr>
          <w:noProof/>
          <w:webHidden/>
        </w:rPr>
        <w:fldChar w:fldCharType="end"/>
      </w:r>
    </w:p>
    <w:p w:rsidR="003240A1" w:rsidRDefault="00EE321D">
      <w:pPr>
        <w:pStyle w:val="TOC5"/>
        <w:divId w:val="2003657586"/>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_Toc473809286 \* MERGEFORMAT </w:instrText>
      </w:r>
      <w:r>
        <w:rPr>
          <w:noProof/>
          <w:webHidden/>
        </w:rPr>
      </w:r>
      <w:r>
        <w:rPr>
          <w:noProof/>
          <w:webHidden/>
        </w:rPr>
        <w:fldChar w:fldCharType="separate"/>
      </w:r>
      <w:r>
        <w:rPr>
          <w:noProof/>
          <w:webHidden/>
        </w:rPr>
        <w:t>45</w:t>
      </w:r>
      <w:r>
        <w:rPr>
          <w:noProof/>
          <w:webHidden/>
        </w:rPr>
        <w:fldChar w:fldCharType="end"/>
      </w:r>
    </w:p>
    <w:p w:rsidR="003240A1" w:rsidRDefault="00EE321D">
      <w:pPr>
        <w:pStyle w:val="TOC5"/>
        <w:divId w:val="2003657586"/>
        <w:rPr>
          <w:rFonts w:eastAsiaTheme="minorEastAsia"/>
          <w:noProof/>
        </w:rPr>
      </w:pPr>
      <w:r>
        <w:rPr>
          <w:noProof/>
        </w:rPr>
        <w:t>C.2.</w:t>
      </w:r>
      <w:r>
        <w:rPr>
          <w:rFonts w:eastAsiaTheme="minorEastAsia"/>
          <w:noProof/>
        </w:rPr>
        <w:tab/>
      </w:r>
      <w:r>
        <w:rPr>
          <w:noProof/>
        </w:rPr>
        <w:t>Labour market and social indicators (A)</w:t>
      </w:r>
      <w:r>
        <w:rPr>
          <w:noProof/>
          <w:webHidden/>
        </w:rPr>
        <w:tab/>
      </w:r>
      <w:r>
        <w:rPr>
          <w:noProof/>
          <w:webHidden/>
        </w:rPr>
        <w:fldChar w:fldCharType="begin"/>
      </w:r>
      <w:r>
        <w:rPr>
          <w:noProof/>
          <w:webHidden/>
        </w:rPr>
        <w:instrText xml:space="preserve"> P</w:instrText>
      </w:r>
      <w:r>
        <w:rPr>
          <w:noProof/>
          <w:webHidden/>
        </w:rPr>
        <w:instrText xml:space="preserve">AGEREF \h _Toc473809287 \* MERGEFORMAT </w:instrText>
      </w:r>
      <w:r>
        <w:rPr>
          <w:noProof/>
          <w:webHidden/>
        </w:rPr>
      </w:r>
      <w:r>
        <w:rPr>
          <w:noProof/>
          <w:webHidden/>
        </w:rPr>
        <w:fldChar w:fldCharType="separate"/>
      </w:r>
      <w:r>
        <w:rPr>
          <w:noProof/>
          <w:webHidden/>
        </w:rPr>
        <w:t>46</w:t>
      </w:r>
      <w:r>
        <w:rPr>
          <w:noProof/>
          <w:webHidden/>
        </w:rPr>
        <w:fldChar w:fldCharType="end"/>
      </w:r>
    </w:p>
    <w:p w:rsidR="003240A1" w:rsidRDefault="00EE321D">
      <w:pPr>
        <w:pStyle w:val="TOC5"/>
        <w:divId w:val="2003657586"/>
        <w:rPr>
          <w:rFonts w:eastAsiaTheme="minorEastAsia"/>
          <w:noProof/>
        </w:rPr>
      </w:pPr>
      <w:r>
        <w:rPr>
          <w:noProof/>
        </w:rPr>
        <w:t>C.3.</w:t>
      </w:r>
      <w:r>
        <w:rPr>
          <w:rFonts w:eastAsiaTheme="minorEastAsia"/>
          <w:noProof/>
        </w:rPr>
        <w:tab/>
      </w:r>
      <w:r>
        <w:rPr>
          <w:noProof/>
        </w:rPr>
        <w:t>Labour market and social indicators (B)</w:t>
      </w:r>
      <w:r>
        <w:rPr>
          <w:noProof/>
          <w:webHidden/>
        </w:rPr>
        <w:tab/>
      </w:r>
      <w:r>
        <w:rPr>
          <w:noProof/>
          <w:webHidden/>
        </w:rPr>
        <w:fldChar w:fldCharType="begin"/>
      </w:r>
      <w:r>
        <w:rPr>
          <w:noProof/>
          <w:webHidden/>
        </w:rPr>
        <w:instrText xml:space="preserve"> PAGEREF \h _Toc473809288 \* MERGEFORMAT </w:instrText>
      </w:r>
      <w:r>
        <w:rPr>
          <w:noProof/>
          <w:webHidden/>
        </w:rPr>
      </w:r>
      <w:r>
        <w:rPr>
          <w:noProof/>
          <w:webHidden/>
        </w:rPr>
        <w:fldChar w:fldCharType="separate"/>
      </w:r>
      <w:r>
        <w:rPr>
          <w:noProof/>
          <w:webHidden/>
        </w:rPr>
        <w:t>47</w:t>
      </w:r>
      <w:r>
        <w:rPr>
          <w:noProof/>
          <w:webHidden/>
        </w:rPr>
        <w:fldChar w:fldCharType="end"/>
      </w:r>
    </w:p>
    <w:p w:rsidR="003240A1" w:rsidRDefault="00EE321D">
      <w:pPr>
        <w:pStyle w:val="TOC5"/>
        <w:divId w:val="2003657586"/>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_Toc473809289 \* MERGEFORMAT </w:instrText>
      </w:r>
      <w:r>
        <w:rPr>
          <w:noProof/>
          <w:webHidden/>
        </w:rPr>
      </w:r>
      <w:r>
        <w:rPr>
          <w:noProof/>
          <w:webHidden/>
        </w:rPr>
        <w:fldChar w:fldCharType="separate"/>
      </w:r>
      <w:r>
        <w:rPr>
          <w:noProof/>
          <w:webHidden/>
        </w:rPr>
        <w:t>48</w:t>
      </w:r>
      <w:r>
        <w:rPr>
          <w:noProof/>
          <w:webHidden/>
        </w:rPr>
        <w:fldChar w:fldCharType="end"/>
      </w:r>
    </w:p>
    <w:p w:rsidR="003240A1" w:rsidRDefault="00EE321D">
      <w:pPr>
        <w:pStyle w:val="TOC5"/>
        <w:divId w:val="2003657586"/>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_Toc473809290 \* MERGEFORMAT </w:instrText>
      </w:r>
      <w:r>
        <w:rPr>
          <w:noProof/>
          <w:webHidden/>
        </w:rPr>
      </w:r>
      <w:r>
        <w:rPr>
          <w:noProof/>
          <w:webHidden/>
        </w:rPr>
        <w:fldChar w:fldCharType="separate"/>
      </w:r>
      <w:r>
        <w:rPr>
          <w:noProof/>
          <w:webHidden/>
        </w:rPr>
        <w:t>49</w:t>
      </w:r>
      <w:r>
        <w:rPr>
          <w:noProof/>
          <w:webHidden/>
        </w:rPr>
        <w:fldChar w:fldCharType="end"/>
      </w:r>
    </w:p>
    <w:p w:rsidR="003240A1" w:rsidRDefault="003240A1">
      <w:pPr>
        <w:divId w:val="2003657586"/>
        <w:rPr>
          <w:noProof/>
        </w:rPr>
      </w:pPr>
    </w:p>
    <w:p w:rsidR="003240A1" w:rsidRDefault="00EE321D">
      <w:pPr>
        <w:pStyle w:val="HEADINGTOC"/>
        <w:divId w:val="2003657586"/>
        <w:rPr>
          <w:noProof/>
        </w:rPr>
      </w:pPr>
      <w:r>
        <w:rPr>
          <w:noProof/>
        </w:rPr>
        <w:t>LIST OF Graphs</w:t>
      </w:r>
    </w:p>
    <w:p w:rsidR="003240A1" w:rsidRDefault="00EE321D">
      <w:pPr>
        <w:pStyle w:val="TOC5"/>
        <w:divId w:val="2003657586"/>
        <w:rPr>
          <w:rFonts w:eastAsiaTheme="minorEastAsia"/>
          <w:noProof/>
        </w:rPr>
      </w:pPr>
      <w:r>
        <w:rPr>
          <w:noProof/>
        </w:rPr>
        <w:t>1.1.</w:t>
      </w:r>
      <w:r>
        <w:rPr>
          <w:rFonts w:eastAsiaTheme="minorEastAsia"/>
          <w:noProof/>
        </w:rPr>
        <w:tab/>
      </w:r>
      <w:r>
        <w:rPr>
          <w:noProof/>
        </w:rPr>
        <w:t>Real GDP growth and contributions</w:t>
      </w:r>
      <w:r>
        <w:rPr>
          <w:noProof/>
          <w:webHidden/>
        </w:rPr>
        <w:tab/>
      </w:r>
      <w:r>
        <w:rPr>
          <w:noProof/>
          <w:webHidden/>
        </w:rPr>
        <w:fldChar w:fldCharType="begin"/>
      </w:r>
      <w:r>
        <w:rPr>
          <w:noProof/>
          <w:webHidden/>
        </w:rPr>
        <w:instrText xml:space="preserve"> PAGEREF \h _Toc473809291 \* MERGEFORMAT </w:instrText>
      </w:r>
      <w:r>
        <w:rPr>
          <w:noProof/>
          <w:webHidden/>
        </w:rPr>
      </w:r>
      <w:r>
        <w:rPr>
          <w:noProof/>
          <w:webHidden/>
        </w:rPr>
        <w:fldChar w:fldCharType="separate"/>
      </w:r>
      <w:r>
        <w:rPr>
          <w:noProof/>
          <w:webHidden/>
        </w:rPr>
        <w:t>4</w:t>
      </w:r>
      <w:r>
        <w:rPr>
          <w:noProof/>
          <w:webHidden/>
        </w:rPr>
        <w:fldChar w:fldCharType="end"/>
      </w:r>
    </w:p>
    <w:p w:rsidR="003240A1" w:rsidRDefault="00EE321D">
      <w:pPr>
        <w:pStyle w:val="TOC5"/>
        <w:divId w:val="2003657586"/>
        <w:rPr>
          <w:rFonts w:eastAsiaTheme="minorEastAsia"/>
          <w:noProof/>
        </w:rPr>
      </w:pPr>
      <w:r>
        <w:rPr>
          <w:noProof/>
        </w:rPr>
        <w:t>1.2.</w:t>
      </w:r>
      <w:r>
        <w:rPr>
          <w:rFonts w:eastAsiaTheme="minorEastAsia"/>
          <w:noProof/>
        </w:rPr>
        <w:tab/>
      </w:r>
      <w:r>
        <w:rPr>
          <w:noProof/>
        </w:rPr>
        <w:t>12 month average HICP inflation</w:t>
      </w:r>
      <w:r>
        <w:rPr>
          <w:noProof/>
          <w:webHidden/>
        </w:rPr>
        <w:tab/>
      </w:r>
      <w:r>
        <w:rPr>
          <w:noProof/>
          <w:webHidden/>
        </w:rPr>
        <w:fldChar w:fldCharType="begin"/>
      </w:r>
      <w:r>
        <w:rPr>
          <w:noProof/>
          <w:webHidden/>
        </w:rPr>
        <w:instrText xml:space="preserve"> PAGEREF \h _Toc473809292 \* MERGEFORMAT </w:instrText>
      </w:r>
      <w:r>
        <w:rPr>
          <w:noProof/>
          <w:webHidden/>
        </w:rPr>
      </w:r>
      <w:r>
        <w:rPr>
          <w:noProof/>
          <w:webHidden/>
        </w:rPr>
        <w:fldChar w:fldCharType="separate"/>
      </w:r>
      <w:r>
        <w:rPr>
          <w:noProof/>
          <w:webHidden/>
        </w:rPr>
        <w:t>5</w:t>
      </w:r>
      <w:r>
        <w:rPr>
          <w:noProof/>
          <w:webHidden/>
        </w:rPr>
        <w:fldChar w:fldCharType="end"/>
      </w:r>
    </w:p>
    <w:p w:rsidR="003240A1" w:rsidRDefault="00EE321D">
      <w:pPr>
        <w:pStyle w:val="TOC5"/>
        <w:divId w:val="2003657586"/>
        <w:rPr>
          <w:rFonts w:eastAsiaTheme="minorEastAsia"/>
          <w:noProof/>
        </w:rPr>
      </w:pPr>
      <w:r>
        <w:rPr>
          <w:noProof/>
        </w:rPr>
        <w:t>1.3.</w:t>
      </w:r>
      <w:r>
        <w:rPr>
          <w:rFonts w:eastAsiaTheme="minorEastAsia"/>
          <w:noProof/>
        </w:rPr>
        <w:tab/>
      </w:r>
      <w:r>
        <w:rPr>
          <w:noProof/>
        </w:rPr>
        <w:t>Major labour market trends in Lithuani</w:t>
      </w:r>
      <w:r>
        <w:rPr>
          <w:noProof/>
        </w:rPr>
        <w:t>a</w:t>
      </w:r>
      <w:r>
        <w:rPr>
          <w:noProof/>
          <w:webHidden/>
        </w:rPr>
        <w:tab/>
      </w:r>
      <w:r>
        <w:rPr>
          <w:noProof/>
          <w:webHidden/>
        </w:rPr>
        <w:fldChar w:fldCharType="begin"/>
      </w:r>
      <w:r>
        <w:rPr>
          <w:noProof/>
          <w:webHidden/>
        </w:rPr>
        <w:instrText xml:space="preserve"> PAGEREF \h _Toc473809293 \* MERGEFORMAT </w:instrText>
      </w:r>
      <w:r>
        <w:rPr>
          <w:noProof/>
          <w:webHidden/>
        </w:rPr>
      </w:r>
      <w:r>
        <w:rPr>
          <w:noProof/>
          <w:webHidden/>
        </w:rPr>
        <w:fldChar w:fldCharType="separate"/>
      </w:r>
      <w:r>
        <w:rPr>
          <w:noProof/>
          <w:webHidden/>
        </w:rPr>
        <w:t>5</w:t>
      </w:r>
      <w:r>
        <w:rPr>
          <w:noProof/>
          <w:webHidden/>
        </w:rPr>
        <w:fldChar w:fldCharType="end"/>
      </w:r>
    </w:p>
    <w:p w:rsidR="003240A1" w:rsidRDefault="00EE321D">
      <w:pPr>
        <w:pStyle w:val="TOC5"/>
        <w:divId w:val="2003657586"/>
        <w:rPr>
          <w:rFonts w:eastAsiaTheme="minorEastAsia"/>
          <w:noProof/>
        </w:rPr>
      </w:pPr>
      <w:r>
        <w:rPr>
          <w:noProof/>
        </w:rPr>
        <w:lastRenderedPageBreak/>
        <w:t>1.4.</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_Toc473809294 \* MERGEFORMAT </w:instrText>
      </w:r>
      <w:r>
        <w:rPr>
          <w:noProof/>
          <w:webHidden/>
        </w:rPr>
      </w:r>
      <w:r>
        <w:rPr>
          <w:noProof/>
          <w:webHidden/>
        </w:rPr>
        <w:fldChar w:fldCharType="separate"/>
      </w:r>
      <w:r>
        <w:rPr>
          <w:noProof/>
          <w:webHidden/>
        </w:rPr>
        <w:t>6</w:t>
      </w:r>
      <w:r>
        <w:rPr>
          <w:noProof/>
          <w:webHidden/>
        </w:rPr>
        <w:fldChar w:fldCharType="end"/>
      </w:r>
    </w:p>
    <w:p w:rsidR="003240A1" w:rsidRDefault="00EE321D">
      <w:pPr>
        <w:pStyle w:val="TOC5"/>
        <w:divId w:val="2003657586"/>
        <w:rPr>
          <w:rFonts w:eastAsiaTheme="minorEastAsia"/>
          <w:noProof/>
        </w:rPr>
      </w:pPr>
      <w:r>
        <w:rPr>
          <w:noProof/>
        </w:rPr>
        <w:t>1.5.</w:t>
      </w:r>
      <w:r>
        <w:rPr>
          <w:rFonts w:eastAsiaTheme="minorEastAsia"/>
          <w:noProof/>
        </w:rPr>
        <w:tab/>
      </w:r>
      <w:r>
        <w:rPr>
          <w:noProof/>
        </w:rPr>
        <w:t>Lending trends in Lithuania</w:t>
      </w:r>
      <w:r>
        <w:rPr>
          <w:noProof/>
          <w:webHidden/>
        </w:rPr>
        <w:tab/>
      </w:r>
      <w:r>
        <w:rPr>
          <w:noProof/>
          <w:webHidden/>
        </w:rPr>
        <w:fldChar w:fldCharType="begin"/>
      </w:r>
      <w:r>
        <w:rPr>
          <w:noProof/>
          <w:webHidden/>
        </w:rPr>
        <w:instrText xml:space="preserve"> PAGEREF \h _Toc473809295 \* MERGEFORMAT </w:instrText>
      </w:r>
      <w:r>
        <w:rPr>
          <w:noProof/>
          <w:webHidden/>
        </w:rPr>
      </w:r>
      <w:r>
        <w:rPr>
          <w:noProof/>
          <w:webHidden/>
        </w:rPr>
        <w:fldChar w:fldCharType="separate"/>
      </w:r>
      <w:r>
        <w:rPr>
          <w:noProof/>
          <w:webHidden/>
        </w:rPr>
        <w:t>7</w:t>
      </w:r>
      <w:r>
        <w:rPr>
          <w:noProof/>
          <w:webHidden/>
        </w:rPr>
        <w:fldChar w:fldCharType="end"/>
      </w:r>
    </w:p>
    <w:p w:rsidR="003240A1" w:rsidRDefault="00EE321D">
      <w:pPr>
        <w:pStyle w:val="TOC5"/>
        <w:divId w:val="2003657586"/>
        <w:rPr>
          <w:rFonts w:eastAsiaTheme="minorEastAsia"/>
          <w:noProof/>
        </w:rPr>
      </w:pPr>
      <w:r>
        <w:rPr>
          <w:noProof/>
        </w:rPr>
        <w:t>1.6.</w:t>
      </w:r>
      <w:r>
        <w:rPr>
          <w:rFonts w:eastAsiaTheme="minorEastAsia"/>
          <w:noProof/>
        </w:rPr>
        <w:tab/>
      </w:r>
      <w:r>
        <w:rPr>
          <w:noProof/>
        </w:rPr>
        <w:t>General government balance and gross debt</w:t>
      </w:r>
      <w:r>
        <w:rPr>
          <w:noProof/>
          <w:webHidden/>
        </w:rPr>
        <w:tab/>
      </w:r>
      <w:r>
        <w:rPr>
          <w:noProof/>
          <w:webHidden/>
        </w:rPr>
        <w:fldChar w:fldCharType="begin"/>
      </w:r>
      <w:r>
        <w:rPr>
          <w:noProof/>
          <w:webHidden/>
        </w:rPr>
        <w:instrText xml:space="preserve"> PAGEREF \h _Toc473809296 \* MERGEFORMAT </w:instrText>
      </w:r>
      <w:r>
        <w:rPr>
          <w:noProof/>
          <w:webHidden/>
        </w:rPr>
      </w:r>
      <w:r>
        <w:rPr>
          <w:noProof/>
          <w:webHidden/>
        </w:rPr>
        <w:fldChar w:fldCharType="separate"/>
      </w:r>
      <w:r>
        <w:rPr>
          <w:noProof/>
          <w:webHidden/>
        </w:rPr>
        <w:t>7</w:t>
      </w:r>
      <w:r>
        <w:rPr>
          <w:noProof/>
          <w:webHidden/>
        </w:rPr>
        <w:fldChar w:fldCharType="end"/>
      </w:r>
    </w:p>
    <w:p w:rsidR="003240A1" w:rsidRDefault="00EE321D">
      <w:pPr>
        <w:pStyle w:val="TOC5"/>
        <w:divId w:val="2003657586"/>
        <w:rPr>
          <w:rFonts w:eastAsiaTheme="minorEastAsia"/>
          <w:noProof/>
        </w:rPr>
      </w:pPr>
      <w:r>
        <w:rPr>
          <w:noProof/>
        </w:rPr>
        <w:t>1.7.</w:t>
      </w:r>
      <w:r>
        <w:rPr>
          <w:rFonts w:eastAsiaTheme="minorEastAsia"/>
          <w:noProof/>
        </w:rPr>
        <w:tab/>
      </w:r>
      <w:r>
        <w:rPr>
          <w:noProof/>
        </w:rPr>
        <w:t>Annual change in population, 1990 - 2040</w:t>
      </w:r>
      <w:r>
        <w:rPr>
          <w:noProof/>
          <w:webHidden/>
        </w:rPr>
        <w:tab/>
      </w:r>
      <w:r>
        <w:rPr>
          <w:noProof/>
          <w:webHidden/>
        </w:rPr>
        <w:fldChar w:fldCharType="begin"/>
      </w:r>
      <w:r>
        <w:rPr>
          <w:noProof/>
          <w:webHidden/>
        </w:rPr>
        <w:instrText xml:space="preserve"> PAGEREF \h _Toc473809297 \* MERGEFORMAT </w:instrText>
      </w:r>
      <w:r>
        <w:rPr>
          <w:noProof/>
          <w:webHidden/>
        </w:rPr>
      </w:r>
      <w:r>
        <w:rPr>
          <w:noProof/>
          <w:webHidden/>
        </w:rPr>
        <w:fldChar w:fldCharType="separate"/>
      </w:r>
      <w:r>
        <w:rPr>
          <w:noProof/>
          <w:webHidden/>
        </w:rPr>
        <w:t>8</w:t>
      </w:r>
      <w:r>
        <w:rPr>
          <w:noProof/>
          <w:webHidden/>
        </w:rPr>
        <w:fldChar w:fldCharType="end"/>
      </w:r>
    </w:p>
    <w:p w:rsidR="003240A1" w:rsidRDefault="00EE321D">
      <w:pPr>
        <w:pStyle w:val="TOC5"/>
        <w:divId w:val="2003657586"/>
        <w:rPr>
          <w:rFonts w:eastAsiaTheme="minorEastAsia"/>
          <w:noProof/>
        </w:rPr>
      </w:pPr>
      <w:r>
        <w:rPr>
          <w:noProof/>
        </w:rPr>
        <w:t>1.8.</w:t>
      </w:r>
      <w:r>
        <w:rPr>
          <w:rFonts w:eastAsiaTheme="minorEastAsia"/>
          <w:noProof/>
        </w:rPr>
        <w:tab/>
      </w:r>
      <w:r>
        <w:rPr>
          <w:noProof/>
        </w:rPr>
        <w:t>Share of working age population and age-dependency ratios</w:t>
      </w:r>
      <w:r>
        <w:rPr>
          <w:noProof/>
          <w:webHidden/>
        </w:rPr>
        <w:tab/>
      </w:r>
      <w:r>
        <w:rPr>
          <w:noProof/>
          <w:webHidden/>
        </w:rPr>
        <w:fldChar w:fldCharType="begin"/>
      </w:r>
      <w:r>
        <w:rPr>
          <w:noProof/>
          <w:webHidden/>
        </w:rPr>
        <w:instrText xml:space="preserve"> PAGEREF \h _Toc473809298 \* MERGEFORMAT </w:instrText>
      </w:r>
      <w:r>
        <w:rPr>
          <w:noProof/>
          <w:webHidden/>
        </w:rPr>
      </w:r>
      <w:r>
        <w:rPr>
          <w:noProof/>
          <w:webHidden/>
        </w:rPr>
        <w:fldChar w:fldCharType="separate"/>
      </w:r>
      <w:r>
        <w:rPr>
          <w:noProof/>
          <w:webHidden/>
        </w:rPr>
        <w:t>8</w:t>
      </w:r>
      <w:r>
        <w:rPr>
          <w:noProof/>
          <w:webHidden/>
        </w:rPr>
        <w:fldChar w:fldCharType="end"/>
      </w:r>
    </w:p>
    <w:p w:rsidR="003240A1" w:rsidRDefault="00EE321D">
      <w:pPr>
        <w:pStyle w:val="TOC5"/>
        <w:divId w:val="2003657586"/>
        <w:rPr>
          <w:rFonts w:eastAsiaTheme="minorEastAsia"/>
          <w:noProof/>
        </w:rPr>
      </w:pPr>
      <w:r>
        <w:rPr>
          <w:noProof/>
        </w:rPr>
        <w:t>3.1.1.</w:t>
      </w:r>
      <w:r>
        <w:rPr>
          <w:rFonts w:eastAsiaTheme="minorEastAsia"/>
          <w:noProof/>
        </w:rPr>
        <w:tab/>
      </w:r>
      <w:r>
        <w:rPr>
          <w:noProof/>
        </w:rPr>
        <w:t>Annual change in age-related expenditures</w:t>
      </w:r>
      <w:r>
        <w:rPr>
          <w:noProof/>
          <w:webHidden/>
        </w:rPr>
        <w:tab/>
      </w:r>
      <w:r>
        <w:rPr>
          <w:noProof/>
          <w:webHidden/>
        </w:rPr>
        <w:fldChar w:fldCharType="begin"/>
      </w:r>
      <w:r>
        <w:rPr>
          <w:noProof/>
          <w:webHidden/>
        </w:rPr>
        <w:instrText xml:space="preserve"> PAGEREF \h _Toc473809299 \* MERGEFORMAT </w:instrText>
      </w:r>
      <w:r>
        <w:rPr>
          <w:noProof/>
          <w:webHidden/>
        </w:rPr>
      </w:r>
      <w:r>
        <w:rPr>
          <w:noProof/>
          <w:webHidden/>
        </w:rPr>
        <w:fldChar w:fldCharType="separate"/>
      </w:r>
      <w:r>
        <w:rPr>
          <w:noProof/>
          <w:webHidden/>
        </w:rPr>
        <w:t>14</w:t>
      </w:r>
      <w:r>
        <w:rPr>
          <w:noProof/>
          <w:webHidden/>
        </w:rPr>
        <w:fldChar w:fldCharType="end"/>
      </w:r>
    </w:p>
    <w:p w:rsidR="003240A1" w:rsidRDefault="00EE321D">
      <w:pPr>
        <w:pStyle w:val="TOC5"/>
        <w:divId w:val="2003657586"/>
        <w:rPr>
          <w:rFonts w:eastAsiaTheme="minorEastAsia"/>
          <w:noProof/>
        </w:rPr>
      </w:pPr>
      <w:r>
        <w:rPr>
          <w:noProof/>
        </w:rPr>
        <w:t>3.1.2.</w:t>
      </w:r>
      <w:r>
        <w:rPr>
          <w:rFonts w:eastAsiaTheme="minorEastAsia"/>
          <w:noProof/>
        </w:rPr>
        <w:tab/>
      </w:r>
      <w:r>
        <w:rPr>
          <w:noProof/>
        </w:rPr>
        <w:t>Tax wedge of different t</w:t>
      </w:r>
      <w:r>
        <w:rPr>
          <w:noProof/>
        </w:rPr>
        <w:t>ypes of households earning 50% of average wage</w:t>
      </w:r>
      <w:r>
        <w:rPr>
          <w:noProof/>
          <w:webHidden/>
        </w:rPr>
        <w:tab/>
      </w:r>
      <w:r>
        <w:rPr>
          <w:noProof/>
          <w:webHidden/>
        </w:rPr>
        <w:fldChar w:fldCharType="begin"/>
      </w:r>
      <w:r>
        <w:rPr>
          <w:noProof/>
          <w:webHidden/>
        </w:rPr>
        <w:instrText xml:space="preserve"> PAGEREF \h _Toc473809300 \* MERGEFORMAT </w:instrText>
      </w:r>
      <w:r>
        <w:rPr>
          <w:noProof/>
          <w:webHidden/>
        </w:rPr>
      </w:r>
      <w:r>
        <w:rPr>
          <w:noProof/>
          <w:webHidden/>
        </w:rPr>
        <w:fldChar w:fldCharType="separate"/>
      </w:r>
      <w:r>
        <w:rPr>
          <w:noProof/>
          <w:webHidden/>
        </w:rPr>
        <w:t>15</w:t>
      </w:r>
      <w:r>
        <w:rPr>
          <w:noProof/>
          <w:webHidden/>
        </w:rPr>
        <w:fldChar w:fldCharType="end"/>
      </w:r>
    </w:p>
    <w:p w:rsidR="003240A1" w:rsidRDefault="00EE321D">
      <w:pPr>
        <w:pStyle w:val="TOC5"/>
        <w:divId w:val="2003657586"/>
        <w:rPr>
          <w:rFonts w:eastAsiaTheme="minorEastAsia"/>
          <w:noProof/>
        </w:rPr>
      </w:pPr>
      <w:r>
        <w:rPr>
          <w:noProof/>
        </w:rPr>
        <w:t>3.3.1.</w:t>
      </w:r>
      <w:r>
        <w:rPr>
          <w:rFonts w:eastAsiaTheme="minorEastAsia"/>
          <w:noProof/>
        </w:rPr>
        <w:tab/>
      </w:r>
      <w:r>
        <w:rPr>
          <w:noProof/>
        </w:rPr>
        <w:t>Employment rates by age group and skill level</w:t>
      </w:r>
      <w:r>
        <w:rPr>
          <w:noProof/>
          <w:webHidden/>
        </w:rPr>
        <w:tab/>
      </w:r>
      <w:r>
        <w:rPr>
          <w:noProof/>
          <w:webHidden/>
        </w:rPr>
        <w:fldChar w:fldCharType="begin"/>
      </w:r>
      <w:r>
        <w:rPr>
          <w:noProof/>
          <w:webHidden/>
        </w:rPr>
        <w:instrText xml:space="preserve"> PAGEREF \h _Toc473809301 \* MERGEFORMAT </w:instrText>
      </w:r>
      <w:r>
        <w:rPr>
          <w:noProof/>
          <w:webHidden/>
        </w:rPr>
      </w:r>
      <w:r>
        <w:rPr>
          <w:noProof/>
          <w:webHidden/>
        </w:rPr>
        <w:fldChar w:fldCharType="separate"/>
      </w:r>
      <w:r>
        <w:rPr>
          <w:noProof/>
          <w:webHidden/>
        </w:rPr>
        <w:t>18</w:t>
      </w:r>
      <w:r>
        <w:rPr>
          <w:noProof/>
          <w:webHidden/>
        </w:rPr>
        <w:fldChar w:fldCharType="end"/>
      </w:r>
    </w:p>
    <w:p w:rsidR="003240A1" w:rsidRDefault="00EE321D">
      <w:pPr>
        <w:pStyle w:val="TOC5"/>
        <w:divId w:val="2003657586"/>
        <w:rPr>
          <w:rFonts w:eastAsiaTheme="minorEastAsia"/>
          <w:noProof/>
        </w:rPr>
      </w:pPr>
      <w:r>
        <w:rPr>
          <w:noProof/>
        </w:rPr>
        <w:t>3.3.2.</w:t>
      </w:r>
      <w:r>
        <w:rPr>
          <w:rFonts w:eastAsiaTheme="minorEastAsia"/>
          <w:noProof/>
        </w:rPr>
        <w:tab/>
      </w:r>
      <w:r>
        <w:rPr>
          <w:noProof/>
        </w:rPr>
        <w:t>Employment by economic activity</w:t>
      </w:r>
      <w:r>
        <w:rPr>
          <w:noProof/>
          <w:webHidden/>
        </w:rPr>
        <w:tab/>
      </w:r>
      <w:r>
        <w:rPr>
          <w:noProof/>
          <w:webHidden/>
        </w:rPr>
        <w:fldChar w:fldCharType="begin"/>
      </w:r>
      <w:r>
        <w:rPr>
          <w:noProof/>
          <w:webHidden/>
        </w:rPr>
        <w:instrText xml:space="preserve"> PAGEREF \h _Toc473809302 \* MERGEFORMAT </w:instrText>
      </w:r>
      <w:r>
        <w:rPr>
          <w:noProof/>
          <w:webHidden/>
        </w:rPr>
      </w:r>
      <w:r>
        <w:rPr>
          <w:noProof/>
          <w:webHidden/>
        </w:rPr>
        <w:fldChar w:fldCharType="separate"/>
      </w:r>
      <w:r>
        <w:rPr>
          <w:noProof/>
          <w:webHidden/>
        </w:rPr>
        <w:t>18</w:t>
      </w:r>
      <w:r>
        <w:rPr>
          <w:noProof/>
          <w:webHidden/>
        </w:rPr>
        <w:fldChar w:fldCharType="end"/>
      </w:r>
    </w:p>
    <w:p w:rsidR="003240A1" w:rsidRDefault="00EE321D">
      <w:pPr>
        <w:pStyle w:val="TOC5"/>
        <w:divId w:val="2003657586"/>
        <w:rPr>
          <w:rFonts w:eastAsiaTheme="minorEastAsia"/>
          <w:noProof/>
        </w:rPr>
      </w:pPr>
      <w:r>
        <w:rPr>
          <w:noProof/>
        </w:rPr>
        <w:t>3.3.3.</w:t>
      </w:r>
      <w:r>
        <w:rPr>
          <w:rFonts w:eastAsiaTheme="minorEastAsia"/>
          <w:noProof/>
        </w:rPr>
        <w:tab/>
      </w:r>
      <w:r>
        <w:rPr>
          <w:noProof/>
        </w:rPr>
        <w:t>Coverage of labour market polici</w:t>
      </w:r>
      <w:r>
        <w:rPr>
          <w:noProof/>
        </w:rPr>
        <w:t>es</w:t>
      </w:r>
      <w:r>
        <w:rPr>
          <w:noProof/>
          <w:webHidden/>
        </w:rPr>
        <w:tab/>
      </w:r>
      <w:r>
        <w:rPr>
          <w:noProof/>
          <w:webHidden/>
        </w:rPr>
        <w:fldChar w:fldCharType="begin"/>
      </w:r>
      <w:r>
        <w:rPr>
          <w:noProof/>
          <w:webHidden/>
        </w:rPr>
        <w:instrText xml:space="preserve"> PAGEREF \h _Toc473809303 \* MERGEFORMAT </w:instrText>
      </w:r>
      <w:r>
        <w:rPr>
          <w:noProof/>
          <w:webHidden/>
        </w:rPr>
      </w:r>
      <w:r>
        <w:rPr>
          <w:noProof/>
          <w:webHidden/>
        </w:rPr>
        <w:fldChar w:fldCharType="separate"/>
      </w:r>
      <w:r>
        <w:rPr>
          <w:noProof/>
          <w:webHidden/>
        </w:rPr>
        <w:t>19</w:t>
      </w:r>
      <w:r>
        <w:rPr>
          <w:noProof/>
          <w:webHidden/>
        </w:rPr>
        <w:fldChar w:fldCharType="end"/>
      </w:r>
    </w:p>
    <w:p w:rsidR="003240A1" w:rsidRDefault="00EE321D">
      <w:pPr>
        <w:pStyle w:val="TOC5"/>
        <w:divId w:val="2003657586"/>
        <w:rPr>
          <w:rFonts w:eastAsiaTheme="minorEastAsia"/>
          <w:noProof/>
        </w:rPr>
      </w:pPr>
      <w:r>
        <w:rPr>
          <w:noProof/>
        </w:rPr>
        <w:t>3.3.4.</w:t>
      </w:r>
      <w:r>
        <w:rPr>
          <w:rFonts w:eastAsiaTheme="minorEastAsia"/>
          <w:noProof/>
        </w:rPr>
        <w:tab/>
      </w:r>
      <w:r>
        <w:rPr>
          <w:noProof/>
        </w:rPr>
        <w:t>Net replacement rates at different lengths of unemployment duration in 2015</w:t>
      </w:r>
      <w:r>
        <w:rPr>
          <w:noProof/>
          <w:webHidden/>
        </w:rPr>
        <w:tab/>
      </w:r>
      <w:r>
        <w:rPr>
          <w:noProof/>
          <w:webHidden/>
        </w:rPr>
        <w:fldChar w:fldCharType="begin"/>
      </w:r>
      <w:r>
        <w:rPr>
          <w:noProof/>
          <w:webHidden/>
        </w:rPr>
        <w:instrText xml:space="preserve"> PAGEREF \h _Toc473809304 \* MERGEFORMAT </w:instrText>
      </w:r>
      <w:r>
        <w:rPr>
          <w:noProof/>
          <w:webHidden/>
        </w:rPr>
      </w:r>
      <w:r>
        <w:rPr>
          <w:noProof/>
          <w:webHidden/>
        </w:rPr>
        <w:fldChar w:fldCharType="separate"/>
      </w:r>
      <w:r>
        <w:rPr>
          <w:noProof/>
          <w:webHidden/>
        </w:rPr>
        <w:t>21</w:t>
      </w:r>
      <w:r>
        <w:rPr>
          <w:noProof/>
          <w:webHidden/>
        </w:rPr>
        <w:fldChar w:fldCharType="end"/>
      </w:r>
    </w:p>
    <w:p w:rsidR="003240A1" w:rsidRDefault="00EE321D">
      <w:pPr>
        <w:pStyle w:val="TOC5"/>
        <w:divId w:val="2003657586"/>
        <w:rPr>
          <w:rFonts w:eastAsiaTheme="minorEastAsia"/>
          <w:noProof/>
        </w:rPr>
      </w:pPr>
      <w:r>
        <w:rPr>
          <w:noProof/>
        </w:rPr>
        <w:t>3.3.5.</w:t>
      </w:r>
      <w:r>
        <w:rPr>
          <w:rFonts w:eastAsiaTheme="minorEastAsia"/>
          <w:noProof/>
        </w:rPr>
        <w:tab/>
      </w:r>
      <w:r>
        <w:rPr>
          <w:noProof/>
        </w:rPr>
        <w:t>Poverty indicators</w:t>
      </w:r>
      <w:r>
        <w:rPr>
          <w:noProof/>
          <w:webHidden/>
        </w:rPr>
        <w:tab/>
      </w:r>
      <w:r>
        <w:rPr>
          <w:noProof/>
          <w:webHidden/>
        </w:rPr>
        <w:fldChar w:fldCharType="begin"/>
      </w:r>
      <w:r>
        <w:rPr>
          <w:noProof/>
          <w:webHidden/>
        </w:rPr>
        <w:instrText xml:space="preserve"> PAGEREF \h _Toc473809305 \* MERGEFORMAT </w:instrText>
      </w:r>
      <w:r>
        <w:rPr>
          <w:noProof/>
          <w:webHidden/>
        </w:rPr>
      </w:r>
      <w:r>
        <w:rPr>
          <w:noProof/>
          <w:webHidden/>
        </w:rPr>
        <w:fldChar w:fldCharType="separate"/>
      </w:r>
      <w:r>
        <w:rPr>
          <w:noProof/>
          <w:webHidden/>
        </w:rPr>
        <w:t>22</w:t>
      </w:r>
      <w:r>
        <w:rPr>
          <w:noProof/>
          <w:webHidden/>
        </w:rPr>
        <w:fldChar w:fldCharType="end"/>
      </w:r>
    </w:p>
    <w:p w:rsidR="003240A1" w:rsidRDefault="00EE321D">
      <w:pPr>
        <w:pStyle w:val="TOC5"/>
        <w:divId w:val="2003657586"/>
        <w:rPr>
          <w:rFonts w:eastAsiaTheme="minorEastAsia"/>
          <w:noProof/>
        </w:rPr>
      </w:pPr>
      <w:r>
        <w:rPr>
          <w:noProof/>
        </w:rPr>
        <w:t>3.3.6.</w:t>
      </w:r>
      <w:r>
        <w:rPr>
          <w:rFonts w:eastAsiaTheme="minorEastAsia"/>
          <w:noProof/>
        </w:rPr>
        <w:tab/>
      </w:r>
      <w:r>
        <w:rPr>
          <w:noProof/>
        </w:rPr>
        <w:t>Median income as a share of average income, %</w:t>
      </w:r>
      <w:r>
        <w:rPr>
          <w:noProof/>
          <w:webHidden/>
        </w:rPr>
        <w:tab/>
      </w:r>
      <w:r>
        <w:rPr>
          <w:noProof/>
          <w:webHidden/>
        </w:rPr>
        <w:fldChar w:fldCharType="begin"/>
      </w:r>
      <w:r>
        <w:rPr>
          <w:noProof/>
          <w:webHidden/>
        </w:rPr>
        <w:instrText xml:space="preserve"> PAGEREF \h _Toc473809306 \* MERGEFORMAT </w:instrText>
      </w:r>
      <w:r>
        <w:rPr>
          <w:noProof/>
          <w:webHidden/>
        </w:rPr>
      </w:r>
      <w:r>
        <w:rPr>
          <w:noProof/>
          <w:webHidden/>
        </w:rPr>
        <w:fldChar w:fldCharType="separate"/>
      </w:r>
      <w:r>
        <w:rPr>
          <w:noProof/>
          <w:webHidden/>
        </w:rPr>
        <w:t>22</w:t>
      </w:r>
      <w:r>
        <w:rPr>
          <w:noProof/>
          <w:webHidden/>
        </w:rPr>
        <w:fldChar w:fldCharType="end"/>
      </w:r>
    </w:p>
    <w:p w:rsidR="003240A1" w:rsidRDefault="00EE321D">
      <w:pPr>
        <w:pStyle w:val="TOC5"/>
        <w:divId w:val="2003657586"/>
        <w:rPr>
          <w:rFonts w:eastAsiaTheme="minorEastAsia"/>
          <w:noProof/>
        </w:rPr>
      </w:pPr>
      <w:r>
        <w:rPr>
          <w:noProof/>
        </w:rPr>
        <w:t>3.3.7.</w:t>
      </w:r>
      <w:r>
        <w:rPr>
          <w:rFonts w:eastAsiaTheme="minorEastAsia"/>
          <w:noProof/>
        </w:rPr>
        <w:tab/>
      </w:r>
      <w:r>
        <w:rPr>
          <w:noProof/>
        </w:rPr>
        <w:t>Share of people at risk of poverty or social exclusion by disability status, %</w:t>
      </w:r>
      <w:r>
        <w:rPr>
          <w:noProof/>
          <w:webHidden/>
        </w:rPr>
        <w:tab/>
      </w:r>
      <w:r>
        <w:rPr>
          <w:noProof/>
          <w:webHidden/>
        </w:rPr>
        <w:fldChar w:fldCharType="begin"/>
      </w:r>
      <w:r>
        <w:rPr>
          <w:noProof/>
          <w:webHidden/>
        </w:rPr>
        <w:instrText xml:space="preserve"> PAGEREF \h _Toc473809307 \* MERGEFORMAT </w:instrText>
      </w:r>
      <w:r>
        <w:rPr>
          <w:noProof/>
          <w:webHidden/>
        </w:rPr>
      </w:r>
      <w:r>
        <w:rPr>
          <w:noProof/>
          <w:webHidden/>
        </w:rPr>
        <w:fldChar w:fldCharType="separate"/>
      </w:r>
      <w:r>
        <w:rPr>
          <w:noProof/>
          <w:webHidden/>
        </w:rPr>
        <w:t>22</w:t>
      </w:r>
      <w:r>
        <w:rPr>
          <w:noProof/>
          <w:webHidden/>
        </w:rPr>
        <w:fldChar w:fldCharType="end"/>
      </w:r>
    </w:p>
    <w:p w:rsidR="003240A1" w:rsidRDefault="00EE321D">
      <w:pPr>
        <w:pStyle w:val="TOC5"/>
        <w:divId w:val="2003657586"/>
        <w:rPr>
          <w:rFonts w:eastAsiaTheme="minorEastAsia"/>
          <w:noProof/>
        </w:rPr>
      </w:pPr>
      <w:r>
        <w:rPr>
          <w:noProof/>
        </w:rPr>
        <w:t>3.3.8.</w:t>
      </w:r>
      <w:r>
        <w:rPr>
          <w:rFonts w:eastAsiaTheme="minorEastAsia"/>
          <w:noProof/>
        </w:rPr>
        <w:tab/>
      </w:r>
      <w:r>
        <w:rPr>
          <w:noProof/>
        </w:rPr>
        <w:t>Employment gap of people with disabilities aged 20 to 64</w:t>
      </w:r>
      <w:r>
        <w:rPr>
          <w:noProof/>
          <w:webHidden/>
        </w:rPr>
        <w:tab/>
      </w:r>
      <w:r>
        <w:rPr>
          <w:noProof/>
          <w:webHidden/>
        </w:rPr>
        <w:fldChar w:fldCharType="begin"/>
      </w:r>
      <w:r>
        <w:rPr>
          <w:noProof/>
          <w:webHidden/>
        </w:rPr>
        <w:instrText xml:space="preserve"> PAGEREF \h _Toc473809308 \* MERGEFORMAT </w:instrText>
      </w:r>
      <w:r>
        <w:rPr>
          <w:noProof/>
          <w:webHidden/>
        </w:rPr>
      </w:r>
      <w:r>
        <w:rPr>
          <w:noProof/>
          <w:webHidden/>
        </w:rPr>
        <w:fldChar w:fldCharType="separate"/>
      </w:r>
      <w:r>
        <w:rPr>
          <w:noProof/>
          <w:webHidden/>
        </w:rPr>
        <w:t>23</w:t>
      </w:r>
      <w:r>
        <w:rPr>
          <w:noProof/>
          <w:webHidden/>
        </w:rPr>
        <w:fldChar w:fldCharType="end"/>
      </w:r>
    </w:p>
    <w:p w:rsidR="003240A1" w:rsidRDefault="00EE321D">
      <w:pPr>
        <w:pStyle w:val="TOC5"/>
        <w:divId w:val="2003657586"/>
        <w:rPr>
          <w:rFonts w:eastAsiaTheme="minorEastAsia"/>
          <w:noProof/>
        </w:rPr>
      </w:pPr>
      <w:r>
        <w:rPr>
          <w:noProof/>
        </w:rPr>
        <w:t>3.3.9.</w:t>
      </w:r>
      <w:r>
        <w:rPr>
          <w:rFonts w:eastAsiaTheme="minorEastAsia"/>
          <w:noProof/>
        </w:rPr>
        <w:tab/>
      </w:r>
      <w:r>
        <w:rPr>
          <w:noProof/>
        </w:rPr>
        <w:t>S80/S20 income ratio</w:t>
      </w:r>
      <w:r>
        <w:rPr>
          <w:noProof/>
          <w:webHidden/>
        </w:rPr>
        <w:tab/>
      </w:r>
      <w:r>
        <w:rPr>
          <w:noProof/>
          <w:webHidden/>
        </w:rPr>
        <w:fldChar w:fldCharType="begin"/>
      </w:r>
      <w:r>
        <w:rPr>
          <w:noProof/>
          <w:webHidden/>
        </w:rPr>
        <w:instrText xml:space="preserve"> PAGEREF \h _Toc473809309 \* MERGEFORMAT </w:instrText>
      </w:r>
      <w:r>
        <w:rPr>
          <w:noProof/>
          <w:webHidden/>
        </w:rPr>
      </w:r>
      <w:r>
        <w:rPr>
          <w:noProof/>
          <w:webHidden/>
        </w:rPr>
        <w:fldChar w:fldCharType="separate"/>
      </w:r>
      <w:r>
        <w:rPr>
          <w:noProof/>
          <w:webHidden/>
        </w:rPr>
        <w:t>24</w:t>
      </w:r>
      <w:r>
        <w:rPr>
          <w:noProof/>
          <w:webHidden/>
        </w:rPr>
        <w:fldChar w:fldCharType="end"/>
      </w:r>
    </w:p>
    <w:p w:rsidR="003240A1" w:rsidRDefault="00EE321D">
      <w:pPr>
        <w:pStyle w:val="TOC5"/>
        <w:divId w:val="2003657586"/>
        <w:rPr>
          <w:rFonts w:eastAsiaTheme="minorEastAsia"/>
          <w:noProof/>
        </w:rPr>
      </w:pPr>
      <w:r>
        <w:rPr>
          <w:noProof/>
        </w:rPr>
        <w:t>3.3.10.</w:t>
      </w:r>
      <w:r>
        <w:rPr>
          <w:rFonts w:eastAsiaTheme="minorEastAsia"/>
          <w:noProof/>
        </w:rPr>
        <w:tab/>
      </w:r>
      <w:r>
        <w:rPr>
          <w:noProof/>
        </w:rPr>
        <w:t>Real public expenditure on education per student (2010 prices)</w:t>
      </w:r>
      <w:r>
        <w:rPr>
          <w:noProof/>
          <w:webHidden/>
        </w:rPr>
        <w:tab/>
      </w:r>
      <w:r>
        <w:rPr>
          <w:noProof/>
          <w:webHidden/>
        </w:rPr>
        <w:fldChar w:fldCharType="begin"/>
      </w:r>
      <w:r>
        <w:rPr>
          <w:noProof/>
          <w:webHidden/>
        </w:rPr>
        <w:instrText xml:space="preserve"> PAGEREF \h _Toc473809310 \* MERGEFORMAT </w:instrText>
      </w:r>
      <w:r>
        <w:rPr>
          <w:noProof/>
          <w:webHidden/>
        </w:rPr>
      </w:r>
      <w:r>
        <w:rPr>
          <w:noProof/>
          <w:webHidden/>
        </w:rPr>
        <w:fldChar w:fldCharType="separate"/>
      </w:r>
      <w:r>
        <w:rPr>
          <w:noProof/>
          <w:webHidden/>
        </w:rPr>
        <w:t>24</w:t>
      </w:r>
      <w:r>
        <w:rPr>
          <w:noProof/>
          <w:webHidden/>
        </w:rPr>
        <w:fldChar w:fldCharType="end"/>
      </w:r>
    </w:p>
    <w:p w:rsidR="003240A1" w:rsidRDefault="00EE321D">
      <w:pPr>
        <w:pStyle w:val="TOC5"/>
        <w:divId w:val="2003657586"/>
        <w:rPr>
          <w:rFonts w:eastAsiaTheme="minorEastAsia"/>
          <w:noProof/>
        </w:rPr>
      </w:pPr>
      <w:r>
        <w:rPr>
          <w:noProof/>
        </w:rPr>
        <w:t>3.3.11.</w:t>
      </w:r>
      <w:r>
        <w:rPr>
          <w:rFonts w:eastAsiaTheme="minorEastAsia"/>
          <w:noProof/>
        </w:rPr>
        <w:tab/>
      </w:r>
      <w:r>
        <w:rPr>
          <w:noProof/>
        </w:rPr>
        <w:t>Proportion of low achievers</w:t>
      </w:r>
      <w:r>
        <w:rPr>
          <w:noProof/>
          <w:webHidden/>
        </w:rPr>
        <w:tab/>
      </w:r>
      <w:r>
        <w:rPr>
          <w:noProof/>
          <w:webHidden/>
        </w:rPr>
        <w:fldChar w:fldCharType="begin"/>
      </w:r>
      <w:r>
        <w:rPr>
          <w:noProof/>
          <w:webHidden/>
        </w:rPr>
        <w:instrText xml:space="preserve"> PAGEREF \h _Toc473809311 \* MERGEFORMAT </w:instrText>
      </w:r>
      <w:r>
        <w:rPr>
          <w:noProof/>
          <w:webHidden/>
        </w:rPr>
      </w:r>
      <w:r>
        <w:rPr>
          <w:noProof/>
          <w:webHidden/>
        </w:rPr>
        <w:fldChar w:fldCharType="separate"/>
      </w:r>
      <w:r>
        <w:rPr>
          <w:noProof/>
          <w:webHidden/>
        </w:rPr>
        <w:t>25</w:t>
      </w:r>
      <w:r>
        <w:rPr>
          <w:noProof/>
          <w:webHidden/>
        </w:rPr>
        <w:fldChar w:fldCharType="end"/>
      </w:r>
    </w:p>
    <w:p w:rsidR="003240A1" w:rsidRDefault="00EE321D">
      <w:pPr>
        <w:pStyle w:val="TOC5"/>
        <w:divId w:val="2003657586"/>
        <w:rPr>
          <w:rFonts w:eastAsiaTheme="minorEastAsia"/>
          <w:noProof/>
        </w:rPr>
      </w:pPr>
      <w:r>
        <w:rPr>
          <w:noProof/>
        </w:rPr>
        <w:t>3.3.12.</w:t>
      </w:r>
      <w:r>
        <w:rPr>
          <w:rFonts w:eastAsiaTheme="minorEastAsia"/>
          <w:noProof/>
        </w:rPr>
        <w:tab/>
      </w:r>
      <w:r>
        <w:rPr>
          <w:noProof/>
        </w:rPr>
        <w:t>Select health system performance indicators</w:t>
      </w:r>
      <w:r>
        <w:rPr>
          <w:noProof/>
          <w:webHidden/>
        </w:rPr>
        <w:tab/>
      </w:r>
      <w:r>
        <w:rPr>
          <w:noProof/>
          <w:webHidden/>
        </w:rPr>
        <w:fldChar w:fldCharType="begin"/>
      </w:r>
      <w:r>
        <w:rPr>
          <w:noProof/>
          <w:webHidden/>
        </w:rPr>
        <w:instrText xml:space="preserve"> PAGEREF \h _Toc473809312 \* MERGEFORMAT </w:instrText>
      </w:r>
      <w:r>
        <w:rPr>
          <w:noProof/>
          <w:webHidden/>
        </w:rPr>
      </w:r>
      <w:r>
        <w:rPr>
          <w:noProof/>
          <w:webHidden/>
        </w:rPr>
        <w:fldChar w:fldCharType="separate"/>
      </w:r>
      <w:r>
        <w:rPr>
          <w:noProof/>
          <w:webHidden/>
        </w:rPr>
        <w:t>26</w:t>
      </w:r>
      <w:r>
        <w:rPr>
          <w:noProof/>
          <w:webHidden/>
        </w:rPr>
        <w:fldChar w:fldCharType="end"/>
      </w:r>
    </w:p>
    <w:p w:rsidR="003240A1" w:rsidRDefault="00EE321D">
      <w:pPr>
        <w:pStyle w:val="TOC5"/>
        <w:divId w:val="2003657586"/>
        <w:rPr>
          <w:rFonts w:eastAsiaTheme="minorEastAsia"/>
          <w:noProof/>
        </w:rPr>
      </w:pPr>
      <w:r>
        <w:rPr>
          <w:noProof/>
        </w:rPr>
        <w:t>3.4.1.</w:t>
      </w:r>
      <w:r>
        <w:rPr>
          <w:rFonts w:eastAsiaTheme="minorEastAsia"/>
          <w:noProof/>
        </w:rPr>
        <w:tab/>
      </w:r>
      <w:r>
        <w:rPr>
          <w:noProof/>
        </w:rPr>
        <w:t>Wage growth in compa</w:t>
      </w:r>
      <w:r>
        <w:rPr>
          <w:noProof/>
        </w:rPr>
        <w:t>rison to benchmarks</w:t>
      </w:r>
      <w:r>
        <w:rPr>
          <w:noProof/>
          <w:webHidden/>
        </w:rPr>
        <w:tab/>
      </w:r>
      <w:r>
        <w:rPr>
          <w:noProof/>
          <w:webHidden/>
        </w:rPr>
        <w:fldChar w:fldCharType="begin"/>
      </w:r>
      <w:r>
        <w:rPr>
          <w:noProof/>
          <w:webHidden/>
        </w:rPr>
        <w:instrText xml:space="preserve"> PAGEREF \h _Toc473809313 \* MERGEFORMAT </w:instrText>
      </w:r>
      <w:r>
        <w:rPr>
          <w:noProof/>
          <w:webHidden/>
        </w:rPr>
      </w:r>
      <w:r>
        <w:rPr>
          <w:noProof/>
          <w:webHidden/>
        </w:rPr>
        <w:fldChar w:fldCharType="separate"/>
      </w:r>
      <w:r>
        <w:rPr>
          <w:noProof/>
          <w:webHidden/>
        </w:rPr>
        <w:t>28</w:t>
      </w:r>
      <w:r>
        <w:rPr>
          <w:noProof/>
          <w:webHidden/>
        </w:rPr>
        <w:fldChar w:fldCharType="end"/>
      </w:r>
    </w:p>
    <w:p w:rsidR="003240A1" w:rsidRDefault="00EE321D">
      <w:pPr>
        <w:pStyle w:val="TOC5"/>
        <w:divId w:val="2003657586"/>
        <w:rPr>
          <w:rFonts w:eastAsiaTheme="minorEastAsia"/>
          <w:noProof/>
        </w:rPr>
      </w:pPr>
      <w:r>
        <w:rPr>
          <w:noProof/>
        </w:rPr>
        <w:t>3.4.2.</w:t>
      </w:r>
      <w:r>
        <w:rPr>
          <w:rFonts w:eastAsiaTheme="minorEastAsia"/>
          <w:noProof/>
        </w:rPr>
        <w:tab/>
      </w:r>
      <w:r>
        <w:rPr>
          <w:noProof/>
        </w:rPr>
        <w:t>Lithuania's convergence of productivity</w:t>
      </w:r>
      <w:r>
        <w:rPr>
          <w:noProof/>
          <w:webHidden/>
        </w:rPr>
        <w:tab/>
      </w:r>
      <w:r>
        <w:rPr>
          <w:noProof/>
          <w:webHidden/>
        </w:rPr>
        <w:fldChar w:fldCharType="begin"/>
      </w:r>
      <w:r>
        <w:rPr>
          <w:noProof/>
          <w:webHidden/>
        </w:rPr>
        <w:instrText xml:space="preserve"> PAGEREF \h _Toc473809314 \* MERGEFORMAT </w:instrText>
      </w:r>
      <w:r>
        <w:rPr>
          <w:noProof/>
          <w:webHidden/>
        </w:rPr>
      </w:r>
      <w:r>
        <w:rPr>
          <w:noProof/>
          <w:webHidden/>
        </w:rPr>
        <w:fldChar w:fldCharType="separate"/>
      </w:r>
      <w:r>
        <w:rPr>
          <w:noProof/>
          <w:webHidden/>
        </w:rPr>
        <w:t>29</w:t>
      </w:r>
      <w:r>
        <w:rPr>
          <w:noProof/>
          <w:webHidden/>
        </w:rPr>
        <w:fldChar w:fldCharType="end"/>
      </w:r>
    </w:p>
    <w:p w:rsidR="003240A1" w:rsidRDefault="00EE321D">
      <w:pPr>
        <w:pStyle w:val="TOC5"/>
        <w:divId w:val="2003657586"/>
        <w:rPr>
          <w:rFonts w:eastAsiaTheme="minorEastAsia"/>
          <w:noProof/>
        </w:rPr>
      </w:pPr>
      <w:r>
        <w:rPr>
          <w:noProof/>
        </w:rPr>
        <w:t>3.5.1.</w:t>
      </w:r>
      <w:r>
        <w:rPr>
          <w:rFonts w:eastAsiaTheme="minorEastAsia"/>
          <w:noProof/>
        </w:rPr>
        <w:tab/>
      </w:r>
      <w:r>
        <w:rPr>
          <w:noProof/>
        </w:rPr>
        <w:t>Highly-cited publications and public R&amp;D intensity</w:t>
      </w:r>
      <w:r>
        <w:rPr>
          <w:noProof/>
          <w:webHidden/>
        </w:rPr>
        <w:tab/>
      </w:r>
      <w:r>
        <w:rPr>
          <w:noProof/>
          <w:webHidden/>
        </w:rPr>
        <w:fldChar w:fldCharType="begin"/>
      </w:r>
      <w:r>
        <w:rPr>
          <w:noProof/>
          <w:webHidden/>
        </w:rPr>
        <w:instrText xml:space="preserve"> PAGEREF \h _Toc473809315 \* MERGEFORMAT </w:instrText>
      </w:r>
      <w:r>
        <w:rPr>
          <w:noProof/>
          <w:webHidden/>
        </w:rPr>
      </w:r>
      <w:r>
        <w:rPr>
          <w:noProof/>
          <w:webHidden/>
        </w:rPr>
        <w:fldChar w:fldCharType="separate"/>
      </w:r>
      <w:r>
        <w:rPr>
          <w:noProof/>
          <w:webHidden/>
        </w:rPr>
        <w:t>33</w:t>
      </w:r>
      <w:r>
        <w:rPr>
          <w:noProof/>
          <w:webHidden/>
        </w:rPr>
        <w:fldChar w:fldCharType="end"/>
      </w:r>
    </w:p>
    <w:p w:rsidR="003240A1" w:rsidRDefault="00EE321D">
      <w:pPr>
        <w:pStyle w:val="TOC5"/>
        <w:divId w:val="2003657586"/>
        <w:rPr>
          <w:rFonts w:eastAsiaTheme="minorEastAsia"/>
          <w:noProof/>
        </w:rPr>
      </w:pPr>
      <w:r>
        <w:rPr>
          <w:noProof/>
        </w:rPr>
        <w:t>3.5.2.</w:t>
      </w:r>
      <w:r>
        <w:rPr>
          <w:rFonts w:eastAsiaTheme="minorEastAsia"/>
          <w:noProof/>
        </w:rPr>
        <w:tab/>
      </w:r>
      <w:r>
        <w:rPr>
          <w:noProof/>
        </w:rPr>
        <w:t>Waste treatment by type of disposal</w:t>
      </w:r>
      <w:r>
        <w:rPr>
          <w:noProof/>
          <w:webHidden/>
        </w:rPr>
        <w:tab/>
      </w:r>
      <w:r>
        <w:rPr>
          <w:noProof/>
          <w:webHidden/>
        </w:rPr>
        <w:fldChar w:fldCharType="begin"/>
      </w:r>
      <w:r>
        <w:rPr>
          <w:noProof/>
          <w:webHidden/>
        </w:rPr>
        <w:instrText xml:space="preserve"> PAGEREF \</w:instrText>
      </w:r>
      <w:r>
        <w:rPr>
          <w:noProof/>
          <w:webHidden/>
        </w:rPr>
        <w:instrText xml:space="preserve">h _Toc473809316 \* MERGEFORMAT </w:instrText>
      </w:r>
      <w:r>
        <w:rPr>
          <w:noProof/>
          <w:webHidden/>
        </w:rPr>
      </w:r>
      <w:r>
        <w:rPr>
          <w:noProof/>
          <w:webHidden/>
        </w:rPr>
        <w:fldChar w:fldCharType="separate"/>
      </w:r>
      <w:r>
        <w:rPr>
          <w:noProof/>
          <w:webHidden/>
        </w:rPr>
        <w:t>36</w:t>
      </w:r>
      <w:r>
        <w:rPr>
          <w:noProof/>
          <w:webHidden/>
        </w:rPr>
        <w:fldChar w:fldCharType="end"/>
      </w:r>
    </w:p>
    <w:p w:rsidR="003240A1" w:rsidRDefault="003240A1">
      <w:pPr>
        <w:divId w:val="2003657586"/>
        <w:rPr>
          <w:noProof/>
        </w:rPr>
      </w:pPr>
    </w:p>
    <w:p w:rsidR="003240A1" w:rsidRDefault="00EE321D">
      <w:pPr>
        <w:pStyle w:val="HEADINGTOC"/>
        <w:divId w:val="2003657586"/>
        <w:rPr>
          <w:noProof/>
        </w:rPr>
      </w:pPr>
      <w:r>
        <w:rPr>
          <w:noProof/>
        </w:rPr>
        <w:t>LIST OF Boxes</w:t>
      </w:r>
    </w:p>
    <w:p w:rsidR="003240A1" w:rsidRDefault="00EE321D">
      <w:pPr>
        <w:pStyle w:val="TOC5"/>
        <w:divId w:val="2003657586"/>
        <w:rPr>
          <w:rFonts w:eastAsiaTheme="minorEastAsia"/>
          <w:noProof/>
        </w:rPr>
      </w:pPr>
      <w:r>
        <w:rPr>
          <w:noProof/>
        </w:rPr>
        <w:t>2.1.</w:t>
      </w:r>
      <w:r>
        <w:rPr>
          <w:rFonts w:eastAsiaTheme="minorEastAsia"/>
          <w:noProof/>
        </w:rPr>
        <w:tab/>
      </w:r>
      <w:r>
        <w:rPr>
          <w:noProof/>
        </w:rPr>
        <w:t>Contribution of the EU budget to structural change in Lithuania</w:t>
      </w:r>
      <w:r>
        <w:rPr>
          <w:noProof/>
          <w:webHidden/>
        </w:rPr>
        <w:tab/>
      </w:r>
      <w:r>
        <w:rPr>
          <w:noProof/>
          <w:webHidden/>
        </w:rPr>
        <w:fldChar w:fldCharType="begin"/>
      </w:r>
      <w:r>
        <w:rPr>
          <w:noProof/>
          <w:webHidden/>
        </w:rPr>
        <w:instrText xml:space="preserve"> PAGEREF \h _Toc473809317 \* MERGEFORMAT </w:instrText>
      </w:r>
      <w:r>
        <w:rPr>
          <w:noProof/>
          <w:webHidden/>
        </w:rPr>
      </w:r>
      <w:r>
        <w:rPr>
          <w:noProof/>
          <w:webHidden/>
        </w:rPr>
        <w:fldChar w:fldCharType="separate"/>
      </w:r>
      <w:r>
        <w:rPr>
          <w:noProof/>
          <w:webHidden/>
        </w:rPr>
        <w:t>1</w:t>
      </w:r>
      <w:r>
        <w:rPr>
          <w:noProof/>
          <w:webHidden/>
        </w:rPr>
        <w:fldChar w:fldCharType="end"/>
      </w:r>
      <w:r>
        <w:rPr>
          <w:noProof/>
          <w:webHidden/>
        </w:rPr>
        <w:t>2</w:t>
      </w:r>
    </w:p>
    <w:p w:rsidR="003240A1" w:rsidRDefault="00EE321D">
      <w:pPr>
        <w:pStyle w:val="TOC5"/>
        <w:divId w:val="2003657586"/>
        <w:rPr>
          <w:rFonts w:eastAsiaTheme="minorEastAsia"/>
          <w:noProof/>
        </w:rPr>
      </w:pPr>
      <w:r>
        <w:rPr>
          <w:noProof/>
        </w:rPr>
        <w:t>3.3.1.</w:t>
      </w:r>
      <w:r>
        <w:rPr>
          <w:rFonts w:eastAsiaTheme="minorEastAsia"/>
          <w:noProof/>
        </w:rPr>
        <w:tab/>
      </w:r>
      <w:r>
        <w:rPr>
          <w:noProof/>
        </w:rPr>
        <w:t>The new labour code</w:t>
      </w:r>
      <w:r>
        <w:rPr>
          <w:noProof/>
          <w:webHidden/>
        </w:rPr>
        <w:tab/>
      </w:r>
      <w:r>
        <w:rPr>
          <w:noProof/>
          <w:webHidden/>
        </w:rPr>
        <w:fldChar w:fldCharType="begin"/>
      </w:r>
      <w:r>
        <w:rPr>
          <w:noProof/>
          <w:webHidden/>
        </w:rPr>
        <w:instrText xml:space="preserve"> PAGEREF \h _Toc473809318 \* MERGEFORMAT </w:instrText>
      </w:r>
      <w:r>
        <w:rPr>
          <w:noProof/>
          <w:webHidden/>
        </w:rPr>
      </w:r>
      <w:r>
        <w:rPr>
          <w:noProof/>
          <w:webHidden/>
        </w:rPr>
        <w:fldChar w:fldCharType="separate"/>
      </w:r>
      <w:r>
        <w:rPr>
          <w:noProof/>
          <w:webHidden/>
        </w:rPr>
        <w:t>20</w:t>
      </w:r>
      <w:r>
        <w:rPr>
          <w:noProof/>
          <w:webHidden/>
        </w:rPr>
        <w:fldChar w:fldCharType="end"/>
      </w:r>
    </w:p>
    <w:p w:rsidR="003240A1" w:rsidRDefault="00EE321D">
      <w:pPr>
        <w:pStyle w:val="TOC5"/>
        <w:divId w:val="2003657586"/>
        <w:rPr>
          <w:rFonts w:eastAsiaTheme="minorEastAsia"/>
          <w:noProof/>
        </w:rPr>
      </w:pPr>
      <w:r>
        <w:rPr>
          <w:noProof/>
        </w:rPr>
        <w:t>3.4.1.</w:t>
      </w:r>
      <w:r>
        <w:rPr>
          <w:rFonts w:eastAsiaTheme="minorEastAsia"/>
          <w:noProof/>
        </w:rPr>
        <w:tab/>
      </w:r>
      <w:r>
        <w:rPr>
          <w:noProof/>
        </w:rPr>
        <w:t>Investment challenges and reforms in Lithuan</w:t>
      </w:r>
      <w:r>
        <w:rPr>
          <w:noProof/>
        </w:rPr>
        <w:t>ia</w:t>
      </w:r>
      <w:r>
        <w:rPr>
          <w:noProof/>
          <w:webHidden/>
        </w:rPr>
        <w:tab/>
      </w:r>
      <w:r>
        <w:rPr>
          <w:noProof/>
          <w:webHidden/>
        </w:rPr>
        <w:fldChar w:fldCharType="begin"/>
      </w:r>
      <w:r>
        <w:rPr>
          <w:noProof/>
          <w:webHidden/>
        </w:rPr>
        <w:instrText xml:space="preserve"> PAGEREF \h _Toc473809319 \* MERGEFORMAT </w:instrText>
      </w:r>
      <w:r>
        <w:rPr>
          <w:noProof/>
          <w:webHidden/>
        </w:rPr>
      </w:r>
      <w:r>
        <w:rPr>
          <w:noProof/>
          <w:webHidden/>
        </w:rPr>
        <w:fldChar w:fldCharType="separate"/>
      </w:r>
      <w:r>
        <w:rPr>
          <w:noProof/>
          <w:webHidden/>
        </w:rPr>
        <w:t>31</w:t>
      </w:r>
      <w:r>
        <w:rPr>
          <w:noProof/>
          <w:webHidden/>
        </w:rPr>
        <w:fldChar w:fldCharType="end"/>
      </w:r>
    </w:p>
    <w:p w:rsidR="003240A1" w:rsidRDefault="003240A1">
      <w:pPr>
        <w:divId w:val="2003657586"/>
        <w:rPr>
          <w:noProof/>
        </w:rPr>
      </w:pPr>
    </w:p>
    <w:p w:rsidR="003240A1" w:rsidRDefault="003240A1">
      <w:pPr>
        <w:divId w:val="2003657586"/>
        <w:rPr>
          <w:noProof/>
        </w:rPr>
        <w:sectPr w:rsidR="003240A1">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3240A1" w:rsidRDefault="00EE321D">
      <w:pPr>
        <w:pStyle w:val="SectionTitleFramed1"/>
        <w:framePr w:wrap="notBeside"/>
        <w:rPr>
          <w:noProof/>
        </w:rPr>
      </w:pPr>
      <w:bookmarkStart w:id="2" w:name="_Toc473809268"/>
      <w:bookmarkEnd w:id="2"/>
      <w:r>
        <w:rPr>
          <w:noProof/>
        </w:rPr>
        <w:t>Executive summary</w:t>
      </w:r>
    </w:p>
    <w:p w:rsidR="003240A1" w:rsidRDefault="00EE321D">
      <w:pPr>
        <w:rPr>
          <w:noProof/>
        </w:rPr>
      </w:pPr>
      <w:r>
        <w:rPr>
          <w:noProof/>
        </w:rPr>
        <w:t>This report assesses Lithuania’s economy in light of the European Commission’s Annual Growth Survey published on 16 November 2016. In the survey, the Commission calls on EU Member States to redouble their efforts on the three elements of the virtuous trian</w:t>
      </w:r>
      <w:r>
        <w:rPr>
          <w:noProof/>
        </w:rPr>
        <w:t xml:space="preserve">gle of economic policy – boosting investment, pursuing structural reforms and ensuring responsible fiscal policies. In so doing, Member States should put the focus on enhancing social fairness in order to deliver more inclusive growth. </w:t>
      </w:r>
    </w:p>
    <w:p w:rsidR="003240A1" w:rsidRDefault="00EE321D">
      <w:pPr>
        <w:rPr>
          <w:noProof/>
        </w:rPr>
      </w:pPr>
      <w:r>
        <w:rPr>
          <w:b/>
          <w:noProof/>
        </w:rPr>
        <w:t>Following several y</w:t>
      </w:r>
      <w:r>
        <w:rPr>
          <w:b/>
          <w:noProof/>
        </w:rPr>
        <w:t>ears of strong growth, Lithuania's economy continued to grow in 2015 and 2016, albeit at a slower pace.</w:t>
      </w:r>
      <w:r>
        <w:rPr>
          <w:noProof/>
        </w:rPr>
        <w:t xml:space="preserve"> Having grown consistently above 3% in the years following the 2009 economic crisis, Lithuania's GDP growth has been just below 2% for the past two years</w:t>
      </w:r>
      <w:r>
        <w:rPr>
          <w:noProof/>
        </w:rPr>
        <w:t>. While private consumption growth has been strong throughout, in 2015 exports suffered from the embargo and economic deterioration of Russia.  Furthermore, a temporary contraction in investment weighed considerably on GDP, which grew 2.2% in 2016. However</w:t>
      </w:r>
      <w:r>
        <w:rPr>
          <w:noProof/>
        </w:rPr>
        <w:t xml:space="preserve">, growth is expected to pick up in 2017 to 2.9%, as exports and investments recover, more than offsetting slowing private consumption growth due to higher inflation. </w:t>
      </w:r>
    </w:p>
    <w:p w:rsidR="003240A1" w:rsidRDefault="00EE321D">
      <w:pPr>
        <w:rPr>
          <w:noProof/>
        </w:rPr>
      </w:pPr>
      <w:r>
        <w:rPr>
          <w:b/>
          <w:noProof/>
        </w:rPr>
        <w:t xml:space="preserve">Strong employment growth and a declining working age population brought the unemployment </w:t>
      </w:r>
      <w:r>
        <w:rPr>
          <w:b/>
          <w:noProof/>
        </w:rPr>
        <w:t>rate down in 2016.</w:t>
      </w:r>
      <w:r>
        <w:rPr>
          <w:noProof/>
        </w:rPr>
        <w:t xml:space="preserve"> At the same time, labour supply increased as more elderly workers stayed in the labour market after retirement age. Yet, this did little to relieve the pressure on wages, which continued to grow strongly in 2016, and the labour market is</w:t>
      </w:r>
      <w:r>
        <w:rPr>
          <w:noProof/>
        </w:rPr>
        <w:t xml:space="preserve"> tightening. With wage growth set to remain strong over the coming years, competitiveness might dampen in the future unless balanced by matching productivity growth. The shortage of high-skilled workers is likely to generate some additional wage pressures,</w:t>
      </w:r>
      <w:r>
        <w:rPr>
          <w:noProof/>
        </w:rPr>
        <w:t xml:space="preserve"> albeit to a limited extent because of the relatively small sectors recruiting such workers. On the other hand, unemployment is high among the disabled and the low-skilled living outside the capital. In 2016, Lithuania introduced major revisions to its lab</w:t>
      </w:r>
      <w:r>
        <w:rPr>
          <w:noProof/>
        </w:rPr>
        <w:t>our law, which should enter into force in mid-2017. These are likely to make labour relations more flexible by significantly reducing dismissal costs and expanding the use of fixed term contracts. However, doubts remain as to whether the new social model p</w:t>
      </w:r>
      <w:r>
        <w:rPr>
          <w:noProof/>
        </w:rPr>
        <w:t xml:space="preserve">rovides for sufficient social security.  </w:t>
      </w:r>
    </w:p>
    <w:p w:rsidR="003240A1" w:rsidRDefault="00EE321D">
      <w:pPr>
        <w:rPr>
          <w:noProof/>
        </w:rPr>
      </w:pPr>
      <w:r>
        <w:rPr>
          <w:b/>
          <w:noProof/>
        </w:rPr>
        <w:t xml:space="preserve">Demographic challenges weigh on potential growth. </w:t>
      </w:r>
      <w:r>
        <w:rPr>
          <w:noProof/>
        </w:rPr>
        <w:t>Lithuania's population has been declining since the early 1990s at an accelerating pace. For the past 10 years, it declined on average by 1.3% annually and the rate</w:t>
      </w:r>
      <w:r>
        <w:rPr>
          <w:noProof/>
        </w:rPr>
        <w:t xml:space="preserve"> of decline is projected to accelerate even further in the years to come. The main drivers of the country's population decline are high net emigration and negative natural growth, which is exacerbated by the population's poor health. The population decline</w:t>
      </w:r>
      <w:r>
        <w:rPr>
          <w:noProof/>
        </w:rPr>
        <w:t xml:space="preserve"> is negatively affecting potential output by limiting labour supply. Up to 2014, the impact on potential output has been somewhat mitigated as the share of the prime working-age population actually increased.     </w:t>
      </w:r>
    </w:p>
    <w:p w:rsidR="003240A1" w:rsidRDefault="00EE321D">
      <w:pPr>
        <w:rPr>
          <w:noProof/>
        </w:rPr>
      </w:pPr>
      <w:r>
        <w:rPr>
          <w:b/>
          <w:noProof/>
        </w:rPr>
        <w:t>Whereas Lithuania benefitted from high pro</w:t>
      </w:r>
      <w:r>
        <w:rPr>
          <w:b/>
          <w:noProof/>
        </w:rPr>
        <w:t xml:space="preserve">ductivity growth up to 2009, these growth rates have dropped since then. </w:t>
      </w:r>
      <w:r>
        <w:rPr>
          <w:noProof/>
        </w:rPr>
        <w:t xml:space="preserve">This can partly be linked to the significant fall in private investment, which has not managed to recover from the crisis and remains well below historical levels. On the other hand, </w:t>
      </w:r>
      <w:r>
        <w:rPr>
          <w:noProof/>
        </w:rPr>
        <w:t>the declining growth rates of productivity can also be attributed to a natural slowing down of the catching up process as the country's productivity level approaches the EU average. In view of the unfavourable demographics, total factor productivity growth</w:t>
      </w:r>
      <w:r>
        <w:rPr>
          <w:noProof/>
        </w:rPr>
        <w:t xml:space="preserve"> and capital growth rates are essential drivers of growth, which is required to improve the standard of living in Lithuania and help stem high emigration. </w:t>
      </w:r>
    </w:p>
    <w:p w:rsidR="003240A1" w:rsidRDefault="00EE321D">
      <w:pPr>
        <w:rPr>
          <w:noProof/>
        </w:rPr>
      </w:pPr>
      <w:r>
        <w:rPr>
          <w:b/>
          <w:noProof/>
        </w:rPr>
        <w:t xml:space="preserve">Inequality is high and increasing. </w:t>
      </w:r>
      <w:r>
        <w:rPr>
          <w:noProof/>
        </w:rPr>
        <w:t>Inequality of incomes in Lithuania is one of the highest in the E</w:t>
      </w:r>
      <w:r>
        <w:rPr>
          <w:noProof/>
        </w:rPr>
        <w:t>U, and has been increasing since 2012. It results from high employment gaps between low-skilled and high-skilled workers, strong wage dispersion, the limited progressivity of the tax system and weak social safety nets. The tax benefit system in Lithuania i</w:t>
      </w:r>
      <w:r>
        <w:rPr>
          <w:noProof/>
        </w:rPr>
        <w:t>s less effective at reducing inequality than in other EU countries. Furthermore, high income inequality is considered to be detrimental to economic growth and macro-economic stability. In Lithuania, it could also be contributing to high emigration. Also, t</w:t>
      </w:r>
      <w:r>
        <w:rPr>
          <w:noProof/>
        </w:rPr>
        <w:t>he poverty rate remains high, especially among the disabled, pensioners, in particular older women, and the unemployed, primarily due to weak protection provided by the social welfare system.</w:t>
      </w:r>
    </w:p>
    <w:p w:rsidR="003240A1" w:rsidRDefault="003240A1">
      <w:pPr>
        <w:rPr>
          <w:b/>
          <w:noProof/>
        </w:rPr>
      </w:pPr>
    </w:p>
    <w:p w:rsidR="003240A1" w:rsidRDefault="00EE321D">
      <w:pPr>
        <w:rPr>
          <w:noProof/>
        </w:rPr>
      </w:pPr>
      <w:r>
        <w:rPr>
          <w:b/>
          <w:noProof/>
        </w:rPr>
        <w:t>Lithuania's public finances are solid, but its structural defic</w:t>
      </w:r>
      <w:r>
        <w:rPr>
          <w:b/>
          <w:noProof/>
        </w:rPr>
        <w:t xml:space="preserve">it is set to increase in 2017 as a result of structural reforms.  </w:t>
      </w:r>
      <w:r>
        <w:rPr>
          <w:noProof/>
        </w:rPr>
        <w:t>Lithuania gradually reduced its structural budget deficit from 3.5% in 2011 to 0.7% in 2015. The deficit increased somewhat in 2016 and is forecast to increase further to 1.4% of GDP, due al</w:t>
      </w:r>
      <w:r>
        <w:rPr>
          <w:noProof/>
        </w:rPr>
        <w:t>so to the costs of structural reforms. In the medium term, fiscal challenges are set to become more difficult as the declining population and increasing dependency ratios will drive an increase in expenditure on pensions and long-term care. Public debt cur</w:t>
      </w:r>
      <w:r>
        <w:rPr>
          <w:noProof/>
        </w:rPr>
        <w:t>rently stands at 40% of GDP.</w:t>
      </w:r>
    </w:p>
    <w:p w:rsidR="003240A1" w:rsidRDefault="00EE321D">
      <w:pPr>
        <w:rPr>
          <w:noProof/>
        </w:rPr>
      </w:pPr>
      <w:r>
        <w:rPr>
          <w:b/>
          <w:noProof/>
        </w:rPr>
        <w:t>Overall, Lithuania has made some progress (</w:t>
      </w:r>
      <w:r>
        <w:rPr>
          <w:noProof/>
          <w:vertAlign w:val="superscript"/>
        </w:rPr>
        <w:footnoteReference w:id="1"/>
      </w:r>
      <w:r>
        <w:rPr>
          <w:b/>
          <w:noProof/>
        </w:rPr>
        <w:t xml:space="preserve">) in addressing the 2016 country-specific recommendations. </w:t>
      </w:r>
      <w:r>
        <w:rPr>
          <w:noProof/>
        </w:rPr>
        <w:t>Lithuania has made some progress in addressing CSR 1(</w:t>
      </w:r>
      <w:r>
        <w:rPr>
          <w:noProof/>
          <w:vertAlign w:val="superscript"/>
        </w:rPr>
        <w:footnoteReference w:id="2"/>
      </w:r>
      <w:r>
        <w:rPr>
          <w:noProof/>
        </w:rPr>
        <w:t>) as it has taken measures to reduce the tax burden on low income earn</w:t>
      </w:r>
      <w:r>
        <w:rPr>
          <w:noProof/>
        </w:rPr>
        <w:t>ers and to improve tax compliance. However, the measures to compensate for revenue loss due to lowering the tax burden on labour (tax shifting) were limited. Some progress has been achieved in addressing CSR 2 as Lithuania has taken incremental steps in al</w:t>
      </w:r>
      <w:r>
        <w:rPr>
          <w:noProof/>
        </w:rPr>
        <w:t>l areas covered except for an increase in investment in human capital, where only limited progress has been achieved. Finally, limited progress has been achieved in addressing CSR 3 – while Lithuania has made some progress in promoting alternative means of</w:t>
      </w:r>
      <w:r>
        <w:rPr>
          <w:noProof/>
        </w:rPr>
        <w:t xml:space="preserve"> financing, limited action has been taken to improve the coordination of innovation policies and no additional measures besides the EU fund programmes have been taken to strengthen productivity growth.</w:t>
      </w:r>
    </w:p>
    <w:p w:rsidR="003240A1" w:rsidRDefault="00EE321D">
      <w:pPr>
        <w:rPr>
          <w:noProof/>
        </w:rPr>
      </w:pPr>
      <w:r>
        <w:rPr>
          <w:noProof/>
        </w:rPr>
        <w:t>Regarding progress in reaching the national targets under the Europe 2020 strategy, Lithuania has already achieved some of its objectives, but concerns remain. It has reached its overall renewable energy target as well as the targets regarding the employme</w:t>
      </w:r>
      <w:r>
        <w:rPr>
          <w:noProof/>
        </w:rPr>
        <w:t>nt rate of the working age population, reducing greenhouse gas emissions, bringing down the share of early school leavers and increasing the share of the population having attained tertiary education. It is on track to meet its energy efficiency target. Ho</w:t>
      </w:r>
      <w:r>
        <w:rPr>
          <w:noProof/>
        </w:rPr>
        <w:t xml:space="preserve">wever, more effort is needed to reduce the number of people at risk of poverty or social exclusion and to increase private expenditure on research and development. </w:t>
      </w:r>
    </w:p>
    <w:p w:rsidR="003240A1" w:rsidRDefault="00EE321D">
      <w:pPr>
        <w:rPr>
          <w:noProof/>
        </w:rPr>
      </w:pPr>
      <w:r>
        <w:rPr>
          <w:noProof/>
        </w:rPr>
        <w:t>The main findings of the analysis in this report, and the related policy challenges, are as</w:t>
      </w:r>
      <w:r>
        <w:rPr>
          <w:noProof/>
        </w:rPr>
        <w:t xml:space="preserve"> follows:</w:t>
      </w:r>
    </w:p>
    <w:p w:rsidR="003240A1" w:rsidRDefault="00EE321D">
      <w:pPr>
        <w:pStyle w:val="ListBullet"/>
        <w:rPr>
          <w:noProof/>
        </w:rPr>
      </w:pPr>
      <w:r>
        <w:rPr>
          <w:b/>
          <w:noProof/>
        </w:rPr>
        <w:t>Lithuania has adopted several measures aimed at improving its low tax compliance</w:t>
      </w:r>
      <w:r>
        <w:rPr>
          <w:noProof/>
        </w:rPr>
        <w:t>. However, tax collection, in particular that of value-added tax and labour taxes, could still be raised.</w:t>
      </w:r>
    </w:p>
    <w:p w:rsidR="003240A1" w:rsidRDefault="00EE321D">
      <w:pPr>
        <w:pStyle w:val="ListBullet"/>
        <w:rPr>
          <w:noProof/>
        </w:rPr>
      </w:pPr>
      <w:r>
        <w:rPr>
          <w:b/>
          <w:noProof/>
        </w:rPr>
        <w:t>The declining population and ageing pose a challenge to Lith</w:t>
      </w:r>
      <w:r>
        <w:rPr>
          <w:b/>
          <w:noProof/>
        </w:rPr>
        <w:t xml:space="preserve">uania's growth prospects and fiscal balance. </w:t>
      </w:r>
      <w:r>
        <w:rPr>
          <w:noProof/>
        </w:rPr>
        <w:t>A decreasing supply of labour and growing per capita infrastructure costs will burden Lithuania's growth potential in the coming decades. Moreover, the rising dependency ratio, which is set to double in the next</w:t>
      </w:r>
      <w:r>
        <w:rPr>
          <w:noProof/>
        </w:rPr>
        <w:t xml:space="preserve"> twenty years, will make it more difficult to fund pensions, health care and education and will aggravate the fiscal challenges in the medium term. </w:t>
      </w:r>
    </w:p>
    <w:p w:rsidR="003240A1" w:rsidRDefault="00EE321D">
      <w:pPr>
        <w:pStyle w:val="ListBullet"/>
        <w:rPr>
          <w:noProof/>
        </w:rPr>
      </w:pPr>
      <w:r>
        <w:rPr>
          <w:b/>
          <w:noProof/>
        </w:rPr>
        <w:t>While Lithuania's GDP growth has recovered strongly from the crisis, investment and productivity growth rat</w:t>
      </w:r>
      <w:r>
        <w:rPr>
          <w:b/>
          <w:noProof/>
        </w:rPr>
        <w:t>es are not back to their pre-crisis levels</w:t>
      </w:r>
      <w:r>
        <w:rPr>
          <w:noProof/>
        </w:rPr>
        <w:t>. Poor research and innovation outcomes, the mediocre quality of education and ineffective adult learning programmes weigh more heavily on Lithuania's productivity performance as the country becomes richer. They ar</w:t>
      </w:r>
      <w:r>
        <w:rPr>
          <w:noProof/>
        </w:rPr>
        <w:t>e also an obstacle to future growth as productivity gains are expected to come increasingly from knowledge-based activities. Improving public investment planning, increasing transparency and competition in public procurement, better coordination and implem</w:t>
      </w:r>
      <w:r>
        <w:rPr>
          <w:noProof/>
        </w:rPr>
        <w:t>entation of research and innovation policies, and raising the quality of education provide opportunities to spur productivity growth.</w:t>
      </w:r>
    </w:p>
    <w:p w:rsidR="003240A1" w:rsidRDefault="00EE321D">
      <w:pPr>
        <w:pStyle w:val="ListBullet"/>
        <w:rPr>
          <w:noProof/>
        </w:rPr>
      </w:pPr>
      <w:r>
        <w:rPr>
          <w:b/>
          <w:noProof/>
        </w:rPr>
        <w:t xml:space="preserve">Skills shortages are high and risk becoming an important bottleneck to Lithuania's growth. </w:t>
      </w:r>
      <w:r>
        <w:rPr>
          <w:noProof/>
        </w:rPr>
        <w:t>The gap between the high-skille</w:t>
      </w:r>
      <w:r>
        <w:rPr>
          <w:noProof/>
        </w:rPr>
        <w:t>d and the low-skilled in terms of pay and employment opportunities is high and increasing in Lithuania, pointing to a widening skills shortage. Moreover, low coverage of active labour market policies means too few of the low-skilled get the training they n</w:t>
      </w:r>
      <w:r>
        <w:rPr>
          <w:noProof/>
        </w:rPr>
        <w:t>eed. As Lithuania's growth will increasingly depend on knowledge-based activities, ensuring the supply of skilled labour will be crucial to improve its living standard.</w:t>
      </w:r>
    </w:p>
    <w:p w:rsidR="003240A1" w:rsidRDefault="00EE321D">
      <w:pPr>
        <w:pStyle w:val="ListBullet"/>
        <w:rPr>
          <w:noProof/>
        </w:rPr>
      </w:pPr>
      <w:r>
        <w:rPr>
          <w:b/>
          <w:noProof/>
        </w:rPr>
        <w:t>Lithuania's education system outcomes are worsening and the system is inefficient.</w:t>
      </w:r>
      <w:r>
        <w:rPr>
          <w:noProof/>
        </w:rPr>
        <w:t xml:space="preserve"> Lith</w:t>
      </w:r>
      <w:r>
        <w:rPr>
          <w:noProof/>
        </w:rPr>
        <w:t>uania’s scores in the Programme for International Student Assessment are lower than those of the other Baltic countries and the proportion of low achievers has increased significantly in recent years. Despite high tertiary education attainment rates, the r</w:t>
      </w:r>
      <w:r>
        <w:rPr>
          <w:noProof/>
        </w:rPr>
        <w:t xml:space="preserve">eported lack of high-skilled workers is increasing. Lithuania's education system has struggled to adapt to rapidly decreasing numbers of pupils and students and hence its education system is overstaffed and burdened with maintaining infrastructure that is </w:t>
      </w:r>
      <w:r>
        <w:rPr>
          <w:noProof/>
        </w:rPr>
        <w:t>too large for its needs. Furthermore, low salaries and limited opportunities for professional development hinder schools to attract talented graduates to replace retiring teachers. Higher education is marred by poor quality standards and financial incentiv</w:t>
      </w:r>
      <w:r>
        <w:rPr>
          <w:noProof/>
        </w:rPr>
        <w:t>es that promote oversize and inefficiency.</w:t>
      </w:r>
    </w:p>
    <w:p w:rsidR="003240A1" w:rsidRDefault="00EE321D">
      <w:pPr>
        <w:pStyle w:val="ListBullet"/>
        <w:rPr>
          <w:noProof/>
        </w:rPr>
      </w:pPr>
      <w:r>
        <w:rPr>
          <w:b/>
          <w:noProof/>
        </w:rPr>
        <w:t>While Lithuania's per capita income has grown remarkably since the crisis,</w:t>
      </w:r>
      <w:r>
        <w:rPr>
          <w:noProof/>
        </w:rPr>
        <w:t xml:space="preserve"> </w:t>
      </w:r>
      <w:r>
        <w:rPr>
          <w:b/>
          <w:noProof/>
        </w:rPr>
        <w:t>the reduction in poverty has been meagre and inequality has increased</w:t>
      </w:r>
      <w:r>
        <w:rPr>
          <w:noProof/>
        </w:rPr>
        <w:t>. Lithuania's social security coverage does not keep pace with econom</w:t>
      </w:r>
      <w:r>
        <w:rPr>
          <w:noProof/>
        </w:rPr>
        <w:t>ic growth. Spending on social protection is low and low tax revenue as a share of GDP limits the scope for a potential increase in such expenditure. Moreover, the low labour share of national income, weak trade unions and a large skills gap in the labour m</w:t>
      </w:r>
      <w:r>
        <w:rPr>
          <w:noProof/>
        </w:rPr>
        <w:t>arket further contribute to the high inequality and precariousness of low-wage earners.</w:t>
      </w:r>
    </w:p>
    <w:p w:rsidR="003240A1" w:rsidRDefault="00EE321D">
      <w:pPr>
        <w:pStyle w:val="ListBullet"/>
        <w:rPr>
          <w:noProof/>
        </w:rPr>
      </w:pPr>
      <w:r>
        <w:rPr>
          <w:b/>
          <w:noProof/>
        </w:rPr>
        <w:t>Poor health outcomes hamper the potential of the workforce and the competitiveness of the Lithuanian economy.</w:t>
      </w:r>
      <w:r>
        <w:rPr>
          <w:noProof/>
        </w:rPr>
        <w:t xml:space="preserve"> Stronger disease prevention and health promotion policies </w:t>
      </w:r>
      <w:r>
        <w:rPr>
          <w:noProof/>
        </w:rPr>
        <w:t>could contribute to an improvement in health outcomes. The equity of the health-care system is negatively affected by high levels of out-of-pocket payments and regional disparities.</w:t>
      </w:r>
    </w:p>
    <w:p w:rsidR="003240A1" w:rsidRDefault="00EE321D">
      <w:pPr>
        <w:pStyle w:val="ListBullet"/>
        <w:rPr>
          <w:noProof/>
        </w:rPr>
      </w:pPr>
      <w:r>
        <w:rPr>
          <w:b/>
          <w:noProof/>
        </w:rPr>
        <w:t>Lithuania, along with Latvia and Estonia, has achieved good progress in im</w:t>
      </w:r>
      <w:r>
        <w:rPr>
          <w:b/>
          <w:noProof/>
        </w:rPr>
        <w:t>proving the security of energy supply.</w:t>
      </w:r>
      <w:r>
        <w:rPr>
          <w:noProof/>
        </w:rPr>
        <w:t xml:space="preserve"> The implementation of several gas and electricity projects connecting the region with neighbouring energy markets has diversified the Baltic countries' energy sources and brought overall lower prices. Finishing the co</w:t>
      </w:r>
      <w:r>
        <w:rPr>
          <w:noProof/>
        </w:rPr>
        <w:t>nstruction of the gas connector between Lithuania and Poland and the synchronisation of the Baltic countries' electricity grids with the European network are the next steps in the implementation of the Baltic Energy Market Interconnection Plan.</w:t>
      </w:r>
    </w:p>
    <w:p w:rsidR="003240A1" w:rsidRDefault="003240A1">
      <w:pPr>
        <w:rPr>
          <w:noProof/>
        </w:rPr>
      </w:pPr>
    </w:p>
    <w:p w:rsidR="003240A1" w:rsidRDefault="003240A1">
      <w:pPr>
        <w:rPr>
          <w:noProof/>
        </w:rPr>
        <w:sectPr w:rsidR="003240A1">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3240A1" w:rsidRDefault="00EE321D">
      <w:pPr>
        <w:pStyle w:val="SectionTitleFramed2"/>
        <w:framePr w:wrap="notBeside"/>
        <w:rPr>
          <w:noProof/>
        </w:rPr>
      </w:pPr>
      <w:bookmarkStart w:id="3" w:name="_Toc473809269"/>
      <w:bookmarkEnd w:id="3"/>
      <w:r>
        <w:rPr>
          <w:rFonts w:ascii="Times New Roman" w:hAnsi="Times New Roman"/>
          <w:b/>
          <w:noProof/>
          <w:color w:val="808080"/>
          <w:sz w:val="72"/>
        </w:rPr>
        <w:t>1.</w:t>
      </w:r>
      <w:r>
        <w:rPr>
          <w:noProof/>
        </w:rPr>
        <w:tab/>
        <w:t>Economic situation and outlook</w:t>
      </w:r>
    </w:p>
    <w:p w:rsidR="003240A1" w:rsidRDefault="00EE321D">
      <w:pPr>
        <w:pStyle w:val="Heading"/>
        <w:rPr>
          <w:i/>
          <w:noProof/>
        </w:rPr>
      </w:pPr>
      <w:r>
        <w:rPr>
          <w:i/>
          <w:noProof/>
        </w:rPr>
        <w:t>GDP growth</w:t>
      </w:r>
    </w:p>
    <w:p w:rsidR="003240A1" w:rsidRDefault="00EE321D">
      <w:pPr>
        <w:rPr>
          <w:noProof/>
        </w:rPr>
      </w:pPr>
      <w:r>
        <w:rPr>
          <w:b/>
          <w:noProof/>
        </w:rPr>
        <w:t>GDP grew 2.2% in 2016, led by private consumption and recovering exports.</w:t>
      </w:r>
      <w:r>
        <w:rPr>
          <w:noProof/>
        </w:rPr>
        <w:t xml:space="preserve"> Solid w</w:t>
      </w:r>
      <w:r>
        <w:rPr>
          <w:noProof/>
        </w:rPr>
        <w:t>age and employment growth combined with subdued inflation supported household disposable incomes which in turn fuelled private consumption growth. Exports are forecast to have grown by 2.6% following their disappointing performance in 2015. However, a decl</w:t>
      </w:r>
      <w:r>
        <w:rPr>
          <w:noProof/>
        </w:rPr>
        <w:t xml:space="preserve">ine in investments due to a temporary slowdown of EU fund disbursements weighed on overall growth.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1.1:</w:t>
            </w:r>
            <w:r>
              <w:rPr>
                <w:b/>
                <w:noProof/>
              </w:rPr>
              <w:tab/>
              <w:t>Real GDP growth and contributions</w:t>
            </w:r>
          </w:p>
        </w:tc>
      </w:tr>
      <w:tr w:rsidR="003240A1">
        <w:trPr>
          <w:cantSplit/>
        </w:trPr>
        <w:tc>
          <w:tcPr>
            <w:tcW w:w="4110" w:type="dxa"/>
            <w:shd w:val="clear" w:color="auto" w:fill="auto"/>
          </w:tcPr>
          <w:p w:rsidR="003240A1" w:rsidRDefault="00EE321D">
            <w:pPr>
              <w:pStyle w:val="GraphShape"/>
              <w:rPr>
                <w:noProof/>
                <w:sz w:val="2"/>
              </w:rPr>
            </w:pPr>
            <w:bookmarkStart w:id="4" w:name="_Toc473809291"/>
            <w:bookmarkEnd w:id="4"/>
            <w:r>
              <w:rPr>
                <w:noProof/>
                <w:sz w:val="2"/>
                <w:lang w:eastAsia="en-GB"/>
              </w:rPr>
              <w:drawing>
                <wp:inline distT="0" distB="0" distL="0" distR="0">
                  <wp:extent cx="2597595" cy="2438843"/>
                  <wp:effectExtent l="0" t="0" r="0" b="0"/>
                  <wp:docPr id="33" name="Picture 33" descr="&lt;nbr&gt;&lt;GETTEXTFROMWORD&gt;&lt;/nbr&gt;&#10;&lt;title&gt;&lt;GETTEXTFROMWORD&gt;&lt;/title&gt;&#10;&lt;id&gt;d4fc9be6-7056-4465-8df9-590e041f5a25&lt;/id&gt;&#10;&lt;srcType&gt;EXCEL&lt;/srcType&gt;&#10;&lt;srcPath&gt;O:\2017 CRs\15 LT\15_LT_GraphesTables\&lt;/srcPath&gt;&#10;&lt;srcName&gt;Graph 1.1_External and domestic demand, contributions to growth.xls&lt;/srcName&gt;&#10;&lt;type&gt;graph&lt;/type&gt;&#10; &lt;srcSheet&gt;GDP_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7T12:13: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38843"/>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 xml:space="preserve">According to the Commission's winter forecast, growth is expected to </w:t>
      </w:r>
      <w:r>
        <w:rPr>
          <w:b/>
          <w:noProof/>
        </w:rPr>
        <w:t>accelerate to 2.9% in 2017.</w:t>
      </w:r>
      <w:r>
        <w:rPr>
          <w:noProof/>
        </w:rPr>
        <w:t xml:space="preserve"> Rising inflation is expected to slow private consumption growth somewhat, while investment growth is expected to be strong as EU fund spending gathers pace. </w:t>
      </w:r>
    </w:p>
    <w:p w:rsidR="003240A1" w:rsidRDefault="00EE321D">
      <w:pPr>
        <w:pStyle w:val="Heading"/>
        <w:rPr>
          <w:i/>
          <w:noProof/>
        </w:rPr>
      </w:pPr>
      <w:r>
        <w:rPr>
          <w:i/>
          <w:noProof/>
        </w:rPr>
        <w:t>Consumption</w:t>
      </w:r>
    </w:p>
    <w:p w:rsidR="003240A1" w:rsidRDefault="00EE321D">
      <w:pPr>
        <w:rPr>
          <w:noProof/>
        </w:rPr>
      </w:pPr>
      <w:r>
        <w:rPr>
          <w:b/>
          <w:noProof/>
        </w:rPr>
        <w:t>Private consumption growth is the main contributor to grow</w:t>
      </w:r>
      <w:r>
        <w:rPr>
          <w:b/>
          <w:noProof/>
        </w:rPr>
        <w:t>th</w:t>
      </w:r>
      <w:r>
        <w:rPr>
          <w:noProof/>
        </w:rPr>
        <w:t>. Driven by increasing employment, rising wages and subdued inflation, private consumption growth is forecast to have accelerated to 5.3% in 2016. Government consumption rose only slightly in 2016. The disposable income boost provided by negative and the</w:t>
      </w:r>
      <w:r>
        <w:rPr>
          <w:noProof/>
        </w:rPr>
        <w:t xml:space="preserve">n low inflation is expected to come to an end in 2017 as mildly recovering energy prices and rapidly growing service prices carry inflation to around 2%. </w:t>
      </w:r>
    </w:p>
    <w:p w:rsidR="003240A1" w:rsidRDefault="00EE321D">
      <w:pPr>
        <w:pStyle w:val="Heading"/>
        <w:rPr>
          <w:i/>
          <w:noProof/>
        </w:rPr>
      </w:pPr>
      <w:r>
        <w:rPr>
          <w:i/>
          <w:noProof/>
        </w:rPr>
        <w:t>Investment</w:t>
      </w:r>
    </w:p>
    <w:p w:rsidR="003240A1" w:rsidRDefault="00EE321D">
      <w:pPr>
        <w:rPr>
          <w:noProof/>
        </w:rPr>
      </w:pPr>
      <w:r>
        <w:rPr>
          <w:b/>
          <w:noProof/>
        </w:rPr>
        <w:t>Investment saw a temporary dip in 2016 as a result of a pause in public investment.</w:t>
      </w:r>
      <w:r>
        <w:rPr>
          <w:noProof/>
        </w:rPr>
        <w:t xml:space="preserve"> Overal</w:t>
      </w:r>
      <w:r>
        <w:rPr>
          <w:noProof/>
        </w:rPr>
        <w:t>l, investment is forecast to have declined by 1.2% in 2016. This follows a 4.7% growth in 2015. The decline is mainly due to the slowdown in the implementation of EU funds following the end of the 2007-2013 programming period. The disbursements made by Lit</w:t>
      </w:r>
      <w:r>
        <w:rPr>
          <w:noProof/>
        </w:rPr>
        <w:t>huania to beneficiaries fell some 50% in 2016 compared to 2015, causing construction investment to shrink. The dynamic is expected to reverse in 2017 as EU fund disbursements are expected to return to the level they were at in 2015.</w:t>
      </w:r>
    </w:p>
    <w:p w:rsidR="003240A1" w:rsidRDefault="00EE321D">
      <w:pPr>
        <w:pStyle w:val="Heading"/>
        <w:rPr>
          <w:i/>
          <w:noProof/>
        </w:rPr>
      </w:pPr>
      <w:r>
        <w:rPr>
          <w:i/>
          <w:noProof/>
        </w:rPr>
        <w:t>Trade</w:t>
      </w:r>
    </w:p>
    <w:p w:rsidR="003240A1" w:rsidRDefault="00EE321D">
      <w:pPr>
        <w:rPr>
          <w:noProof/>
        </w:rPr>
      </w:pPr>
      <w:r>
        <w:rPr>
          <w:b/>
          <w:noProof/>
        </w:rPr>
        <w:t>Drags on export p</w:t>
      </w:r>
      <w:r>
        <w:rPr>
          <w:b/>
          <w:noProof/>
        </w:rPr>
        <w:t>erformance are subsiding.</w:t>
      </w:r>
      <w:r>
        <w:rPr>
          <w:noProof/>
        </w:rPr>
        <w:t xml:space="preserve"> Following the weak export performance in 2015, exports somewhat recovered in 2016, with growth forecast at 2.6%. While exports to Russia continued to decline in 2016, exports to the rest of the EU increased thanks to an especially</w:t>
      </w:r>
      <w:r>
        <w:rPr>
          <w:noProof/>
        </w:rPr>
        <w:t xml:space="preserve"> strong increase in service exports, which are believed to have grown by 9.0% in 2016. Imports, meanwhile, slowed down as a result of declining investment. </w:t>
      </w:r>
    </w:p>
    <w:p w:rsidR="003240A1" w:rsidRDefault="00EE321D">
      <w:pPr>
        <w:pStyle w:val="Heading"/>
        <w:rPr>
          <w:i/>
          <w:noProof/>
        </w:rPr>
      </w:pPr>
      <w:r>
        <w:rPr>
          <w:i/>
          <w:noProof/>
        </w:rPr>
        <w:t>Inflation</w:t>
      </w:r>
    </w:p>
    <w:p w:rsidR="003240A1" w:rsidRDefault="00EE321D">
      <w:pPr>
        <w:rPr>
          <w:noProof/>
        </w:rPr>
      </w:pPr>
      <w:r>
        <w:rPr>
          <w:b/>
          <w:noProof/>
        </w:rPr>
        <w:t>Inflation moved to positive territory and is gradually picking up.</w:t>
      </w:r>
      <w:r>
        <w:rPr>
          <w:noProof/>
        </w:rPr>
        <w:t xml:space="preserve"> In 2016, the HICP aver</w:t>
      </w:r>
      <w:r>
        <w:rPr>
          <w:noProof/>
        </w:rPr>
        <w:t>age annual inflation was 0.7%, up from a 0.7% deflation in 2015. The substantial decline in energy prices has dominated the inflation dynamics for the past three years. This has been somewhat countered by services prices which have grown considerably above</w:t>
      </w:r>
      <w:r>
        <w:rPr>
          <w:noProof/>
        </w:rPr>
        <w:t xml:space="preserve"> the HICP rate due to rapid wage growth. Recovering oil prices and rising wages are expected to drive HICP inflation further up in 2017 and 2018. Core inflation, which excludes energy prices, is also on the rise. It is set to reach 2% at the end of 2016 af</w:t>
      </w:r>
      <w:r>
        <w:rPr>
          <w:noProof/>
        </w:rPr>
        <w:t xml:space="preserve">ter hovering only slightly above 1% for much of 2014 and 2015.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1.2:</w:t>
            </w:r>
            <w:r>
              <w:rPr>
                <w:b/>
                <w:noProof/>
              </w:rPr>
              <w:tab/>
              <w:t>12 month average HICP inflation</w:t>
            </w:r>
          </w:p>
        </w:tc>
      </w:tr>
      <w:tr w:rsidR="003240A1">
        <w:trPr>
          <w:cantSplit/>
        </w:trPr>
        <w:tc>
          <w:tcPr>
            <w:tcW w:w="4110" w:type="dxa"/>
            <w:shd w:val="clear" w:color="auto" w:fill="auto"/>
          </w:tcPr>
          <w:p w:rsidR="003240A1" w:rsidRDefault="00EE321D">
            <w:pPr>
              <w:pStyle w:val="GraphShape"/>
              <w:rPr>
                <w:noProof/>
                <w:sz w:val="2"/>
              </w:rPr>
            </w:pPr>
            <w:bookmarkStart w:id="5" w:name="_Toc473809292"/>
            <w:bookmarkEnd w:id="5"/>
            <w:r>
              <w:rPr>
                <w:noProof/>
                <w:sz w:val="2"/>
                <w:lang w:eastAsia="en-GB"/>
              </w:rPr>
              <w:drawing>
                <wp:inline distT="0" distB="0" distL="0" distR="0">
                  <wp:extent cx="2597595" cy="2441296"/>
                  <wp:effectExtent l="0" t="0" r="0" b="0"/>
                  <wp:docPr id="2" name="Picture 2" descr="&lt;_DISABLED_nbr_DISABLED_&gt;&lt;GETTEXTFROMWORD&gt;&lt;/nbr&gt;&#10;&lt;title&gt;&lt;GETTEXTFROMWORD&gt;&lt;/title&gt;&#10;&lt;_DISABLED_id_DISABLED_&gt;7704fe06-8273-4a12-90a4-56faa33dd352&lt;/id&gt;&#10;&lt;srcType&gt;EXCEL&lt;/srcType&gt;&#10;&lt;srcPath&gt;O:\2017 CRs\15 LT\15_LT_GraphesTables\&lt;/srcPath&gt;&#10;&lt;srcName&gt;HICP.xls&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5:17:2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Heading"/>
        <w:rPr>
          <w:i/>
          <w:noProof/>
        </w:rPr>
      </w:pPr>
      <w:r>
        <w:rPr>
          <w:i/>
          <w:noProof/>
        </w:rPr>
        <w:t>Labour market</w:t>
      </w:r>
    </w:p>
    <w:p w:rsidR="003240A1" w:rsidRDefault="00EE321D">
      <w:pPr>
        <w:rPr>
          <w:noProof/>
        </w:rPr>
      </w:pPr>
      <w:r>
        <w:rPr>
          <w:b/>
          <w:noProof/>
        </w:rPr>
        <w:t>The Lithuanian labour market continues to improve.</w:t>
      </w:r>
      <w:r>
        <w:rPr>
          <w:noProof/>
        </w:rPr>
        <w:t xml:space="preserve"> The activity and the employment rates have been steadily increasing since the crisis and are now both above the EU average. In 2016, the unemployment rate was 7.9%, well below the EU average. These improvements are due to economic growth and the declining</w:t>
      </w:r>
      <w:r>
        <w:rPr>
          <w:noProof/>
        </w:rPr>
        <w:t xml:space="preserve"> working age population.</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1.3:</w:t>
            </w:r>
            <w:r>
              <w:rPr>
                <w:b/>
                <w:noProof/>
              </w:rPr>
              <w:tab/>
              <w:t>Major labour market trends in Lithuania</w:t>
            </w:r>
          </w:p>
        </w:tc>
      </w:tr>
      <w:tr w:rsidR="003240A1">
        <w:trPr>
          <w:cantSplit/>
        </w:trPr>
        <w:tc>
          <w:tcPr>
            <w:tcW w:w="4110" w:type="dxa"/>
            <w:shd w:val="clear" w:color="auto" w:fill="auto"/>
          </w:tcPr>
          <w:p w:rsidR="003240A1" w:rsidRDefault="00EE321D">
            <w:pPr>
              <w:pStyle w:val="GraphShape"/>
              <w:rPr>
                <w:noProof/>
                <w:sz w:val="2"/>
              </w:rPr>
            </w:pPr>
            <w:bookmarkStart w:id="6" w:name="_Toc473809293"/>
            <w:bookmarkEnd w:id="6"/>
            <w:r>
              <w:rPr>
                <w:noProof/>
                <w:sz w:val="2"/>
                <w:lang w:eastAsia="en-GB"/>
              </w:rPr>
              <w:drawing>
                <wp:inline distT="0" distB="0" distL="0" distR="0">
                  <wp:extent cx="2597595" cy="2441296"/>
                  <wp:effectExtent l="0" t="0" r="0" b="0"/>
                  <wp:docPr id="7" name="Picture 7" descr="&lt;_DISABLED_nbr_DISABLED_&gt;&lt;GETTEXTFROMWORD&gt;&lt;/nbr&gt;&#10;&lt;title&gt;&lt;GETTEXTFROMWORD&gt;&lt;/title&gt;&#10;&lt;_DISABLED_id_DISABLED_&gt;c2f079fb-4f80-4544-9a88-231c442cc3b7&lt;/id&gt;&#10;&lt;srcType&gt;EXCEL&lt;/srcType&gt;&#10;&lt;srcPath&gt;O:\2017 CRs\15 LT\15_LT_GraphesTables\&lt;/srcPath&gt;&#10;&lt;srcName&gt;empl graphs.xlsx&lt;/srcName&gt;&#10;&lt;type&gt;graph&lt;/type&gt;&#10; &lt;srcSheet&gt;AR ER 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r>
          </w:p>
        </w:tc>
      </w:tr>
    </w:tbl>
    <w:p w:rsidR="003240A1" w:rsidRDefault="003240A1">
      <w:pPr>
        <w:rPr>
          <w:noProof/>
        </w:rPr>
      </w:pPr>
    </w:p>
    <w:p w:rsidR="003240A1" w:rsidRDefault="00EE321D">
      <w:pPr>
        <w:rPr>
          <w:noProof/>
        </w:rPr>
      </w:pPr>
      <w:r>
        <w:rPr>
          <w:b/>
          <w:noProof/>
        </w:rPr>
        <w:t>While starting from a relatively low level in the EU context, wages are rising strongly in Lithuania.</w:t>
      </w:r>
      <w:r>
        <w:rPr>
          <w:noProof/>
        </w:rPr>
        <w:t xml:space="preserve"> The average gross monthly earnings in 2016 </w:t>
      </w:r>
      <w:r>
        <w:rPr>
          <w:noProof/>
        </w:rPr>
        <w:t>stood at EUR 771, 7.9% up from 2015. Unit labour costs (ULC) grew 4.8% in 2015, up from 3.2% in 2014. This was one of the highest increases in the EU after Estonia and Latvia. In 2016 and 2017, nominal unit labour cost growth is expected to slow down somew</w:t>
      </w:r>
      <w:r>
        <w:rPr>
          <w:noProof/>
        </w:rPr>
        <w:t xml:space="preserve">hat as a result of stronger productivity growth. </w:t>
      </w:r>
    </w:p>
    <w:p w:rsidR="003240A1" w:rsidRDefault="00EE321D">
      <w:pPr>
        <w:rPr>
          <w:noProof/>
        </w:rPr>
      </w:pPr>
      <w:r>
        <w:rPr>
          <w:b/>
          <w:noProof/>
        </w:rPr>
        <w:t>The minimum monthly wage is increasing fast in Lithuania.</w:t>
      </w:r>
      <w:r>
        <w:rPr>
          <w:noProof/>
        </w:rPr>
        <w:t xml:space="preserve"> From EUR 300 at the beginning of 2015, it has been raised to EUR 380 in 2016. As a share of the average wage, the level of Lithuania's minimum wage </w:t>
      </w:r>
      <w:r>
        <w:rPr>
          <w:noProof/>
        </w:rPr>
        <w:t>is relatively high (close to 50%) when compared to other EU countries. The Labour Code stipulates that the minimum wage is fixed by Government resolution upon recommendation of the Tripartite Council, which comprises the government, the trade unions, and t</w:t>
      </w:r>
      <w:r>
        <w:rPr>
          <w:noProof/>
        </w:rPr>
        <w:t xml:space="preserve">he employers. There are no specified rules on how to incorporate economic factors in a structured way in minimum wage setting, therefore increasing the risk that haphazard minimum wage hikes could lead to adverse effects on employment. </w:t>
      </w:r>
    </w:p>
    <w:p w:rsidR="003240A1" w:rsidRDefault="00EE321D">
      <w:pPr>
        <w:pStyle w:val="Heading"/>
        <w:rPr>
          <w:i/>
          <w:noProof/>
        </w:rPr>
      </w:pPr>
      <w:r>
        <w:rPr>
          <w:i/>
          <w:noProof/>
        </w:rPr>
        <w:t>Social developments</w:t>
      </w:r>
    </w:p>
    <w:p w:rsidR="003240A1" w:rsidRDefault="00EE321D">
      <w:pPr>
        <w:rPr>
          <w:noProof/>
        </w:rPr>
      </w:pPr>
      <w:r>
        <w:rPr>
          <w:b/>
          <w:noProof/>
        </w:rPr>
        <w:t>In 2015, economic and employment growth did not translate into poverty reduction.</w:t>
      </w:r>
      <w:r>
        <w:rPr>
          <w:noProof/>
        </w:rPr>
        <w:t xml:space="preserve"> The at-risk-of-poverty or social exclusion rate increased in 2015 to 29.3 %, the fifth highest in the EU, with the unemployed and the elderly mostly affected. This is mainly</w:t>
      </w:r>
      <w:r>
        <w:rPr>
          <w:noProof/>
        </w:rPr>
        <w:t xml:space="preserve"> driven by the fact that social protection benefits (pensions, unemployment benefits and minimum income) are failing to keep pace with economic growth (see also Section 3.3 of this report).</w:t>
      </w:r>
    </w:p>
    <w:p w:rsidR="003240A1" w:rsidRDefault="00EE321D">
      <w:pPr>
        <w:rPr>
          <w:noProof/>
        </w:rPr>
      </w:pPr>
      <w:r>
        <w:rPr>
          <w:b/>
          <w:noProof/>
        </w:rPr>
        <w:t xml:space="preserve">Income inequality has risen in recent years, making Lithuania one </w:t>
      </w:r>
      <w:r>
        <w:rPr>
          <w:b/>
          <w:noProof/>
        </w:rPr>
        <w:t>of the most unequal Member States in the EU.</w:t>
      </w:r>
      <w:r>
        <w:rPr>
          <w:noProof/>
        </w:rPr>
        <w:t xml:space="preserve"> In 2015, the income of the richest 20 % of Lithuanian households was 7.5 times higher than that of the poorest 20 % of households. This is one of the highest ratios in the EU. The situation has worsened, with in</w:t>
      </w:r>
      <w:r>
        <w:rPr>
          <w:noProof/>
        </w:rPr>
        <w:t>equality (</w:t>
      </w:r>
      <w:r>
        <w:rPr>
          <w:noProof/>
          <w:vertAlign w:val="superscript"/>
        </w:rPr>
        <w:footnoteReference w:id="3"/>
      </w:r>
      <w:r>
        <w:rPr>
          <w:noProof/>
        </w:rPr>
        <w:t xml:space="preserve">) now being 18% higher than it was in 2012. Similarly, the richest 10 % of households claimed 28.8 % of all income in 2015, up from 23.9 % for 2012. The tax benefit system is relatively ineffective at reducing inequalities, especially given the </w:t>
      </w:r>
      <w:r>
        <w:rPr>
          <w:noProof/>
        </w:rPr>
        <w:t>flat tax regime which has a limited distributional function. According to 2014 SILC data, taxes and benefits reduce inequality by only 32.6 %, as against an EU average of 39.2%. There is also a significant rural and urban inequality, with median incomes of</w:t>
      </w:r>
      <w:r>
        <w:rPr>
          <w:noProof/>
        </w:rPr>
        <w:t xml:space="preserve"> rural households only 67.9 % of those of urban households. While not yet apparent in the data, recent reforms to increase the minimum wage and to reduce the tax burden on low income earners are likely to counteract this trend to some extent (see Section 3</w:t>
      </w:r>
      <w:r>
        <w:rPr>
          <w:noProof/>
        </w:rPr>
        <w:t>.1).</w:t>
      </w:r>
    </w:p>
    <w:p w:rsidR="003240A1" w:rsidRDefault="00EE321D">
      <w:pPr>
        <w:pStyle w:val="Heading"/>
        <w:rPr>
          <w:i/>
          <w:noProof/>
        </w:rPr>
      </w:pPr>
      <w:r>
        <w:rPr>
          <w:i/>
          <w:noProof/>
        </w:rPr>
        <w:t>External position</w:t>
      </w:r>
    </w:p>
    <w:p w:rsidR="003240A1" w:rsidRDefault="00EE321D">
      <w:pPr>
        <w:rPr>
          <w:noProof/>
        </w:rPr>
      </w:pPr>
      <w:r>
        <w:rPr>
          <w:b/>
          <w:noProof/>
        </w:rPr>
        <w:t>The current account is expected to have returned to balance after recording a 2.3% deficit in 2015.</w:t>
      </w:r>
      <w:r>
        <w:rPr>
          <w:noProof/>
        </w:rPr>
        <w:t xml:space="preserve"> While the balance of goods and services improved, large dividend payments by several Nordic banks saw the primary balance deteriorate somewhat compared to 2015. Private remittances which make up the bulk of secondary income, also decreased somewhat. Notab</w:t>
      </w:r>
      <w:r>
        <w:rPr>
          <w:noProof/>
        </w:rPr>
        <w:t xml:space="preserve">ly, the terms of trade improvement linked to cheaper energy prices over the last two years was worth the equivalent of some 5% of GDP. </w:t>
      </w:r>
    </w:p>
    <w:p w:rsidR="003240A1" w:rsidRDefault="00EE321D">
      <w:pPr>
        <w:rPr>
          <w:noProof/>
        </w:rPr>
      </w:pPr>
      <w:r>
        <w:rPr>
          <w:b/>
          <w:noProof/>
        </w:rPr>
        <w:t>The net international investment position (NIIP) in 2015 stood at minus 45 % of GDP and it has been gradually improving.</w:t>
      </w:r>
      <w:r>
        <w:rPr>
          <w:noProof/>
        </w:rPr>
        <w:t xml:space="preserve"> The government (including the Central Bank's position) and the private sector contribute equally to the total negative net position. The NIIP had declined dramatically in the years leading up to the financial crisis, going from -35% of GDP in 2004 to -58%</w:t>
      </w:r>
      <w:r>
        <w:rPr>
          <w:noProof/>
        </w:rPr>
        <w:t xml:space="preserve"> of GDP in 2009. Since then, it has increased substantially and now stands -45% of GDP. The build-up of the negative position came mainly in the form of government foreign borrowing and of local banks' borrowing from their Nordic parents. While the governm</w:t>
      </w:r>
      <w:r>
        <w:rPr>
          <w:noProof/>
        </w:rPr>
        <w:t>ent's negative external position continued to grow after the crisis, the financial flows of monetary financial institutions (excluding the Central Bank) (MFIs) reversed and account for the bulk of the change in country's NIIP in the years following the cri</w:t>
      </w:r>
      <w:r>
        <w:rPr>
          <w:noProof/>
        </w:rPr>
        <w:t>sis. The government's negative net position is entirely due to government long-term debt, while private sector liabilities consist almost entirely of foreign direct investment. As a result, the short term risks associated with the NIIP are low.</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1.4:</w:t>
            </w:r>
            <w:r>
              <w:rPr>
                <w:b/>
                <w:noProof/>
              </w:rPr>
              <w:tab/>
            </w:r>
            <w:r>
              <w:rPr>
                <w:b/>
                <w:noProof/>
              </w:rPr>
              <w:t>Net international investment position</w:t>
            </w:r>
          </w:p>
        </w:tc>
      </w:tr>
      <w:tr w:rsidR="003240A1">
        <w:trPr>
          <w:cantSplit/>
        </w:trPr>
        <w:tc>
          <w:tcPr>
            <w:tcW w:w="4110" w:type="dxa"/>
            <w:shd w:val="clear" w:color="auto" w:fill="auto"/>
          </w:tcPr>
          <w:p w:rsidR="003240A1" w:rsidRDefault="00EE321D">
            <w:pPr>
              <w:pStyle w:val="GraphShape"/>
              <w:rPr>
                <w:noProof/>
                <w:sz w:val="2"/>
              </w:rPr>
            </w:pPr>
            <w:bookmarkStart w:id="7" w:name="_Toc473809294"/>
            <w:bookmarkEnd w:id="7"/>
            <w:r>
              <w:rPr>
                <w:noProof/>
                <w:sz w:val="2"/>
                <w:lang w:eastAsia="en-GB"/>
              </w:rPr>
              <w:drawing>
                <wp:inline distT="0" distB="0" distL="0" distR="0">
                  <wp:extent cx="2597595" cy="1985689"/>
                  <wp:effectExtent l="0" t="0" r="0" b="0"/>
                  <wp:docPr id="9" name="Picture 9" descr="&lt;_DISABLED_nbr_DISABLED_&gt;&lt;GETTEXTFROMWORD&gt;&lt;/nbr&gt;&#10;&lt;title&gt;&lt;GETTEXTFROMWORD&gt;&lt;/title&gt;&#10;&lt;_DISABLED_id_DISABLED_&gt;b8da6200-02a1-41e2-8021-5f2f53cb733f&lt;/id&gt;&#10;&lt;srcType&gt;EXCEL&lt;/srcType&gt;&#10;&lt;srcPath&gt;O:\2017 CRs\15 LT\15_LT_GraphesTables\&lt;/srcPath&gt;&#10;&lt;srcName&gt;External_Dynamics_LT.xls&lt;/srcName&gt;&#10;&lt;type&gt;graph&lt;/type&gt;&#10; &lt;srcSheet&gt;IIP_bysector&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20:44: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198568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Heading"/>
        <w:rPr>
          <w:i/>
          <w:noProof/>
        </w:rPr>
      </w:pPr>
      <w:r>
        <w:rPr>
          <w:i/>
          <w:noProof/>
        </w:rPr>
        <w:t>Financial sector</w:t>
      </w:r>
    </w:p>
    <w:p w:rsidR="003240A1" w:rsidRDefault="00EE321D">
      <w:pPr>
        <w:rPr>
          <w:noProof/>
        </w:rPr>
      </w:pPr>
      <w:r>
        <w:rPr>
          <w:b/>
          <w:noProof/>
        </w:rPr>
        <w:t>Having resumed in 2015, lending growth in 2016 has doubled the pace.</w:t>
      </w:r>
      <w:r>
        <w:rPr>
          <w:noProof/>
        </w:rPr>
        <w:t xml:space="preserve"> Loans to non-financial corporations grew by 9.6 % in 2016 (</w:t>
      </w:r>
      <w:r>
        <w:rPr>
          <w:noProof/>
          <w:vertAlign w:val="superscript"/>
        </w:rPr>
        <w:footnoteReference w:id="4"/>
      </w:r>
      <w:r>
        <w:rPr>
          <w:noProof/>
        </w:rPr>
        <w:t>) compared to 4.7% growth in 2015 (Grap</w:t>
      </w:r>
      <w:r>
        <w:rPr>
          <w:noProof/>
        </w:rPr>
        <w:t xml:space="preserve">h 1.5), driven by increasing corporate demand for credit on the back of improving economic growth prospects. Corporate credit growth, however, has not been uniform across sectors. While trade, transport, real estate, and IT contributed most to the overall </w:t>
      </w:r>
      <w:r>
        <w:rPr>
          <w:noProof/>
        </w:rPr>
        <w:t xml:space="preserve">credit growth, outstanding loans to manufacturing continued to decline. Mortgage loan growth accelerated to 7.1% in 2016, compared to 3.5% growth in 2015.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1.5:</w:t>
            </w:r>
            <w:r>
              <w:rPr>
                <w:b/>
                <w:noProof/>
              </w:rPr>
              <w:tab/>
              <w:t>Lending trends in Lithuania</w:t>
            </w:r>
          </w:p>
        </w:tc>
      </w:tr>
      <w:tr w:rsidR="003240A1">
        <w:trPr>
          <w:cantSplit/>
        </w:trPr>
        <w:tc>
          <w:tcPr>
            <w:tcW w:w="4110" w:type="dxa"/>
            <w:shd w:val="clear" w:color="auto" w:fill="auto"/>
          </w:tcPr>
          <w:p w:rsidR="003240A1" w:rsidRDefault="00EE321D">
            <w:pPr>
              <w:pStyle w:val="GraphShape"/>
              <w:rPr>
                <w:noProof/>
                <w:sz w:val="2"/>
              </w:rPr>
            </w:pPr>
            <w:bookmarkStart w:id="8" w:name="_Toc473809295"/>
            <w:bookmarkEnd w:id="8"/>
            <w:r>
              <w:rPr>
                <w:noProof/>
                <w:sz w:val="2"/>
                <w:lang w:eastAsia="en-GB"/>
              </w:rPr>
              <w:drawing>
                <wp:inline distT="0" distB="0" distL="0" distR="0">
                  <wp:extent cx="2597595" cy="2440587"/>
                  <wp:effectExtent l="0" t="0" r="0" b="0"/>
                  <wp:docPr id="4" name="Picture 4" descr="&lt;_DISABLED_nbr_DISABLED_&gt;&lt;GETTEXTFROMWORD&gt;&lt;/nbr&gt;&#10;&lt;title&gt;&lt;GETTEXTFROMWORD&gt;&lt;/title&gt;&#10;&lt;_DISABLED_id_DISABLED_&gt;91570b45-252b-488c-9dd6-6d802a481c43&lt;/id&gt;&#10;&lt;srcType&gt;EXCEL&lt;/srcType&gt;&#10;&lt;srcPath&gt;O:\2017 CRs\15 LT\15_LT_GraphesTables\&lt;/srcPath&gt;&#10;&lt;srcName&gt;FISMA graphs.xlsx&lt;/srcName&gt;&#10;&lt;type&gt;graph&lt;/type&gt;&#10; &lt;srcSheet&gt;LT&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5T11:43:4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Central bank</w:t>
            </w:r>
          </w:p>
        </w:tc>
      </w:tr>
    </w:tbl>
    <w:p w:rsidR="003240A1" w:rsidRDefault="00EE321D">
      <w:pPr>
        <w:pStyle w:val="Heading"/>
        <w:rPr>
          <w:i/>
          <w:noProof/>
        </w:rPr>
      </w:pPr>
      <w:r>
        <w:rPr>
          <w:i/>
          <w:noProof/>
        </w:rPr>
        <w:t>Public finances</w:t>
      </w:r>
    </w:p>
    <w:p w:rsidR="003240A1" w:rsidRDefault="00EE321D">
      <w:pPr>
        <w:rPr>
          <w:noProof/>
        </w:rPr>
      </w:pPr>
      <w:r>
        <w:rPr>
          <w:b/>
          <w:noProof/>
        </w:rPr>
        <w:t xml:space="preserve">Lithuania's public finances are solid, but its structural deficit is set to increase in 2017 as a result of structural reforms. </w:t>
      </w:r>
      <w:r>
        <w:rPr>
          <w:noProof/>
        </w:rPr>
        <w:t>Lithuania's budget deficit is forecast to have been 0.5% of GDP in 2016, up from 0.2% in 2015. In 2017, however, the general gov</w:t>
      </w:r>
      <w:r>
        <w:rPr>
          <w:noProof/>
        </w:rPr>
        <w:t>ernment budget deficit is forecast to increase to 0.7% of GDP. In the medium term, however, fiscal challenges are set to become more difficult as the declining population and increasing dependency ratios will drive an increase in expenditure on pensions, h</w:t>
      </w:r>
      <w:r>
        <w:rPr>
          <w:noProof/>
        </w:rPr>
        <w:t xml:space="preserve">ealth care, long-term care and education.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1.6:</w:t>
            </w:r>
            <w:r>
              <w:rPr>
                <w:b/>
                <w:noProof/>
              </w:rPr>
              <w:tab/>
              <w:t>General government balance and gross debt</w:t>
            </w:r>
          </w:p>
        </w:tc>
      </w:tr>
      <w:tr w:rsidR="003240A1">
        <w:trPr>
          <w:cantSplit/>
        </w:trPr>
        <w:tc>
          <w:tcPr>
            <w:tcW w:w="4110" w:type="dxa"/>
            <w:shd w:val="clear" w:color="auto" w:fill="auto"/>
          </w:tcPr>
          <w:p w:rsidR="003240A1" w:rsidRDefault="00EE321D">
            <w:pPr>
              <w:pStyle w:val="GraphShape"/>
              <w:rPr>
                <w:noProof/>
                <w:sz w:val="2"/>
              </w:rPr>
            </w:pPr>
            <w:bookmarkStart w:id="9" w:name="_Toc473809296"/>
            <w:bookmarkEnd w:id="9"/>
            <w:r>
              <w:rPr>
                <w:noProof/>
                <w:sz w:val="2"/>
                <w:lang w:eastAsia="en-GB"/>
              </w:rPr>
              <w:drawing>
                <wp:inline distT="0" distB="0" distL="0" distR="0">
                  <wp:extent cx="2597595" cy="2444311"/>
                  <wp:effectExtent l="0" t="0" r="0" b="0"/>
                  <wp:docPr id="8" name="Picture 8" descr="&lt;_DISABLED_nbr_DISABLED_&gt;&lt;GETTEXTFROMWORD&gt;&lt;/nbr&gt;&#10;&lt;title&gt;&lt;GETTEXTFROMWORD&gt;&lt;/title&gt;&#10;&lt;_DISABLED_id_DISABLED_&gt;f889d826-3bcb-4129-bb71-6a64ce4a2175&lt;/id&gt;&#10;&lt;srcType&gt;EXCEL&lt;/srcType&gt;&#10;&lt;srcPath&gt;O:\2017 CRs\15 LT\15_LT_GraphesTables\&lt;/srcPath&gt;&#10;&lt;srcName&gt;GG balance and debt.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0T11:39:5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Heading"/>
        <w:rPr>
          <w:i/>
          <w:noProof/>
        </w:rPr>
      </w:pPr>
      <w:r>
        <w:rPr>
          <w:i/>
          <w:noProof/>
        </w:rPr>
        <w:t>Demographic developments</w:t>
      </w:r>
    </w:p>
    <w:p w:rsidR="003240A1" w:rsidRDefault="00EE321D">
      <w:pPr>
        <w:rPr>
          <w:noProof/>
        </w:rPr>
      </w:pPr>
      <w:r>
        <w:rPr>
          <w:b/>
          <w:noProof/>
        </w:rPr>
        <w:t>Demographic challenges are set to intensify significantly in the coming decade.</w:t>
      </w:r>
      <w:r>
        <w:rPr>
          <w:noProof/>
        </w:rPr>
        <w:t xml:space="preserve"> Driven by negative net</w:t>
      </w:r>
      <w:r>
        <w:rPr>
          <w:noProof/>
        </w:rPr>
        <w:t xml:space="preserve"> migration and ageing, Lithuania's population has declined from 3.7 million in 1990 to 2.9 million in 2015. As emigration intensified during the past decade, the pace of decline has also increased and is projected to accelerate even further in the coming t</w:t>
      </w:r>
      <w:r>
        <w:rPr>
          <w:noProof/>
        </w:rPr>
        <w:t>wo decades. While the overall working age population has declined dramatically, the share of prime working age population(</w:t>
      </w:r>
      <w:r>
        <w:rPr>
          <w:noProof/>
          <w:vertAlign w:val="superscript"/>
        </w:rPr>
        <w:footnoteReference w:id="5"/>
      </w:r>
      <w:r>
        <w:rPr>
          <w:noProof/>
        </w:rPr>
        <w:t xml:space="preserve">) in the total population increased in the period from 1990 to 2014. However, it declined in 2015 and will continue to decline at an </w:t>
      </w:r>
      <w:r>
        <w:rPr>
          <w:noProof/>
        </w:rPr>
        <w:t>increasing rate, which is set to peak in the mid-2020s. According to current projections, the share of prime working age population is projected to increase again only after 2060(</w:t>
      </w:r>
      <w:r>
        <w:rPr>
          <w:noProof/>
          <w:vertAlign w:val="superscript"/>
        </w:rPr>
        <w:footnoteReference w:id="6"/>
      </w:r>
      <w:r>
        <w:rPr>
          <w:noProof/>
        </w:rPr>
        <w:t xml:space="preserve">). </w:t>
      </w:r>
    </w:p>
    <w:p w:rsidR="003240A1" w:rsidRDefault="003240A1">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1.7:</w:t>
            </w:r>
            <w:r>
              <w:rPr>
                <w:b/>
                <w:noProof/>
              </w:rPr>
              <w:tab/>
              <w:t>Annual change in population, 1990 - 2040</w:t>
            </w:r>
          </w:p>
        </w:tc>
      </w:tr>
      <w:tr w:rsidR="003240A1">
        <w:trPr>
          <w:cantSplit/>
        </w:trPr>
        <w:tc>
          <w:tcPr>
            <w:tcW w:w="4110" w:type="dxa"/>
            <w:shd w:val="clear" w:color="auto" w:fill="auto"/>
          </w:tcPr>
          <w:p w:rsidR="003240A1" w:rsidRDefault="00EE321D">
            <w:pPr>
              <w:pStyle w:val="GraphShape"/>
              <w:rPr>
                <w:noProof/>
                <w:sz w:val="2"/>
              </w:rPr>
            </w:pPr>
            <w:bookmarkStart w:id="10" w:name="_Toc473809297"/>
            <w:bookmarkEnd w:id="10"/>
            <w:r>
              <w:rPr>
                <w:noProof/>
                <w:sz w:val="2"/>
                <w:lang w:eastAsia="en-GB"/>
              </w:rPr>
              <w:drawing>
                <wp:inline distT="0" distB="0" distL="0" distR="0">
                  <wp:extent cx="2597595" cy="2776456"/>
                  <wp:effectExtent l="0" t="0" r="0" b="5080"/>
                  <wp:docPr id="3" name="Picture 3" descr="&lt;_DISABLED_nbr_DISABLED_&gt;&lt;GETTEXTFROMWORD&gt;&lt;/nbr&gt;&#10;&lt;title&gt;&lt;GETTEXTFROMWORD&gt;&lt;/title&gt;&#10;&lt;_DISABLED_id_DISABLED_&gt;5ab669b2-1c0e-4f5b-83e9-bc33b833501b&lt;/id&gt;&#10;&lt;srcType&gt;EXCEL&lt;/srcType&gt;&#10;&lt;srcPath&gt;O:\2017 CRs\15 LT\15_LT_GraphesTables\&lt;/srcPath&gt;&#10;&lt;srcName&gt;Jacek graph LT population and forecast.xlsx&lt;/srcName&gt;&#10;&lt;type&gt;graph&lt;/type&gt;&#10; &lt;srcSheet&gt;Sheet1&lt;/srcSheet&gt;&#10; &lt;srcChartTitle&gt;Chart 9&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2T15:04:0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77645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The declining share of the population at working age means that the dependency ratios will rise.</w:t>
      </w:r>
      <w:r>
        <w:rPr>
          <w:noProof/>
        </w:rPr>
        <w:t xml:space="preserve"> The old-age dependency ratio (</w:t>
      </w:r>
      <w:r>
        <w:rPr>
          <w:noProof/>
          <w:vertAlign w:val="superscript"/>
        </w:rPr>
        <w:footnoteReference w:id="7"/>
      </w:r>
      <w:r>
        <w:rPr>
          <w:noProof/>
        </w:rPr>
        <w:t xml:space="preserve">) is projected to double over the next 20 years – from 0.3 in 2015 to 0.6 in 2035. Moreover, while the </w:t>
      </w:r>
      <w:r>
        <w:rPr>
          <w:noProof/>
        </w:rPr>
        <w:t>young-age dependency ratio (</w:t>
      </w:r>
      <w:r>
        <w:rPr>
          <w:noProof/>
          <w:vertAlign w:val="superscript"/>
        </w:rPr>
        <w:footnoteReference w:id="8"/>
      </w:r>
      <w:r>
        <w:rPr>
          <w:noProof/>
        </w:rPr>
        <w:t xml:space="preserve">) has declined for the past 25 years, it is set to rise from 0.33 to 0.39 over the next 15 years, adding further to the burden carried by the working age population. These developments will have important implications for long </w:t>
      </w:r>
      <w:r>
        <w:rPr>
          <w:noProof/>
        </w:rPr>
        <w:t xml:space="preserve">term fiscal sustainability (section 3.1), labour supply (section 3.3) and productivity (section 3.4).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1.8:</w:t>
            </w:r>
            <w:r>
              <w:rPr>
                <w:b/>
                <w:noProof/>
              </w:rPr>
              <w:tab/>
              <w:t>Share of working age population and age-dependency ratios</w:t>
            </w:r>
          </w:p>
        </w:tc>
      </w:tr>
      <w:tr w:rsidR="003240A1">
        <w:trPr>
          <w:cantSplit/>
        </w:trPr>
        <w:tc>
          <w:tcPr>
            <w:tcW w:w="4110" w:type="dxa"/>
            <w:shd w:val="clear" w:color="auto" w:fill="auto"/>
          </w:tcPr>
          <w:p w:rsidR="003240A1" w:rsidRDefault="00EE321D">
            <w:pPr>
              <w:pStyle w:val="GraphShape"/>
              <w:rPr>
                <w:noProof/>
                <w:sz w:val="2"/>
              </w:rPr>
            </w:pPr>
            <w:bookmarkStart w:id="11" w:name="_Toc473809298"/>
            <w:bookmarkEnd w:id="11"/>
            <w:r>
              <w:rPr>
                <w:noProof/>
                <w:sz w:val="2"/>
                <w:lang w:eastAsia="en-GB"/>
              </w:rPr>
              <w:drawing>
                <wp:inline distT="0" distB="0" distL="0" distR="0">
                  <wp:extent cx="2597595" cy="2444311"/>
                  <wp:effectExtent l="0" t="0" r="0" b="0"/>
                  <wp:docPr id="5" name="Picture 5" descr="&lt;_DISABLED_nbr_DISABLED_&gt;&lt;GETTEXTFROMWORD&gt;&lt;/nbr&gt;&#10;&lt;title&gt;&lt;GETTEXTFROMWORD&gt;&lt;/title&gt;&#10;&lt;_DISABLED_id_DISABLED_&gt;3e1512a7-aa70-43b4-9418-928d5649b46e&lt;/id&gt;&#10;&lt;srcType&gt;EXCEL&lt;/srcType&gt;&#10;&lt;srcPath&gt;O:\2017 CRs\15 LT\15_LT_GraphesTables\&lt;/srcPath&gt;&#10;&lt;srcName&gt;ultimate population data source.xls&lt;/srcName&gt;&#10;&lt;type&gt;graph&lt;/type&gt;&#10; &lt;srcSheet&gt;Sheet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0T11:11: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1.1:</w:t>
            </w:r>
            <w:r>
              <w:rPr>
                <w:b/>
                <w:noProof/>
              </w:rPr>
              <w:tab/>
              <w:t xml:space="preserve">Key economic, financial and social </w:t>
            </w:r>
            <w:r>
              <w:rPr>
                <w:b/>
                <w:noProof/>
              </w:rPr>
              <w:t>indicators</w:t>
            </w:r>
          </w:p>
        </w:tc>
      </w:tr>
      <w:tr w:rsidR="003240A1">
        <w:trPr>
          <w:cantSplit/>
        </w:trPr>
        <w:tc>
          <w:tcPr>
            <w:tcW w:w="8505" w:type="dxa"/>
            <w:shd w:val="clear" w:color="auto" w:fill="auto"/>
          </w:tcPr>
          <w:p w:rsidR="003240A1" w:rsidRDefault="00EE321D">
            <w:pPr>
              <w:pStyle w:val="TableShape"/>
              <w:rPr>
                <w:noProof/>
                <w:sz w:val="2"/>
              </w:rPr>
            </w:pPr>
            <w:bookmarkStart w:id="12" w:name="_Toc473809282"/>
            <w:bookmarkEnd w:id="12"/>
            <w:r>
              <w:rPr>
                <w:noProof/>
                <w:sz w:val="2"/>
                <w:lang w:eastAsia="en-GB"/>
              </w:rPr>
              <w:drawing>
                <wp:inline distT="0" distB="0" distL="0" distR="0">
                  <wp:extent cx="5400929" cy="6281287"/>
                  <wp:effectExtent l="0" t="0" r="0" b="5715"/>
                  <wp:docPr id="34" name="Picture 34" descr="&lt;nbr&gt;&lt;GETTEXTFROMWORD&gt;&lt;/nbr&gt;&#10;&lt;title&gt;&lt;GETTEXTFROMWORD&gt;&lt;/title&gt;&#10;&lt;id&gt;a3e6e1a4-47f0-4343-8db3-c2cf73705e06&lt;/id&gt;&#10;&lt;srcType&gt;EXCEL&lt;/srcType&gt;&#10;&lt;srcPath&gt;O:\2017 CRs\15 LT\15_LT_GraphesTables\&lt;/srcPath&gt;&#10;&lt;srcName&gt;15 LT Table 1.1.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1:4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929" cy="6281287"/>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(1) Sum of portfolio debt instruments, other investment and reserve assets </w:t>
            </w:r>
            <w:r>
              <w:rPr>
                <w:noProof/>
              </w:rPr>
              <w:br/>
              <w:t>(2,3) Domestic banking groups and stand-alone banks.</w:t>
            </w:r>
            <w:r>
              <w:rPr>
                <w:noProof/>
              </w:rPr>
              <w:br/>
              <w:t>(4) Domestic banking groups and stand-alone banks, foreign (EU and non-EU) controlled subsidiaries and foreign (</w:t>
            </w:r>
            <w:r>
              <w:rPr>
                <w:noProof/>
              </w:rPr>
              <w:t>EU and non-EU) controlled branches.</w:t>
            </w:r>
            <w:r>
              <w:rPr>
                <w:noProof/>
              </w:rPr>
              <w:br/>
              <w:t>(*) Indicates BPM5 and/or ESA95</w:t>
            </w:r>
          </w:p>
          <w:p w:rsidR="003240A1" w:rsidRDefault="00EE321D">
            <w:pPr>
              <w:pStyle w:val="TableSource"/>
              <w:rPr>
                <w:noProof/>
              </w:rPr>
            </w:pPr>
            <w:r>
              <w:rPr>
                <w:b/>
                <w:i/>
                <w:noProof/>
              </w:rPr>
              <w:t>Source:</w:t>
            </w:r>
            <w:r>
              <w:rPr>
                <w:noProof/>
              </w:rPr>
              <w:t xml:space="preserve"> European Commission, ECB</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sectPr w:rsidR="003240A1">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3"/>
        <w:framePr w:wrap="notBeside"/>
        <w:rPr>
          <w:noProof/>
        </w:rPr>
      </w:pPr>
      <w:bookmarkStart w:id="13" w:name="_Toc473809270"/>
      <w:bookmarkEnd w:id="13"/>
      <w:r>
        <w:rPr>
          <w:rFonts w:ascii="Times New Roman" w:hAnsi="Times New Roman"/>
          <w:b/>
          <w:noProof/>
          <w:color w:val="808080"/>
          <w:sz w:val="72"/>
        </w:rPr>
        <w:t>2.</w:t>
      </w:r>
      <w:r>
        <w:rPr>
          <w:noProof/>
        </w:rPr>
        <w:tab/>
      </w:r>
      <w:r>
        <w:rPr>
          <w:noProof/>
        </w:rPr>
        <w:t>Progress with country-specific recommendations</w:t>
      </w:r>
    </w:p>
    <w:p w:rsidR="003240A1" w:rsidRDefault="00EE321D">
      <w:pPr>
        <w:rPr>
          <w:noProof/>
        </w:rPr>
      </w:pPr>
      <w:r>
        <w:rPr>
          <w:b/>
          <w:noProof/>
        </w:rPr>
        <w:t>Progress with the implementation of the recommendations addressed to Lithuania in 2016 (</w:t>
      </w:r>
      <w:r>
        <w:rPr>
          <w:noProof/>
          <w:vertAlign w:val="superscript"/>
        </w:rPr>
        <w:footnoteReference w:id="9"/>
      </w:r>
      <w:r>
        <w:rPr>
          <w:b/>
          <w:noProof/>
        </w:rPr>
        <w:t xml:space="preserve">) has to be seen in a longer term perspective since the introduction of the European Semester in 2011. </w:t>
      </w:r>
      <w:r>
        <w:rPr>
          <w:noProof/>
        </w:rPr>
        <w:t xml:space="preserve">The broad policy </w:t>
      </w:r>
      <w:r>
        <w:rPr>
          <w:noProof/>
        </w:rPr>
        <w:t xml:space="preserve">areas covered by the 2016 CSRs - fiscal policy, human capital, and poverty and inequality - have featured in CSRs since they were first adopted in 2011. </w:t>
      </w:r>
    </w:p>
    <w:p w:rsidR="003240A1" w:rsidRDefault="00EE321D">
      <w:pPr>
        <w:rPr>
          <w:noProof/>
        </w:rPr>
      </w:pPr>
      <w:r>
        <w:rPr>
          <w:noProof/>
        </w:rPr>
        <w:t xml:space="preserve">Lithuania has generally maintained sound </w:t>
      </w:r>
      <w:r>
        <w:rPr>
          <w:b/>
          <w:noProof/>
        </w:rPr>
        <w:t>fiscal policy</w:t>
      </w:r>
      <w:r>
        <w:rPr>
          <w:noProof/>
        </w:rPr>
        <w:t xml:space="preserve"> – containing budget deficits, strengthening the</w:t>
      </w:r>
      <w:r>
        <w:rPr>
          <w:noProof/>
        </w:rPr>
        <w:t xml:space="preserve"> fiscal rules, and realigning the tax structure to support growth and employment. Lithuania has improved its budget position significantly since 2011, reducing its structural budget deficit from 3.5% of GDP in 2011 to an estimated 1.0% in 2016. It also rev</w:t>
      </w:r>
      <w:r>
        <w:rPr>
          <w:noProof/>
        </w:rPr>
        <w:t>ised its national fiscal framework, although it did not include binding multi-annual targets, as was specifically recommended in the 2011 – 2014 CSRs. On taxes, Lithuania has considerably reduced the tax wedge on labour and the low-wage earners, in particu</w:t>
      </w:r>
      <w:r>
        <w:rPr>
          <w:noProof/>
        </w:rPr>
        <w:t>lar; but it did not adequately compensate the resulting revenue loss by tapping other revenue sources that are less detrimental to growth. In 2014, Lithuania started a gradual increase in the retirement age, thereby improving the pension system's long term</w:t>
      </w:r>
      <w:r>
        <w:rPr>
          <w:noProof/>
        </w:rPr>
        <w:t xml:space="preserve"> sustainability. Though welcome, these changes remain insufficient to prevent a significant rise in pension expenditure in the future. </w:t>
      </w:r>
    </w:p>
    <w:p w:rsidR="003240A1" w:rsidRDefault="00EE321D">
      <w:pPr>
        <w:rPr>
          <w:noProof/>
        </w:rPr>
      </w:pPr>
      <w:r>
        <w:rPr>
          <w:noProof/>
        </w:rPr>
        <w:t xml:space="preserve">Lithuania has taken some important steps in strengthening investment in </w:t>
      </w:r>
      <w:r>
        <w:rPr>
          <w:b/>
          <w:noProof/>
        </w:rPr>
        <w:t>human capital</w:t>
      </w:r>
      <w:r>
        <w:rPr>
          <w:noProof/>
        </w:rPr>
        <w:t>, covered by CSRs relating to the q</w:t>
      </w:r>
      <w:r>
        <w:rPr>
          <w:noProof/>
        </w:rPr>
        <w:t xml:space="preserve">uality of teaching, labour market relevance of education, improving the employability of the low-skilled and promoting adult and work-based learning. While Lithuania has taken measures to improve the quality of vocational education and increase the use of </w:t>
      </w:r>
      <w:r>
        <w:rPr>
          <w:noProof/>
        </w:rPr>
        <w:t>apprenticeship schemes, other parts of the education system have seen limited progress and continue to face challenges of quality and efficiency.  On the one hand, Lithuania has taken steps to address the skills shortages by introducing the skills forecast</w:t>
      </w:r>
      <w:r>
        <w:rPr>
          <w:noProof/>
        </w:rPr>
        <w:t>ing system. On the other hand, improvement has been lacking in the coverage of active labour market policies, which are essential to improving the employability of the low skilled as well as increasing the labour supply at a time when it is becoming increa</w:t>
      </w:r>
      <w:r>
        <w:rPr>
          <w:noProof/>
        </w:rPr>
        <w:t xml:space="preserve">singly scarce. </w:t>
      </w:r>
    </w:p>
    <w:p w:rsidR="003240A1" w:rsidRDefault="00EE321D">
      <w:pPr>
        <w:rPr>
          <w:noProof/>
        </w:rPr>
      </w:pPr>
      <w:r>
        <w:rPr>
          <w:noProof/>
        </w:rPr>
        <w:t xml:space="preserve">Lithuania has struggled to reduce </w:t>
      </w:r>
      <w:r>
        <w:rPr>
          <w:b/>
          <w:noProof/>
        </w:rPr>
        <w:t>poverty and inequality</w:t>
      </w:r>
      <w:r>
        <w:rPr>
          <w:noProof/>
        </w:rPr>
        <w:t xml:space="preserve"> substantially. Poverty has decreased significantly since 2011, but this has been mainly due to increased employment. Lithuania has generally targeted its tax cuts to the lowest earners and thus helped reduce their risk of poverty and contain the rise of i</w:t>
      </w:r>
      <w:r>
        <w:rPr>
          <w:noProof/>
        </w:rPr>
        <w:t>nequality somewhat. By contrast, the measures taken to aid the non-working poor have been insufficient and as a result their material situation has not improved significantly. The social and material challenges faced by those who are not in work have not d</w:t>
      </w:r>
      <w:r>
        <w:rPr>
          <w:noProof/>
        </w:rPr>
        <w:t xml:space="preserve">iminished substantially as the funding to social assistance programmes has remained tenuous, and as only a small share of low-skilled have benefitted from programmes helping them to find work. </w:t>
      </w:r>
    </w:p>
    <w:p w:rsidR="003240A1" w:rsidRDefault="00EE321D">
      <w:pPr>
        <w:rPr>
          <w:noProof/>
        </w:rPr>
      </w:pPr>
      <w:r>
        <w:rPr>
          <w:noProof/>
        </w:rPr>
        <w:t xml:space="preserve">Finally, Lithuania has achieved </w:t>
      </w:r>
      <w:r>
        <w:rPr>
          <w:b/>
          <w:noProof/>
        </w:rPr>
        <w:t>substantial</w:t>
      </w:r>
      <w:r>
        <w:rPr>
          <w:noProof/>
        </w:rPr>
        <w:t xml:space="preserve"> progress in implem</w:t>
      </w:r>
      <w:r>
        <w:rPr>
          <w:noProof/>
        </w:rPr>
        <w:t xml:space="preserve">enting a reform of state-owned enterprise governance and improving the security of energy supply. </w:t>
      </w:r>
    </w:p>
    <w:p w:rsidR="003240A1" w:rsidRDefault="00EE321D">
      <w:pPr>
        <w:rPr>
          <w:noProof/>
        </w:rPr>
      </w:pPr>
      <w:r>
        <w:rPr>
          <w:b/>
          <w:noProof/>
        </w:rPr>
        <w:t>Overall, Lithuania has made some progress (</w:t>
      </w:r>
      <w:r>
        <w:rPr>
          <w:noProof/>
          <w:vertAlign w:val="superscript"/>
        </w:rPr>
        <w:footnoteReference w:id="10"/>
      </w:r>
      <w:r>
        <w:rPr>
          <w:b/>
          <w:noProof/>
        </w:rPr>
        <w:t>) in addressing the 2016 country-specific recommendations.</w:t>
      </w:r>
      <w:r>
        <w:rPr>
          <w:noProof/>
        </w:rPr>
        <w:t xml:space="preserve"> Lithuania achieved some progress addressing the recomm</w:t>
      </w:r>
      <w:r>
        <w:rPr>
          <w:noProof/>
        </w:rPr>
        <w:t xml:space="preserve">endations regarding fiscal issues and strengthening of human capital. However, progress in adopting measures to strengthen productivity was limited. </w:t>
      </w:r>
    </w:p>
    <w:tbl>
      <w:tblPr>
        <w:tblpPr w:vertAnchor="page" w:horzAnchor="margin" w:tblpY="2463"/>
        <w:tblOverlap w:val="never"/>
        <w:tblW w:w="8505" w:type="dxa"/>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2.1:</w:t>
            </w:r>
            <w:r>
              <w:rPr>
                <w:b/>
                <w:noProof/>
              </w:rPr>
              <w:tab/>
              <w:t>Summary table of 2016 CSR assessment</w:t>
            </w:r>
          </w:p>
        </w:tc>
      </w:tr>
      <w:tr w:rsidR="003240A1">
        <w:trPr>
          <w:cantSplit/>
        </w:trPr>
        <w:tc>
          <w:tcPr>
            <w:tcW w:w="8505" w:type="dxa"/>
            <w:shd w:val="clear" w:color="auto" w:fill="auto"/>
          </w:tcPr>
          <w:p w:rsidR="003240A1" w:rsidRDefault="00EE321D">
            <w:pPr>
              <w:pStyle w:val="TableShape"/>
              <w:rPr>
                <w:noProof/>
                <w:sz w:val="2"/>
              </w:rPr>
            </w:pPr>
            <w:bookmarkStart w:id="14" w:name="_Toc473809283"/>
            <w:bookmarkEnd w:id="14"/>
            <w:r>
              <w:rPr>
                <w:noProof/>
                <w:sz w:val="2"/>
                <w:lang w:eastAsia="en-GB"/>
              </w:rPr>
              <w:drawing>
                <wp:inline distT="0" distB="0" distL="0" distR="0">
                  <wp:extent cx="5400929" cy="6223940"/>
                  <wp:effectExtent l="0" t="0" r="0" b="5715"/>
                  <wp:docPr id="19" name="Picture 19" descr="&lt;_DISABLED_nbr_DISABLED_&gt;&lt;GETTEXTFROMWORD&gt;&lt;/nbr&gt;&#10;&lt;title&gt;&lt;GETTEXTFROMWORD&gt;&lt;/title&gt;&#10;&lt;_DISABLED_id_DISABLED_&gt;e1001205-079a-4c5c-8a5f-06a703f7996f&lt;/id&gt;&#10;&lt;srcType&gt;WORD&lt;/srcType&gt;&#10;&lt;srcPath&gt;O:\2017 CRs\15 LT\15_LT_GraphesTables\&lt;/srcPath&gt;&#10;&lt;srcName&gt;15 LT CSRs table.docx&lt;/srcName&gt;&#10;&lt;type&gt;table&lt;/type&gt;&#10;&lt;pos&gt;bottom_maintext&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0:56: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00929" cy="6223940"/>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Source"/>
              <w:rPr>
                <w:noProof/>
              </w:rPr>
            </w:pPr>
            <w:r>
              <w:rPr>
                <w:b/>
                <w:i/>
                <w:noProof/>
              </w:rPr>
              <w:t>Source:</w:t>
            </w:r>
            <w:r>
              <w:rPr>
                <w:noProof/>
              </w:rPr>
              <w:t xml:space="preserve"> European Commission</w:t>
            </w:r>
            <w:r>
              <w:rPr>
                <w:noProof/>
              </w:rPr>
              <w:br/>
              <w:t xml:space="preserve">(1) This overall </w:t>
            </w:r>
            <w:r>
              <w:rPr>
                <w:noProof/>
              </w:rPr>
              <w:t>assessment of CSR 1 does not include an assessment of compliance with the Stability and Growth Pact</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Pr>
        <w:tc>
          <w:tcPr>
            <w:tcW w:w="8505" w:type="dxa"/>
            <w:shd w:val="clear" w:color="auto" w:fill="F7FCFF"/>
          </w:tcPr>
          <w:p w:rsidR="003240A1" w:rsidRDefault="00EE321D">
            <w:pPr>
              <w:pStyle w:val="BoxShape"/>
              <w:rPr>
                <w:noProof/>
                <w:sz w:val="2"/>
              </w:rPr>
            </w:pPr>
            <w:bookmarkStart w:id="15" w:name="_Toc473809317"/>
            <w:bookmarkEnd w:id="15"/>
            <w:r>
              <w:rPr>
                <w:noProof/>
                <w:sz w:val="2"/>
                <w:lang w:eastAsia="en-GB"/>
              </w:rPr>
              <w:drawing>
                <wp:inline distT="0" distB="0" distL="0" distR="0">
                  <wp:extent cx="5040929" cy="6542090"/>
                  <wp:effectExtent l="0" t="0" r="7620" b="0"/>
                  <wp:docPr id="20" name="Picture 20" descr="&lt;_DISABLED_nbr_DISABLED_&gt;2.1&lt;/nbr&gt;&#10;&lt;title&gt;Contribution of the EU budget to structural change in Lithuania&lt;/title&gt;&#10;&lt;_DISABLED_id_DISABLED_&gt;df376f59-7d08-4387-a8fa-5c0884baedbd&lt;/id&gt;&#10;&lt;srcType&gt;WORD&lt;/srcType&gt;&#10;&lt;srcPath&gt;O:\2017 CRs\15 LT\15_LT_GraphesTables\&lt;/srcPath&gt;&#10;&lt;srcName&gt;EU funds box L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2T13:54:5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40929" cy="6542090"/>
                          </a:xfrm>
                          <a:prstGeom prst="rect">
                            <a:avLst/>
                          </a:prstGeom>
                          <a:noFill/>
                          <a:ln>
                            <a:noFill/>
                          </a:ln>
                        </pic:spPr>
                      </pic:pic>
                    </a:graphicData>
                  </a:graphic>
                </wp:inline>
              </w:drawing>
            </w: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rPr>
                <w:noProof/>
              </w:rPr>
            </w:pPr>
          </w:p>
        </w:tc>
      </w:tr>
    </w:tbl>
    <w:p w:rsidR="003240A1" w:rsidRDefault="003240A1">
      <w:pPr>
        <w:rPr>
          <w:noProof/>
        </w:rPr>
        <w:sectPr w:rsidR="003240A1">
          <w:headerReference w:type="even" r:id="rId45"/>
          <w:headerReference w:type="default" r:id="rId46"/>
          <w:footerReference w:type="even" r:id="rId47"/>
          <w:footerReference w:type="default" r:id="rId48"/>
          <w:headerReference w:type="first" r:id="rId49"/>
          <w:footerReference w:type="first" r:id="rId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4"/>
        <w:framePr w:wrap="notBeside"/>
        <w:rPr>
          <w:noProof/>
        </w:rPr>
      </w:pPr>
      <w:bookmarkStart w:id="16" w:name="_Toc473809271"/>
      <w:bookmarkStart w:id="17" w:name="_Toc473809272"/>
      <w:bookmarkEnd w:id="16"/>
      <w:bookmarkEnd w:id="17"/>
      <w:r>
        <w:rPr>
          <w:rFonts w:ascii="Times New Roman" w:hAnsi="Times New Roman"/>
          <w:b/>
          <w:noProof/>
          <w:color w:val="808080"/>
          <w:sz w:val="72"/>
        </w:rPr>
        <w:t>3.</w:t>
      </w:r>
      <w:r>
        <w:rPr>
          <w:noProof/>
        </w:rPr>
        <w:tab/>
        <w:t>Reform priorities</w:t>
      </w:r>
    </w:p>
    <w:p w:rsidR="003240A1" w:rsidRDefault="00EE321D">
      <w:pPr>
        <w:pStyle w:val="SubsectionHeading1"/>
        <w:framePr w:wrap="notBeside"/>
        <w:rPr>
          <w:noProof/>
        </w:rPr>
      </w:pPr>
      <w:r>
        <w:rPr>
          <w:noProof/>
        </w:rPr>
        <w:t>3.1.</w:t>
      </w:r>
      <w:r>
        <w:rPr>
          <w:noProof/>
        </w:rPr>
        <w:tab/>
        <w:t>Public finances and taxation</w:t>
      </w:r>
    </w:p>
    <w:p w:rsidR="003240A1" w:rsidRDefault="00EE321D">
      <w:pPr>
        <w:pStyle w:val="NumberedHeading1"/>
        <w:tabs>
          <w:tab w:val="left" w:pos="567"/>
        </w:tabs>
        <w:rPr>
          <w:noProof/>
        </w:rPr>
      </w:pPr>
      <w:r>
        <w:rPr>
          <w:noProof/>
        </w:rPr>
        <w:t>3.1.1.</w:t>
      </w:r>
      <w:r>
        <w:rPr>
          <w:noProof/>
        </w:rPr>
        <w:tab/>
        <w:t>Fiscal policy</w:t>
      </w:r>
    </w:p>
    <w:p w:rsidR="003240A1" w:rsidRDefault="00EE321D">
      <w:pPr>
        <w:rPr>
          <w:noProof/>
        </w:rPr>
      </w:pPr>
      <w:r>
        <w:rPr>
          <w:b/>
          <w:noProof/>
        </w:rPr>
        <w:t>Lithuania over-achieved its fiscal targets for several years in a row and stabilised its debt level, helped by revenue gains from strong domestic dema</w:t>
      </w:r>
      <w:r>
        <w:rPr>
          <w:b/>
          <w:noProof/>
        </w:rPr>
        <w:t xml:space="preserve">nd growth. </w:t>
      </w:r>
      <w:r>
        <w:rPr>
          <w:noProof/>
        </w:rPr>
        <w:t>In 2015, the general government deficit stood at 0.2% of GDP. It is set to increase to 0.5% of GDP in 2016, partially due to fading one-off revenues from the deposit insurance scheme’s surpluses. In 2017, the deficit is expected to widen to 0.7%</w:t>
      </w:r>
      <w:r>
        <w:rPr>
          <w:noProof/>
        </w:rPr>
        <w:t xml:space="preserve"> of GDP, mostly due to an additional cost of 0.5% of GDP for labour market and pension reforms. The additional revenues from a set of small tax increases and efforts to improve tax compliance are set to be offset by the lost revenues from the increase in n</w:t>
      </w:r>
      <w:r>
        <w:rPr>
          <w:noProof/>
        </w:rPr>
        <w:t xml:space="preserve">on-taxable incomes. The government also plans higher spending on public wages and pensions. The general government debt is set to stay well below the 60% of GDP threshold over the forecast horizon as it is expected to decline to 39.6% of GDP in 2018. </w:t>
      </w:r>
    </w:p>
    <w:p w:rsidR="003240A1" w:rsidRDefault="00EE321D">
      <w:pPr>
        <w:pStyle w:val="NumberedHeading1"/>
        <w:tabs>
          <w:tab w:val="left" w:pos="567"/>
        </w:tabs>
        <w:rPr>
          <w:noProof/>
        </w:rPr>
      </w:pPr>
      <w:r>
        <w:rPr>
          <w:noProof/>
        </w:rPr>
        <w:t>3.1.2.</w:t>
      </w:r>
      <w:r>
        <w:rPr>
          <w:noProof/>
        </w:rPr>
        <w:tab/>
        <w:t>Fiscal framework</w:t>
      </w:r>
    </w:p>
    <w:p w:rsidR="003240A1" w:rsidRDefault="00EE321D">
      <w:pPr>
        <w:rPr>
          <w:noProof/>
        </w:rPr>
      </w:pPr>
      <w:r>
        <w:rPr>
          <w:b/>
          <w:noProof/>
        </w:rPr>
        <w:t>Lithuania's medium-term budgetary framework extends over a three-year horizon for fiscal policy-making, but the substance of the multiannual targets is weak.</w:t>
      </w:r>
      <w:r>
        <w:rPr>
          <w:noProof/>
        </w:rPr>
        <w:t xml:space="preserve"> Lithuania went through the second cycle of budget planning since it joined</w:t>
      </w:r>
      <w:r>
        <w:rPr>
          <w:noProof/>
        </w:rPr>
        <w:t xml:space="preserve"> the euro area in 2015 and raised the structural balance rule to the level of a constitutional law following its ratification of the Treaty on Stability, Coordination and Governance. Lithuania in general adhered to its national procedures and strengthened </w:t>
      </w:r>
      <w:r>
        <w:rPr>
          <w:noProof/>
        </w:rPr>
        <w:t>their implementation capacities. However, the multiannual targets, specifically the consolidated indicators of the State budget and municipal budgets for the following three budgetary years, only provides an indicative base for multi-year planning. This we</w:t>
      </w:r>
      <w:r>
        <w:rPr>
          <w:noProof/>
        </w:rPr>
        <w:t>akens the credibility of such targets and increases the likelihood of deviation from them.</w:t>
      </w:r>
    </w:p>
    <w:p w:rsidR="003240A1" w:rsidRDefault="003240A1">
      <w:pPr>
        <w:rPr>
          <w:noProof/>
        </w:rPr>
      </w:pPr>
    </w:p>
    <w:p w:rsidR="003240A1" w:rsidRDefault="00EE321D">
      <w:pPr>
        <w:rPr>
          <w:noProof/>
        </w:rPr>
      </w:pPr>
      <w:r>
        <w:rPr>
          <w:b/>
          <w:noProof/>
        </w:rPr>
        <w:t>Budgetary reporting does not yet allow for fully effective and complete assessment of general government budgets vis-à-vis national fiscal rules.</w:t>
      </w:r>
      <w:r>
        <w:rPr>
          <w:noProof/>
        </w:rPr>
        <w:t xml:space="preserve">  The national audit office has been tasked with assessing the compliance of the general government budgets with national fiscal rules. Although the national fiscal rules have been in place for two budgetary cycles already, implementing provisions for the </w:t>
      </w:r>
      <w:r>
        <w:rPr>
          <w:noProof/>
        </w:rPr>
        <w:t>assessment process are lacking. Notably, the absence of adequate reporting standards and designation of reporting responsibilities make the assessment process cumbersome and inefficient. Furthermore, at the level of municipalities, the reports come too lat</w:t>
      </w:r>
      <w:r>
        <w:rPr>
          <w:noProof/>
        </w:rPr>
        <w:t xml:space="preserve">e for an </w:t>
      </w:r>
      <w:r>
        <w:rPr>
          <w:i/>
          <w:noProof/>
        </w:rPr>
        <w:t>ex ante</w:t>
      </w:r>
      <w:r>
        <w:rPr>
          <w:noProof/>
        </w:rPr>
        <w:t xml:space="preserve"> assessment.</w:t>
      </w:r>
    </w:p>
    <w:p w:rsidR="003240A1" w:rsidRDefault="00EE321D">
      <w:pPr>
        <w:pStyle w:val="NumberedHeading1"/>
        <w:tabs>
          <w:tab w:val="left" w:pos="567"/>
        </w:tabs>
        <w:rPr>
          <w:noProof/>
        </w:rPr>
      </w:pPr>
      <w:r>
        <w:rPr>
          <w:noProof/>
        </w:rPr>
        <w:t>3.1.3.</w:t>
      </w:r>
      <w:r>
        <w:rPr>
          <w:noProof/>
        </w:rPr>
        <w:tab/>
        <w:t>Medium and long term fiscal challenges</w:t>
      </w:r>
    </w:p>
    <w:p w:rsidR="003240A1" w:rsidRDefault="00EE321D">
      <w:pPr>
        <w:rPr>
          <w:noProof/>
        </w:rPr>
      </w:pPr>
      <w:r>
        <w:rPr>
          <w:b/>
          <w:noProof/>
        </w:rPr>
        <w:t>As a result of population ageing, expenditures on education, health care, long-term care and pensions are set to increase as a share of GDP.</w:t>
      </w:r>
      <w:r>
        <w:rPr>
          <w:noProof/>
        </w:rPr>
        <w:t xml:space="preserve"> Overall, total age-related expenditures </w:t>
      </w:r>
      <w:r>
        <w:rPr>
          <w:noProof/>
        </w:rPr>
        <w:t>are projected to increase from 16% of GDP in 2015 to 20.7% of GDP by the end of the 2030s, declining thereafter. Rising dependency ratios (see Section 2.1) and rapidly increasing years spent in retirement are the main drivers of the increase in age-related</w:t>
      </w:r>
      <w:r>
        <w:rPr>
          <w:noProof/>
        </w:rPr>
        <w:t xml:space="preserve"> costs. The bulk of this increase is due to pension expenditures which account for about 2.7 pps of GDP in spending increase. While the legislated increase in retirement age(</w:t>
      </w:r>
      <w:r>
        <w:rPr>
          <w:noProof/>
          <w:vertAlign w:val="superscript"/>
        </w:rPr>
        <w:footnoteReference w:id="11"/>
      </w:r>
      <w:r>
        <w:rPr>
          <w:noProof/>
        </w:rPr>
        <w:t>) does mitigate the fiscal impact somewhat, it fails to account for the increasin</w:t>
      </w:r>
      <w:r>
        <w:rPr>
          <w:noProof/>
        </w:rPr>
        <w:t xml:space="preserve">g life expectancy beyond 2020. Consequently, pension expenditure is projected to increase to 9.5% of GDP by the end of the 2030s (from 6.7% in 2015).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3.1.1:</w:t>
            </w:r>
            <w:r>
              <w:rPr>
                <w:b/>
                <w:noProof/>
              </w:rPr>
              <w:tab/>
              <w:t>Annual change in age-related expenditures</w:t>
            </w:r>
          </w:p>
        </w:tc>
      </w:tr>
      <w:tr w:rsidR="003240A1">
        <w:trPr>
          <w:cantSplit/>
        </w:trPr>
        <w:tc>
          <w:tcPr>
            <w:tcW w:w="4110" w:type="dxa"/>
            <w:shd w:val="clear" w:color="auto" w:fill="auto"/>
          </w:tcPr>
          <w:p w:rsidR="003240A1" w:rsidRDefault="00EE321D">
            <w:pPr>
              <w:pStyle w:val="GraphShape"/>
              <w:rPr>
                <w:noProof/>
                <w:sz w:val="2"/>
              </w:rPr>
            </w:pPr>
            <w:bookmarkStart w:id="18" w:name="_Toc473809299"/>
            <w:bookmarkEnd w:id="18"/>
            <w:r>
              <w:rPr>
                <w:noProof/>
                <w:sz w:val="2"/>
                <w:lang w:eastAsia="en-GB"/>
              </w:rPr>
              <w:drawing>
                <wp:inline distT="0" distB="0" distL="0" distR="0">
                  <wp:extent cx="2597595" cy="2441296"/>
                  <wp:effectExtent l="0" t="0" r="0" b="0"/>
                  <wp:docPr id="14" name="Picture 14" descr="&lt;_DISABLED_nbr_DISABLED_&gt;&lt;GETTEXTFROMWORD&gt;&lt;/nbr&gt;&#10;&lt;title&gt;&lt;GETTEXTFROMWORD&gt;&lt;/title&gt;&#10;&lt;_DISABLED_id_DISABLED_&gt;1958c825-391f-44bf-8581-8e8ce5fe62cd&lt;/id&gt;&#10;&lt;srcType&gt;EXCEL&lt;/srcType&gt;&#10;&lt;srcPath&gt;O:\2017 CRs\15 LT\15_LT_GraphesTables\&lt;/srcPath&gt;&#10;&lt;srcName&gt;AWG 2015 projections - LT_IDR.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6:57: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2015 Ageing report</w:t>
            </w:r>
          </w:p>
        </w:tc>
      </w:tr>
    </w:tbl>
    <w:p w:rsidR="003240A1" w:rsidRDefault="00EE321D">
      <w:pPr>
        <w:rPr>
          <w:noProof/>
        </w:rPr>
      </w:pPr>
      <w:r>
        <w:rPr>
          <w:noProof/>
        </w:rPr>
        <w:t xml:space="preserve">Graph </w:t>
      </w:r>
      <w:r>
        <w:rPr>
          <w:noProof/>
        </w:rPr>
        <w:fldChar w:fldCharType="begin"/>
      </w:r>
      <w:r>
        <w:rPr>
          <w:noProof/>
        </w:rPr>
        <w:instrText xml:space="preserve"> QUOTE "3.1.</w:instrText>
      </w:r>
      <w:r>
        <w:rPr>
          <w:noProof/>
        </w:rPr>
        <w:instrText>1"</w:instrText>
      </w:r>
      <w:r>
        <w:rPr>
          <w:noProof/>
        </w:rPr>
        <w:fldChar w:fldCharType="begin">
          <w:fldData xml:space="preserve">QwBSAE8AUwBTAFIARQBGAEUAUgBFAE4AQwBFACoARwBSAEEAUABIACoAMQA5ADUAOABjADgAMgA1
AC0AMwA5ADEAZgAtADQANABiAGYALQA4ADUAOAAxAC0AOABlADgAYwBlADUAZgBlADYAMgBjAGQA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shows the annual change of pension and other age-related expenditure, in terms of pps. of GDP. The amount of additional funding that pensions </w:t>
      </w:r>
      <w:r>
        <w:rPr>
          <w:noProof/>
        </w:rPr>
        <w:t>and age-related services will require each year is expected to reach 0.36% of GDP (</w:t>
      </w:r>
      <w:r>
        <w:rPr>
          <w:noProof/>
          <w:vertAlign w:val="superscript"/>
        </w:rPr>
        <w:footnoteReference w:id="12"/>
      </w:r>
      <w:r>
        <w:rPr>
          <w:noProof/>
        </w:rPr>
        <w:t xml:space="preserve">) in the late 2020s. </w:t>
      </w:r>
    </w:p>
    <w:p w:rsidR="003240A1" w:rsidRDefault="00EE321D">
      <w:pPr>
        <w:rPr>
          <w:noProof/>
        </w:rPr>
      </w:pPr>
      <w:r>
        <w:rPr>
          <w:noProof/>
        </w:rPr>
        <w:t xml:space="preserve">The contributions to the public pension scheme are also projected to fall - from 6.3% of GDP in 2015 to 5.8% in 2020. A one-off drop in contributions </w:t>
      </w:r>
      <w:r>
        <w:rPr>
          <w:noProof/>
        </w:rPr>
        <w:t>worth some 0.3% of GDP is expected in 2020 as the share of pension contributions to the funded scheme (second pension pillar) is set to increase from 2% to 3.5% of the gross wage. Without addressing the parameters of the pension system, the decrease in con</w:t>
      </w:r>
      <w:r>
        <w:rPr>
          <w:noProof/>
        </w:rPr>
        <w:t>tributions to the public pension scheme will add to the fiscal challenge posed by increasing expenditure.</w:t>
      </w:r>
    </w:p>
    <w:p w:rsidR="003240A1" w:rsidRDefault="00EE321D">
      <w:pPr>
        <w:pStyle w:val="NumberedHeading1"/>
        <w:tabs>
          <w:tab w:val="left" w:pos="567"/>
        </w:tabs>
        <w:rPr>
          <w:noProof/>
        </w:rPr>
      </w:pPr>
      <w:r>
        <w:rPr>
          <w:noProof/>
        </w:rPr>
        <w:t>3.1.4.</w:t>
      </w:r>
      <w:r>
        <w:rPr>
          <w:noProof/>
        </w:rPr>
        <w:tab/>
        <w:t>Taxation</w:t>
      </w:r>
    </w:p>
    <w:p w:rsidR="003240A1" w:rsidRDefault="00EE321D">
      <w:pPr>
        <w:rPr>
          <w:noProof/>
        </w:rPr>
      </w:pPr>
      <w:r>
        <w:rPr>
          <w:b/>
          <w:noProof/>
        </w:rPr>
        <w:t>Despite some progress made in recent years, tax compliance remains a concern in Lithuania.</w:t>
      </w:r>
      <w:r>
        <w:rPr>
          <w:noProof/>
        </w:rPr>
        <w:t xml:space="preserve"> According to the latest calculation (CASE, 2016), the VAT gap in Lithuania was 36.8% in 2014. Although it had decreased by 1.8 pp. compared to 2013, it was still the one of the highest VAT gaps in EU. In 2016, the State Tax Inspectorate continued to imple</w:t>
      </w:r>
      <w:r>
        <w:rPr>
          <w:noProof/>
        </w:rPr>
        <w:t xml:space="preserve">ment its Tax Compliance Strategy, which saw the introduction of an electronic invoicing system and an electronic waybill system. Having shown promising results in their pilot phase in 2015, these systems are hoped to improve tax collection considerably in </w:t>
      </w:r>
      <w:r>
        <w:rPr>
          <w:noProof/>
        </w:rPr>
        <w:t>the coming years. In addition to the above, Lithuania’s State Tax Inspectorate is also investing in developing a new IT system that would greatly enhance its analytical capabilities. The actual effect of these measures will only be seen in the coming years</w:t>
      </w:r>
      <w:r>
        <w:rPr>
          <w:noProof/>
        </w:rPr>
        <w:t xml:space="preserve"> but their introduction can be viewed as good progress in raising the efficiency of the tax administration. </w:t>
      </w:r>
    </w:p>
    <w:p w:rsidR="003240A1" w:rsidRDefault="00EE321D">
      <w:pPr>
        <w:rPr>
          <w:noProof/>
        </w:rPr>
      </w:pPr>
      <w:r>
        <w:rPr>
          <w:b/>
          <w:noProof/>
        </w:rPr>
        <w:t>Better tax compliance could contribute to the overall fairness of the tax system and improve the competitiveness of Lithuania’s economy.</w:t>
      </w:r>
      <w:r>
        <w:rPr>
          <w:noProof/>
        </w:rPr>
        <w:t xml:space="preserve"> Overall, L</w:t>
      </w:r>
      <w:r>
        <w:rPr>
          <w:noProof/>
        </w:rPr>
        <w:t>ithuania’s shadow economy is estimated to be between 15% - 26% (Putnins and Sauka, 2016; Schneider F., 2015). Besides the large VAT gap, underreporting of wages is pervasive and affects many economic sectors in Lithuania. Construction and services are repo</w:t>
      </w:r>
      <w:r>
        <w:rPr>
          <w:noProof/>
        </w:rPr>
        <w:t>rted to have the highest share of shadow activity. This distorts incentives and leads to resource misallocation and therefore can have negative repercussions for the overall competiveness of the economy. Moreover, the high wedge between effective and statu</w:t>
      </w:r>
      <w:r>
        <w:rPr>
          <w:noProof/>
        </w:rPr>
        <w:t xml:space="preserve">tory tax rates undermines the effectiveness of the tax policy. The revenue lost due to non-compliance exacerbates the income inequality problem by limiting the level of redistribution that Lithuania can afford. </w:t>
      </w:r>
    </w:p>
    <w:p w:rsidR="003240A1" w:rsidRDefault="00EE321D">
      <w:pPr>
        <w:rPr>
          <w:noProof/>
        </w:rPr>
      </w:pPr>
      <w:r>
        <w:rPr>
          <w:b/>
          <w:noProof/>
        </w:rPr>
        <w:t>Broadening the tax base might help raise mor</w:t>
      </w:r>
      <w:r>
        <w:rPr>
          <w:b/>
          <w:noProof/>
        </w:rPr>
        <w:t xml:space="preserve">e revenue in ways less detrimental to growth and address the high levels of inequality and social exclusion. </w:t>
      </w:r>
      <w:r>
        <w:rPr>
          <w:noProof/>
        </w:rPr>
        <w:t>Lithuania has one of the lowest overall tax burdens in the EU (</w:t>
      </w:r>
      <w:r>
        <w:rPr>
          <w:noProof/>
          <w:vertAlign w:val="superscript"/>
        </w:rPr>
        <w:footnoteReference w:id="13"/>
      </w:r>
      <w:r>
        <w:rPr>
          <w:noProof/>
        </w:rPr>
        <w:t>).This is partially due to the high share of the shadow economy and partially due t</w:t>
      </w:r>
      <w:r>
        <w:rPr>
          <w:noProof/>
        </w:rPr>
        <w:t>o relatively low environmental and capital taxes. Revenues from environmental taxes and recurrent property taxes are considerably lower than the EU average. In 2014, revenues from recurrent property taxes represented 0.3 % of GDP, (EU average was 1.6 %), w</w:t>
      </w:r>
      <w:r>
        <w:rPr>
          <w:noProof/>
        </w:rPr>
        <w:t>hile revenue from environmental taxes amounted to 1.7% of GDP (EU average 2.5%). These untapped sources, together with improved tax collection, offer an opportunity to rebalance the tax system in a way that supports employment, promotes income equality and</w:t>
      </w:r>
      <w:r>
        <w:rPr>
          <w:noProof/>
        </w:rPr>
        <w:t xml:space="preserve"> improves the resilience of the tax system to shocks.</w:t>
      </w:r>
    </w:p>
    <w:p w:rsidR="003240A1" w:rsidRDefault="00EE321D">
      <w:pPr>
        <w:rPr>
          <w:noProof/>
        </w:rPr>
      </w:pPr>
      <w:r>
        <w:rPr>
          <w:b/>
          <w:noProof/>
        </w:rPr>
        <w:t>In recent years, Lithuania has lowered the tax wedge on low-income earners significantly.</w:t>
      </w:r>
      <w:r>
        <w:rPr>
          <w:noProof/>
        </w:rPr>
        <w:t xml:space="preserve"> Lithuania has raised the upper threshold of the non-taxable income allowance from EUR 166 to EUR 200 in 2016, an</w:t>
      </w:r>
      <w:r>
        <w:rPr>
          <w:noProof/>
        </w:rPr>
        <w:t xml:space="preserve">d to EUR 310 in 2017. This is estimated to lower the tax burden on low-income earners (earning 50% of average wages) to 33.5% in 2017, in line with the EU average (see Graph </w:t>
      </w:r>
      <w:r>
        <w:rPr>
          <w:noProof/>
        </w:rPr>
        <w:fldChar w:fldCharType="begin"/>
      </w:r>
      <w:r>
        <w:rPr>
          <w:noProof/>
        </w:rPr>
        <w:instrText xml:space="preserve"> QUOTE "3.1.2"</w:instrText>
      </w:r>
      <w:r>
        <w:rPr>
          <w:noProof/>
        </w:rPr>
        <w:fldChar w:fldCharType="begin">
          <w:fldData xml:space="preserve">QwBSAE8AUwBTAFIARQBGAEUAUgBFAE4AQwBFACoARwBSAEEAUABIACoAMgBiADQANQBlAGMAMQBk
AC0ANQAzAGQAMQAtADQAZAAzADQALQBhADkAZgA2AC0ANwAzAGYAMwA1ADgAZQBhADUAOQAzAGIA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measure targets low income earners as the upper threshold applies to revenues below or equal to EUR 380 per month, starting from January 2017. It is proportionally reduced for higher incomes. The personal i</w:t>
      </w:r>
      <w:r>
        <w:rPr>
          <w:noProof/>
        </w:rPr>
        <w:t>ncome tax exemptions for dependent children and disabled persons have been raised as well. The increases in the tax allowance imply that single persons with two children earning 67% of the average wage do not pay personal income tax anymore in 2017. Howeve</w:t>
      </w:r>
      <w:r>
        <w:rPr>
          <w:noProof/>
        </w:rPr>
        <w:t xml:space="preserve">r, these measures fail to lower the tax burden for the most vulnerable households because their income tax liability is insufficient to benefit from additional increases in non-taxable allowance. Their tax wedge nevertheless remains substantial due to the </w:t>
      </w:r>
      <w:r>
        <w:rPr>
          <w:noProof/>
        </w:rPr>
        <w:t>relatively high rate of social contributions.</w:t>
      </w:r>
    </w:p>
    <w:p w:rsidR="003240A1" w:rsidRDefault="00EE321D">
      <w:pPr>
        <w:rPr>
          <w:noProof/>
        </w:rPr>
      </w:pPr>
      <w:r>
        <w:rPr>
          <w:b/>
          <w:noProof/>
        </w:rPr>
        <w:t xml:space="preserve">Other measures do not fully compensate for the reduced revenue due to labour tax cuts. </w:t>
      </w:r>
      <w:r>
        <w:rPr>
          <w:noProof/>
        </w:rPr>
        <w:t xml:space="preserve">In 2015, Lithuania broadened the base for property taxes. However, the additional revenue generated by this measure was </w:t>
      </w:r>
      <w:r>
        <w:rPr>
          <w:noProof/>
        </w:rPr>
        <w:t>meagre. The tax on land-filled waste was introduced in 2016 and will increase annually from 2017 until 2020, but the tax rate is low and significantly less ambitious than initially planned. Lithuania also remains among the few European countries that do no</w:t>
      </w:r>
      <w:r>
        <w:rPr>
          <w:noProof/>
        </w:rPr>
        <w:t>t have any type of car taxation or road-use tax for private passenger vehicles. Although the introduction of car taxation has been publicly discussed, there are no concrete plans to introduce it at the moment. Increases in excise duties on tobacco products</w:t>
      </w:r>
      <w:r>
        <w:rPr>
          <w:noProof/>
        </w:rPr>
        <w:t xml:space="preserve"> and alcohol in 2016 and 2017 are the most important sources of additional revenue. Overall, while the total revenue loss from the increases in the non-taxable allowances in 2017 is estimated at around EUR 140 million, the adopted tax increases are expecte</w:t>
      </w:r>
      <w:r>
        <w:rPr>
          <w:noProof/>
        </w:rPr>
        <w:t>d to cover around half of this.</w:t>
      </w:r>
    </w:p>
    <w:p w:rsidR="003240A1" w:rsidRDefault="003240A1">
      <w:pPr>
        <w:rPr>
          <w:noProof/>
        </w:rPr>
      </w:pPr>
    </w:p>
    <w:p w:rsidR="003240A1" w:rsidRDefault="003240A1">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3.1.2:</w:t>
            </w:r>
            <w:r>
              <w:rPr>
                <w:b/>
                <w:noProof/>
              </w:rPr>
              <w:tab/>
              <w:t>Tax wedge of different types of households earning 50% of average wage</w:t>
            </w:r>
          </w:p>
        </w:tc>
      </w:tr>
      <w:tr w:rsidR="003240A1">
        <w:trPr>
          <w:cantSplit/>
        </w:trPr>
        <w:tc>
          <w:tcPr>
            <w:tcW w:w="4110" w:type="dxa"/>
            <w:shd w:val="clear" w:color="auto" w:fill="auto"/>
          </w:tcPr>
          <w:p w:rsidR="003240A1" w:rsidRDefault="00EE321D">
            <w:pPr>
              <w:pStyle w:val="GraphShape"/>
              <w:rPr>
                <w:noProof/>
                <w:sz w:val="2"/>
              </w:rPr>
            </w:pPr>
            <w:bookmarkStart w:id="19" w:name="_Toc473809300"/>
            <w:bookmarkEnd w:id="19"/>
            <w:r>
              <w:rPr>
                <w:noProof/>
                <w:sz w:val="2"/>
                <w:lang w:eastAsia="en-GB"/>
              </w:rPr>
              <w:drawing>
                <wp:inline distT="0" distB="0" distL="0" distR="0">
                  <wp:extent cx="2597595" cy="2443565"/>
                  <wp:effectExtent l="0" t="0" r="0" b="0"/>
                  <wp:docPr id="16" name="Picture 16" descr="&lt;_DISABLED_nbr_DISABLED_&gt;&lt;GETTEXTFROMWORD&gt;&lt;/nbr&gt;&#10;&lt;title&gt;&lt;GETTEXTFROMWORD&gt;&lt;/title&gt;&#10;&lt;_DISABLED_id_DISABLED_&gt;2b45ec1d-53d1-4d34-a9f6-73f358ea593b&lt;/id&gt;&#10;&lt;srcType&gt;EXCEL&lt;/srcType&gt;&#10;&lt;srcPath&gt;O:\2017 CRs\15 LT\15_LT_GraphesTables\&lt;/srcPath&gt;&#10;&lt;srcName&gt;tax wedge.xlsx&lt;/srcName&gt;&#10;&lt;type&gt;graph&lt;/type&gt;&#10; &lt;srcSheet&gt;Sheet1&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8:39: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7595" cy="2443565"/>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3240A1">
      <w:pPr>
        <w:rPr>
          <w:noProof/>
        </w:rPr>
      </w:pPr>
    </w:p>
    <w:p w:rsidR="003240A1" w:rsidRDefault="003240A1">
      <w:pPr>
        <w:rPr>
          <w:noProof/>
        </w:rPr>
      </w:pPr>
    </w:p>
    <w:p w:rsidR="003240A1" w:rsidRDefault="003240A1">
      <w:pPr>
        <w:rPr>
          <w:noProof/>
        </w:rPr>
        <w:sectPr w:rsidR="003240A1">
          <w:headerReference w:type="even" r:id="rId53"/>
          <w:headerReference w:type="default" r:id="rId54"/>
          <w:footerReference w:type="even" r:id="rId55"/>
          <w:footerReference w:type="default" r:id="rId56"/>
          <w:headerReference w:type="first" r:id="rId57"/>
          <w:footerReference w:type="first" r:id="rId5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5"/>
        <w:framePr w:wrap="notBeside"/>
        <w:rPr>
          <w:noProof/>
        </w:rPr>
      </w:pPr>
      <w:bookmarkStart w:id="20" w:name="_Toc473809273"/>
      <w:bookmarkEnd w:id="20"/>
      <w:r>
        <w:rPr>
          <w:noProof/>
        </w:rPr>
        <w:t>3.2.</w:t>
      </w:r>
      <w:r>
        <w:rPr>
          <w:noProof/>
        </w:rPr>
        <w:tab/>
        <w:t>Financial sector</w:t>
      </w:r>
    </w:p>
    <w:p w:rsidR="003240A1" w:rsidRDefault="00EE321D">
      <w:pPr>
        <w:pStyle w:val="NumberedHeading1"/>
        <w:tabs>
          <w:tab w:val="left" w:pos="567"/>
        </w:tabs>
        <w:rPr>
          <w:noProof/>
        </w:rPr>
      </w:pPr>
      <w:r>
        <w:rPr>
          <w:noProof/>
        </w:rPr>
        <w:t>3.2.1.</w:t>
      </w:r>
      <w:r>
        <w:rPr>
          <w:noProof/>
        </w:rPr>
        <w:tab/>
        <w:t>Financial stability</w:t>
      </w:r>
    </w:p>
    <w:p w:rsidR="003240A1" w:rsidRDefault="00EE321D">
      <w:pPr>
        <w:rPr>
          <w:noProof/>
        </w:rPr>
      </w:pPr>
      <w:r>
        <w:rPr>
          <w:b/>
          <w:noProof/>
        </w:rPr>
        <w:t xml:space="preserve">Lithuania’s banking sector is relatively stable and profitable. Moderate risks stem from the high dependence on Nordic parent banks’ financing. </w:t>
      </w:r>
      <w:r>
        <w:rPr>
          <w:noProof/>
        </w:rPr>
        <w:t>The ba</w:t>
      </w:r>
      <w:r>
        <w:rPr>
          <w:noProof/>
        </w:rPr>
        <w:t>nking sector has fully recovered from the financial crisis and currently shows no signs of stress (table 3.2.1). The sector is well capitalised on average with the Tier 1 capital (</w:t>
      </w:r>
      <w:r>
        <w:rPr>
          <w:noProof/>
          <w:vertAlign w:val="superscript"/>
        </w:rPr>
        <w:footnoteReference w:id="14"/>
      </w:r>
      <w:r>
        <w:rPr>
          <w:noProof/>
        </w:rPr>
        <w:t>) adequacy ratio at 24.3% being among the highest in the EU in 2015. The qu</w:t>
      </w:r>
      <w:r>
        <w:rPr>
          <w:noProof/>
        </w:rPr>
        <w:t>ality of bank assets continues to improve. The average ratio of non-performing loans (NPL) stands at 5.2 % in 2015 compared to the peak of 16 % in 2010. At the same time, the coverage ratio was somewhat below the euro area average at 35 % of outstanding NP</w:t>
      </w:r>
      <w:r>
        <w:rPr>
          <w:noProof/>
        </w:rPr>
        <w:t>Ls and below the levels in Lithuania’s Baltic peers (</w:t>
      </w:r>
      <w:r>
        <w:rPr>
          <w:noProof/>
          <w:vertAlign w:val="superscript"/>
        </w:rPr>
        <w:footnoteReference w:id="15"/>
      </w:r>
      <w:r>
        <w:rPr>
          <w:noProof/>
        </w:rPr>
        <w:t>). With 7.5% return on equity and 0.9% return on assets, the sector’s profitability is well above EU average (4.4% and 0.3% return on equity and assets, respectively).</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Height w:val="20"/>
        </w:trPr>
        <w:tc>
          <w:tcPr>
            <w:tcW w:w="4110" w:type="dxa"/>
            <w:shd w:val="clear" w:color="auto" w:fill="auto"/>
          </w:tcPr>
          <w:p w:rsidR="003240A1" w:rsidRDefault="003240A1">
            <w:pPr>
              <w:pStyle w:val="SlimCell"/>
              <w:keepNext/>
              <w:rPr>
                <w:noProof/>
              </w:rPr>
            </w:pPr>
          </w:p>
        </w:tc>
      </w:tr>
      <w:tr w:rsidR="003240A1">
        <w:trPr>
          <w:cantSplit/>
        </w:trPr>
        <w:tc>
          <w:tcPr>
            <w:tcW w:w="4110" w:type="dxa"/>
            <w:shd w:val="clear" w:color="auto" w:fill="auto"/>
          </w:tcPr>
          <w:p w:rsidR="003240A1" w:rsidRDefault="00EE321D">
            <w:pPr>
              <w:pStyle w:val="TableTitle"/>
              <w:rPr>
                <w:b/>
                <w:noProof/>
              </w:rPr>
            </w:pPr>
            <w:r>
              <w:rPr>
                <w:noProof/>
              </w:rPr>
              <w:t>Table 3.2.1:</w:t>
            </w:r>
            <w:r>
              <w:rPr>
                <w:b/>
                <w:noProof/>
              </w:rPr>
              <w:tab/>
              <w:t>Financial soundness</w:t>
            </w:r>
            <w:r>
              <w:rPr>
                <w:b/>
                <w:noProof/>
              </w:rPr>
              <w:t xml:space="preserve"> indicators</w:t>
            </w:r>
          </w:p>
        </w:tc>
      </w:tr>
      <w:tr w:rsidR="003240A1">
        <w:trPr>
          <w:cantSplit/>
        </w:trPr>
        <w:tc>
          <w:tcPr>
            <w:tcW w:w="4110" w:type="dxa"/>
            <w:shd w:val="clear" w:color="auto" w:fill="auto"/>
          </w:tcPr>
          <w:p w:rsidR="003240A1" w:rsidRDefault="00EE321D">
            <w:pPr>
              <w:pStyle w:val="TableShape"/>
              <w:rPr>
                <w:noProof/>
                <w:sz w:val="2"/>
              </w:rPr>
            </w:pPr>
            <w:bookmarkStart w:id="21" w:name="_Toc473809284"/>
            <w:bookmarkEnd w:id="21"/>
            <w:r>
              <w:rPr>
                <w:noProof/>
                <w:sz w:val="2"/>
                <w:lang w:eastAsia="en-GB"/>
              </w:rPr>
              <w:drawing>
                <wp:inline distT="0" distB="0" distL="0" distR="0">
                  <wp:extent cx="2597595" cy="546362"/>
                  <wp:effectExtent l="0" t="0" r="0" b="6350"/>
                  <wp:docPr id="65" name="Picture 65" descr="&lt;_DISABLED_nbr_DISABLED_&gt;&lt;GETTEXTFROMWORD&gt;&lt;/nbr&gt;&#10;&lt;title&gt;&lt;GETTEXTFROMWORD&gt;&lt;/title&gt;&#10;&lt;_DISABLED_id_DISABLED_&gt;215b1b68-68cf-47c1-ac24-e796a3c39c9a&lt;/id&gt;&#10;&lt;srcType&gt;EXCEL&lt;/srcType&gt;&#10;&lt;srcPath&gt;O:\2017 CRs\15 LT\15_LT_GraphesTables\&lt;/srcPath&gt;&#10;&lt;srcName&gt;FISMA table.xlsx&lt;/srcName&gt;&#10;&lt;type&gt;table&lt;/type&gt;&#10; &lt;srcSheet&gt;Sheet1&lt;/srcSheet&gt;&#10; &lt;srcRange&gt;R2C2:R8C9&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6T11:43: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7595" cy="546362"/>
                          </a:xfrm>
                          <a:prstGeom prst="rect">
                            <a:avLst/>
                          </a:prstGeom>
                          <a:noFill/>
                          <a:ln>
                            <a:noFill/>
                          </a:ln>
                        </pic:spPr>
                      </pic:pic>
                    </a:graphicData>
                  </a:graphic>
                </wp:inline>
              </w:drawing>
            </w:r>
          </w:p>
        </w:tc>
      </w:tr>
      <w:tr w:rsidR="003240A1">
        <w:trPr>
          <w:cantSplit/>
        </w:trPr>
        <w:tc>
          <w:tcPr>
            <w:tcW w:w="4110" w:type="dxa"/>
            <w:shd w:val="clear" w:color="auto" w:fill="auto"/>
          </w:tcPr>
          <w:p w:rsidR="003240A1" w:rsidRDefault="00EE321D">
            <w:pPr>
              <w:pStyle w:val="TableFootnote"/>
              <w:rPr>
                <w:noProof/>
              </w:rPr>
            </w:pPr>
            <w:r>
              <w:rPr>
                <w:noProof/>
              </w:rPr>
              <w:t>(1) ECB aggregated balance sheet: loans excl. to gov. and MFI / deposits excl. from gov. and MFI</w:t>
            </w:r>
          </w:p>
          <w:p w:rsidR="003240A1" w:rsidRDefault="00EE321D">
            <w:pPr>
              <w:pStyle w:val="TableSource"/>
              <w:rPr>
                <w:noProof/>
              </w:rPr>
            </w:pPr>
            <w:r>
              <w:rPr>
                <w:b/>
                <w:i/>
                <w:noProof/>
              </w:rPr>
              <w:t>Source:</w:t>
            </w:r>
            <w:r>
              <w:rPr>
                <w:noProof/>
              </w:rPr>
              <w:t xml:space="preserve"> European Central Bank</w:t>
            </w:r>
          </w:p>
        </w:tc>
      </w:tr>
      <w:tr w:rsidR="003240A1">
        <w:trPr>
          <w:cantSplit/>
          <w:trHeight w:val="20"/>
        </w:trPr>
        <w:tc>
          <w:tcPr>
            <w:tcW w:w="4110" w:type="dxa"/>
            <w:shd w:val="clear" w:color="auto" w:fill="auto"/>
            <w:tcMar>
              <w:bottom w:w="240" w:type="dxa"/>
            </w:tcMar>
          </w:tcPr>
          <w:p w:rsidR="003240A1" w:rsidRDefault="003240A1">
            <w:pPr>
              <w:pStyle w:val="SlimCell"/>
              <w:rPr>
                <w:noProof/>
              </w:rPr>
            </w:pPr>
          </w:p>
        </w:tc>
      </w:tr>
    </w:tbl>
    <w:p w:rsidR="003240A1" w:rsidRDefault="00EE321D">
      <w:pPr>
        <w:rPr>
          <w:noProof/>
        </w:rPr>
      </w:pPr>
      <w:r>
        <w:rPr>
          <w:b/>
          <w:noProof/>
        </w:rPr>
        <w:t xml:space="preserve">In response to accelerating credit growth, the Bank of Lithuania has put in place a number of measures aimed </w:t>
      </w:r>
      <w:r>
        <w:rPr>
          <w:b/>
          <w:noProof/>
        </w:rPr>
        <w:t>at keeping associated risks in check</w:t>
      </w:r>
      <w:r>
        <w:rPr>
          <w:noProof/>
        </w:rPr>
        <w:t>. They were based on the macro-prudential strategy adopted in March 2015. They include a capital add-on for concentrated exposures, a capital buffer for four systemically important banks (</w:t>
      </w:r>
      <w:r>
        <w:rPr>
          <w:noProof/>
          <w:vertAlign w:val="superscript"/>
        </w:rPr>
        <w:footnoteReference w:id="16"/>
      </w:r>
      <w:r>
        <w:rPr>
          <w:noProof/>
        </w:rPr>
        <w:t>), a 85% loan-to-value cap, a 4</w:t>
      </w:r>
      <w:r>
        <w:rPr>
          <w:noProof/>
        </w:rPr>
        <w:t>0% debt-service-to-income limit, a 30-year maturity limit, a stress tests with a 5% interest rate and the frontloaded application of a 100% liquidity coverage ratio.</w:t>
      </w:r>
    </w:p>
    <w:p w:rsidR="003240A1" w:rsidRDefault="00EE321D">
      <w:pPr>
        <w:rPr>
          <w:noProof/>
        </w:rPr>
      </w:pPr>
      <w:r>
        <w:rPr>
          <w:b/>
          <w:noProof/>
        </w:rPr>
        <w:t xml:space="preserve">The funding gap is increasing as local deposit growth lags behind credit growth. </w:t>
      </w:r>
      <w:r>
        <w:rPr>
          <w:noProof/>
        </w:rPr>
        <w:t>While dur</w:t>
      </w:r>
      <w:r>
        <w:rPr>
          <w:noProof/>
        </w:rPr>
        <w:t>ing 2010 to 2015, deposit growth exceeded credit growth, allowing the banks to strengthen their funding structure and reduce their external liabilities, in 2016 the trend reversed and the loan-to-deposit ratio increased again to reach 106% at the end of 20</w:t>
      </w:r>
      <w:r>
        <w:rPr>
          <w:noProof/>
        </w:rPr>
        <w:t xml:space="preserve">16. Looking ahead, domestic deposits may not be sufficient to finance expanding credit amidst the growing economy. This funding gap will need to be closed by either the Nordic parent banks or borrowing from the bond markets. </w:t>
      </w:r>
    </w:p>
    <w:p w:rsidR="003240A1" w:rsidRDefault="00EE321D">
      <w:pPr>
        <w:rPr>
          <w:noProof/>
        </w:rPr>
      </w:pPr>
      <w:r>
        <w:rPr>
          <w:b/>
          <w:noProof/>
        </w:rPr>
        <w:t xml:space="preserve">The dominance of Nordic banks </w:t>
      </w:r>
      <w:r>
        <w:rPr>
          <w:b/>
          <w:noProof/>
        </w:rPr>
        <w:t>in Lithuania's banking sector poses an inward spillover risk.</w:t>
      </w:r>
      <w:r>
        <w:rPr>
          <w:noProof/>
        </w:rPr>
        <w:t xml:space="preserve"> A possible emergence of financial stress in the Nordic banking system, e.g. caused by a correction in housing prices in Sweden, could have adverse impact on Lithuania's banking sector. In case f</w:t>
      </w:r>
      <w:r>
        <w:rPr>
          <w:noProof/>
        </w:rPr>
        <w:t>oreign parent banks' balance sheets were to deteriorate, they might become less able to provide further credit (</w:t>
      </w:r>
      <w:r>
        <w:rPr>
          <w:noProof/>
          <w:vertAlign w:val="superscript"/>
        </w:rPr>
        <w:footnoteReference w:id="17"/>
      </w:r>
      <w:r>
        <w:rPr>
          <w:noProof/>
        </w:rPr>
        <w:t>). In such a scenario, the funding gap created by a divergence in credit and deposits growth would create and additional vulnerability to Lithu</w:t>
      </w:r>
      <w:r>
        <w:rPr>
          <w:noProof/>
        </w:rPr>
        <w:t xml:space="preserve">ania’s economy. </w:t>
      </w:r>
    </w:p>
    <w:p w:rsidR="003240A1" w:rsidRDefault="00EE321D">
      <w:pPr>
        <w:pStyle w:val="NumberedHeading1"/>
        <w:tabs>
          <w:tab w:val="left" w:pos="567"/>
        </w:tabs>
        <w:rPr>
          <w:noProof/>
        </w:rPr>
      </w:pPr>
      <w:r>
        <w:rPr>
          <w:noProof/>
        </w:rPr>
        <w:t>3.2.2.</w:t>
      </w:r>
      <w:r>
        <w:rPr>
          <w:noProof/>
        </w:rPr>
        <w:tab/>
        <w:t>Access to finance</w:t>
      </w:r>
    </w:p>
    <w:p w:rsidR="003240A1" w:rsidRDefault="00EE321D">
      <w:pPr>
        <w:rPr>
          <w:noProof/>
        </w:rPr>
      </w:pPr>
      <w:r>
        <w:rPr>
          <w:b/>
          <w:noProof/>
        </w:rPr>
        <w:t>The Lithuanian capital market has a substantial development potential.</w:t>
      </w:r>
      <w:r>
        <w:rPr>
          <w:noProof/>
        </w:rPr>
        <w:t xml:space="preserve"> Banks play the primary role in funding of non-financial corporations in Lithuania (total bank loans to NFCs equal 21% of GDP). Funds raised by companies on the stock market (9% of GDP) account for the second largest external source of financing. While the</w:t>
      </w:r>
      <w:r>
        <w:rPr>
          <w:noProof/>
        </w:rPr>
        <w:t xml:space="preserve"> local equity market is shallow compared with the EU average, access to the much more developed Nordic OMX and Warsaw stock exchanges is relatively easy and offers scope to raise more financing on the equity markets in the future. On the other hand, the an</w:t>
      </w:r>
      <w:r>
        <w:rPr>
          <w:noProof/>
        </w:rPr>
        <w:t>nual gross operating surplus of Lithuanian companies is higher than on average in the EU, suggesting that companies have the potential to finance investment from their retained profits.</w:t>
      </w:r>
    </w:p>
    <w:p w:rsidR="003240A1" w:rsidRDefault="003240A1">
      <w:pPr>
        <w:rPr>
          <w:b/>
          <w:noProof/>
        </w:rPr>
      </w:pPr>
    </w:p>
    <w:p w:rsidR="003240A1" w:rsidRDefault="003240A1">
      <w:pPr>
        <w:rPr>
          <w:b/>
          <w:noProof/>
        </w:rPr>
      </w:pPr>
    </w:p>
    <w:p w:rsidR="003240A1" w:rsidRDefault="00EE321D">
      <w:pPr>
        <w:rPr>
          <w:noProof/>
        </w:rPr>
      </w:pPr>
      <w:r>
        <w:rPr>
          <w:b/>
          <w:noProof/>
        </w:rPr>
        <w:t xml:space="preserve">Lithuania faces a shortage of sustainable, well-functioning </w:t>
      </w:r>
      <w:r>
        <w:rPr>
          <w:b/>
          <w:noProof/>
        </w:rPr>
        <w:t>financing sources for business development.</w:t>
      </w:r>
      <w:r>
        <w:rPr>
          <w:noProof/>
        </w:rPr>
        <w:t xml:space="preserve"> The presence of seed and venture capital is meagre and funding opportunities are not well known to businesses, despite the fact that business access to venture capital markets increased dramatically during 2011-2</w:t>
      </w:r>
      <w:r>
        <w:rPr>
          <w:noProof/>
        </w:rPr>
        <w:t>014 (Paliokaitė, Krūminas and Stamenov, 2016 (</w:t>
      </w:r>
      <w:r>
        <w:rPr>
          <w:noProof/>
          <w:vertAlign w:val="superscript"/>
        </w:rPr>
        <w:footnoteReference w:id="18"/>
      </w:r>
      <w:r>
        <w:rPr>
          <w:noProof/>
        </w:rPr>
        <w:t>). The shortage of alternative financing sources partly accounts for the high dependence on bank loans - Lithuanian SMEs tend to refer to banks for loans more often than the EU average, and at the same time th</w:t>
      </w:r>
      <w:r>
        <w:rPr>
          <w:noProof/>
        </w:rPr>
        <w:t>ey are denied funding most often in the EU. The percentage of Lithuanian SMEs which received the full amount of the bank loan they applied for is among the lowest in the EU (46% compared to 67% EU average) according to the EC SAFE survey (European Commissi</w:t>
      </w:r>
      <w:r>
        <w:rPr>
          <w:noProof/>
        </w:rPr>
        <w:t xml:space="preserve">on/European Central Bank, 2016). </w:t>
      </w:r>
    </w:p>
    <w:p w:rsidR="003240A1" w:rsidRDefault="00EE321D">
      <w:pPr>
        <w:rPr>
          <w:noProof/>
        </w:rPr>
      </w:pPr>
      <w:r>
        <w:rPr>
          <w:b/>
          <w:noProof/>
        </w:rPr>
        <w:t>Lithuania has made strong efforts to increase venture capital investment in recent years.</w:t>
      </w:r>
      <w:r>
        <w:rPr>
          <w:noProof/>
        </w:rPr>
        <w:t xml:space="preserve">  Among EU countries, Lithuania ranks 8th in venture capital financing as a share of GDP (European Commission, 2016a). Lithuania had </w:t>
      </w:r>
      <w:r>
        <w:rPr>
          <w:noProof/>
        </w:rPr>
        <w:t>the fastest growth in venture capital financing among the Member States and now ranks above the EU average. Developing the venture capital market is important, since Lithuanian firms facing financial constraints are often those with higher levels of labour</w:t>
      </w:r>
      <w:r>
        <w:rPr>
          <w:noProof/>
        </w:rPr>
        <w:t xml:space="preserve"> productivity. Lithuania contributed to the Baltic Innovation Fund, which is jointly financed by each of the Baltic countries and which invests in existing private equity and venture capital funds that then finance high potential firms in the Baltic countr</w:t>
      </w:r>
      <w:r>
        <w:rPr>
          <w:noProof/>
        </w:rPr>
        <w:t>ies. The government promotes new forms of financing – a law on crowd-investing is enforced as of 1 December, 2016. Venture capital financing is expected to pick up further in 2017. However, the financial portfolio of alternative financing sources still mos</w:t>
      </w:r>
      <w:r>
        <w:rPr>
          <w:noProof/>
        </w:rPr>
        <w:t>tly relies on European Structural and Investment Funds, raising concerns about their longer-term sustainability.</w:t>
      </w:r>
    </w:p>
    <w:p w:rsidR="003240A1" w:rsidRDefault="00EE321D">
      <w:pPr>
        <w:rPr>
          <w:noProof/>
        </w:rPr>
      </w:pPr>
      <w:r>
        <w:rPr>
          <w:b/>
          <w:noProof/>
        </w:rPr>
        <w:t>The government also took other initiatives to improve companies' access to finance beyond bank loans.</w:t>
      </w:r>
      <w:r>
        <w:rPr>
          <w:noProof/>
        </w:rPr>
        <w:t xml:space="preserve"> These include reforms to facilitate the i</w:t>
      </w:r>
      <w:r>
        <w:rPr>
          <w:noProof/>
        </w:rPr>
        <w:t>ssuance of corporate bonds (by ensuring a higher level of protection of bondholders' interests) and amendments to the Law on Companies that would make it easier for private companies to offer their bonds publicly. Both legal acts came into force on 1 Novem</w:t>
      </w:r>
      <w:r>
        <w:rPr>
          <w:noProof/>
        </w:rPr>
        <w:t>ber 2016. Additionally, further amendments to the Law on Companies are under consideration, including a revision of rules on private placement and stock options for employees. Finally, the Ministry of Finance, in partnership with the European Bank for Reco</w:t>
      </w:r>
      <w:r>
        <w:rPr>
          <w:noProof/>
        </w:rPr>
        <w:t>nstruction and Development, initiated a review of Lithuania's national legal system to facilitate securitisation and covered bond issuance.</w:t>
      </w:r>
    </w:p>
    <w:p w:rsidR="003240A1" w:rsidRDefault="00EE321D">
      <w:pPr>
        <w:rPr>
          <w:noProof/>
        </w:rPr>
        <w:sectPr w:rsidR="003240A1">
          <w:headerReference w:type="even" r:id="rId60"/>
          <w:headerReference w:type="default" r:id="rId61"/>
          <w:footerReference w:type="even" r:id="rId62"/>
          <w:footerReference w:type="default" r:id="rId63"/>
          <w:headerReference w:type="first" r:id="rId64"/>
          <w:footerReference w:type="first" r:id="rId6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noProof/>
        </w:rPr>
        <w:t xml:space="preserve">   </w:t>
      </w:r>
    </w:p>
    <w:p w:rsidR="003240A1" w:rsidRDefault="00EE321D">
      <w:pPr>
        <w:pStyle w:val="SectionTitleFramed6"/>
        <w:framePr w:wrap="notBeside"/>
        <w:rPr>
          <w:noProof/>
        </w:rPr>
      </w:pPr>
      <w:bookmarkStart w:id="22" w:name="_Toc473809274"/>
      <w:bookmarkEnd w:id="22"/>
      <w:r>
        <w:rPr>
          <w:noProof/>
        </w:rPr>
        <w:t>3.3.</w:t>
      </w:r>
      <w:r>
        <w:rPr>
          <w:noProof/>
        </w:rPr>
        <w:tab/>
        <w:t>Labour market, education and social policies</w:t>
      </w:r>
    </w:p>
    <w:p w:rsidR="003240A1" w:rsidRDefault="00EE321D">
      <w:pPr>
        <w:pStyle w:val="NumberedHeading1"/>
        <w:tabs>
          <w:tab w:val="left" w:pos="567"/>
        </w:tabs>
        <w:rPr>
          <w:noProof/>
        </w:rPr>
      </w:pPr>
      <w:r>
        <w:rPr>
          <w:noProof/>
        </w:rPr>
        <w:t>3.3.1.</w:t>
      </w:r>
      <w:r>
        <w:rPr>
          <w:noProof/>
        </w:rPr>
        <w:tab/>
        <w:t>Labour market: skills</w:t>
      </w:r>
    </w:p>
    <w:p w:rsidR="003240A1" w:rsidRDefault="00EE321D">
      <w:pPr>
        <w:rPr>
          <w:noProof/>
        </w:rPr>
      </w:pPr>
      <w:r>
        <w:rPr>
          <w:b/>
          <w:noProof/>
        </w:rPr>
        <w:t>Labour market outcomes in Lithuania are more strongly differentiated by education levels compared with other countries</w:t>
      </w:r>
      <w:r>
        <w:rPr>
          <w:noProof/>
        </w:rPr>
        <w:t>. While employment rates o</w:t>
      </w:r>
      <w:r>
        <w:rPr>
          <w:noProof/>
        </w:rPr>
        <w:t xml:space="preserve">f highly skilled workers are at about the EU average, employment rates of low- and medium-skilled are below average. Employment rates are particularly low for low-skilled elderly workers (aged 50-64) (see Graph 3.3.1). The large disparity in labour market </w:t>
      </w:r>
      <w:r>
        <w:rPr>
          <w:noProof/>
        </w:rPr>
        <w:t>outcomes across skills groups points to a potential shortage of high-skilled workers in Lithuania (</w:t>
      </w:r>
      <w:r>
        <w:rPr>
          <w:noProof/>
          <w:vertAlign w:val="superscript"/>
        </w:rPr>
        <w:footnoteReference w:id="19"/>
      </w:r>
      <w:r>
        <w:rPr>
          <w:noProof/>
        </w:rPr>
        <w:t>). While the skills gap has motivated an increase in tertiary attainment, there are concerns about the quality and labour market relevance of Lithuania's ed</w:t>
      </w:r>
      <w:r>
        <w:rPr>
          <w:noProof/>
        </w:rPr>
        <w:t xml:space="preserve">ucation system (see Section 3.3.5).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w:t>
            </w:r>
            <w:r>
              <w:rPr>
                <w:b/>
                <w:noProof/>
              </w:rPr>
              <w:tab/>
              <w:t>Employment rates by age group and skill level</w:t>
            </w:r>
          </w:p>
        </w:tc>
      </w:tr>
      <w:tr w:rsidR="003240A1">
        <w:trPr>
          <w:cantSplit/>
        </w:trPr>
        <w:tc>
          <w:tcPr>
            <w:tcW w:w="4110" w:type="dxa"/>
            <w:shd w:val="clear" w:color="auto" w:fill="auto"/>
          </w:tcPr>
          <w:p w:rsidR="003240A1" w:rsidRDefault="00EE321D">
            <w:pPr>
              <w:pStyle w:val="GraphShape"/>
              <w:rPr>
                <w:noProof/>
                <w:sz w:val="2"/>
              </w:rPr>
            </w:pPr>
            <w:bookmarkStart w:id="23" w:name="_Toc473809301"/>
            <w:bookmarkEnd w:id="23"/>
            <w:r>
              <w:rPr>
                <w:noProof/>
                <w:sz w:val="2"/>
                <w:lang w:eastAsia="en-GB"/>
              </w:rPr>
              <w:drawing>
                <wp:inline distT="0" distB="0" distL="0" distR="0">
                  <wp:extent cx="2597595" cy="2441296"/>
                  <wp:effectExtent l="0" t="0" r="0" b="0"/>
                  <wp:docPr id="18" name="Picture 18" descr="&lt;_DISABLED_nbr_DISABLED_&gt;&lt;GETTEXTFROMWORD&gt;&lt;/nbr&gt;&#10;&lt;title&gt;&lt;GETTEXTFROMWORD&gt;&lt;/title&gt;&#10;&lt;_DISABLED_id_DISABLED_&gt;1cedff95-5672-43c8-9c5f-b06c171b3db9&lt;/id&gt;&#10;&lt;srcType&gt;EXCEL&lt;/srcType&gt;&#10;&lt;srcPath&gt;O:\2017 CRs\15 LT\15_LT_GraphesTables\&lt;/srcPath&gt;&#10;&lt;srcName&gt;empl graphs.xlsx&lt;/srcName&gt;&#10;&lt;type&gt;graph&lt;/type&gt;&#10; &lt;srcSheet&gt;E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LS - low skill, MS - medium skill, HS - high skill</w:t>
            </w:r>
          </w:p>
        </w:tc>
      </w:tr>
    </w:tbl>
    <w:p w:rsidR="003240A1" w:rsidRDefault="00EE321D">
      <w:pPr>
        <w:rPr>
          <w:noProof/>
        </w:rPr>
      </w:pPr>
      <w:r>
        <w:rPr>
          <w:b/>
          <w:noProof/>
        </w:rPr>
        <w:t xml:space="preserve">The shortage of high-skilled workers is likely to generate some wage </w:t>
      </w:r>
      <w:r>
        <w:rPr>
          <w:b/>
          <w:noProof/>
        </w:rPr>
        <w:t>pressure in sectors recruiting this type of workers.</w:t>
      </w:r>
      <w:r>
        <w:rPr>
          <w:noProof/>
        </w:rPr>
        <w:t xml:space="preserve"> They are remunerated significantly better than low- and medium-skilled workers. High wage growth is already observed in the IT and communication sector, possibly related to the high inflow of FDI in shar</w:t>
      </w:r>
      <w:r>
        <w:rPr>
          <w:noProof/>
        </w:rPr>
        <w:t>ed services, ICT and financial services outsourcing (Skills Panorama, 2016) and the scarce supply of digital skills (</w:t>
      </w:r>
      <w:r>
        <w:rPr>
          <w:noProof/>
          <w:vertAlign w:val="superscript"/>
        </w:rPr>
        <w:footnoteReference w:id="20"/>
      </w:r>
      <w:r>
        <w:rPr>
          <w:noProof/>
        </w:rPr>
        <w:t>). The average worker in the ICT sector receives twice the mean hourly compensation in Lithuania (</w:t>
      </w:r>
      <w:r>
        <w:rPr>
          <w:noProof/>
          <w:vertAlign w:val="superscript"/>
        </w:rPr>
        <w:footnoteReference w:id="21"/>
      </w:r>
      <w:r>
        <w:rPr>
          <w:noProof/>
        </w:rPr>
        <w:t>), and wage growth has been strong in r</w:t>
      </w:r>
      <w:r>
        <w:rPr>
          <w:noProof/>
        </w:rPr>
        <w:t xml:space="preserve">ecent years. Average compensation is also relatively high in financial and insurance activities. Nevertheless, both of these sectors remain relatively small, each representing less than 2 % of total employment. </w:t>
      </w:r>
    </w:p>
    <w:p w:rsidR="003240A1" w:rsidRDefault="00EE321D">
      <w:pPr>
        <w:rPr>
          <w:noProof/>
        </w:rPr>
      </w:pPr>
      <w:r>
        <w:rPr>
          <w:b/>
          <w:noProof/>
        </w:rPr>
        <w:t>The sectoral composition of employment is sh</w:t>
      </w:r>
      <w:r>
        <w:rPr>
          <w:b/>
          <w:noProof/>
        </w:rPr>
        <w:t>ifting gradually away from agriculture and industry towards tradable and non-tradable service sectors</w:t>
      </w:r>
      <w:r>
        <w:rPr>
          <w:noProof/>
        </w:rPr>
        <w:t>. From a broad perspective, Lithuania is converging to the EU average sectoral composition, although it remains somewhat more specialised in lower-paying j</w:t>
      </w:r>
      <w:r>
        <w:rPr>
          <w:noProof/>
        </w:rPr>
        <w:t>obs such as in wholesale and retail, transport and storage, and agriculture; and the share of employment in higher-paying jobs such as information and communication, finance and insurance is still relatively low compared to the EU average and to other Balt</w:t>
      </w:r>
      <w:r>
        <w:rPr>
          <w:noProof/>
        </w:rPr>
        <w:t xml:space="preserve">ics (see Graph </w:t>
      </w:r>
      <w:r>
        <w:rPr>
          <w:noProof/>
        </w:rPr>
        <w:fldChar w:fldCharType="begin"/>
      </w:r>
      <w:r>
        <w:rPr>
          <w:noProof/>
        </w:rPr>
        <w:instrText xml:space="preserve"> QUOTE "3.3.2"</w:instrText>
      </w:r>
      <w:r>
        <w:rPr>
          <w:noProof/>
        </w:rPr>
        <w:fldChar w:fldCharType="begin">
          <w:fldData xml:space="preserve">QwBSAE8AUwBTAFIARQBGAEUAUgBFAE4AQwBFACoARwBSAEEAUABIACoANgA5ADUANwA2ADUAZgA4
AC0ANgAxAGQAOQAtADQAZgAzADEALQA4ADIAZABlAC0ANgA1AGIAOAAwADYAOQAxADkAYwBiADcA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xml:space="preserve">). However, assuming Lithuania’s structural transformation continues along the same path, the demand for highly skilled professionals will increase in the future.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3.3.2:</w:t>
            </w:r>
            <w:r>
              <w:rPr>
                <w:b/>
                <w:noProof/>
              </w:rPr>
              <w:tab/>
              <w:t>Employment by economic activity</w:t>
            </w:r>
          </w:p>
        </w:tc>
      </w:tr>
      <w:tr w:rsidR="003240A1">
        <w:trPr>
          <w:cantSplit/>
        </w:trPr>
        <w:tc>
          <w:tcPr>
            <w:tcW w:w="4110" w:type="dxa"/>
            <w:shd w:val="clear" w:color="auto" w:fill="auto"/>
          </w:tcPr>
          <w:p w:rsidR="003240A1" w:rsidRDefault="00EE321D">
            <w:pPr>
              <w:pStyle w:val="GraphShape"/>
              <w:rPr>
                <w:noProof/>
                <w:sz w:val="2"/>
              </w:rPr>
            </w:pPr>
            <w:bookmarkStart w:id="24" w:name="_Toc473809302"/>
            <w:bookmarkEnd w:id="24"/>
            <w:r>
              <w:rPr>
                <w:noProof/>
                <w:sz w:val="2"/>
                <w:lang w:eastAsia="en-GB"/>
              </w:rPr>
              <w:drawing>
                <wp:inline distT="0" distB="0" distL="0" distR="0">
                  <wp:extent cx="2597595" cy="2529903"/>
                  <wp:effectExtent l="0" t="0" r="0" b="0"/>
                  <wp:docPr id="24" name="Picture 24" descr="&lt;_DISABLED_nbr_DISABLED_&gt;&lt;GETTEXTFROMWORD&gt;&lt;/nbr&gt;&#10;&lt;title&gt;&lt;GETTEXTFROMWORD&gt;&lt;/title&gt;&#10;&lt;_DISABLED_id_DISABLED_&gt;695765f8-61d9-4f31-82de-65b806919cb7&lt;/id&gt;&#10;&lt;srcType&gt;EXCEL&lt;/srcType&gt;&#10;&lt;srcPath&gt;O:\2017 CRs\15 LT\15_LT_GraphesTables\&lt;/srcPath&gt;&#10;&lt;srcName&gt;empl graphs.xlsx&lt;/srcName&gt;&#10;&lt;type&gt;graph&lt;/type&gt;&#10; &lt;srcSheet&gt;sector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529903"/>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 xml:space="preserve">Employment is </w:t>
      </w:r>
      <w:r>
        <w:rPr>
          <w:b/>
          <w:noProof/>
        </w:rPr>
        <w:t>shifting increasingly towards more high-skilled occupations</w:t>
      </w:r>
      <w:r>
        <w:rPr>
          <w:noProof/>
        </w:rPr>
        <w:t xml:space="preserve"> (from 34% of employment in 2005 to 42% in 2015, as compared to the EU average of 41%) (ILO, 2007)(</w:t>
      </w:r>
      <w:r>
        <w:rPr>
          <w:noProof/>
          <w:vertAlign w:val="superscript"/>
        </w:rPr>
        <w:footnoteReference w:id="22"/>
      </w:r>
      <w:r>
        <w:rPr>
          <w:noProof/>
        </w:rPr>
        <w:t>). Especially the share of the professional services sector has increased, and now exceeds the EU</w:t>
      </w:r>
      <w:r>
        <w:rPr>
          <w:noProof/>
        </w:rPr>
        <w:t xml:space="preserve"> average. The share of skilled agricultural workers and of craft and related trade workers has declined over time, but remains above the EU average. </w:t>
      </w:r>
    </w:p>
    <w:p w:rsidR="003240A1" w:rsidRDefault="00EE321D">
      <w:pPr>
        <w:rPr>
          <w:noProof/>
        </w:rPr>
      </w:pPr>
      <w:r>
        <w:rPr>
          <w:b/>
          <w:noProof/>
        </w:rPr>
        <w:t>Investment in human capital is crucial to support economic growth and further labour market improvements.</w:t>
      </w:r>
      <w:r>
        <w:rPr>
          <w:noProof/>
        </w:rPr>
        <w:t xml:space="preserve"> </w:t>
      </w:r>
      <w:r>
        <w:rPr>
          <w:noProof/>
        </w:rPr>
        <w:t>The high impact of skills on labour market outcomes underscores the importance of both the initial education as well as the upskilling and reskilling of adults. A substantial share of active labour market policy (ALMP) resources in Lithuania is already tar</w:t>
      </w:r>
      <w:r>
        <w:rPr>
          <w:noProof/>
        </w:rPr>
        <w:t>geted towards training and upskilling of low- and medium-skilled unemployed. However, the general level of expenditures, and the coverage of active measures remains limited in Lithuania compared to other EU countries (Graph 3.3.3) (</w:t>
      </w:r>
      <w:r>
        <w:rPr>
          <w:noProof/>
          <w:vertAlign w:val="superscript"/>
        </w:rPr>
        <w:footnoteReference w:id="23"/>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3.3.3:</w:t>
            </w:r>
            <w:r>
              <w:rPr>
                <w:b/>
                <w:noProof/>
              </w:rPr>
              <w:tab/>
              <w:t>Covera</w:t>
            </w:r>
            <w:r>
              <w:rPr>
                <w:b/>
                <w:noProof/>
              </w:rPr>
              <w:t>ge of labour market policies</w:t>
            </w:r>
          </w:p>
        </w:tc>
      </w:tr>
      <w:tr w:rsidR="003240A1">
        <w:trPr>
          <w:cantSplit/>
        </w:trPr>
        <w:tc>
          <w:tcPr>
            <w:tcW w:w="4110" w:type="dxa"/>
            <w:shd w:val="clear" w:color="auto" w:fill="auto"/>
          </w:tcPr>
          <w:p w:rsidR="003240A1" w:rsidRDefault="00EE321D">
            <w:pPr>
              <w:pStyle w:val="GraphShape"/>
              <w:rPr>
                <w:noProof/>
                <w:sz w:val="2"/>
              </w:rPr>
            </w:pPr>
            <w:bookmarkStart w:id="25" w:name="_Toc473809303"/>
            <w:bookmarkEnd w:id="25"/>
            <w:r>
              <w:rPr>
                <w:noProof/>
                <w:sz w:val="2"/>
                <w:lang w:eastAsia="en-GB"/>
              </w:rPr>
              <w:drawing>
                <wp:inline distT="0" distB="0" distL="0" distR="0">
                  <wp:extent cx="2597595" cy="2515965"/>
                  <wp:effectExtent l="0" t="0" r="0" b="0"/>
                  <wp:docPr id="25" name="Picture 25" descr="&lt;_DISABLED_nbr_DISABLED_&gt;&lt;GETTEXTFROMWORD&gt;&lt;/nbr&gt;&#10;&lt;title&gt;&lt;GETTEXTFROMWORD&gt;&lt;/title&gt;&#10;&lt;_DISABLED_id_DISABLED_&gt;a830b00d-9813-4599-a000-154612159442&lt;/id&gt;&#10;&lt;srcType&gt;EXCEL&lt;/srcType&gt;&#10;&lt;srcPath&gt;O:\2017 CRs\15 LT\15_LT_GraphesTables\&lt;/srcPath&gt;&#10;&lt;srcName&gt;empl graphs.xlsx&lt;/srcName&gt;&#10;&lt;type&gt;graph&lt;/type&gt;&#10; &lt;srcSheet&gt;lmp_exp_201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515965"/>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Participation in adult learning remains stagnant at a low level (5.8%) compared with the EU average</w:t>
      </w:r>
      <w:r>
        <w:rPr>
          <w:noProof/>
        </w:rPr>
        <w:t xml:space="preserve"> (10.7% in 2015). According to PIAAC results, adults in Lithuania show above-average proficiency in numeracy and average proficiency in literacy skills compared with adults in the OECD countries. However, Lithuanian adults have low computer familiarity and</w:t>
      </w:r>
      <w:r>
        <w:rPr>
          <w:noProof/>
        </w:rPr>
        <w:t xml:space="preserve"> skills, and low levels of problem-solving skills in technology-rich environments, compared with other countries. A number of policy actions and planning documents were adopted during recent years to develop Lithuania's adult learning system, including the</w:t>
      </w:r>
      <w:r>
        <w:rPr>
          <w:noProof/>
        </w:rPr>
        <w:t xml:space="preserve"> establishment of a network of adult learning coordinators in all municipalities. As yet, the policy measures taken are at an initial stage of implementation and participation in adult learning remains low. </w:t>
      </w:r>
    </w:p>
    <w:p w:rsidR="003240A1" w:rsidRDefault="00EE321D">
      <w:pPr>
        <w:rPr>
          <w:noProof/>
        </w:rPr>
      </w:pPr>
      <w:r>
        <w:rPr>
          <w:b/>
          <w:noProof/>
        </w:rPr>
        <w:t>The 2016 revision of the Labour Code underscores</w:t>
      </w:r>
      <w:r>
        <w:rPr>
          <w:b/>
          <w:noProof/>
        </w:rPr>
        <w:t xml:space="preserve"> the importance of raising skills and workforce adaptability</w:t>
      </w:r>
      <w:r>
        <w:rPr>
          <w:noProof/>
        </w:rPr>
        <w:t xml:space="preserve">. The reforms of the Labour Code, and more broadly of other aspects of the social model, aim at making labour markets more flexible (see Box </w:t>
      </w:r>
      <w:r>
        <w:rPr>
          <w:noProof/>
        </w:rPr>
        <w:fldChar w:fldCharType="begin"/>
      </w:r>
      <w:r>
        <w:rPr>
          <w:noProof/>
        </w:rPr>
        <w:instrText xml:space="preserve"> QUOTE "3.3.1"</w:instrText>
      </w:r>
      <w:r>
        <w:rPr>
          <w:noProof/>
        </w:rPr>
        <w:fldChar w:fldCharType="begin">
          <w:fldData xml:space="preserve">QwBSAE8AUwBTAFIARQBGAEUAUgBFAE4AQwBFACoAQgBPAFgAKgAyADMANgAwADMANwBjADkALQBm
ADYAOAA3AC0ANABkADEAMAAtAGIAZgA5ADIALQA4ADIAMQBjADgAMwA2AGMAZAA3ADkAOAA=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while increasing security. This implies that careers will become more dynamic and workers would need to adjust flexibly across occupations and sectors. Therefore it is important that they</w:t>
      </w:r>
      <w:r>
        <w:rPr>
          <w:noProof/>
        </w:rPr>
        <w:t xml:space="preserve"> can reskill and upskill according to the economy's needs. In 2016, Lithuania adopted a new law on Employment (</w:t>
      </w:r>
      <w:r>
        <w:rPr>
          <w:noProof/>
          <w:vertAlign w:val="superscript"/>
        </w:rPr>
        <w:footnoteReference w:id="24"/>
      </w:r>
      <w:r>
        <w:rPr>
          <w:noProof/>
        </w:rPr>
        <w:t xml:space="preserve">) that is expected to mitigate the risk of unemployment, in particular by expanding the range of ALMP measures, and integrating them with other </w:t>
      </w:r>
      <w:r>
        <w:rPr>
          <w:noProof/>
        </w:rPr>
        <w:t>services provided by the Public Employment Service. So far, only limited additional funds have been allocated to support these measures.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Pr>
        <w:tc>
          <w:tcPr>
            <w:tcW w:w="8505" w:type="dxa"/>
            <w:shd w:val="clear" w:color="auto" w:fill="F7FCFF"/>
          </w:tcPr>
          <w:p w:rsidR="003240A1" w:rsidRDefault="00EE321D">
            <w:pPr>
              <w:pStyle w:val="BoxShape"/>
              <w:rPr>
                <w:noProof/>
                <w:sz w:val="2"/>
              </w:rPr>
            </w:pPr>
            <w:bookmarkStart w:id="26" w:name="_Toc473809318"/>
            <w:bookmarkEnd w:id="26"/>
            <w:r>
              <w:rPr>
                <w:noProof/>
                <w:sz w:val="2"/>
                <w:lang w:eastAsia="en-GB"/>
              </w:rPr>
              <w:drawing>
                <wp:inline distT="0" distB="0" distL="0" distR="0">
                  <wp:extent cx="5040929" cy="7169406"/>
                  <wp:effectExtent l="0" t="0" r="7620" b="0"/>
                  <wp:docPr id="26" name="Picture 26" descr="&lt;_DISABLED_nbr_DISABLED_&gt;3.3.1&lt;/nbr&gt;&#10;&lt;title&gt;The new labour code&lt;/title&gt;&#10;&lt;_DISABLED_id_DISABLED_&gt;236037c9-f687-4d10-bf92-821c836cd798&lt;/id&gt;&#10;&lt;srcType&gt;WORD&lt;/srcType&gt;&#10;&lt;srcPath&gt;O:\2017 CRs\15 LT\15_LT_GraphesTables\&lt;/srcPath&gt;&#10;&lt;srcName&gt;labour code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0T14:41: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040929" cy="7169406"/>
                          </a:xfrm>
                          <a:prstGeom prst="rect">
                            <a:avLst/>
                          </a:prstGeom>
                          <a:noFill/>
                          <a:ln>
                            <a:noFill/>
                          </a:ln>
                        </pic:spPr>
                      </pic:pic>
                    </a:graphicData>
                  </a:graphic>
                </wp:inline>
              </w:drawing>
            </w: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rPr>
                <w:noProof/>
              </w:rPr>
            </w:pPr>
          </w:p>
        </w:tc>
      </w:tr>
    </w:tbl>
    <w:p w:rsidR="003240A1" w:rsidRDefault="00EE321D">
      <w:pPr>
        <w:pStyle w:val="NumberedHeading1"/>
        <w:tabs>
          <w:tab w:val="left" w:pos="567"/>
        </w:tabs>
        <w:rPr>
          <w:noProof/>
        </w:rPr>
      </w:pPr>
      <w:r>
        <w:rPr>
          <w:noProof/>
        </w:rPr>
        <w:br w:type="page"/>
        <w:t>3.3.2.</w:t>
      </w:r>
      <w:r>
        <w:rPr>
          <w:noProof/>
        </w:rPr>
        <w:tab/>
        <w:t>Labour market: collective bargaining</w:t>
      </w:r>
    </w:p>
    <w:p w:rsidR="003240A1" w:rsidRDefault="00EE321D">
      <w:pPr>
        <w:rPr>
          <w:noProof/>
          <w:highlight w:val="yellow"/>
        </w:rPr>
      </w:pPr>
      <w:r>
        <w:rPr>
          <w:b/>
          <w:noProof/>
        </w:rPr>
        <w:t xml:space="preserve">The new Labour Code aims to encourage labour union membership </w:t>
      </w:r>
      <w:r>
        <w:rPr>
          <w:b/>
          <w:noProof/>
        </w:rPr>
        <w:t>and strengthens work councils.</w:t>
      </w:r>
      <w:r>
        <w:rPr>
          <w:noProof/>
        </w:rPr>
        <w:t xml:space="preserve"> The social dialogue in Lithuania is weak, evidenced by low union and employer organisation density and bargaining coverage (European Commission, 2016)(</w:t>
      </w:r>
      <w:r>
        <w:rPr>
          <w:noProof/>
          <w:vertAlign w:val="superscript"/>
        </w:rPr>
        <w:footnoteReference w:id="25"/>
      </w:r>
      <w:r>
        <w:rPr>
          <w:noProof/>
        </w:rPr>
        <w:t>). The government anticipates that the reforms will support the developme</w:t>
      </w:r>
      <w:r>
        <w:rPr>
          <w:noProof/>
        </w:rPr>
        <w:t>nt of a stronger social dialogue. Important changes in collective bargaining concern collective representation. Trade unions will no longer represent all employees, but rather only their members, with the aim to encourage trade union membership and represe</w:t>
      </w:r>
      <w:r>
        <w:rPr>
          <w:noProof/>
        </w:rPr>
        <w:t>ntativeness. In addition, a stronger role for works councils is established. Both the trade unions and the employer organisations have expressed their reservations over this reform, as it represents a major overhaul of the social dialogue at the firm level</w:t>
      </w:r>
      <w:r>
        <w:rPr>
          <w:noProof/>
        </w:rPr>
        <w:t>, and it is not clear whether there will be sufficient capacity on the ground for successful and effective implementation of the reform. The government has planned measures to support capacity building of the social partners, but more active involvement of</w:t>
      </w:r>
      <w:r>
        <w:rPr>
          <w:noProof/>
        </w:rPr>
        <w:t xml:space="preserve"> the social partners themselves in designing these measures would benefit the effectiveness of the reform.</w:t>
      </w:r>
      <w:r>
        <w:rPr>
          <w:noProof/>
          <w:highlight w:val="yellow"/>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3.3.4:</w:t>
            </w:r>
            <w:r>
              <w:rPr>
                <w:b/>
                <w:noProof/>
              </w:rPr>
              <w:tab/>
              <w:t>Net replacement rates at different lengths of unemployment duration in 2015</w:t>
            </w:r>
          </w:p>
        </w:tc>
      </w:tr>
      <w:tr w:rsidR="003240A1">
        <w:trPr>
          <w:cantSplit/>
        </w:trPr>
        <w:tc>
          <w:tcPr>
            <w:tcW w:w="4110" w:type="dxa"/>
            <w:shd w:val="clear" w:color="auto" w:fill="auto"/>
          </w:tcPr>
          <w:p w:rsidR="003240A1" w:rsidRDefault="00EE321D">
            <w:pPr>
              <w:pStyle w:val="GraphShape"/>
              <w:rPr>
                <w:noProof/>
                <w:sz w:val="2"/>
              </w:rPr>
            </w:pPr>
            <w:bookmarkStart w:id="27" w:name="_Toc473809304"/>
            <w:bookmarkEnd w:id="27"/>
            <w:r>
              <w:rPr>
                <w:noProof/>
                <w:sz w:val="2"/>
                <w:lang w:eastAsia="en-GB"/>
              </w:rPr>
              <w:drawing>
                <wp:inline distT="0" distB="0" distL="0" distR="0">
                  <wp:extent cx="2597595" cy="2441296"/>
                  <wp:effectExtent l="0" t="0" r="0" b="0"/>
                  <wp:docPr id="27" name="Picture 27" descr="&lt;_DISABLED_nbr_DISABLED_&gt;&lt;GETTEXTFROMWORD&gt;&lt;/nbr&gt;&#10;&lt;title&gt;&lt;GETTEXTFROMWORD&gt;&lt;/title&gt;&#10;&lt;_DISABLED_id_DISABLED_&gt;ac92edcd-25fa-44e2-b1df-1bce45afc2b4&lt;/id&gt;&#10;&lt;srcType&gt;EXCEL&lt;/srcType&gt;&#10;&lt;srcPath&gt;O:\2017 CRs\15 LT\15_LT_GraphesTables\&lt;/srcPath&gt;&#10;&lt;srcName&gt;empl graphs.xlsx&lt;/srcName&gt;&#10;&lt;type&gt;graph&lt;/type&gt;&#10; &lt;srcSheet&gt;NR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pStyle w:val="NumberedHeading1"/>
        <w:tabs>
          <w:tab w:val="left" w:pos="567"/>
        </w:tabs>
        <w:rPr>
          <w:noProof/>
        </w:rPr>
      </w:pPr>
      <w:r>
        <w:rPr>
          <w:noProof/>
        </w:rPr>
        <w:t>3.3.3.</w:t>
      </w:r>
      <w:r>
        <w:rPr>
          <w:noProof/>
        </w:rPr>
        <w:tab/>
        <w:t xml:space="preserve">Social policies: </w:t>
      </w:r>
      <w:r>
        <w:rPr>
          <w:noProof/>
        </w:rPr>
        <w:t>poverty</w:t>
      </w:r>
    </w:p>
    <w:p w:rsidR="003240A1" w:rsidRDefault="00EE321D">
      <w:pPr>
        <w:rPr>
          <w:noProof/>
        </w:rPr>
      </w:pPr>
      <w:r>
        <w:rPr>
          <w:b/>
          <w:noProof/>
        </w:rPr>
        <w:t>The decline of at-risk-of-poverty-or-social-exclusion (AROPE) rate stalled in 2015 and there are some signs of reversal.</w:t>
      </w:r>
      <w:r>
        <w:rPr>
          <w:noProof/>
        </w:rPr>
        <w:t xml:space="preserve"> Despite positive developments in previous years and steady GDP and employment growth, the AROPE increased from 27.3% in 2014 to</w:t>
      </w:r>
      <w:r>
        <w:rPr>
          <w:noProof/>
        </w:rPr>
        <w:t xml:space="preserve"> 29.3 % in 2015, mostly on account of the at-risk-of-poverty rate, but there was also a slight uptick in the severe material deprivation rate and in the population share in low work intensity households (Graph </w:t>
      </w:r>
      <w:r>
        <w:rPr>
          <w:noProof/>
        </w:rPr>
        <w:fldChar w:fldCharType="begin"/>
      </w:r>
      <w:r>
        <w:rPr>
          <w:noProof/>
        </w:rPr>
        <w:instrText xml:space="preserve"> QUOTE "3.3.5"</w:instrText>
      </w:r>
      <w:r>
        <w:rPr>
          <w:noProof/>
        </w:rPr>
        <w:fldChar w:fldCharType="begin">
          <w:fldData xml:space="preserve">QwBSAE8AUwBTAFIARQBGAEUAUgBFAE4AQwBFACoARwBSAEEAUABIACoAYQAzADUAYwBiAGEAMQBm
AC0AYwAwAGQAZAAtADQAYgA4AGYALQA5AGIANQA0AC0AYQA0ADMAZgBmAGMANgA0ADgAOABiAGYA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Poverty increased more for children and for elderly than for the working age population. It is high especially among unemployed and retired persons, mainly due to the low ade</w:t>
      </w:r>
      <w:r>
        <w:rPr>
          <w:noProof/>
        </w:rPr>
        <w:t>quacy of unemployment insurance benefits and pensions. The AROPE for unemployed persons stood at 74.5%, among the highest in the EU. The AROPE for retired persons aged 65+ amounts to 37.7%, also among the highest in the EU, and has increased since 2010. Th</w:t>
      </w:r>
      <w:r>
        <w:rPr>
          <w:noProof/>
        </w:rPr>
        <w:t xml:space="preserve">ere is also a significant gender gap in poverty for the population aged 65+: AROPE reaches 41.0 % for women, while for men it is at 26.2 % (2015). These trends suggest that Lithuania's welfare system is failing to keep pace with economic growth.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w:t>
            </w:r>
            <w:r>
              <w:rPr>
                <w:noProof/>
              </w:rPr>
              <w:t>.5:</w:t>
            </w:r>
            <w:r>
              <w:rPr>
                <w:b/>
                <w:noProof/>
              </w:rPr>
              <w:tab/>
              <w:t>Poverty indicators</w:t>
            </w:r>
          </w:p>
        </w:tc>
      </w:tr>
      <w:tr w:rsidR="003240A1">
        <w:trPr>
          <w:cantSplit/>
        </w:trPr>
        <w:tc>
          <w:tcPr>
            <w:tcW w:w="4110" w:type="dxa"/>
            <w:shd w:val="clear" w:color="auto" w:fill="auto"/>
          </w:tcPr>
          <w:p w:rsidR="003240A1" w:rsidRDefault="00EE321D">
            <w:pPr>
              <w:pStyle w:val="GraphShape"/>
              <w:rPr>
                <w:noProof/>
                <w:sz w:val="2"/>
              </w:rPr>
            </w:pPr>
            <w:bookmarkStart w:id="28" w:name="_Toc473809305"/>
            <w:bookmarkEnd w:id="28"/>
            <w:r>
              <w:rPr>
                <w:noProof/>
                <w:sz w:val="2"/>
                <w:lang w:eastAsia="en-GB"/>
              </w:rPr>
              <w:drawing>
                <wp:inline distT="0" distB="0" distL="0" distR="0">
                  <wp:extent cx="2597595" cy="2437539"/>
                  <wp:effectExtent l="0" t="0" r="0" b="0"/>
                  <wp:docPr id="28" name="Picture 28" descr="&lt;_DISABLED_nbr_DISABLED_&gt;&lt;GETTEXTFROMWORD&gt;&lt;/nbr&gt;&#10;&lt;title&gt;&lt;GETTEXTFROMWORD&gt;&lt;/title&gt;&#10;&lt;_DISABLED_id_DISABLED_&gt;a35cba1f-c0dd-4b8f-9b54-a43ffc6488bf&lt;/id&gt;&#10;&lt;srcType&gt;EXCEL&lt;/srcType&gt;&#10;&lt;srcPath&gt;O:\2017 CRs\15 LT\15_LT_GraphesTables\&lt;/srcPath&gt;&#10;&lt;srcName&gt;LT_poverty.xlsx&lt;/srcName&gt;&#10;&lt;type&gt;graph&lt;/type&gt;&#10; &lt;srcSheet&gt;AROPE&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8:22:4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3753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Lithuania's social safety net offers weak protection against poverty</w:t>
      </w:r>
      <w:r>
        <w:rPr>
          <w:noProof/>
        </w:rPr>
        <w:t>. The relative income level of Cash Social Assistance recipients (as a % of full time workers) is low compared to other EU countries</w:t>
      </w:r>
      <w:r>
        <w:rPr>
          <w:noProof/>
        </w:rPr>
        <w:t>. The amount of state supported income (EUR 102), which is the base for the cash social assistance, remains at the level of 2008 in spite of the strong average income growth observed since then. To promote better coverage, Lithuania adopted a set of amendm</w:t>
      </w:r>
      <w:r>
        <w:rPr>
          <w:noProof/>
        </w:rPr>
        <w:t>ents to the Law on Cash Social Assistance for Poor Residents (No XII-2611) which expands eligibility for receiving cash social assistance (e.g. grants for unemployed who take part in vocational training are not included in the means-test) and establishes a</w:t>
      </w:r>
      <w:r>
        <w:rPr>
          <w:noProof/>
        </w:rPr>
        <w:t xml:space="preserve"> list of circumstances under which cash social assistance cannot be reduced (e.g. if the Public Employment Service did not offer any activation measures). It also expands the eligibility for in-work benefits to those who are in unemployment for 6 months (r</w:t>
      </w:r>
      <w:r>
        <w:rPr>
          <w:noProof/>
        </w:rPr>
        <w:t xml:space="preserve">ather than the previous 12).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3.3.6:</w:t>
            </w:r>
            <w:r>
              <w:rPr>
                <w:b/>
                <w:noProof/>
              </w:rPr>
              <w:tab/>
              <w:t>Median income as a share of average income, %</w:t>
            </w:r>
          </w:p>
        </w:tc>
      </w:tr>
      <w:tr w:rsidR="003240A1">
        <w:trPr>
          <w:cantSplit/>
        </w:trPr>
        <w:tc>
          <w:tcPr>
            <w:tcW w:w="4110" w:type="dxa"/>
            <w:shd w:val="clear" w:color="auto" w:fill="auto"/>
          </w:tcPr>
          <w:p w:rsidR="003240A1" w:rsidRDefault="00EE321D">
            <w:pPr>
              <w:pStyle w:val="GraphShape"/>
              <w:rPr>
                <w:noProof/>
                <w:sz w:val="2"/>
              </w:rPr>
            </w:pPr>
            <w:bookmarkStart w:id="29" w:name="_Toc473809306"/>
            <w:bookmarkEnd w:id="29"/>
            <w:r>
              <w:rPr>
                <w:noProof/>
                <w:sz w:val="2"/>
                <w:lang w:eastAsia="en-GB"/>
              </w:rPr>
              <w:drawing>
                <wp:inline distT="0" distB="0" distL="0" distR="0">
                  <wp:extent cx="2597595" cy="2441296"/>
                  <wp:effectExtent l="0" t="0" r="0" b="0"/>
                  <wp:docPr id="29" name="Picture 29" descr="&lt;_DISABLED_nbr_DISABLED_&gt;&lt;GETTEXTFROMWORD&gt;&lt;/nbr&gt;&#10;&lt;title&gt;&lt;GETTEXTFROMWORD&gt;&lt;/title&gt;&#10;&lt;_DISABLED_id_DISABLED_&gt;5f8d901c-9010-4f66-a2a3-59c66d4314cf&lt;/id&gt;&#10;&lt;srcType&gt;EXCEL&lt;/srcType&gt;&#10;&lt;srcPath&gt;O:\2017 CRs\15 LT\15_LT_GraphesTables\&lt;/srcPath&gt;&#10;&lt;srcName&gt;empl graphs.xlsx&lt;/srcName&gt;&#10;&lt;type&gt;graph&lt;/type&gt;&#10; &lt;srcSheet&gt;GMI&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OECD data, European Commission calculations</w:t>
            </w:r>
          </w:p>
        </w:tc>
      </w:tr>
    </w:tbl>
    <w:p w:rsidR="003240A1" w:rsidRDefault="00EE321D">
      <w:pPr>
        <w:rPr>
          <w:noProof/>
        </w:rPr>
      </w:pPr>
      <w:r>
        <w:rPr>
          <w:b/>
          <w:noProof/>
        </w:rPr>
        <w:t>The share of people with disabilities at risk of poverty or social exclusion is among the highest in the EU</w:t>
      </w:r>
      <w:r>
        <w:rPr>
          <w:noProof/>
        </w:rPr>
        <w:t xml:space="preserve">. Moreover, the gap between persons with and without disabilities (at 18.5 pps) is the largest in the EU (Graph 3.3.7). The at-risk-of-poverty-or-social-exclusion rate is particularly high for persons with a severe disability at working age (65.7%, one of </w:t>
      </w:r>
      <w:r>
        <w:rPr>
          <w:noProof/>
        </w:rPr>
        <w:t xml:space="preserve">the highest in the EU).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3.3.7:</w:t>
            </w:r>
            <w:r>
              <w:rPr>
                <w:b/>
                <w:noProof/>
              </w:rPr>
              <w:tab/>
              <w:t>Share of people at risk of poverty or social exclusion by disability status, %</w:t>
            </w:r>
          </w:p>
        </w:tc>
      </w:tr>
      <w:tr w:rsidR="003240A1">
        <w:trPr>
          <w:cantSplit/>
        </w:trPr>
        <w:tc>
          <w:tcPr>
            <w:tcW w:w="4110" w:type="dxa"/>
            <w:shd w:val="clear" w:color="auto" w:fill="auto"/>
          </w:tcPr>
          <w:p w:rsidR="003240A1" w:rsidRDefault="00EE321D">
            <w:pPr>
              <w:pStyle w:val="GraphShape"/>
              <w:rPr>
                <w:noProof/>
                <w:sz w:val="2"/>
              </w:rPr>
            </w:pPr>
            <w:bookmarkStart w:id="30" w:name="_Toc473809307"/>
            <w:bookmarkEnd w:id="30"/>
            <w:r>
              <w:rPr>
                <w:noProof/>
                <w:sz w:val="2"/>
                <w:lang w:eastAsia="en-GB"/>
              </w:rPr>
              <w:drawing>
                <wp:inline distT="0" distB="0" distL="0" distR="0">
                  <wp:extent cx="2597595" cy="2583959"/>
                  <wp:effectExtent l="0" t="0" r="0" b="6985"/>
                  <wp:docPr id="15" name="Picture 15" descr="&lt;_DISABLED_nbr_DISABLED_&gt;&lt;GETTEXTFROMWORD&gt;&lt;/nbr&gt;&#10;&lt;title&gt;&lt;GETTEXTFROMWORD&gt;&lt;/title&gt;&#10;&lt;_DISABLED_id_DISABLED_&gt;eb34a729-1465-44c6-97da-f42fbf6672dc&lt;/id&gt;&#10;&lt;srcType&gt;EXCEL&lt;/srcType&gt;&#10;&lt;srcPath&gt;O:\2017 CRs\15 LT\15_LT_GraphesTables\&lt;/srcPath&gt;&#10;&lt;srcName&gt;AROPE.xlsx&lt;/srcName&gt;&#10;&lt;type&gt;graph&lt;/type&gt;&#10; &lt;srcSheet&gt;Sheet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2T16:24:3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58395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Graph includes 14 EU countries with the highest gap</w:t>
            </w:r>
          </w:p>
        </w:tc>
      </w:tr>
    </w:tbl>
    <w:p w:rsidR="003240A1" w:rsidRDefault="003240A1">
      <w:pPr>
        <w:rPr>
          <w:noProof/>
        </w:rPr>
      </w:pPr>
    </w:p>
    <w:p w:rsidR="003240A1" w:rsidRDefault="00EE321D">
      <w:pPr>
        <w:rPr>
          <w:noProof/>
        </w:rPr>
      </w:pPr>
      <w:r>
        <w:rPr>
          <w:b/>
          <w:noProof/>
        </w:rPr>
        <w:t xml:space="preserve">High poverty among disabled people relates to </w:t>
      </w:r>
      <w:r>
        <w:rPr>
          <w:b/>
          <w:noProof/>
        </w:rPr>
        <w:t>their weak labour market integration and low adequacy of social safety nets.</w:t>
      </w:r>
      <w:r>
        <w:rPr>
          <w:noProof/>
        </w:rPr>
        <w:t xml:space="preserve"> In 2014 only 23 % of all disabled persons were employed (ANED, 2016a). Lithuania has one of the highest employment gaps (40 ppt) between people with and without disabilities (Grap</w:t>
      </w:r>
      <w:r>
        <w:rPr>
          <w:noProof/>
        </w:rPr>
        <w:t xml:space="preserve">h </w:t>
      </w:r>
      <w:r>
        <w:rPr>
          <w:noProof/>
        </w:rPr>
        <w:fldChar w:fldCharType="begin"/>
      </w:r>
      <w:r>
        <w:rPr>
          <w:noProof/>
        </w:rPr>
        <w:instrText xml:space="preserve"> QUOTE "3.3.8"</w:instrText>
      </w:r>
      <w:r>
        <w:rPr>
          <w:noProof/>
        </w:rPr>
        <w:fldChar w:fldCharType="begin">
          <w:fldData xml:space="preserve">QwBSAE8AUwBTAFIARQBGAEUAUgBFAE4AQwBFACoARwBSAEEAUABIACoAOQA4ADUAOABhADIAYQBk
AC0AOQA2ADkANgAtADQAMAA1AGYALQBiADIAZQAyAC0ANgA4AGMAYwA1AGEAOQBlAGEAOQA2AGEA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3.3.8</w:t>
      </w:r>
      <w:r>
        <w:rPr>
          <w:noProof/>
        </w:rPr>
        <w:fldChar w:fldCharType="end"/>
      </w:r>
      <w:r>
        <w:rPr>
          <w:noProof/>
        </w:rPr>
        <w:t>). While the legal environment and national level strategies programmes for the disabled are in place, Lithuania lacks comprehens</w:t>
      </w:r>
      <w:r>
        <w:rPr>
          <w:noProof/>
        </w:rPr>
        <w:t>ive measures for the effective integration of disabled persons into the labour market, which is the most efficient way to protect them against poverty. In this respect, the functioning and effectiveness of current system of social enterprises is reportedly</w:t>
      </w:r>
      <w:r>
        <w:rPr>
          <w:noProof/>
        </w:rPr>
        <w:t xml:space="preserve"> weak (ANED, 2016b).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3.3.8:</w:t>
            </w:r>
            <w:r>
              <w:rPr>
                <w:b/>
                <w:noProof/>
              </w:rPr>
              <w:tab/>
              <w:t>Employment gap of people with disabilities aged 20 to 64</w:t>
            </w:r>
          </w:p>
        </w:tc>
      </w:tr>
      <w:tr w:rsidR="003240A1">
        <w:trPr>
          <w:cantSplit/>
        </w:trPr>
        <w:tc>
          <w:tcPr>
            <w:tcW w:w="4110" w:type="dxa"/>
            <w:shd w:val="clear" w:color="auto" w:fill="auto"/>
          </w:tcPr>
          <w:p w:rsidR="003240A1" w:rsidRDefault="00EE321D">
            <w:pPr>
              <w:pStyle w:val="GraphShape"/>
              <w:rPr>
                <w:noProof/>
                <w:sz w:val="2"/>
              </w:rPr>
            </w:pPr>
            <w:bookmarkStart w:id="31" w:name="_Toc473809308"/>
            <w:bookmarkEnd w:id="31"/>
            <w:r>
              <w:rPr>
                <w:noProof/>
                <w:sz w:val="2"/>
                <w:lang w:eastAsia="en-GB"/>
              </w:rPr>
              <w:drawing>
                <wp:inline distT="0" distB="0" distL="0" distR="0">
                  <wp:extent cx="2597595" cy="2440587"/>
                  <wp:effectExtent l="0" t="0" r="0" b="0"/>
                  <wp:docPr id="30" name="Picture 30" descr="&lt;_DISABLED_nbr_DISABLED_&gt;&lt;GETTEXTFROMWORD&gt;&lt;/nbr&gt;&#10;&lt;title&gt;&lt;GETTEXTFROMWORD&gt;&lt;/title&gt;&#10;&lt;_DISABLED_id_DISABLED_&gt;9858a2ad-9696-405f-b2e2-68cc5a9ea96a&lt;/id&gt;&#10;&lt;srcType&gt;EXCEL&lt;/srcType&gt;&#10;&lt;srcPath&gt;O:\2017 CRs\15 LT\15_LT_GraphesTables\&lt;/srcPath&gt;&#10;&lt;srcName&gt;disabled employment gap.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7:27:4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Employment gap is the difference of employment rate of people without disabilities and of those with disabilities</w:t>
            </w:r>
          </w:p>
        </w:tc>
      </w:tr>
    </w:tbl>
    <w:p w:rsidR="003240A1" w:rsidRDefault="00EE321D">
      <w:pPr>
        <w:pStyle w:val="NumberedHeading1"/>
        <w:tabs>
          <w:tab w:val="left" w:pos="567"/>
        </w:tabs>
        <w:rPr>
          <w:noProof/>
        </w:rPr>
      </w:pPr>
      <w:r>
        <w:rPr>
          <w:noProof/>
        </w:rPr>
        <w:t>3.3.4.</w:t>
      </w:r>
      <w:r>
        <w:rPr>
          <w:noProof/>
        </w:rPr>
        <w:tab/>
      </w:r>
      <w:r>
        <w:rPr>
          <w:noProof/>
        </w:rPr>
        <w:t>Social policies: inequality of income</w:t>
      </w:r>
    </w:p>
    <w:p w:rsidR="003240A1" w:rsidRDefault="00EE321D">
      <w:pPr>
        <w:rPr>
          <w:noProof/>
        </w:rPr>
      </w:pPr>
      <w:r>
        <w:rPr>
          <w:b/>
          <w:noProof/>
        </w:rPr>
        <w:t>The inequality of incomes in Lithuania is one of the highest in the EU, and has been increasing since 2012</w:t>
      </w:r>
      <w:r>
        <w:rPr>
          <w:noProof/>
        </w:rPr>
        <w:t>. In 2015, the income quintile share ratio (S20/S80) (</w:t>
      </w:r>
      <w:r>
        <w:rPr>
          <w:noProof/>
          <w:vertAlign w:val="superscript"/>
        </w:rPr>
        <w:footnoteReference w:id="26"/>
      </w:r>
      <w:r>
        <w:rPr>
          <w:noProof/>
        </w:rPr>
        <w:t>) stood at 7.5, one of the highest levels in the EU (Grap</w:t>
      </w:r>
      <w:r>
        <w:rPr>
          <w:noProof/>
        </w:rPr>
        <w:t xml:space="preserve">h </w:t>
      </w:r>
      <w:r>
        <w:rPr>
          <w:noProof/>
        </w:rPr>
        <w:fldChar w:fldCharType="begin"/>
      </w:r>
      <w:r>
        <w:rPr>
          <w:noProof/>
        </w:rPr>
        <w:instrText xml:space="preserve"> QUOTE "3.3.9"</w:instrText>
      </w:r>
      <w:r>
        <w:rPr>
          <w:noProof/>
        </w:rPr>
        <w:fldChar w:fldCharType="begin">
          <w:fldData xml:space="preserve">QwBSAE8AUwBTAFIARQBGAEUAUgBFAE4AQwBFACoARwBSAEEAUABIACoAMwAxAGQAYwA3AGYAZgAw
AC0AZABlAGYAZgAtADQAMgBlADYALQBhADAAMQBmAC0AOABjADcAYQAwAGEAYQA3AGQANgA2AGQA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3.3.9</w:t>
      </w:r>
      <w:r>
        <w:rPr>
          <w:noProof/>
        </w:rPr>
        <w:fldChar w:fldCharType="end"/>
      </w:r>
      <w:r>
        <w:rPr>
          <w:noProof/>
        </w:rPr>
        <w:t>). Inequality is the result of high employment gaps between low-skilled and high-skilled workers, the strong wage dispersion, the</w:t>
      </w:r>
      <w:r>
        <w:rPr>
          <w:noProof/>
        </w:rPr>
        <w:t xml:space="preserve"> limited progressivity of the tax system, and weak social safety nets, including for the elderly (IMF, 2016). Besides the fact that excessive income inequality is considered to be detrimental to economic growth and macro-economic stability, in Lithuania it</w:t>
      </w:r>
      <w:r>
        <w:rPr>
          <w:noProof/>
        </w:rPr>
        <w:t xml:space="preserve"> could also be one of the causes of emigration.</w:t>
      </w:r>
    </w:p>
    <w:p w:rsidR="003240A1" w:rsidRDefault="00EE321D">
      <w:pPr>
        <w:rPr>
          <w:noProof/>
        </w:rPr>
      </w:pPr>
      <w:r>
        <w:rPr>
          <w:b/>
          <w:noProof/>
        </w:rPr>
        <w:t>The tax-benefit system seems insufficient to correct for inequality of market incomes in Lithuania</w:t>
      </w:r>
      <w:r>
        <w:rPr>
          <w:noProof/>
        </w:rPr>
        <w:t>. Lithuania has one of the lowest tax-to-GDP ratios in the EU. Total tax revenues were 27.7 % of GDP in 2015 a</w:t>
      </w:r>
      <w:r>
        <w:rPr>
          <w:noProof/>
        </w:rPr>
        <w:t>s compared to the EU average of 40 %. Combined with weak social safety nets, the system is less able to correct market income inequalities than in other Member States. Lithuania has one of the highest Gini coefficients for household income after tax and be</w:t>
      </w:r>
      <w:r>
        <w:rPr>
          <w:noProof/>
        </w:rPr>
        <w:t>nefits in 2015(</w:t>
      </w:r>
      <w:r>
        <w:rPr>
          <w:noProof/>
          <w:vertAlign w:val="superscript"/>
        </w:rPr>
        <w:footnoteReference w:id="27"/>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3.3.9:</w:t>
            </w:r>
            <w:r>
              <w:rPr>
                <w:b/>
                <w:noProof/>
              </w:rPr>
              <w:tab/>
              <w:t>S80/S20 income ratio</w:t>
            </w:r>
          </w:p>
        </w:tc>
      </w:tr>
      <w:tr w:rsidR="003240A1">
        <w:trPr>
          <w:cantSplit/>
        </w:trPr>
        <w:tc>
          <w:tcPr>
            <w:tcW w:w="4110" w:type="dxa"/>
            <w:shd w:val="clear" w:color="auto" w:fill="auto"/>
          </w:tcPr>
          <w:p w:rsidR="003240A1" w:rsidRDefault="00EE321D">
            <w:pPr>
              <w:pStyle w:val="GraphShape"/>
              <w:rPr>
                <w:noProof/>
                <w:sz w:val="2"/>
              </w:rPr>
            </w:pPr>
            <w:bookmarkStart w:id="32" w:name="_Toc473809309"/>
            <w:bookmarkEnd w:id="32"/>
            <w:r>
              <w:rPr>
                <w:noProof/>
                <w:sz w:val="2"/>
                <w:lang w:eastAsia="en-GB"/>
              </w:rPr>
              <w:drawing>
                <wp:inline distT="0" distB="0" distL="0" distR="0">
                  <wp:extent cx="2597595" cy="2436430"/>
                  <wp:effectExtent l="0" t="0" r="0" b="0"/>
                  <wp:docPr id="13" name="Picture 13" descr="&lt;_DISABLED_nbr_DISABLED_&gt;&lt;GETTEXTFROMWORD&gt;&lt;/nbr&gt;&#10;&lt;title&gt;&lt;GETTEXTFROMWORD&gt;&lt;/title&gt;&#10;&lt;_DISABLED_id_DISABLED_&gt;31dc7ff0-deff-42e6-a01f-8c7a0aa7d66d&lt;/id&gt;&#10;&lt;srcType&gt;EXCEL&lt;/srcType&gt;&#10;&lt;srcPath&gt;O:\2017 CRs\15 LT\15_LT_GraphesTables\&lt;/srcPath&gt;&#10;&lt;srcName&gt;gini graphs.xls&lt;/srcName&gt;&#10;&lt;type&gt;graph&lt;/type&gt;&#10; &lt;srcSheet&gt;S80S20&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21T18:19: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S80/S20 shows the ratio of the total income of the 20% of the highest earners divided by the total income of 20% of the lowest earners</w:t>
            </w:r>
          </w:p>
        </w:tc>
      </w:tr>
    </w:tbl>
    <w:p w:rsidR="003240A1" w:rsidRDefault="00EE321D">
      <w:pPr>
        <w:pStyle w:val="NumberedHeading1"/>
        <w:tabs>
          <w:tab w:val="left" w:pos="567"/>
        </w:tabs>
        <w:rPr>
          <w:noProof/>
        </w:rPr>
      </w:pPr>
      <w:r>
        <w:rPr>
          <w:noProof/>
        </w:rPr>
        <w:t>3.3.5.</w:t>
      </w:r>
      <w:r>
        <w:rPr>
          <w:noProof/>
        </w:rPr>
        <w:tab/>
        <w:t>Education</w:t>
      </w:r>
    </w:p>
    <w:p w:rsidR="003240A1" w:rsidRDefault="00EE321D">
      <w:pPr>
        <w:rPr>
          <w:noProof/>
        </w:rPr>
      </w:pPr>
      <w:r>
        <w:rPr>
          <w:b/>
          <w:noProof/>
        </w:rPr>
        <w:t>Lithuania's</w:t>
      </w:r>
      <w:r>
        <w:rPr>
          <w:b/>
          <w:noProof/>
        </w:rPr>
        <w:t xml:space="preserve"> education system has struggled to adapt to the decreasing number of pupils and students.</w:t>
      </w:r>
      <w:r>
        <w:rPr>
          <w:noProof/>
        </w:rPr>
        <w:t xml:space="preserve"> In 2015, Lithuania spent 5.4 % of GDP on education, down from 6.4 % in 2010 and in line with a target reduction for educational expenditure to 4.8 % of GDP by 2020. Y</w:t>
      </w:r>
      <w:r>
        <w:rPr>
          <w:noProof/>
        </w:rPr>
        <w:t xml:space="preserve">et, the public expenditure on education per student has increased (see Graph </w:t>
      </w:r>
      <w:r>
        <w:rPr>
          <w:noProof/>
        </w:rPr>
        <w:fldChar w:fldCharType="begin"/>
      </w:r>
      <w:r>
        <w:rPr>
          <w:noProof/>
        </w:rPr>
        <w:instrText xml:space="preserve"> QUOTE "3.3.10"</w:instrText>
      </w:r>
      <w:r>
        <w:rPr>
          <w:noProof/>
        </w:rPr>
        <w:fldChar w:fldCharType="begin">
          <w:fldData xml:space="preserve">QwBSAE8AUwBTAFIARQBGAEUAUgBFAE4AQwBFACoARwBSAEEAUABIACoAZQA1ADMANABlAGIAYQAz
AC0AYgAxAGEAMAAtADQAMgA1AGIALQBiAGEANgA3AC0AYwAwADgANwA1ADAAOQAxAGMANABmADcA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3.3.10</w:t>
      </w:r>
      <w:r>
        <w:rPr>
          <w:noProof/>
        </w:rPr>
        <w:fldChar w:fldCharType="end"/>
      </w:r>
      <w:r>
        <w:rPr>
          <w:noProof/>
        </w:rPr>
        <w:t xml:space="preserve">). Increasing expenditure per student and stagnant </w:t>
      </w:r>
      <w:r>
        <w:rPr>
          <w:noProof/>
        </w:rPr>
        <w:t xml:space="preserve">education quality suggest the system is struggling to maintain efficiency in the face of the need to downsize. The declining number of pupils for the past decade, with 39 % fewer students in 2015 than in 2005, meant that the student-teacher ratio has been </w:t>
      </w:r>
      <w:r>
        <w:rPr>
          <w:noProof/>
        </w:rPr>
        <w:t>constantly falling. Consequently, Lithuania has one of the highest concentrations of teachers in the active population in Europe (OECD, 2016) and a comparably large support staff (LFMI, 2016a). The steady and continuing decline in average class size in the</w:t>
      </w:r>
      <w:r>
        <w:rPr>
          <w:noProof/>
        </w:rPr>
        <w:t xml:space="preserve"> same period left many schools with buildings that are too big for their needs and thus requiring an ever increasing share of resources to be spent on heating and maintenance (LFMI, 2016b).</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3.3.10:</w:t>
            </w:r>
            <w:r>
              <w:rPr>
                <w:b/>
                <w:noProof/>
              </w:rPr>
              <w:tab/>
              <w:t>Real public expenditure on education per student (20</w:t>
            </w:r>
            <w:r>
              <w:rPr>
                <w:b/>
                <w:noProof/>
              </w:rPr>
              <w:t>10 prices)</w:t>
            </w:r>
          </w:p>
        </w:tc>
      </w:tr>
      <w:tr w:rsidR="003240A1">
        <w:trPr>
          <w:cantSplit/>
        </w:trPr>
        <w:tc>
          <w:tcPr>
            <w:tcW w:w="4110" w:type="dxa"/>
            <w:shd w:val="clear" w:color="auto" w:fill="auto"/>
          </w:tcPr>
          <w:p w:rsidR="003240A1" w:rsidRDefault="00EE321D">
            <w:pPr>
              <w:pStyle w:val="GraphShape"/>
              <w:rPr>
                <w:noProof/>
                <w:sz w:val="2"/>
              </w:rPr>
            </w:pPr>
            <w:bookmarkStart w:id="33" w:name="_Toc473809310"/>
            <w:bookmarkEnd w:id="33"/>
            <w:r>
              <w:rPr>
                <w:noProof/>
                <w:sz w:val="2"/>
                <w:lang w:eastAsia="en-GB"/>
              </w:rPr>
              <w:drawing>
                <wp:inline distT="0" distB="0" distL="0" distR="0">
                  <wp:extent cx="2597595" cy="2441296"/>
                  <wp:effectExtent l="0" t="0" r="0" b="0"/>
                  <wp:docPr id="31" name="Picture 31" descr="&lt;_DISABLED_nbr_DISABLED_&gt;&lt;GETTEXTFROMWORD&gt;&lt;/nbr&gt;&#10;&lt;title&gt;&lt;GETTEXTFROMWORD&gt;&lt;/title&gt;&#10;&lt;_DISABLED_id_DISABLED_&gt;e534eba3-b1a0-425b-ba67-c0875091c4f7&lt;/id&gt;&#10;&lt;srcType&gt;EXCEL&lt;/srcType&gt;&#10;&lt;srcPath&gt;O:\2017 CRs\15 LT\15_LT_GraphesTables\&lt;/srcPath&gt;&#10;&lt;srcName&gt;expenditure per student.xlsx&lt;/srcName&gt;&#10;&lt;type&gt;graph&lt;/type&gt;&#10; &lt;srcSheet&gt;Sheet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8:16: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41296"/>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 Statistics Lithuania</w:t>
            </w:r>
          </w:p>
        </w:tc>
      </w:tr>
    </w:tbl>
    <w:p w:rsidR="003240A1" w:rsidRDefault="003240A1">
      <w:pPr>
        <w:rPr>
          <w:noProof/>
        </w:rPr>
      </w:pPr>
    </w:p>
    <w:p w:rsidR="003240A1" w:rsidRDefault="00EE321D">
      <w:pPr>
        <w:rPr>
          <w:noProof/>
        </w:rPr>
      </w:pPr>
      <w:r>
        <w:rPr>
          <w:b/>
          <w:noProof/>
        </w:rPr>
        <w:t>School education outcomes in terms of basic skills proficiency are below EU average and have deteriorated in recent years.</w:t>
      </w:r>
      <w:r>
        <w:rPr>
          <w:noProof/>
        </w:rPr>
        <w:t xml:space="preserve"> In the 2015 OECD Programme for International Student Assessment (P</w:t>
      </w:r>
      <w:r>
        <w:rPr>
          <w:noProof/>
        </w:rPr>
        <w:t>ISA), Lithuanian 15-year-olds perform below the EU average in basic skills and the proportion of low achievers is high in all three fields (science, reading and maths) tested, at 25 %. Compared to 2012, the proportion of low achievers has increased signifi</w:t>
      </w:r>
      <w:r>
        <w:rPr>
          <w:noProof/>
        </w:rPr>
        <w:t>cantly in reading and science and has only slightly decreased in mathematics. Girls continue to strongly outperform boys in reading, although the gender gap decreased between 2012 and 2015. 40 % of students in the bottom socio-economic quarter are low achi</w:t>
      </w:r>
      <w:r>
        <w:rPr>
          <w:noProof/>
        </w:rPr>
        <w:t>evers in science (OECD, 2016a; European Commission, 2016e). The difference in performance in science between children studying in rural and urban areas is among the highest in the EU (56 points). The 2015 results of the Assessment of Achievement of the Low</w:t>
      </w:r>
      <w:r>
        <w:rPr>
          <w:noProof/>
        </w:rPr>
        <w:t>er-Secondary Education Programme (NTCL, 2015) confirm that almost one fifth of 16-year-olds (10</w:t>
      </w:r>
      <w:r>
        <w:rPr>
          <w:noProof/>
          <w:vertAlign w:val="superscript"/>
        </w:rPr>
        <w:t>th</w:t>
      </w:r>
      <w:r>
        <w:rPr>
          <w:noProof/>
        </w:rPr>
        <w:t xml:space="preserve"> grade students) lack basic knowledge and skills. Weaknesses in reading and writing are already evident for 10-year-olds (4</w:t>
      </w:r>
      <w:r>
        <w:rPr>
          <w:noProof/>
          <w:vertAlign w:val="superscript"/>
        </w:rPr>
        <w:t>th</w:t>
      </w:r>
      <w:r>
        <w:rPr>
          <w:noProof/>
        </w:rPr>
        <w:t xml:space="preserve"> grade students); those in mathema</w:t>
      </w:r>
      <w:r>
        <w:rPr>
          <w:noProof/>
        </w:rPr>
        <w:t>tics become evident at the age of 14 (8</w:t>
      </w:r>
      <w:r>
        <w:rPr>
          <w:noProof/>
          <w:vertAlign w:val="superscript"/>
        </w:rPr>
        <w:t>th</w:t>
      </w:r>
      <w:r>
        <w:rPr>
          <w:noProof/>
        </w:rPr>
        <w:t xml:space="preserve"> grade students). New curricula for the Lithuanian language were approved in January 2016 to improve pupils’ writing and reading skills. Standardised instruments were created to enable detailed analyses at the level</w:t>
      </w:r>
      <w:r>
        <w:rPr>
          <w:noProof/>
        </w:rPr>
        <w:t xml:space="preserve"> of the individual child. In 2017, a national system for evaluating school children's learning outcomes in general education will be fully rolled out.</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3.3.11:</w:t>
            </w:r>
            <w:r>
              <w:rPr>
                <w:b/>
                <w:noProof/>
              </w:rPr>
              <w:tab/>
              <w:t>Proportion of low achievers</w:t>
            </w:r>
          </w:p>
        </w:tc>
      </w:tr>
      <w:tr w:rsidR="003240A1">
        <w:trPr>
          <w:cantSplit/>
        </w:trPr>
        <w:tc>
          <w:tcPr>
            <w:tcW w:w="4110" w:type="dxa"/>
            <w:shd w:val="clear" w:color="auto" w:fill="auto"/>
          </w:tcPr>
          <w:p w:rsidR="003240A1" w:rsidRDefault="00EE321D">
            <w:pPr>
              <w:pStyle w:val="GraphShape"/>
              <w:rPr>
                <w:noProof/>
                <w:sz w:val="2"/>
              </w:rPr>
            </w:pPr>
            <w:bookmarkStart w:id="34" w:name="_Toc473809311"/>
            <w:bookmarkEnd w:id="34"/>
            <w:r>
              <w:rPr>
                <w:noProof/>
                <w:sz w:val="2"/>
                <w:lang w:eastAsia="en-GB"/>
              </w:rPr>
              <w:drawing>
                <wp:inline distT="0" distB="0" distL="0" distR="0">
                  <wp:extent cx="2597595" cy="2442119"/>
                  <wp:effectExtent l="0" t="0" r="0" b="0"/>
                  <wp:docPr id="32" name="Picture 32" descr="&lt;_DISABLED_nbr_DISABLED_&gt;&lt;GETTEXTFROMWORD&gt;&lt;/nbr&gt;&#10;&lt;title&gt;&lt;GETTEXTFROMWORD&gt;&lt;/title&gt;&#10;&lt;_DISABLED_id_DISABLED_&gt;37f98ee4-2a7f-436f-9eea-fd80db39a0ca&lt;/id&gt;&#10;&lt;srcType&gt;EXCEL&lt;/srcType&gt;&#10;&lt;srcPath&gt;O:\2017 CRs\15 LT\15_LT_GraphesTables\&lt;/srcPath&gt;&#10;&lt;srcName&gt;EAC Proportion of low achievers in PISA 2015.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09:21: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4211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OECD, PISA 2015</w:t>
            </w:r>
          </w:p>
        </w:tc>
      </w:tr>
    </w:tbl>
    <w:p w:rsidR="003240A1" w:rsidRDefault="00EE321D">
      <w:pPr>
        <w:rPr>
          <w:noProof/>
        </w:rPr>
      </w:pPr>
      <w:r>
        <w:rPr>
          <w:b/>
          <w:noProof/>
        </w:rPr>
        <w:t>Teacher quality is key to tackling</w:t>
      </w:r>
      <w:r>
        <w:rPr>
          <w:b/>
          <w:noProof/>
        </w:rPr>
        <w:t xml:space="preserve"> the low performance of the education system, but there are concerns related to the supply and demography of teachers.</w:t>
      </w:r>
      <w:r>
        <w:rPr>
          <w:noProof/>
        </w:rPr>
        <w:t xml:space="preserve"> The teaching workforce is ageing. 44 % of lower secondary education teachers were aged 50 years or older in 2014. There is evidence that </w:t>
      </w:r>
      <w:r>
        <w:rPr>
          <w:noProof/>
        </w:rPr>
        <w:t xml:space="preserve">the teaching profession is not attractive to young talented people (MOSTA, 2015; Lithuanian Education Council, 2015a). The number of applicants to a teacher training programme has halved over the past 5 years and, for example, no students were admitted to </w:t>
      </w:r>
      <w:r>
        <w:rPr>
          <w:noProof/>
        </w:rPr>
        <w:t>physics and chemistry teacher training programmes in the last 3 years (Lithuanian Education Council, 2015a). A significant proportion of entrants into initial teacher education, as high as 85 %, end up not entering the teaching profession. This suggests th</w:t>
      </w:r>
      <w:r>
        <w:rPr>
          <w:noProof/>
        </w:rPr>
        <w:t>at, despite the current oversupply of teachers, in the medium to long term schools may encounter teacher shortages.</w:t>
      </w:r>
    </w:p>
    <w:p w:rsidR="003240A1" w:rsidRDefault="00EE321D">
      <w:pPr>
        <w:rPr>
          <w:noProof/>
        </w:rPr>
      </w:pPr>
      <w:r>
        <w:rPr>
          <w:b/>
          <w:noProof/>
        </w:rPr>
        <w:t xml:space="preserve">Teachers' wages are low and funding for continuous professional development is scarce. </w:t>
      </w:r>
      <w:r>
        <w:rPr>
          <w:noProof/>
        </w:rPr>
        <w:t xml:space="preserve"> Wage growth in education has failed to keep up with the overall pay increase and is now below national average. Moreover, basic statutory teacher’s salaries are the lowest in the EU when compared with GDP per capita (European Commission/EACEA/Eurydice, 20</w:t>
      </w:r>
      <w:r>
        <w:rPr>
          <w:noProof/>
        </w:rPr>
        <w:t>16). New recruits to teaching are likely to earn close to the minimum salary. Low wages are aggravated by the practice of setting salaries on the basis of the actual workload, thus reducing the young teachers' earnings as they usually have less teaching ho</w:t>
      </w:r>
      <w:r>
        <w:rPr>
          <w:noProof/>
        </w:rPr>
        <w:t>urs than their experienced colleagues. Obligatory in-school practice during teachers' initial training is limited and innovative teaching methods remain underutilized. There are also large discrepancies in the funding of teacher qualification development w</w:t>
      </w:r>
      <w:r>
        <w:rPr>
          <w:noProof/>
        </w:rPr>
        <w:t>ith some municipalities receiving three times as much as others (Shewbridge, C. et al., 2016).</w:t>
      </w:r>
    </w:p>
    <w:p w:rsidR="003240A1" w:rsidRDefault="00EE321D">
      <w:pPr>
        <w:rPr>
          <w:noProof/>
        </w:rPr>
      </w:pPr>
      <w:r>
        <w:rPr>
          <w:b/>
          <w:noProof/>
        </w:rPr>
        <w:t>The government has taken some steps to improve the attractiveness of the teaching profession.</w:t>
      </w:r>
      <w:r>
        <w:rPr>
          <w:noProof/>
        </w:rPr>
        <w:t xml:space="preserve"> It raised salaries for novice teachers, and allocated funding for e</w:t>
      </w:r>
      <w:r>
        <w:rPr>
          <w:noProof/>
        </w:rPr>
        <w:t>arly retirement compensation in order to create more vacancies and provide more employment opportunities for young teachers. Developing strategies for redeploying and retiring teachers currently employed in schools is a positive step, but it requires caref</w:t>
      </w:r>
      <w:r>
        <w:rPr>
          <w:noProof/>
        </w:rPr>
        <w:t xml:space="preserve">ul planning to avoid future teacher shortages and a loss of accumulated knowledge.   Also, scholarships for teaching degrees and a mentoring programme supporting young teachers have been set up. However, these steps are relatively minor and a larger scale </w:t>
      </w:r>
      <w:r>
        <w:rPr>
          <w:noProof/>
        </w:rPr>
        <w:t xml:space="preserve">rationalisation of education system would be needed to free up resources for higher pay and professional development programmes. </w:t>
      </w:r>
    </w:p>
    <w:p w:rsidR="003240A1" w:rsidRDefault="00EE321D">
      <w:pPr>
        <w:rPr>
          <w:noProof/>
        </w:rPr>
      </w:pPr>
      <w:r>
        <w:rPr>
          <w:b/>
          <w:noProof/>
        </w:rPr>
        <w:t>Higher education is grappling with maintaining the quality and efficiency of funding in the face of large drops in student num</w:t>
      </w:r>
      <w:r>
        <w:rPr>
          <w:b/>
          <w:noProof/>
        </w:rPr>
        <w:t>bers.</w:t>
      </w:r>
      <w:r>
        <w:rPr>
          <w:noProof/>
        </w:rPr>
        <w:t xml:space="preserve"> The number of young people entering higher education has decreased by 9 % since 2015 and by 21% since 2012 for demographic reasons (MOSTA, 2016a). Due to the allocation of public funding for higher education on the basis of input rather than output i</w:t>
      </w:r>
      <w:r>
        <w:rPr>
          <w:noProof/>
        </w:rPr>
        <w:t>ndicators, the competition to attract students has resulted in a mushrooming of overlapping study programmes and a lowering of entry requirements (</w:t>
      </w:r>
      <w:r>
        <w:rPr>
          <w:noProof/>
          <w:vertAlign w:val="superscript"/>
        </w:rPr>
        <w:footnoteReference w:id="28"/>
      </w:r>
      <w:r>
        <w:rPr>
          <w:noProof/>
        </w:rPr>
        <w:t>). There has, however, been a light redistribution of students across study fields and an increase in the nu</w:t>
      </w:r>
      <w:r>
        <w:rPr>
          <w:noProof/>
        </w:rPr>
        <w:t>mber of entrants into natural sciences. Consequently, the class sizes have dropped - in 2016, one third of all study programmes in Lithuania had no more than 10 enrolled students. The reform of tertiary education is high on the political agenda – in Decemb</w:t>
      </w:r>
      <w:r>
        <w:rPr>
          <w:noProof/>
        </w:rPr>
        <w:t>er 2016, the parliament adopted a resolution urging the government to work out a restructuring plan. Setting up the institutions' financial incentives in a way that promotes quality and efficiency of the higher education will be the key challenge of this r</w:t>
      </w:r>
      <w:r>
        <w:rPr>
          <w:noProof/>
        </w:rPr>
        <w:t xml:space="preserve">eform. </w:t>
      </w:r>
    </w:p>
    <w:p w:rsidR="003240A1" w:rsidRDefault="00EE321D">
      <w:pPr>
        <w:rPr>
          <w:noProof/>
        </w:rPr>
      </w:pPr>
      <w:r>
        <w:rPr>
          <w:b/>
          <w:noProof/>
        </w:rPr>
        <w:t>Lithuania has taken steps to improve the labour market relevance of education.</w:t>
      </w:r>
      <w:r>
        <w:rPr>
          <w:noProof/>
        </w:rPr>
        <w:t xml:space="preserve"> On 29 June 2016 parliament adopted the new law on higher education and research. The law lays down minimum admission requirements for all universities and compulsory pre</w:t>
      </w:r>
      <w:r>
        <w:rPr>
          <w:noProof/>
        </w:rPr>
        <w:t>-entry career guidance. Furthermore, it provides for more cooperation on curriculum development with social partners and the expansion of work-based learning opportunities in tertiary education. New pathways from professionally-oriented programmes to tradi</w:t>
      </w:r>
      <w:r>
        <w:rPr>
          <w:noProof/>
        </w:rPr>
        <w:t>tional academic master’s programmes will be opened up. Moreover, a national human resources monitoring framework plan came into force on 1 June 2016. The monitoring system covers all levels of education, including the observation of the labour market outco</w:t>
      </w:r>
      <w:r>
        <w:rPr>
          <w:noProof/>
        </w:rPr>
        <w:t>mes of graduates and forecasting of future skills needs. Successful implementation of this framework should improve the planning process and policy design in education.</w:t>
      </w:r>
    </w:p>
    <w:p w:rsidR="003240A1" w:rsidRDefault="00EE321D">
      <w:pPr>
        <w:pStyle w:val="NumberedHeading1"/>
        <w:tabs>
          <w:tab w:val="left" w:pos="567"/>
        </w:tabs>
        <w:rPr>
          <w:noProof/>
        </w:rPr>
      </w:pPr>
      <w:r>
        <w:rPr>
          <w:noProof/>
        </w:rPr>
        <w:t>3.3.6.</w:t>
      </w:r>
      <w:r>
        <w:rPr>
          <w:noProof/>
        </w:rPr>
        <w:tab/>
        <w:t>Health</w:t>
      </w:r>
    </w:p>
    <w:p w:rsidR="003240A1" w:rsidRDefault="00EE321D">
      <w:pPr>
        <w:rPr>
          <w:noProof/>
        </w:rPr>
      </w:pPr>
      <w:r>
        <w:rPr>
          <w:b/>
          <w:noProof/>
        </w:rPr>
        <w:t xml:space="preserve">Poor health outcomes exacerbate the problem of the declining working age </w:t>
      </w:r>
      <w:r>
        <w:rPr>
          <w:b/>
          <w:noProof/>
        </w:rPr>
        <w:t>population by further reducing the country’s workforce.</w:t>
      </w:r>
      <w:r>
        <w:rPr>
          <w:noProof/>
        </w:rPr>
        <w:t xml:space="preserve"> Male life expectancy continues to increase but is still amongst the lowest in the EU. High mortality rates hamper the potential of the Lithuanian workforce and economy (OECD, 2016). Amenable mortality</w:t>
      </w:r>
      <w:r>
        <w:rPr>
          <w:noProof/>
        </w:rPr>
        <w:t xml:space="preserve"> in Lithuania is among the highest in the EU, indicating a poor performance of the health system. The main challenges in health care provision are high regional inequalities in access (people in rural areas make fewer visits to physicians and their life ex</w:t>
      </w:r>
      <w:r>
        <w:rPr>
          <w:noProof/>
        </w:rPr>
        <w:t>pectancy is three years lower), too high reliance on inpatient care (631 hospital beds per 100 000 inhabitants in Lithuania; EU: 396), and ineffective health promotion policies - alcohol consumption in Lithuania continues to be among the highest in the EU.</w:t>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3.3.12:</w:t>
            </w:r>
            <w:r>
              <w:rPr>
                <w:b/>
                <w:noProof/>
              </w:rPr>
              <w:tab/>
              <w:t>Select health system performance indicators</w:t>
            </w:r>
          </w:p>
        </w:tc>
      </w:tr>
      <w:tr w:rsidR="003240A1">
        <w:trPr>
          <w:cantSplit/>
        </w:trPr>
        <w:tc>
          <w:tcPr>
            <w:tcW w:w="4110" w:type="dxa"/>
            <w:shd w:val="clear" w:color="auto" w:fill="auto"/>
          </w:tcPr>
          <w:p w:rsidR="003240A1" w:rsidRDefault="00EE321D">
            <w:pPr>
              <w:pStyle w:val="GraphShape"/>
              <w:rPr>
                <w:noProof/>
                <w:sz w:val="2"/>
              </w:rPr>
            </w:pPr>
            <w:bookmarkStart w:id="35" w:name="_Toc473809312"/>
            <w:bookmarkEnd w:id="35"/>
            <w:r>
              <w:rPr>
                <w:noProof/>
                <w:sz w:val="2"/>
                <w:lang w:eastAsia="en-GB"/>
              </w:rPr>
              <w:drawing>
                <wp:inline distT="0" distB="0" distL="0" distR="0">
                  <wp:extent cx="2597595" cy="2839658"/>
                  <wp:effectExtent l="0" t="0" r="0" b="0"/>
                  <wp:docPr id="12" name="Picture 12" descr="&lt;_DISABLED_nbr_DISABLED_&gt;&lt;GETTEXTFROMWORD&gt;&lt;/nbr&gt;&#10;&lt;title&gt;&lt;GETTEXTFROMWORD&gt;&lt;/title&gt;&#10;&lt;_DISABLED_id_DISABLED_&gt;6801af80-5291-49fc-adcf-af8a9cd6b72b&lt;/id&gt;&#10;&lt;srcType&gt;EXCEL&lt;/srcType&gt;&#10;&lt;srcPath&gt;O:\2017 CRs\15 LT\15_LT_GraphesTables\&lt;/srcPath&gt;&#10;&lt;srcName&gt;SANTE indicators LT.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0:22: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839658"/>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r>
              <w:rPr>
                <w:noProof/>
              </w:rPr>
              <w:br/>
              <w:t>Note: most data from 2014</w:t>
            </w:r>
          </w:p>
        </w:tc>
      </w:tr>
    </w:tbl>
    <w:p w:rsidR="003240A1" w:rsidRDefault="00EE321D">
      <w:pPr>
        <w:rPr>
          <w:noProof/>
        </w:rPr>
      </w:pPr>
      <w:r>
        <w:rPr>
          <w:b/>
          <w:noProof/>
        </w:rPr>
        <w:t>Financial barriers to health care access and corruption affect the equity of the health system.</w:t>
      </w:r>
      <w:r>
        <w:rPr>
          <w:noProof/>
        </w:rPr>
        <w:t xml:space="preserve"> Out-of-pocket payments are very high, representing almost one third of current health expenditure as compared to an EU average 15 % and reduce equity in access to health care (Health at a Glance: Europe 2016). Out-of-pocket payments are particularly high </w:t>
      </w:r>
      <w:r>
        <w:rPr>
          <w:noProof/>
        </w:rPr>
        <w:t>for medicines. There is a potential for the further promotion of generic medicines (IMF, 2015). Corruption in the health sector, in particular the frequent practice of informal payments (Stepurko et al, 2014), further reduce equity in access to health care</w:t>
      </w:r>
      <w:r>
        <w:rPr>
          <w:noProof/>
        </w:rPr>
        <w:t xml:space="preserve">. </w:t>
      </w:r>
    </w:p>
    <w:p w:rsidR="003240A1" w:rsidRDefault="00EE321D">
      <w:pPr>
        <w:rPr>
          <w:noProof/>
        </w:rPr>
      </w:pPr>
      <w:r>
        <w:rPr>
          <w:b/>
          <w:noProof/>
        </w:rPr>
        <w:t>Health care remains among the sectors most vulnerable to corruption in Lithuania.</w:t>
      </w:r>
      <w:r>
        <w:rPr>
          <w:noProof/>
        </w:rPr>
        <w:t xml:space="preserve"> Social acceptance of informal payments is slowly diminishing, especially among younger patients, but the preponderance of informal relations in the sector continues to jeo</w:t>
      </w:r>
      <w:r>
        <w:rPr>
          <w:noProof/>
        </w:rPr>
        <w:t xml:space="preserve">pardise equal access to treatment and merit-based appointment of managers (European Commission, 2017a). The government is prioritising the health care sector in its anti-corruption programme. Supervisory councils of Vilnius municipal hospitals were opened </w:t>
      </w:r>
      <w:r>
        <w:rPr>
          <w:noProof/>
        </w:rPr>
        <w:t>to civil society representatives.  State and municipal doctors are required to report any conferences they attend funded by pharmaceutical companies. Rules also oblige clinical staff to inform patients about anti-corruption matters, including contact detai</w:t>
      </w:r>
      <w:r>
        <w:rPr>
          <w:noProof/>
        </w:rPr>
        <w:t>ls for complaints. Advertisers are banned from offering gifts to health care professionals.  Continued monitoring is necessary to ensure implementation of these policies.</w:t>
      </w:r>
    </w:p>
    <w:p w:rsidR="003240A1" w:rsidRDefault="003240A1">
      <w:pPr>
        <w:rPr>
          <w:noProof/>
        </w:rPr>
        <w:sectPr w:rsidR="003240A1">
          <w:headerReference w:type="even" r:id="rId79"/>
          <w:headerReference w:type="default" r:id="rId80"/>
          <w:footerReference w:type="even" r:id="rId81"/>
          <w:footerReference w:type="default" r:id="rId82"/>
          <w:headerReference w:type="first" r:id="rId83"/>
          <w:footerReference w:type="first" r:id="rId8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7"/>
        <w:framePr w:wrap="notBeside"/>
        <w:rPr>
          <w:noProof/>
        </w:rPr>
      </w:pPr>
      <w:bookmarkStart w:id="36" w:name="_Toc473809275"/>
      <w:bookmarkEnd w:id="36"/>
      <w:r>
        <w:rPr>
          <w:noProof/>
        </w:rPr>
        <w:t>3.4. Investment</w:t>
      </w:r>
    </w:p>
    <w:p w:rsidR="003240A1" w:rsidRDefault="00EE321D">
      <w:pPr>
        <w:pStyle w:val="NumberedHeading1"/>
        <w:tabs>
          <w:tab w:val="left" w:pos="567"/>
        </w:tabs>
        <w:rPr>
          <w:noProof/>
        </w:rPr>
      </w:pPr>
      <w:r>
        <w:rPr>
          <w:noProof/>
        </w:rPr>
        <w:t>3.4.1.</w:t>
      </w:r>
      <w:r>
        <w:rPr>
          <w:noProof/>
        </w:rPr>
        <w:tab/>
        <w:t>Investment situation</w:t>
      </w:r>
    </w:p>
    <w:p w:rsidR="003240A1" w:rsidRDefault="00EE321D">
      <w:pPr>
        <w:rPr>
          <w:noProof/>
        </w:rPr>
      </w:pPr>
      <w:r>
        <w:rPr>
          <w:b/>
          <w:noProof/>
        </w:rPr>
        <w:t xml:space="preserve">The investment level is considerably lower than before the crisis. </w:t>
      </w:r>
      <w:r>
        <w:rPr>
          <w:noProof/>
        </w:rPr>
        <w:t>During the last 5 years, investment in Lithuania has remai</w:t>
      </w:r>
      <w:r>
        <w:rPr>
          <w:noProof/>
        </w:rPr>
        <w:t>ned stable at around 18% of GDP. This follows a period where it increased steadily from around 19.1% of GDP in 2000 to 28.6% of GDP in 2007. Lithuania's investment rates were consistently above EU average during the period from 2000 to 2008. However, since</w:t>
      </w:r>
      <w:r>
        <w:rPr>
          <w:noProof/>
        </w:rPr>
        <w:t xml:space="preserve"> the crisis, Lithuania's investment rate has lagged both the EU average and the other Baltic countries. Non-residential construction has seen the largest drop in investment, followed by investment in equipment. Residential investment has held up the best a</w:t>
      </w:r>
      <w:r>
        <w:rPr>
          <w:noProof/>
        </w:rPr>
        <w:t>nd is the only investment type that has seen sizeable increase, in terms of percent of GDP, in recent years (European Commission, 2016d).</w:t>
      </w:r>
    </w:p>
    <w:p w:rsidR="003240A1" w:rsidRDefault="00EE321D">
      <w:pPr>
        <w:rPr>
          <w:noProof/>
        </w:rPr>
      </w:pPr>
      <w:r>
        <w:rPr>
          <w:b/>
          <w:noProof/>
        </w:rPr>
        <w:t>Non-EU funded public investments are low and suffer from poor planning.</w:t>
      </w:r>
      <w:r>
        <w:rPr>
          <w:noProof/>
        </w:rPr>
        <w:t xml:space="preserve"> Lithuania crucially relies on EU funds for its</w:t>
      </w:r>
      <w:r>
        <w:rPr>
          <w:noProof/>
        </w:rPr>
        <w:t xml:space="preserve"> public investments, as only around one third of all public investments are financed by own-resources (see Box 2.1). Moreover, the investment programmes that are financed from own resources suffer from poor planning and coordination (see Section 3.6). </w:t>
      </w:r>
    </w:p>
    <w:p w:rsidR="003240A1" w:rsidRDefault="00EE321D">
      <w:pPr>
        <w:pStyle w:val="NumberedHeading1"/>
        <w:tabs>
          <w:tab w:val="left" w:pos="567"/>
        </w:tabs>
        <w:rPr>
          <w:noProof/>
        </w:rPr>
      </w:pPr>
      <w:r>
        <w:rPr>
          <w:noProof/>
        </w:rPr>
        <w:t>3.4</w:t>
      </w:r>
      <w:r>
        <w:rPr>
          <w:noProof/>
        </w:rPr>
        <w:t>.2.</w:t>
      </w:r>
      <w:r>
        <w:rPr>
          <w:noProof/>
        </w:rPr>
        <w:tab/>
        <w:t>Price competitiveness</w:t>
      </w:r>
    </w:p>
    <w:p w:rsidR="003240A1" w:rsidRDefault="00EE321D">
      <w:pPr>
        <w:rPr>
          <w:noProof/>
        </w:rPr>
      </w:pPr>
      <w:r>
        <w:rPr>
          <w:b/>
          <w:noProof/>
        </w:rPr>
        <w:t>Unit labour costs (ULC) have been increasing since 2012.</w:t>
      </w:r>
      <w:r>
        <w:rPr>
          <w:noProof/>
        </w:rPr>
        <w:t xml:space="preserve"> Following a rapid increase during the years leading up to the 2009 crisis, ULC declined substantially in 2009 and 2010. Since then, the growth has resumed and reached 4.8% i</w:t>
      </w:r>
      <w:r>
        <w:rPr>
          <w:noProof/>
        </w:rPr>
        <w:t>n 2015. The growth in ULC is a clear sign of the tightening of the labour market, leading to strong wage growth, while productivity growth has been lagging behind since 2012. At the same time, at 46%, the labour share of income is one of the lowest in EU a</w:t>
      </w:r>
      <w:r>
        <w:rPr>
          <w:noProof/>
        </w:rPr>
        <w:t xml:space="preserve">nd also below that in the other Baltic countries, implying a possible space for increase in labour income share. </w:t>
      </w:r>
    </w:p>
    <w:p w:rsidR="003240A1" w:rsidRDefault="00EE321D">
      <w:pPr>
        <w:rPr>
          <w:noProof/>
        </w:rPr>
      </w:pPr>
      <w:r>
        <w:rPr>
          <w:b/>
          <w:noProof/>
        </w:rPr>
        <w:t>Other indicators of external competitiveness give a mixed message.</w:t>
      </w:r>
      <w:r>
        <w:rPr>
          <w:noProof/>
        </w:rPr>
        <w:t xml:space="preserve"> While the real effective exchange rate appreciated by 4% from 2012 to 2015,</w:t>
      </w:r>
      <w:r>
        <w:rPr>
          <w:noProof/>
        </w:rPr>
        <w:t xml:space="preserve"> the export market shares in the meantime grew by 15%. Nevertheless, they declined by 10% in 2015, mainly as a result of a drastic fall of exports to Russia. At the same time, exports to the EU have continued to grow, albeit more slowly. The current accoun</w:t>
      </w:r>
      <w:r>
        <w:rPr>
          <w:noProof/>
        </w:rPr>
        <w:t>t has returned close to balance in 2016. This indicates that, unlike in the years leading up to the 2009 crisis, the risk of external financial inflows fuelling unsustainable growth in domestic consumption and wages is low.</w:t>
      </w:r>
    </w:p>
    <w:p w:rsidR="003240A1" w:rsidRDefault="00EE321D">
      <w:pPr>
        <w:rPr>
          <w:noProof/>
        </w:rPr>
      </w:pPr>
      <w:r>
        <w:rPr>
          <w:b/>
          <w:noProof/>
        </w:rPr>
        <w:t>In recent years, wage growth has</w:t>
      </w:r>
      <w:r>
        <w:rPr>
          <w:b/>
          <w:noProof/>
        </w:rPr>
        <w:t xml:space="preserve"> exceeded the benchmark wage growth rates.</w:t>
      </w:r>
      <w:r>
        <w:rPr>
          <w:noProof/>
        </w:rPr>
        <w:t xml:space="preserve"> As Graph 3.4.1 shows, nominal wage growth in Lithuania has been higher than both what would be consistent with productivity growth, and what would be consistent with a constant real effective exchange rate since 2</w:t>
      </w:r>
      <w:r>
        <w:rPr>
          <w:noProof/>
        </w:rPr>
        <w:t>013. While the wage growth divergence from the benchmarks is not nearly to the scale it had been before the 2009 economic crisis, it may negatively affect Lithuania's competitiveness if this trend continues.</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3.4.1:</w:t>
            </w:r>
            <w:r>
              <w:rPr>
                <w:b/>
                <w:noProof/>
              </w:rPr>
              <w:tab/>
              <w:t>Wage growth in comparison to benchm</w:t>
            </w:r>
            <w:r>
              <w:rPr>
                <w:b/>
                <w:noProof/>
              </w:rPr>
              <w:t>arks</w:t>
            </w:r>
          </w:p>
        </w:tc>
      </w:tr>
      <w:tr w:rsidR="003240A1">
        <w:trPr>
          <w:cantSplit/>
        </w:trPr>
        <w:tc>
          <w:tcPr>
            <w:tcW w:w="4110" w:type="dxa"/>
            <w:shd w:val="clear" w:color="auto" w:fill="auto"/>
          </w:tcPr>
          <w:p w:rsidR="003240A1" w:rsidRDefault="00EE321D">
            <w:pPr>
              <w:pStyle w:val="GraphShape"/>
              <w:rPr>
                <w:noProof/>
                <w:sz w:val="2"/>
              </w:rPr>
            </w:pPr>
            <w:bookmarkStart w:id="37" w:name="_Toc473809313"/>
            <w:bookmarkEnd w:id="37"/>
            <w:r>
              <w:rPr>
                <w:noProof/>
                <w:sz w:val="2"/>
                <w:lang w:eastAsia="en-GB"/>
              </w:rPr>
              <w:drawing>
                <wp:inline distT="0" distB="0" distL="0" distR="0">
                  <wp:extent cx="2597595" cy="2590634"/>
                  <wp:effectExtent l="0" t="0" r="0" b="635"/>
                  <wp:docPr id="35" name="Picture 35" descr="&lt;_DISABLED_nbr_DISABLED_&gt;&lt;GETTEXTFROMWORD&gt;&lt;/nbr&gt;&#10;&lt;title&gt;&lt;GETTEXTFROMWORD&gt;&lt;/title&gt;&#10;&lt;_DISABLED_id_DISABLED_&gt;613edc77-d1a2-464a-9306-64ef66385000&lt;/id&gt;&#10;&lt;srcType&gt;EXCEL&lt;/srcType&gt;&#10;&lt;srcPath&gt;O:\2017 CRs\15 LT\15_LT_GraphesTables\&lt;/srcPath&gt;&#10;&lt;srcName&gt;empl graphs.xlsx&lt;/srcName&gt;&#10;&lt;type&gt;graph&lt;/type&gt;&#10; &lt;srcSheet&gt;benchm&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2T11:2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590634"/>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Update of Arpaia and Kiss</w:t>
            </w:r>
          </w:p>
        </w:tc>
      </w:tr>
    </w:tbl>
    <w:p w:rsidR="003240A1" w:rsidRDefault="00EE321D">
      <w:pPr>
        <w:pStyle w:val="NumberedHeading1"/>
        <w:tabs>
          <w:tab w:val="left" w:pos="567"/>
        </w:tabs>
        <w:rPr>
          <w:noProof/>
        </w:rPr>
      </w:pPr>
      <w:r>
        <w:rPr>
          <w:noProof/>
        </w:rPr>
        <w:t>3.4.3.</w:t>
      </w:r>
      <w:r>
        <w:rPr>
          <w:noProof/>
        </w:rPr>
        <w:tab/>
        <w:t>Productivity growth</w:t>
      </w:r>
    </w:p>
    <w:p w:rsidR="003240A1" w:rsidRDefault="00EE321D">
      <w:pPr>
        <w:rPr>
          <w:noProof/>
        </w:rPr>
      </w:pPr>
      <w:r>
        <w:rPr>
          <w:b/>
          <w:noProof/>
        </w:rPr>
        <w:t>The imminent decline of the population share in prime working age means that growth will increasingly depend on labour productivity</w:t>
      </w:r>
      <w:r>
        <w:rPr>
          <w:noProof/>
        </w:rPr>
        <w:t>. Over the period 2000-2015, Lithuania has had one of the highest labour productivity growth rates among EU Member States, reflecting a catching up process. From 32.8% of EU15 average in 2000, its productivity per hour worked had grown to 56.6% in 2015. Ho</w:t>
      </w:r>
      <w:r>
        <w:rPr>
          <w:noProof/>
        </w:rPr>
        <w:t xml:space="preserve">wever, as the country's productivity level approached the EU average, the growth rates slowed down and so has the catching up rate with the western European countries.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3.4.2:</w:t>
            </w:r>
            <w:r>
              <w:rPr>
                <w:b/>
                <w:noProof/>
              </w:rPr>
              <w:tab/>
              <w:t>Lithuania's convergence of productivity</w:t>
            </w:r>
          </w:p>
        </w:tc>
      </w:tr>
      <w:tr w:rsidR="003240A1">
        <w:trPr>
          <w:cantSplit/>
        </w:trPr>
        <w:tc>
          <w:tcPr>
            <w:tcW w:w="4110" w:type="dxa"/>
            <w:shd w:val="clear" w:color="auto" w:fill="auto"/>
          </w:tcPr>
          <w:p w:rsidR="003240A1" w:rsidRDefault="00EE321D">
            <w:pPr>
              <w:pStyle w:val="GraphShape"/>
              <w:rPr>
                <w:noProof/>
                <w:sz w:val="2"/>
              </w:rPr>
            </w:pPr>
            <w:bookmarkStart w:id="38" w:name="_Toc473809314"/>
            <w:bookmarkEnd w:id="38"/>
            <w:r>
              <w:rPr>
                <w:noProof/>
                <w:sz w:val="2"/>
                <w:lang w:eastAsia="en-GB"/>
              </w:rPr>
              <w:drawing>
                <wp:inline distT="0" distB="0" distL="0" distR="0">
                  <wp:extent cx="2597595" cy="2436430"/>
                  <wp:effectExtent l="0" t="0" r="0" b="0"/>
                  <wp:docPr id="6" name="Picture 6" descr="&lt;_DISABLED_nbr_DISABLED_&gt;&lt;GETTEXTFROMWORD&gt;&lt;/nbr&gt;&#10;&lt;title&gt;&lt;GETTEXTFROMWORD&gt;&lt;/title&gt;&#10;&lt;_DISABLED_id_DISABLED_&gt;a6926418-911f-497c-b08c-0e99a6a0ce12&lt;/id&gt;&#10;&lt;srcType&gt;EXCEL&lt;/srcType&gt;&#10;&lt;srcPath&gt;O:\2017 CRs\15 LT\15_LT_GraphesTables\&lt;/srcPath&gt;&#10;&lt;srcName&gt;productivity relative to EU15.xls&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3T15:19: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Manufacturing was the biggest contributor to productivity growth during the past 15 years and also the main reason behind the post-crisis slowdown.</w:t>
      </w:r>
      <w:r>
        <w:rPr>
          <w:noProof/>
        </w:rPr>
        <w:t xml:space="preserve"> Over the period 2000 to 2010, average productivity growth in manufacturing was 8.6%, well above the economy average of 5.6%. While productivity growth has slowed down across all activity branches during 2010 – 2015, manufacturing slowed down the most and,</w:t>
      </w:r>
      <w:r>
        <w:rPr>
          <w:noProof/>
        </w:rPr>
        <w:t xml:space="preserve"> at an average 2.9%, its productivity growth was barely above the economy-wide productivity growth of 2.5%. </w:t>
      </w:r>
    </w:p>
    <w:p w:rsidR="003240A1" w:rsidRDefault="00EE321D">
      <w:pPr>
        <w:rPr>
          <w:noProof/>
        </w:rPr>
      </w:pPr>
      <w:r>
        <w:rPr>
          <w:b/>
          <w:noProof/>
        </w:rPr>
        <w:t>The recent productivity slowdown coincides with a slowdown in structural change of the economy.</w:t>
      </w:r>
      <w:r>
        <w:rPr>
          <w:noProof/>
        </w:rPr>
        <w:t xml:space="preserve"> As discussed in section 3.3.1, since transforming t</w:t>
      </w:r>
      <w:r>
        <w:rPr>
          <w:noProof/>
        </w:rPr>
        <w:t>o a market economy in early 1990s, Lithuania underwent a structural change in the economy – the employment in agriculture and industry sectors decreased as they caught up with modern technologies and become much more productive. At the same time, the emplo</w:t>
      </w:r>
      <w:r>
        <w:rPr>
          <w:noProof/>
        </w:rPr>
        <w:t>yment share of the modern services sectors grew substantially. This transformation was largely behind the rapid productivity growth up to 2010. The potential productivity gains from the structural adjustment diminished as Lithuania's sectoral composition c</w:t>
      </w:r>
      <w:r>
        <w:rPr>
          <w:noProof/>
        </w:rPr>
        <w:t>onverged to the EU average. Notably, as Graph 3.3.2 shows, no significant structural change took place in Lithuania between 2010 and 2015. This may largely explain the corresponding slowdown in productivity growth - the relatively easy gains from the catch</w:t>
      </w:r>
      <w:r>
        <w:rPr>
          <w:noProof/>
        </w:rPr>
        <w:t>ing up process had been exhausted by 2010 and any further growth was much harder to achieve. The parallel slowdown in investment growth, notably following the economic crisis of 2009, aggravated the diminishing growth potential. Adjusting to a more knowled</w:t>
      </w:r>
      <w:r>
        <w:rPr>
          <w:noProof/>
        </w:rPr>
        <w:t xml:space="preserve">ge-intensive growth model is the major challenge Lithuania faces to ensure productivity growth drives further living standard convergence with the EU average. </w:t>
      </w:r>
    </w:p>
    <w:p w:rsidR="003240A1" w:rsidRDefault="00EE321D">
      <w:pPr>
        <w:rPr>
          <w:noProof/>
        </w:rPr>
      </w:pPr>
      <w:r>
        <w:rPr>
          <w:b/>
          <w:noProof/>
        </w:rPr>
        <w:t>The change in external financial flows may be another reason behind the productivity growth slow</w:t>
      </w:r>
      <w:r>
        <w:rPr>
          <w:b/>
          <w:noProof/>
        </w:rPr>
        <w:t>down.</w:t>
      </w:r>
      <w:r>
        <w:rPr>
          <w:noProof/>
        </w:rPr>
        <w:t xml:space="preserve"> While during 2004 – 2010 Lithuania's net liabilities to the rest of the world increased on average by 3.4% of GDP annually, during 2010 – 2015 they have decreased on average by 2.2% of GDP per year. This constitutes a reversal in the flow of funds of</w:t>
      </w:r>
      <w:r>
        <w:rPr>
          <w:noProof/>
        </w:rPr>
        <w:t xml:space="preserve"> 5.6% of GDP annually. Some of this reversal reflects lower investment demand, although a part of the pre-crisis financial inflows was fuelling an unsustainable growth in domestic consumption, which inflated both the GDP and productivity growth rates. Henc</w:t>
      </w:r>
      <w:r>
        <w:rPr>
          <w:noProof/>
        </w:rPr>
        <w:t>e, while current financial outflows may suppress the productivity growth somewhat, at the same time this means that the risk of an unsustainable growth path is much lower than during the pre-crisis years.</w:t>
      </w:r>
    </w:p>
    <w:p w:rsidR="003240A1" w:rsidRDefault="00EE321D">
      <w:pPr>
        <w:pStyle w:val="NumberedHeading1"/>
        <w:tabs>
          <w:tab w:val="left" w:pos="567"/>
        </w:tabs>
        <w:rPr>
          <w:noProof/>
        </w:rPr>
      </w:pPr>
      <w:r>
        <w:rPr>
          <w:noProof/>
        </w:rPr>
        <w:t>3.4.4.</w:t>
      </w:r>
      <w:r>
        <w:rPr>
          <w:noProof/>
        </w:rPr>
        <w:tab/>
        <w:t>Productivity enhancing policies</w:t>
      </w:r>
    </w:p>
    <w:p w:rsidR="003240A1" w:rsidRDefault="00EE321D">
      <w:pPr>
        <w:rPr>
          <w:noProof/>
        </w:rPr>
      </w:pPr>
      <w:r>
        <w:rPr>
          <w:b/>
          <w:noProof/>
        </w:rPr>
        <w:t>Knowledge-based activities are expanding, but the high-tech sector remains small.</w:t>
      </w:r>
      <w:r>
        <w:rPr>
          <w:noProof/>
        </w:rPr>
        <w:t xml:space="preserve"> There are few firms in medium-high and high-technology sectors. Chemicals, refined petroleum products, apparel, textiles and furniture are the most important sectors within m</w:t>
      </w:r>
      <w:r>
        <w:rPr>
          <w:noProof/>
        </w:rPr>
        <w:t>anufacturing. Knowledge-based activities within manufacturing and services are expanding and they are of particular importance for innovation and productivity growth. These include for example biotechnology industries, laser manufacturing, mechatronics and</w:t>
      </w:r>
      <w:r>
        <w:rPr>
          <w:noProof/>
        </w:rPr>
        <w:t xml:space="preserve"> information technology. Innovation and firm productivity growth would benefit from greater international knowledge spill-overs and improvements in firms' absorptive capacity, which would make Lithuania more attractive for foreign direct investment and boo</w:t>
      </w:r>
      <w:r>
        <w:rPr>
          <w:noProof/>
        </w:rPr>
        <w:t xml:space="preserve">st the participation of Lithuanian firms in global value chains. </w:t>
      </w:r>
    </w:p>
    <w:p w:rsidR="003240A1" w:rsidRDefault="00EE321D">
      <w:pPr>
        <w:rPr>
          <w:noProof/>
        </w:rPr>
      </w:pPr>
      <w:r>
        <w:rPr>
          <w:b/>
          <w:noProof/>
        </w:rPr>
        <w:t xml:space="preserve">Lithuania is supporting the uptake of new technologies and business models. </w:t>
      </w:r>
      <w:r>
        <w:rPr>
          <w:noProof/>
        </w:rPr>
        <w:t>A number of grant schemes support SME investment into innovative manufacturing or service ventures. They also prom</w:t>
      </w:r>
      <w:r>
        <w:rPr>
          <w:noProof/>
        </w:rPr>
        <w:t>ote introduction of modern technologies, adapting and developing new production capacities, and new products and services. Lithuania is the first Member State to have passed a peer-to-peer ridesharing law. It sets out light registration procedures for driv</w:t>
      </w:r>
      <w:r>
        <w:rPr>
          <w:noProof/>
        </w:rPr>
        <w:t xml:space="preserve">ers of "passenger carriage for a fee" who can be either businesses or individuals. </w:t>
      </w:r>
    </w:p>
    <w:p w:rsidR="003240A1" w:rsidRDefault="00EE321D">
      <w:pPr>
        <w:rPr>
          <w:noProof/>
        </w:rPr>
      </w:pPr>
      <w:r>
        <w:rPr>
          <w:b/>
          <w:noProof/>
        </w:rPr>
        <w:t>Lithuania is increasingly benefitting from the digital economy.</w:t>
      </w:r>
      <w:r>
        <w:rPr>
          <w:noProof/>
        </w:rPr>
        <w:t xml:space="preserve"> There is a steady increase in the number of enterprises that make use of specific applications of digital te</w:t>
      </w:r>
      <w:r>
        <w:rPr>
          <w:noProof/>
        </w:rPr>
        <w:t>chnology in business activities (European Commission, 2016f).</w:t>
      </w:r>
      <w:r>
        <w:rPr>
          <w:noProof/>
          <w:szCs w:val="20"/>
        </w:rPr>
        <w:t xml:space="preserve"> The number of households that subscribe to fixed broadband is still below the EU average. However, the percentage of subscriptions to fast broadband networks is well above the EU average.</w:t>
      </w:r>
      <w:r>
        <w:rPr>
          <w:noProof/>
        </w:rPr>
        <w:t xml:space="preserve"> Concer</w:t>
      </w:r>
      <w:r>
        <w:rPr>
          <w:noProof/>
        </w:rPr>
        <w:t xml:space="preserve">ning e-commerce, Lithuania has further improved and is performing above the EU average. The share of SMEs selling online, including to other EU countries, is also above the EU average. The Digital Agenda (Government of the Republic of Lithuania, 2014) has </w:t>
      </w:r>
      <w:r>
        <w:rPr>
          <w:noProof/>
        </w:rPr>
        <w:t>set ambitious targets to increase number of internet subscriptions and the volume of online sales by 2020. The measures to support digital businesses include the recently introduced scheme ‘e-Business LT’ (</w:t>
      </w:r>
      <w:r>
        <w:rPr>
          <w:i/>
          <w:noProof/>
        </w:rPr>
        <w:t>e-Verslas LT</w:t>
      </w:r>
      <w:r>
        <w:rPr>
          <w:noProof/>
        </w:rPr>
        <w:t>), which supports investment in e-busi</w:t>
      </w:r>
      <w:r>
        <w:rPr>
          <w:noProof/>
        </w:rPr>
        <w:t xml:space="preserve">ness solutions. It may also support innovative information and communication technologies solutions which align several business processes. </w:t>
      </w:r>
    </w:p>
    <w:p w:rsidR="003240A1" w:rsidRDefault="00EE321D">
      <w:pPr>
        <w:rPr>
          <w:noProof/>
        </w:rPr>
      </w:pPr>
      <w:r>
        <w:rPr>
          <w:noProof/>
        </w:rPr>
        <w:t>Lack of national rules for directly transferring companies' registered offices into and out of Lithuania makes it m</w:t>
      </w:r>
      <w:r>
        <w:rPr>
          <w:noProof/>
        </w:rPr>
        <w:t>ore difficult and costly for companies to take advantage of cross-border business opportunities.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Pr>
        <w:tc>
          <w:tcPr>
            <w:tcW w:w="8505" w:type="dxa"/>
            <w:shd w:val="clear" w:color="auto" w:fill="F7FCFF"/>
          </w:tcPr>
          <w:p w:rsidR="003240A1" w:rsidRDefault="00EE321D">
            <w:pPr>
              <w:pStyle w:val="BoxShape"/>
              <w:rPr>
                <w:noProof/>
                <w:sz w:val="2"/>
              </w:rPr>
            </w:pPr>
            <w:bookmarkStart w:id="39" w:name="_Toc473809319"/>
            <w:bookmarkEnd w:id="39"/>
            <w:r>
              <w:rPr>
                <w:noProof/>
                <w:sz w:val="2"/>
                <w:lang w:eastAsia="en-GB"/>
              </w:rPr>
              <w:drawing>
                <wp:inline distT="0" distB="0" distL="0" distR="0">
                  <wp:extent cx="5040929" cy="7111945"/>
                  <wp:effectExtent l="0" t="0" r="7620" b="0"/>
                  <wp:docPr id="38" name="Picture 38" descr="&lt;_DISABLED_nbr_DISABLED_&gt;3.4.1&lt;/nbr&gt;&#10;&lt;title&gt;Investment challenges and reforms in Lithuania&lt;/title&gt;&#10;&lt;_DISABLED_id_DISABLED_&gt;41b730ce-1cd8-471c-a21d-6f463c186341&lt;/id&gt;&#10;&lt;srcType&gt;WORD&lt;/srcType&gt;&#10;&lt;srcPath&gt;O:\2017 CRs\15 LT\15_LT_Boxes\&lt;/srcPath&gt;&#10;&lt;srcName&gt;Investment Box_LT_right one.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30T12:07:2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40929" cy="7111945"/>
                          </a:xfrm>
                          <a:prstGeom prst="rect">
                            <a:avLst/>
                          </a:prstGeom>
                          <a:noFill/>
                          <a:ln>
                            <a:noFill/>
                          </a:ln>
                        </pic:spPr>
                      </pic:pic>
                    </a:graphicData>
                  </a:graphic>
                </wp:inline>
              </w:drawing>
            </w:r>
          </w:p>
        </w:tc>
      </w:tr>
      <w:tr w:rsidR="003240A1">
        <w:trPr>
          <w:cantSplit/>
          <w:trHeight w:val="20"/>
        </w:trPr>
        <w:tc>
          <w:tcPr>
            <w:tcW w:w="8505" w:type="dxa"/>
            <w:shd w:val="clear" w:color="auto" w:fill="F7FCFF"/>
          </w:tcPr>
          <w:p w:rsidR="003240A1" w:rsidRDefault="003240A1">
            <w:pPr>
              <w:pStyle w:val="SlimCell"/>
              <w:keepNext/>
              <w:rPr>
                <w:noProof/>
              </w:rPr>
            </w:pPr>
          </w:p>
        </w:tc>
      </w:tr>
      <w:tr w:rsidR="003240A1">
        <w:trPr>
          <w:cantSplit/>
          <w:trHeight w:val="20"/>
        </w:trPr>
        <w:tc>
          <w:tcPr>
            <w:tcW w:w="8505" w:type="dxa"/>
            <w:shd w:val="clear" w:color="auto" w:fill="F7FCFF"/>
          </w:tcPr>
          <w:p w:rsidR="003240A1" w:rsidRDefault="003240A1">
            <w:pPr>
              <w:pStyle w:val="SlimCell"/>
              <w:rPr>
                <w:noProof/>
              </w:rPr>
            </w:pPr>
          </w:p>
        </w:tc>
      </w:tr>
    </w:tbl>
    <w:p w:rsidR="003240A1" w:rsidRDefault="003240A1">
      <w:pPr>
        <w:rPr>
          <w:noProof/>
        </w:rPr>
        <w:sectPr w:rsidR="003240A1">
          <w:headerReference w:type="even" r:id="rId88"/>
          <w:headerReference w:type="default" r:id="rId89"/>
          <w:footerReference w:type="even" r:id="rId90"/>
          <w:footerReference w:type="default" r:id="rId91"/>
          <w:headerReference w:type="first" r:id="rId92"/>
          <w:footerReference w:type="first" r:id="rId9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8"/>
        <w:framePr w:wrap="notBeside"/>
        <w:rPr>
          <w:noProof/>
        </w:rPr>
      </w:pPr>
      <w:bookmarkStart w:id="40" w:name="_Toc473809276"/>
      <w:bookmarkEnd w:id="40"/>
      <w:r>
        <w:rPr>
          <w:noProof/>
        </w:rPr>
        <w:t xml:space="preserve">3.5. Sectoral </w:t>
      </w:r>
      <w:r>
        <w:rPr>
          <w:noProof/>
        </w:rPr>
        <w:t>policies</w:t>
      </w:r>
    </w:p>
    <w:p w:rsidR="003240A1" w:rsidRDefault="00EE321D">
      <w:pPr>
        <w:pStyle w:val="NumberedHeading1"/>
        <w:tabs>
          <w:tab w:val="left" w:pos="567"/>
        </w:tabs>
        <w:rPr>
          <w:noProof/>
        </w:rPr>
      </w:pPr>
      <w:r>
        <w:rPr>
          <w:noProof/>
        </w:rPr>
        <w:t>3.5.1.</w:t>
      </w:r>
      <w:r>
        <w:rPr>
          <w:noProof/>
        </w:rPr>
        <w:tab/>
        <w:t>Research and Development and Innovation</w:t>
      </w:r>
    </w:p>
    <w:p w:rsidR="003240A1" w:rsidRDefault="00EE321D">
      <w:pPr>
        <w:rPr>
          <w:noProof/>
        </w:rPr>
      </w:pPr>
      <w:r>
        <w:rPr>
          <w:b/>
          <w:noProof/>
        </w:rPr>
        <w:t>Overall, the innovation performance of Lithuania remains moderate.</w:t>
      </w:r>
      <w:r>
        <w:rPr>
          <w:noProof/>
        </w:rPr>
        <w:t xml:space="preserve"> European Innovation Scoreboard (EIS) 2016 ranks the country 24</w:t>
      </w:r>
      <w:r>
        <w:rPr>
          <w:noProof/>
          <w:vertAlign w:val="superscript"/>
        </w:rPr>
        <w:t>th</w:t>
      </w:r>
      <w:r>
        <w:rPr>
          <w:noProof/>
        </w:rPr>
        <w:t xml:space="preserve"> in EU. Despite some improvements, Lithuania's innovation performance</w:t>
      </w:r>
      <w:r>
        <w:rPr>
          <w:noProof/>
        </w:rPr>
        <w:t xml:space="preserve"> therefore remains among the lowest in the EU. Lithuania faces numerous challenges to improve its innovation performance. In particular, the low efficiency of the public R&amp;D system, the need to incentivise the commercialisation of research results, and the</w:t>
      </w:r>
      <w:r>
        <w:rPr>
          <w:noProof/>
        </w:rPr>
        <w:t xml:space="preserve"> urgency to foster a governance system and a policy mix that are supportive of innovation. </w:t>
      </w:r>
    </w:p>
    <w:p w:rsidR="003240A1" w:rsidRDefault="00EE321D">
      <w:pPr>
        <w:rPr>
          <w:noProof/>
        </w:rPr>
      </w:pPr>
      <w:r>
        <w:rPr>
          <w:b/>
          <w:noProof/>
        </w:rPr>
        <w:t>Lithuania's investment in R&amp;D steadily increased in recent years to reach 1.04 % of GDP in 2015.</w:t>
      </w:r>
      <w:r>
        <w:rPr>
          <w:noProof/>
        </w:rPr>
        <w:t xml:space="preserve"> However, growth in R&amp;D investment is mostly propelled by the use of</w:t>
      </w:r>
      <w:r>
        <w:rPr>
          <w:noProof/>
        </w:rPr>
        <w:t xml:space="preserve"> European Structural and Investment Funds, only a modest contribution is coming from businesses. Public R&amp;D intensity increased up to a value slightly above the EU average in 2015 (</w:t>
      </w:r>
      <w:r>
        <w:rPr>
          <w:noProof/>
          <w:vertAlign w:val="superscript"/>
        </w:rPr>
        <w:footnoteReference w:id="29"/>
      </w:r>
      <w:r>
        <w:rPr>
          <w:noProof/>
        </w:rPr>
        <w:t>), while business R&amp;D intensity lags behind (</w:t>
      </w:r>
      <w:r>
        <w:rPr>
          <w:noProof/>
          <w:vertAlign w:val="superscript"/>
        </w:rPr>
        <w:footnoteReference w:id="30"/>
      </w:r>
      <w:r>
        <w:rPr>
          <w:noProof/>
        </w:rPr>
        <w:t>). As a result, Lithuania is</w:t>
      </w:r>
      <w:r>
        <w:rPr>
          <w:noProof/>
        </w:rPr>
        <w:t xml:space="preserve"> not on track to meet the national R&amp;D intensity target of 1.9% of GDP. </w:t>
      </w:r>
    </w:p>
    <w:p w:rsidR="003240A1" w:rsidRDefault="00EE321D">
      <w:pPr>
        <w:rPr>
          <w:noProof/>
        </w:rPr>
      </w:pPr>
      <w:r>
        <w:rPr>
          <w:b/>
          <w:noProof/>
        </w:rPr>
        <w:t>Private sector capacity to invest into research and innovation remains low in Lithuania due to the structure of the economy</w:t>
      </w:r>
      <w:r>
        <w:rPr>
          <w:noProof/>
        </w:rPr>
        <w:t>. The medium-high-tech and high-tech sectors are small (</w:t>
      </w:r>
      <w:r>
        <w:rPr>
          <w:noProof/>
          <w:vertAlign w:val="superscript"/>
        </w:rPr>
        <w:footnoteReference w:id="31"/>
      </w:r>
      <w:r>
        <w:rPr>
          <w:noProof/>
        </w:rPr>
        <w:t>) a</w:t>
      </w:r>
      <w:r>
        <w:rPr>
          <w:noProof/>
        </w:rPr>
        <w:t>nd their aggregate share in the economy stagnates. Photonics and bio-pharmaceuticals are the leading Lithuania’s high-tech sectors. The latter has a strong science base with good connections to business and has proven capable of attracting foreign direct i</w:t>
      </w:r>
      <w:r>
        <w:rPr>
          <w:noProof/>
        </w:rPr>
        <w:t>nvestment. Generous tax incentives have so far failed to increase business R&amp;D investment significantly, indicating a possible need for more guidance and promotion. However, the tax relief was recently extended to 5 years in the hope of boosting its use. A</w:t>
      </w:r>
      <w:r>
        <w:rPr>
          <w:noProof/>
        </w:rPr>
        <w:t>lso, on the regulatory basis for pre-commercial procurement of innovation was created in 2015.</w:t>
      </w:r>
    </w:p>
    <w:p w:rsidR="003240A1" w:rsidRDefault="00EE321D">
      <w:pPr>
        <w:rPr>
          <w:noProof/>
        </w:rPr>
      </w:pPr>
      <w:r>
        <w:rPr>
          <w:b/>
          <w:noProof/>
        </w:rPr>
        <w:t xml:space="preserve">The cooperation between businesses and the public R&amp;D sector is weak. </w:t>
      </w:r>
      <w:r>
        <w:rPr>
          <w:noProof/>
        </w:rPr>
        <w:t>There were only 1.7 public-private co-publications per million of population (</w:t>
      </w:r>
      <w:r>
        <w:rPr>
          <w:noProof/>
          <w:vertAlign w:val="superscript"/>
        </w:rPr>
        <w:footnoteReference w:id="32"/>
      </w:r>
      <w:r>
        <w:rPr>
          <w:noProof/>
        </w:rPr>
        <w:t>) in 2014 (r</w:t>
      </w:r>
      <w:r>
        <w:rPr>
          <w:noProof/>
        </w:rPr>
        <w:t>anking 27</w:t>
      </w:r>
      <w:r>
        <w:rPr>
          <w:noProof/>
          <w:vertAlign w:val="superscript"/>
        </w:rPr>
        <w:t>th</w:t>
      </w:r>
      <w:r>
        <w:rPr>
          <w:noProof/>
        </w:rPr>
        <w:t xml:space="preserve"> in the EU).  Businesses only modestly use research infrastructures available in open access centres and scientific valleys financed by European Structural and Investment Funds (ESIF). These infrastructures are expected to incur heavy upgrading and mainten</w:t>
      </w:r>
      <w:r>
        <w:rPr>
          <w:noProof/>
        </w:rPr>
        <w:t>ance costs for the national budget by 2020(</w:t>
      </w:r>
      <w:r>
        <w:rPr>
          <w:noProof/>
          <w:vertAlign w:val="superscript"/>
        </w:rPr>
        <w:footnoteReference w:id="33"/>
      </w:r>
      <w:r>
        <w:rPr>
          <w:noProof/>
        </w:rPr>
        <w:t>) (Technopolis group; Ernst and Young, 2014). There is a need for a systemic approach to improve knowledge transfer, for university intellectual property rights policies that favour collaboration with businesses,</w:t>
      </w:r>
      <w:r>
        <w:rPr>
          <w:noProof/>
        </w:rPr>
        <w:t xml:space="preserve"> and for incentives for researchers to take part in firms' R&amp;D activities. Available R&amp;D infrastructures need to open up to the business sector and the regional economic systems in which they operate.</w:t>
      </w:r>
    </w:p>
    <w:p w:rsidR="003240A1" w:rsidRDefault="00EE321D">
      <w:pPr>
        <w:rPr>
          <w:noProof/>
        </w:rPr>
      </w:pPr>
      <w:r>
        <w:rPr>
          <w:b/>
          <w:noProof/>
        </w:rPr>
        <w:t>Return on public R&amp;D investment is low.</w:t>
      </w:r>
      <w:r>
        <w:rPr>
          <w:noProof/>
        </w:rPr>
        <w:t xml:space="preserve"> Although public</w:t>
      </w:r>
      <w:r>
        <w:rPr>
          <w:noProof/>
        </w:rPr>
        <w:t xml:space="preserve"> R&amp;D intensity is at around the EU average, the volume of highly cited scientific publications (</w:t>
      </w:r>
      <w:r>
        <w:rPr>
          <w:noProof/>
          <w:vertAlign w:val="superscript"/>
        </w:rPr>
        <w:footnoteReference w:id="34"/>
      </w:r>
      <w:r>
        <w:rPr>
          <w:noProof/>
        </w:rPr>
        <w:t>) fell during recent years to pre-crisis levels, placing Lithuania second last in the EU. On a value-for-money comparison, Lithuania is also one of the worst p</w:t>
      </w:r>
      <w:r>
        <w:rPr>
          <w:noProof/>
        </w:rPr>
        <w:t xml:space="preserve">erformers in EU (Graph </w:t>
      </w:r>
      <w:r>
        <w:rPr>
          <w:noProof/>
        </w:rPr>
        <w:fldChar w:fldCharType="begin"/>
      </w:r>
      <w:r>
        <w:rPr>
          <w:noProof/>
        </w:rPr>
        <w:instrText xml:space="preserve"> QUOTE "3.5.1"</w:instrText>
      </w:r>
      <w:r>
        <w:rPr>
          <w:noProof/>
        </w:rPr>
        <w:fldChar w:fldCharType="begin">
          <w:fldData xml:space="preserve">QwBSAE8AUwBTAFIARQBGAEUAUgBFAE4AQwBFACoARwBSAEEAUABIACoAYwBhADcAMwAxADUAOABj
AC0AMQA4ADMAOAAtADQANgA1ADAALQBiADQANgA3AC0AMwA4ADEAZgAzADIAZAAxADAANABiADcA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 The majority of R&amp;D output is produced by public research institutions, with weak capacity to exploit resu</w:t>
      </w:r>
      <w:r>
        <w:rPr>
          <w:noProof/>
        </w:rPr>
        <w:t>lts for economic benefits. The dependence of public funding on ESIF raise sustainability concerns for the future.</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3.5.1:</w:t>
            </w:r>
            <w:r>
              <w:rPr>
                <w:b/>
                <w:noProof/>
              </w:rPr>
              <w:tab/>
              <w:t>Highly-cited publications and public R&amp;D intensity</w:t>
            </w:r>
          </w:p>
        </w:tc>
      </w:tr>
      <w:tr w:rsidR="003240A1">
        <w:trPr>
          <w:cantSplit/>
        </w:trPr>
        <w:tc>
          <w:tcPr>
            <w:tcW w:w="4110" w:type="dxa"/>
            <w:shd w:val="clear" w:color="auto" w:fill="auto"/>
          </w:tcPr>
          <w:p w:rsidR="003240A1" w:rsidRDefault="00EE321D">
            <w:pPr>
              <w:pStyle w:val="GraphShape"/>
              <w:rPr>
                <w:noProof/>
                <w:sz w:val="2"/>
              </w:rPr>
            </w:pPr>
            <w:bookmarkStart w:id="41" w:name="_Toc473809315"/>
            <w:bookmarkEnd w:id="41"/>
            <w:r>
              <w:rPr>
                <w:noProof/>
                <w:sz w:val="2"/>
                <w:lang w:eastAsia="en-GB"/>
              </w:rPr>
              <w:drawing>
                <wp:inline distT="0" distB="0" distL="0" distR="0">
                  <wp:extent cx="2597595" cy="2441411"/>
                  <wp:effectExtent l="0" t="0" r="0" b="0"/>
                  <wp:docPr id="21" name="Picture 21" descr="&lt;_DISABLED_nbr_DISABLED_&gt;&lt;GETTEXTFROMWORD&gt;&lt;/nbr&gt;&#10;&lt;title&gt;&lt;GETTEXTFROMWORD&gt;&lt;/title&gt;&#10;&lt;_DISABLED_id_DISABLED_&gt;ca73158c-1838-4650-b467-381f32d104b7&lt;/id&gt;&#10;&lt;srcType&gt;EXCEL&lt;/srcType&gt;&#10;&lt;srcPath&gt;O:\2017 CRs\15 LT\15_LT_GraphesTables\&lt;/srcPath&gt;&#10;&lt;srcName&gt;RTD graph for LT CR 2017.xlsx&lt;/srcName&gt;&#10;&lt;type&gt;graph&lt;/type&gt;&#10; &lt;srcSheet&gt;High cited pub Pub RD int &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12:30: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Footnote"/>
              <w:keepNext/>
              <w:rPr>
                <w:noProof/>
              </w:rPr>
            </w:pPr>
            <w:r>
              <w:rPr>
                <w:noProof/>
              </w:rPr>
              <w:t>(1) Fractional Counting method</w:t>
            </w:r>
          </w:p>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b/>
          <w:noProof/>
        </w:rPr>
        <w:t xml:space="preserve">Lithuania has </w:t>
      </w:r>
      <w:r>
        <w:rPr>
          <w:b/>
          <w:noProof/>
        </w:rPr>
        <w:t>pockets of international scientific excellence, but these do not outweigh the disadvantages of the low critical mass for research.</w:t>
      </w:r>
      <w:r>
        <w:rPr>
          <w:noProof/>
        </w:rPr>
        <w:t xml:space="preserve"> The scientific potential is dispersed across too many institutions (</w:t>
      </w:r>
      <w:r>
        <w:rPr>
          <w:noProof/>
          <w:vertAlign w:val="superscript"/>
        </w:rPr>
        <w:footnoteReference w:id="35"/>
      </w:r>
      <w:r>
        <w:rPr>
          <w:noProof/>
        </w:rPr>
        <w:t xml:space="preserve">) and the </w:t>
      </w:r>
      <w:r>
        <w:rPr>
          <w:i/>
          <w:noProof/>
        </w:rPr>
        <w:t>status quo</w:t>
      </w:r>
      <w:r>
        <w:rPr>
          <w:noProof/>
        </w:rPr>
        <w:t xml:space="preserve"> is maintained by an inefficient res</w:t>
      </w:r>
      <w:r>
        <w:rPr>
          <w:noProof/>
        </w:rPr>
        <w:t>earch funding system that is not well suited to promoting excellence. Public research institutes were merged but attempts to merge universities were met with limited success so far (</w:t>
      </w:r>
      <w:r>
        <w:rPr>
          <w:noProof/>
          <w:vertAlign w:val="superscript"/>
        </w:rPr>
        <w:footnoteReference w:id="36"/>
      </w:r>
      <w:r>
        <w:rPr>
          <w:noProof/>
        </w:rPr>
        <w:t xml:space="preserve">). Large emigration of the high-skilled has created a shortage of talent </w:t>
      </w:r>
      <w:r>
        <w:rPr>
          <w:noProof/>
        </w:rPr>
        <w:t>for Lithuania's research community. Moreover, the research entities attract an insignificant number of foreign talent, partly due to the heavy burden associated with hiring foreign specialists (OECD, 2016c). As a result, low scientific production is exacer</w:t>
      </w:r>
      <w:r>
        <w:rPr>
          <w:noProof/>
        </w:rPr>
        <w:t>bated by an additional problem of the lack of available quality human resources (</w:t>
      </w:r>
      <w:r>
        <w:rPr>
          <w:noProof/>
          <w:vertAlign w:val="superscript"/>
        </w:rPr>
        <w:footnoteReference w:id="37"/>
      </w:r>
      <w:r>
        <w:rPr>
          <w:noProof/>
        </w:rPr>
        <w:t xml:space="preserve">) in public and private sectors.  </w:t>
      </w:r>
    </w:p>
    <w:p w:rsidR="003240A1" w:rsidRDefault="00EE321D">
      <w:pPr>
        <w:rPr>
          <w:noProof/>
        </w:rPr>
      </w:pPr>
      <w:r>
        <w:rPr>
          <w:b/>
          <w:noProof/>
        </w:rPr>
        <w:t xml:space="preserve">The research and innovation policy planning and implementation continue to suffer from fragmentation and lack of coordination. </w:t>
      </w:r>
      <w:r>
        <w:rPr>
          <w:noProof/>
        </w:rPr>
        <w:t>The policy p</w:t>
      </w:r>
      <w:r>
        <w:rPr>
          <w:noProof/>
        </w:rPr>
        <w:t xml:space="preserve">lanning and implementation is split among several ministries and implementing agencies. Often, their work overlaps and is poorly coordinated. This leads to a lack of leadership and sometimes ill-conceived policy. Recently, however, important policy reform </w:t>
      </w:r>
      <w:r>
        <w:rPr>
          <w:noProof/>
        </w:rPr>
        <w:t>initiatives have been launched and are hoped to provide a significant impetus to country's innovation performance (</w:t>
      </w:r>
      <w:r>
        <w:rPr>
          <w:noProof/>
          <w:vertAlign w:val="superscript"/>
        </w:rPr>
        <w:footnoteReference w:id="38"/>
      </w:r>
      <w:r>
        <w:rPr>
          <w:noProof/>
        </w:rPr>
        <w:t>) (</w:t>
      </w:r>
      <w:r>
        <w:rPr>
          <w:noProof/>
          <w:vertAlign w:val="superscript"/>
        </w:rPr>
        <w:footnoteReference w:id="39"/>
      </w:r>
      <w:r>
        <w:rPr>
          <w:noProof/>
        </w:rPr>
        <w:t>). Furthermore, the government requested that the European Commission's Horizon 2020 Policy Support Facility supports the design of Lith</w:t>
      </w:r>
      <w:r>
        <w:rPr>
          <w:noProof/>
        </w:rPr>
        <w:t>uanian policies on cooperation between the public science base and business and the attraction of innovation-oriented foreign direct investment</w:t>
      </w:r>
      <w:r>
        <w:rPr>
          <w:rStyle w:val="FootnoteReference"/>
          <w:noProof/>
        </w:rPr>
        <w:footnoteReference w:id="40"/>
      </w:r>
      <w:r>
        <w:rPr>
          <w:noProof/>
        </w:rPr>
        <w:t xml:space="preserve">. The launch of this policy support activity is envisaged in early 2017. </w:t>
      </w:r>
    </w:p>
    <w:p w:rsidR="003240A1" w:rsidRDefault="00EE321D">
      <w:pPr>
        <w:pStyle w:val="NumberedHeading1"/>
        <w:tabs>
          <w:tab w:val="left" w:pos="567"/>
        </w:tabs>
        <w:rPr>
          <w:noProof/>
        </w:rPr>
      </w:pPr>
      <w:r>
        <w:rPr>
          <w:noProof/>
        </w:rPr>
        <w:t>3.5.2.</w:t>
      </w:r>
      <w:r>
        <w:rPr>
          <w:noProof/>
        </w:rPr>
        <w:tab/>
        <w:t>Transport</w:t>
      </w:r>
    </w:p>
    <w:p w:rsidR="003240A1" w:rsidRDefault="00EE321D">
      <w:pPr>
        <w:rPr>
          <w:noProof/>
        </w:rPr>
      </w:pPr>
      <w:r>
        <w:rPr>
          <w:b/>
          <w:noProof/>
        </w:rPr>
        <w:t>The Rail Baltica Euro</w:t>
      </w:r>
      <w:r>
        <w:rPr>
          <w:b/>
          <w:noProof/>
        </w:rPr>
        <w:t xml:space="preserve">pean-gauge railway infrastructure project is of high strategic importance to both Europe and the Baltic countries. </w:t>
      </w:r>
      <w:r>
        <w:rPr>
          <w:noProof/>
        </w:rPr>
        <w:t>The project foresees a new fully interoperable electrified 1435 mm higher speed railway line from Warsaw via Elk, Kaunas and Riga to Tallinn.</w:t>
      </w:r>
      <w:r>
        <w:rPr>
          <w:noProof/>
        </w:rPr>
        <w:t xml:space="preserve"> The target date for completion in the Baltic States (as agreed by all the partner countries) is 2025. Together with the upgrades on the line between Warsaw and the Polish-Lithuanian border, it would considerably shorten the journey time for both freight a</w:t>
      </w:r>
      <w:r>
        <w:rPr>
          <w:noProof/>
        </w:rPr>
        <w:t>nd passengers between Tallinn and Warsaw, as well as connect with the rest of the European rail network in Poland and further west. It is also expected to stimulate economic growth across the Baltic region and result in environmental benefits due to the ex</w:t>
      </w:r>
      <w:r>
        <w:rPr>
          <w:noProof/>
        </w:rPr>
        <w:t xml:space="preserve">pected modal shift from road to rail in passenger and freight transport, as well as gains over the current system where only diesel powered traction can be used. </w:t>
      </w:r>
    </w:p>
    <w:p w:rsidR="003240A1" w:rsidRDefault="00EE321D">
      <w:pPr>
        <w:rPr>
          <w:noProof/>
        </w:rPr>
      </w:pPr>
      <w:r>
        <w:rPr>
          <w:b/>
          <w:noProof/>
        </w:rPr>
        <w:t>Rail Baltica's success depends primarily on the concerned Member States’ commitment to the pr</w:t>
      </w:r>
      <w:r>
        <w:rPr>
          <w:b/>
          <w:noProof/>
        </w:rPr>
        <w:t xml:space="preserve">oject’s implementation and on the effectiveness of their cooperation. </w:t>
      </w:r>
      <w:r>
        <w:rPr>
          <w:noProof/>
        </w:rPr>
        <w:t>Up until recently, Lithuania's approach to implementing the Rail Baltica has not been uniform. While it has expressed strong interest to connect to Poland, it has shown comparatively les</w:t>
      </w:r>
      <w:r>
        <w:rPr>
          <w:noProof/>
        </w:rPr>
        <w:t>s commitment to realise the line between Kaunas and the Latvian border. Nevertheless, Lithuania's stance has changed recently as the new government, formed in December 2016, has taken a more balanced and forward-looking view towards the Rail Baltica projec</w:t>
      </w:r>
      <w:r>
        <w:rPr>
          <w:noProof/>
        </w:rPr>
        <w:t>t.</w:t>
      </w:r>
    </w:p>
    <w:p w:rsidR="003240A1" w:rsidRDefault="00EE321D">
      <w:pPr>
        <w:rPr>
          <w:noProof/>
        </w:rPr>
      </w:pPr>
      <w:r>
        <w:rPr>
          <w:noProof/>
        </w:rPr>
        <w:t>Looking forward, it is important that the optimal solution to ensuring the rail line between the Polish-Lithuanian border and Kaunas meets the project's speed and interoperability standards and is sought in transparent and objective manner where all par</w:t>
      </w:r>
      <w:r>
        <w:rPr>
          <w:noProof/>
        </w:rPr>
        <w:t xml:space="preserve">ties take a constructive approach and that the construction of embankment towards the Latvian border progresses without delay. </w:t>
      </w:r>
    </w:p>
    <w:p w:rsidR="003240A1" w:rsidRDefault="00EE321D">
      <w:pPr>
        <w:rPr>
          <w:noProof/>
        </w:rPr>
      </w:pPr>
      <w:r>
        <w:rPr>
          <w:noProof/>
        </w:rPr>
        <w:t xml:space="preserve">In October 2016, the procurement procedures for the project were agreed upon, further defining the role of the Joint Venture RB </w:t>
      </w:r>
      <w:r>
        <w:rPr>
          <w:noProof/>
        </w:rPr>
        <w:t>RAIL AS and paving the way for successful negotiation and signature of the Grant Agreement. Furthermore, milestone progress was achieved in January 2017 when the prime ministers of the Baltic countries signed an intergovernmental agreement, which underline</w:t>
      </w:r>
      <w:r>
        <w:rPr>
          <w:noProof/>
        </w:rPr>
        <w:t>s the countries' commitment to project to timely implementation. The agreement has to be ratified by the Baltics countries' parliaments, before it takes effect.</w:t>
      </w:r>
    </w:p>
    <w:p w:rsidR="003240A1" w:rsidRDefault="00EE321D">
      <w:pPr>
        <w:rPr>
          <w:noProof/>
        </w:rPr>
      </w:pPr>
      <w:r>
        <w:rPr>
          <w:b/>
          <w:noProof/>
        </w:rPr>
        <w:t>The Lithuanian rail network remains among the least electrified rail networks in the EU.</w:t>
      </w:r>
      <w:r>
        <w:rPr>
          <w:noProof/>
        </w:rPr>
        <w:t xml:space="preserve"> No progress has been observed over the period of 2010-2014 and only 6.9 % of rail tracks are electrified (European Commission, 2016g). With the help of different financial and funding instruments, significant progress is expected over the coming years.</w:t>
      </w:r>
    </w:p>
    <w:p w:rsidR="003240A1" w:rsidRDefault="00EE321D">
      <w:pPr>
        <w:rPr>
          <w:noProof/>
        </w:rPr>
      </w:pPr>
      <w:r>
        <w:rPr>
          <w:b/>
          <w:noProof/>
        </w:rPr>
        <w:t>Al</w:t>
      </w:r>
      <w:r>
        <w:rPr>
          <w:b/>
          <w:noProof/>
        </w:rPr>
        <w:t xml:space="preserve">though formally open to competition, Lithuania's rail market remains non-competitive. </w:t>
      </w:r>
      <w:r>
        <w:rPr>
          <w:noProof/>
        </w:rPr>
        <w:t>No entrants have emerged in rail freight and passenger transport markets since the opening to competition. Moreover, the Commission is investigating a possible abuse of a</w:t>
      </w:r>
      <w:r>
        <w:rPr>
          <w:noProof/>
        </w:rPr>
        <w:t xml:space="preserve"> dominant market position by the incumbent railway company Lietuvos Geležinkeliai and sent it a Statement of Objections in 2015 (European Commission, 2015b).</w:t>
      </w:r>
    </w:p>
    <w:p w:rsidR="003240A1" w:rsidRDefault="00EE321D">
      <w:pPr>
        <w:rPr>
          <w:noProof/>
        </w:rPr>
      </w:pPr>
      <w:r>
        <w:rPr>
          <w:b/>
          <w:noProof/>
        </w:rPr>
        <w:t>The number of road fatalities in Lithuania remains among the highest in the EU</w:t>
      </w:r>
      <w:r>
        <w:rPr>
          <w:noProof/>
        </w:rPr>
        <w:t>. There were 83 fata</w:t>
      </w:r>
      <w:r>
        <w:rPr>
          <w:noProof/>
        </w:rPr>
        <w:t>lities per 1 million people in 2015, while the EU average was 51.5 (European Commission, 2016h). There is further scope to enhance road safety by improving road users' behaviour, developing safer infrastructure, and introducing safer vehicles.</w:t>
      </w:r>
    </w:p>
    <w:p w:rsidR="003240A1" w:rsidRDefault="00EE321D">
      <w:pPr>
        <w:pStyle w:val="NumberedHeading1"/>
        <w:tabs>
          <w:tab w:val="left" w:pos="567"/>
        </w:tabs>
        <w:rPr>
          <w:noProof/>
        </w:rPr>
      </w:pPr>
      <w:r>
        <w:rPr>
          <w:noProof/>
        </w:rPr>
        <w:t>3.5.3.</w:t>
      </w:r>
      <w:r>
        <w:rPr>
          <w:noProof/>
        </w:rPr>
        <w:tab/>
        <w:t>Energ</w:t>
      </w:r>
      <w:r>
        <w:rPr>
          <w:noProof/>
        </w:rPr>
        <w:t>y</w:t>
      </w:r>
    </w:p>
    <w:p w:rsidR="003240A1" w:rsidRDefault="00EE321D">
      <w:pPr>
        <w:rPr>
          <w:noProof/>
        </w:rPr>
      </w:pPr>
      <w:r>
        <w:rPr>
          <w:b/>
          <w:noProof/>
        </w:rPr>
        <w:t xml:space="preserve">Several recently completed energy infrastructure projects in Lithuania and the other Baltic countries have significantly increased the security of gas and electricity supply. </w:t>
      </w:r>
      <w:r>
        <w:rPr>
          <w:noProof/>
        </w:rPr>
        <w:t>Following the arrival of the liquefied natural gas (LNG) terminal in Klaipeda a</w:t>
      </w:r>
      <w:r>
        <w:rPr>
          <w:noProof/>
        </w:rPr>
        <w:t>nd the construction of the Klaipeda – Kursenai pipeline, Lithuania and the two other Baltic countries now have access to two independent sources of gas.</w:t>
      </w:r>
    </w:p>
    <w:p w:rsidR="003240A1" w:rsidRDefault="00EE321D">
      <w:pPr>
        <w:rPr>
          <w:noProof/>
        </w:rPr>
      </w:pPr>
      <w:r>
        <w:rPr>
          <w:noProof/>
        </w:rPr>
        <w:t>Lithuania also continues work on its section of the gas interconnector with Poland (known as GIPL) whic</w:t>
      </w:r>
      <w:r>
        <w:rPr>
          <w:noProof/>
        </w:rPr>
        <w:t xml:space="preserve">h is to connect for the first time the gas transmission systems of the Baltic countries with the continental European gas network. </w:t>
      </w:r>
    </w:p>
    <w:p w:rsidR="003240A1" w:rsidRDefault="00EE321D">
      <w:pPr>
        <w:rPr>
          <w:noProof/>
        </w:rPr>
      </w:pPr>
      <w:r>
        <w:rPr>
          <w:b/>
          <w:noProof/>
        </w:rPr>
        <w:t>Lithuania and the two other Baltic countries have substantially increased their level of electricity interconnection (</w:t>
      </w:r>
      <w:r>
        <w:rPr>
          <w:noProof/>
          <w:vertAlign w:val="superscript"/>
        </w:rPr>
        <w:footnoteReference w:id="41"/>
      </w:r>
      <w:r>
        <w:rPr>
          <w:b/>
          <w:noProof/>
        </w:rPr>
        <w:t>) wit</w:t>
      </w:r>
      <w:r>
        <w:rPr>
          <w:b/>
          <w:noProof/>
        </w:rPr>
        <w:t>h the rest of the European grid</w:t>
      </w:r>
      <w:r>
        <w:rPr>
          <w:noProof/>
        </w:rPr>
        <w:t>. The total capacity of interconnections as a percentage of total electric energy capacity has increased from 4% in early 2014 to approximately 22% now, exceeding the target of 10%. This has been possible due to the commissio</w:t>
      </w:r>
      <w:r>
        <w:rPr>
          <w:noProof/>
        </w:rPr>
        <w:t>ning of electricity interconnections with Finland via the two Estlink interconnections, with Poland via LitPol Link and with Sweden via NordBalt (</w:t>
      </w:r>
      <w:r>
        <w:rPr>
          <w:noProof/>
          <w:vertAlign w:val="superscript"/>
        </w:rPr>
        <w:footnoteReference w:id="42"/>
      </w:r>
      <w:r>
        <w:rPr>
          <w:noProof/>
        </w:rPr>
        <w:t xml:space="preserve">).     </w:t>
      </w:r>
    </w:p>
    <w:p w:rsidR="003240A1" w:rsidRDefault="00EE321D">
      <w:pPr>
        <w:rPr>
          <w:noProof/>
        </w:rPr>
      </w:pPr>
      <w:r>
        <w:rPr>
          <w:noProof/>
        </w:rPr>
        <w:t>The energy infrastructure projects have also had a positive impact on electricity and gas wholesale p</w:t>
      </w:r>
      <w:r>
        <w:rPr>
          <w:noProof/>
        </w:rPr>
        <w:t xml:space="preserve">rices in the Baltics, which used to be among the highest in EU due to energy market isolation. Now they are much closer to prices in western European countries.  </w:t>
      </w:r>
    </w:p>
    <w:p w:rsidR="003240A1" w:rsidRDefault="00EE321D">
      <w:pPr>
        <w:rPr>
          <w:noProof/>
        </w:rPr>
      </w:pPr>
      <w:r>
        <w:rPr>
          <w:noProof/>
        </w:rPr>
        <w:t>The construction of the above mentioned energy infrastructure was financially supported by th</w:t>
      </w:r>
      <w:r>
        <w:rPr>
          <w:noProof/>
        </w:rPr>
        <w:t xml:space="preserve">e Union under various programmes, including the Connecting Europe Facility (CEF), the European Energy Programme for Recovery (EEPR) and the "old" TEN-E programme. The total support provided to Lithuania under these programmes between 2006 and 2016 amounts </w:t>
      </w:r>
      <w:r>
        <w:rPr>
          <w:noProof/>
        </w:rPr>
        <w:t>to approximately EUR 190 million.</w:t>
      </w:r>
    </w:p>
    <w:p w:rsidR="003240A1" w:rsidRDefault="00EE321D">
      <w:pPr>
        <w:rPr>
          <w:noProof/>
        </w:rPr>
      </w:pPr>
      <w:r>
        <w:rPr>
          <w:b/>
          <w:noProof/>
        </w:rPr>
        <w:t>One of the key objectives of Lithuania (and Latvia and Estonia) is to synchronise their electricity systems with the European network.</w:t>
      </w:r>
      <w:r>
        <w:rPr>
          <w:noProof/>
        </w:rPr>
        <w:t xml:space="preserve"> For historical reasons, the Baltic States are today operated in a synchronous mode with</w:t>
      </w:r>
      <w:r>
        <w:rPr>
          <w:noProof/>
        </w:rPr>
        <w:t xml:space="preserve"> IPS/UPS forming the so-called BRELL ring (Belarus-Russia-Estonia-Latvia-Lithuania). The three Baltic States aim to synchronise their grids with the European network by 2025. The core of the work is being carried out within the Baltic Energy Market Interco</w:t>
      </w:r>
      <w:r>
        <w:rPr>
          <w:noProof/>
        </w:rPr>
        <w:t xml:space="preserve">nnection Plan (BEMIP). </w:t>
      </w:r>
    </w:p>
    <w:p w:rsidR="003240A1" w:rsidRDefault="00EE321D">
      <w:pPr>
        <w:rPr>
          <w:noProof/>
        </w:rPr>
      </w:pPr>
      <w:r>
        <w:rPr>
          <w:b/>
          <w:noProof/>
        </w:rPr>
        <w:t>The share of energy coming from renewable sources reached 24.3% in 2015, up from 23.4% in 2014, thus exceeding Lithuania's Europe 2020 target.</w:t>
      </w:r>
      <w:r>
        <w:rPr>
          <w:noProof/>
        </w:rPr>
        <w:t xml:space="preserve"> The largest contributor was the heating sector, where the renewables share reached 41.6%, considerably above the planned trajectory and the 2020 target. The most important source of renewable energy in Lithuania is biomass and waste - 92% in 2015. The con</w:t>
      </w:r>
      <w:r>
        <w:rPr>
          <w:noProof/>
        </w:rPr>
        <w:t>tribution of wind power represents 5.5%. Linked to this success, Lithuania has been named as one of the renewable energy exporting Member States within the cooperation agreement format foreseen in the Renewable Energy Directive. Nevertheless, with a renewa</w:t>
      </w:r>
      <w:r>
        <w:rPr>
          <w:noProof/>
        </w:rPr>
        <w:t>ble energy share of 4.3 % in 2015, the transport sector still has some way to go towards reaching the 10 % Europe 2020 target.</w:t>
      </w:r>
    </w:p>
    <w:p w:rsidR="003240A1" w:rsidRDefault="00EE321D">
      <w:pPr>
        <w:rPr>
          <w:noProof/>
        </w:rPr>
      </w:pPr>
      <w:r>
        <w:rPr>
          <w:noProof/>
        </w:rPr>
        <w:t>Lithuania's final energy consumption decreased by 2% in 2015, mainly due to an increase in final energy consumption in the transp</w:t>
      </w:r>
      <w:r>
        <w:rPr>
          <w:noProof/>
        </w:rPr>
        <w:t>ort sector by 11%. As such, Lithuania has to increase its effort to decrease its final energy consumption further in order to achieve its indicative final energy consumption 2020 target (4.3 Mtoe) and to keep its current primary energy consumption below it</w:t>
      </w:r>
      <w:r>
        <w:rPr>
          <w:noProof/>
        </w:rPr>
        <w:t>s primary energy 2020 target (6.5 Mtoe).</w:t>
      </w:r>
    </w:p>
    <w:p w:rsidR="003240A1" w:rsidRDefault="00EE321D">
      <w:pPr>
        <w:rPr>
          <w:noProof/>
        </w:rPr>
      </w:pPr>
      <w:r>
        <w:rPr>
          <w:noProof/>
        </w:rPr>
        <w:t>According to latest national projections, Lithuania is expected to meet its greenhouse gas emissions target (</w:t>
      </w:r>
      <w:r>
        <w:rPr>
          <w:noProof/>
          <w:vertAlign w:val="superscript"/>
        </w:rPr>
        <w:footnoteReference w:id="43"/>
      </w:r>
      <w:r>
        <w:rPr>
          <w:noProof/>
        </w:rPr>
        <w:t>) by a margin of 18 pp. In fact, it expects it will emit 3 % less greenhouse gases in 2020 than it did in</w:t>
      </w:r>
      <w:r>
        <w:rPr>
          <w:noProof/>
        </w:rPr>
        <w:t xml:space="preserve"> 2005.</w:t>
      </w:r>
    </w:p>
    <w:p w:rsidR="003240A1" w:rsidRDefault="00EE321D">
      <w:pPr>
        <w:pStyle w:val="NumberedHeading1"/>
        <w:tabs>
          <w:tab w:val="left" w:pos="567"/>
        </w:tabs>
        <w:rPr>
          <w:noProof/>
        </w:rPr>
      </w:pPr>
      <w:r>
        <w:rPr>
          <w:noProof/>
        </w:rPr>
        <w:t>3.5.4.</w:t>
      </w:r>
      <w:r>
        <w:rPr>
          <w:noProof/>
        </w:rPr>
        <w:tab/>
        <w:t>Environmental taxes</w:t>
      </w:r>
    </w:p>
    <w:p w:rsidR="003240A1" w:rsidRDefault="00EE321D">
      <w:pPr>
        <w:rPr>
          <w:noProof/>
        </w:rPr>
      </w:pPr>
      <w:r>
        <w:rPr>
          <w:b/>
          <w:noProof/>
        </w:rPr>
        <w:t>Revenue generated by pollution and resource taxation is very low and the social and environmental benefits they bring are limited.</w:t>
      </w:r>
      <w:r>
        <w:rPr>
          <w:noProof/>
        </w:rPr>
        <w:t xml:space="preserve"> The largest proportion of the revenue derived from environmentally-related taxation is obta</w:t>
      </w:r>
      <w:r>
        <w:rPr>
          <w:noProof/>
        </w:rPr>
        <w:t>ined through energy taxes. Revenue from pollution and resource taxes and transport taxes, excluding taxes on fuel constitute only around 3% of all environmental tax revenue. Taxes on transport in Lithuania are the lowest in the EU, and besides a low level,</w:t>
      </w:r>
      <w:r>
        <w:rPr>
          <w:noProof/>
        </w:rPr>
        <w:t xml:space="preserve"> they do not take into account the environmental performance of vehicles (European Commission, 2014a; European Commission, 2014b). As a result, the emissions of newly registered cars in Lithuania are well above the EU average (</w:t>
      </w:r>
      <w:r>
        <w:rPr>
          <w:noProof/>
          <w:vertAlign w:val="superscript"/>
        </w:rPr>
        <w:footnoteReference w:id="44"/>
      </w:r>
      <w:r>
        <w:rPr>
          <w:noProof/>
        </w:rPr>
        <w:t>) (European Commission, 2014</w:t>
      </w:r>
      <w:r>
        <w:rPr>
          <w:noProof/>
        </w:rPr>
        <w:t xml:space="preserve">c; European Environment Agency, 2014). The overall implicit tax rate on energy is one of the lowest in the EU-28 (Eurostat, 2014). </w:t>
      </w:r>
    </w:p>
    <w:p w:rsidR="003240A1" w:rsidRDefault="00EE321D">
      <w:pPr>
        <w:pStyle w:val="NumberedHeading1"/>
        <w:tabs>
          <w:tab w:val="left" w:pos="567"/>
        </w:tabs>
        <w:rPr>
          <w:noProof/>
        </w:rPr>
      </w:pPr>
      <w:r>
        <w:rPr>
          <w:noProof/>
        </w:rPr>
        <w:t>3.5.5.</w:t>
      </w:r>
      <w:r>
        <w:rPr>
          <w:noProof/>
        </w:rPr>
        <w:tab/>
        <w:t>Waste management</w:t>
      </w:r>
    </w:p>
    <w:p w:rsidR="003240A1" w:rsidRDefault="00EE321D">
      <w:pPr>
        <w:rPr>
          <w:noProof/>
        </w:rPr>
      </w:pPr>
      <w:r>
        <w:rPr>
          <w:b/>
          <w:noProof/>
        </w:rPr>
        <w:t xml:space="preserve">Managing waste efficiently and fulfilling the obligations from the EU Directives on waste remains a </w:t>
      </w:r>
      <w:r>
        <w:rPr>
          <w:b/>
          <w:noProof/>
        </w:rPr>
        <w:t>challenge in Lithuania.</w:t>
      </w:r>
      <w:r>
        <w:rPr>
          <w:noProof/>
        </w:rPr>
        <w:t xml:space="preserve"> In 2015, municipal waste generation in Lithuania was 448 kg/inhabitant per year - slightly below the EU average and 16% more than 10 years ago. Although, Lithuania landfills significantly less waste than it did 6 years ago (</w:t>
      </w:r>
      <w:r>
        <w:rPr>
          <w:noProof/>
          <w:vertAlign w:val="superscript"/>
        </w:rPr>
        <w:footnoteReference w:id="45"/>
      </w:r>
      <w:r>
        <w:rPr>
          <w:noProof/>
        </w:rPr>
        <w:t>) it wa</w:t>
      </w:r>
      <w:r>
        <w:rPr>
          <w:noProof/>
        </w:rPr>
        <w:t>s still significantly above the EU average of 26% and disposal in landfills remains Lithuania's main waste treatment method. Meanwhile recycling has increased only slightly from 2009 and is far behind Lithuania's Europe 2020 target (</w:t>
      </w:r>
      <w:r>
        <w:rPr>
          <w:noProof/>
          <w:vertAlign w:val="superscript"/>
        </w:rPr>
        <w:footnoteReference w:id="46"/>
      </w:r>
      <w:r>
        <w:rPr>
          <w:noProof/>
        </w:rPr>
        <w:t xml:space="preserve">). In 2016, Lithuania </w:t>
      </w:r>
      <w:r>
        <w:rPr>
          <w:noProof/>
        </w:rPr>
        <w:t xml:space="preserve">introduced a deposit system for plastic bottles and cans. This is expected to increase the recycling share somewhat. </w:t>
      </w:r>
    </w:p>
    <w:tbl>
      <w:tblPr>
        <w:tblW w:w="0" w:type="auto"/>
        <w:tblLayout w:type="fixed"/>
        <w:tblCellMar>
          <w:left w:w="0" w:type="dxa"/>
          <w:right w:w="0" w:type="dxa"/>
        </w:tblCellMar>
        <w:tblLook w:val="0000" w:firstRow="0" w:lastRow="0" w:firstColumn="0" w:lastColumn="0" w:noHBand="0" w:noVBand="0"/>
      </w:tblPr>
      <w:tblGrid>
        <w:gridCol w:w="4110"/>
      </w:tblGrid>
      <w:tr w:rsidR="003240A1">
        <w:trPr>
          <w:cantSplit/>
        </w:trPr>
        <w:tc>
          <w:tcPr>
            <w:tcW w:w="4110" w:type="dxa"/>
            <w:shd w:val="clear" w:color="auto" w:fill="auto"/>
          </w:tcPr>
          <w:p w:rsidR="003240A1" w:rsidRDefault="00EE321D">
            <w:pPr>
              <w:pStyle w:val="GraphTitle"/>
              <w:rPr>
                <w:b/>
                <w:noProof/>
              </w:rPr>
            </w:pPr>
            <w:r>
              <w:rPr>
                <w:noProof/>
              </w:rPr>
              <w:t>Graph 3.5.2:</w:t>
            </w:r>
            <w:r>
              <w:rPr>
                <w:b/>
                <w:noProof/>
              </w:rPr>
              <w:tab/>
              <w:t>Waste treatment by type of disposal</w:t>
            </w:r>
          </w:p>
        </w:tc>
      </w:tr>
      <w:tr w:rsidR="003240A1">
        <w:trPr>
          <w:cantSplit/>
        </w:trPr>
        <w:tc>
          <w:tcPr>
            <w:tcW w:w="4110" w:type="dxa"/>
            <w:shd w:val="clear" w:color="auto" w:fill="auto"/>
          </w:tcPr>
          <w:p w:rsidR="003240A1" w:rsidRDefault="00EE321D">
            <w:pPr>
              <w:pStyle w:val="GraphShape"/>
              <w:rPr>
                <w:noProof/>
                <w:sz w:val="2"/>
              </w:rPr>
            </w:pPr>
            <w:bookmarkStart w:id="42" w:name="_Toc473809316"/>
            <w:bookmarkEnd w:id="42"/>
            <w:r>
              <w:rPr>
                <w:noProof/>
                <w:sz w:val="2"/>
                <w:lang w:eastAsia="en-GB"/>
              </w:rPr>
              <w:drawing>
                <wp:inline distT="0" distB="0" distL="0" distR="0">
                  <wp:extent cx="2597595" cy="2437539"/>
                  <wp:effectExtent l="0" t="0" r="0" b="0"/>
                  <wp:docPr id="22" name="Picture 22" descr="&lt;_DISABLED_nbr_DISABLED_&gt;&lt;GETTEXTFROMWORD&gt;&lt;/nbr&gt;&#10;&lt;title&gt;&lt;GETTEXTFROMWORD&gt;&lt;/title&gt;&#10;&lt;_DISABLED_id_DISABLED_&gt;ffe14e40-c3f4-42d1-88b0-757c25d9f4c2&lt;/id&gt;&#10;&lt;srcType&gt;EXCEL&lt;/srcType&gt;&#10;&lt;srcPath&gt;O:\2017 CRs\15 LT\15_LT_GraphesTables\&lt;/srcPath&gt;&#10;&lt;srcName&gt;ENV graph.xlsx&lt;/srcName&gt;&#10;&lt;type&gt;graph&lt;/type&gt;&#10; &lt;srcSheet&gt;Waste 3+4 &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6:09: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97595" cy="2437539"/>
                          </a:xfrm>
                          <a:prstGeom prst="rect">
                            <a:avLst/>
                          </a:prstGeom>
                          <a:noFill/>
                          <a:ln>
                            <a:noFill/>
                          </a:ln>
                        </pic:spPr>
                      </pic:pic>
                    </a:graphicData>
                  </a:graphic>
                </wp:inline>
              </w:drawing>
            </w:r>
          </w:p>
        </w:tc>
      </w:tr>
      <w:tr w:rsidR="003240A1">
        <w:trPr>
          <w:cantSplit/>
        </w:trPr>
        <w:tc>
          <w:tcPr>
            <w:tcW w:w="4110" w:type="dxa"/>
            <w:shd w:val="clear" w:color="auto" w:fill="auto"/>
            <w:tcMar>
              <w:bottom w:w="240" w:type="dxa"/>
            </w:tcMar>
          </w:tcPr>
          <w:p w:rsidR="003240A1" w:rsidRDefault="00EE321D">
            <w:pPr>
              <w:pStyle w:val="GraphSource"/>
              <w:keepNext/>
              <w:rPr>
                <w:noProof/>
              </w:rPr>
            </w:pPr>
            <w:r>
              <w:rPr>
                <w:b/>
                <w:i/>
                <w:noProof/>
              </w:rPr>
              <w:t>Source:</w:t>
            </w:r>
            <w:r>
              <w:rPr>
                <w:noProof/>
              </w:rPr>
              <w:t xml:space="preserve"> European Commission</w:t>
            </w:r>
          </w:p>
        </w:tc>
      </w:tr>
    </w:tbl>
    <w:p w:rsidR="003240A1" w:rsidRDefault="00EE321D">
      <w:pPr>
        <w:rPr>
          <w:noProof/>
        </w:rPr>
      </w:pPr>
      <w:r>
        <w:rPr>
          <w:noProof/>
        </w:rPr>
        <w:t>Furthermore, Lithuania plans to build two new Combined H</w:t>
      </w:r>
      <w:r>
        <w:rPr>
          <w:noProof/>
        </w:rPr>
        <w:t xml:space="preserve">eat and Power plants in Vilnius and in Kaunas with combined incineration capacity of 360,000 tons of waste per year. The construction of the second plant, however, is likely to lead to excess capacity of waste incineration. Excess incineration capacity is </w:t>
      </w:r>
      <w:r>
        <w:rPr>
          <w:noProof/>
        </w:rPr>
        <w:t>likely further to hinder Lithuania's path towards meeting its 50% recycling target.</w:t>
      </w:r>
    </w:p>
    <w:p w:rsidR="003240A1" w:rsidRDefault="00EE321D">
      <w:pPr>
        <w:rPr>
          <w:noProof/>
        </w:rPr>
      </w:pPr>
      <w:r>
        <w:rPr>
          <w:noProof/>
        </w:rPr>
        <w:t>The landfill tax was introduced in 2016. Although it started a low level, it will increase substantially until 2020 (</w:t>
      </w:r>
      <w:r>
        <w:rPr>
          <w:noProof/>
          <w:vertAlign w:val="superscript"/>
        </w:rPr>
        <w:footnoteReference w:id="47"/>
      </w:r>
      <w:r>
        <w:rPr>
          <w:noProof/>
        </w:rPr>
        <w:t>). The landfill tax could encourage resource efficienc</w:t>
      </w:r>
      <w:r>
        <w:rPr>
          <w:noProof/>
        </w:rPr>
        <w:t>y in waste management and divert waste disposal away from landfilling.</w:t>
      </w:r>
    </w:p>
    <w:p w:rsidR="003240A1" w:rsidRDefault="003240A1">
      <w:pPr>
        <w:rPr>
          <w:noProof/>
        </w:rPr>
        <w:sectPr w:rsidR="003240A1">
          <w:headerReference w:type="even" r:id="rId96"/>
          <w:headerReference w:type="default" r:id="rId97"/>
          <w:footerReference w:type="even" r:id="rId98"/>
          <w:footerReference w:type="default" r:id="rId99"/>
          <w:headerReference w:type="first" r:id="rId100"/>
          <w:footerReference w:type="first" r:id="rId10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3240A1" w:rsidRDefault="00EE321D">
      <w:pPr>
        <w:pStyle w:val="SectionTitleFramed9"/>
        <w:framePr w:wrap="notBeside"/>
        <w:rPr>
          <w:noProof/>
        </w:rPr>
      </w:pPr>
      <w:bookmarkStart w:id="43" w:name="_Toc473809277"/>
      <w:bookmarkEnd w:id="43"/>
      <w:r>
        <w:rPr>
          <w:noProof/>
        </w:rPr>
        <w:t>3.6. Public administration</w:t>
      </w:r>
    </w:p>
    <w:p w:rsidR="003240A1" w:rsidRDefault="00EE321D">
      <w:pPr>
        <w:pStyle w:val="NumberedHeading1"/>
        <w:tabs>
          <w:tab w:val="left" w:pos="567"/>
        </w:tabs>
        <w:rPr>
          <w:noProof/>
        </w:rPr>
      </w:pPr>
      <w:r>
        <w:rPr>
          <w:noProof/>
        </w:rPr>
        <w:t>3.6.1.</w:t>
      </w:r>
      <w:r>
        <w:rPr>
          <w:noProof/>
        </w:rPr>
        <w:tab/>
        <w:t xml:space="preserve">Public </w:t>
      </w:r>
      <w:r>
        <w:rPr>
          <w:noProof/>
        </w:rPr>
        <w:t>investment planning</w:t>
      </w:r>
    </w:p>
    <w:p w:rsidR="003240A1" w:rsidRDefault="00EE321D">
      <w:pPr>
        <w:keepNext/>
        <w:rPr>
          <w:noProof/>
        </w:rPr>
      </w:pPr>
      <w:r>
        <w:rPr>
          <w:b/>
          <w:noProof/>
        </w:rPr>
        <w:t xml:space="preserve">Lithuania could improve productivity growth by better planning and coordinating the public investment. </w:t>
      </w:r>
      <w:r>
        <w:rPr>
          <w:noProof/>
        </w:rPr>
        <w:t xml:space="preserve">The public investment programme, which is the main planning tool for public investment, has serious shortcomings and did not in fact </w:t>
      </w:r>
      <w:r>
        <w:rPr>
          <w:noProof/>
        </w:rPr>
        <w:t>serve its purpose of centralised planning of the country's public investment strategy (National Audit Office of Lithuania, 2016). The audit found that the programme planning was fragmented, lacked coordination, that the project selection procedures were of</w:t>
      </w:r>
      <w:r>
        <w:rPr>
          <w:noProof/>
        </w:rPr>
        <w:t xml:space="preserve">ten formalistic, and that there was no monitoring of implementation and no </w:t>
      </w:r>
      <w:r>
        <w:rPr>
          <w:i/>
          <w:noProof/>
        </w:rPr>
        <w:t>ex post</w:t>
      </w:r>
      <w:r>
        <w:rPr>
          <w:noProof/>
        </w:rPr>
        <w:t xml:space="preserve"> impact assessment. Overall, the link between public investment planning and country's strategic goals was deemed weak. </w:t>
      </w:r>
    </w:p>
    <w:p w:rsidR="003240A1" w:rsidRDefault="00EE321D">
      <w:pPr>
        <w:pStyle w:val="NumberedHeading1"/>
        <w:tabs>
          <w:tab w:val="left" w:pos="567"/>
        </w:tabs>
        <w:rPr>
          <w:noProof/>
        </w:rPr>
      </w:pPr>
      <w:r>
        <w:rPr>
          <w:noProof/>
        </w:rPr>
        <w:t>3.6.2.</w:t>
      </w:r>
      <w:r>
        <w:rPr>
          <w:noProof/>
        </w:rPr>
        <w:tab/>
        <w:t>Efficiency of public administration</w:t>
      </w:r>
    </w:p>
    <w:p w:rsidR="003240A1" w:rsidRDefault="00EE321D">
      <w:pPr>
        <w:rPr>
          <w:noProof/>
        </w:rPr>
      </w:pPr>
      <w:r>
        <w:rPr>
          <w:b/>
          <w:noProof/>
        </w:rPr>
        <w:t xml:space="preserve">Lithuania </w:t>
      </w:r>
      <w:r>
        <w:rPr>
          <w:b/>
          <w:noProof/>
        </w:rPr>
        <w:t>has further improved its online public services.</w:t>
      </w:r>
      <w:r>
        <w:rPr>
          <w:noProof/>
        </w:rPr>
        <w:t xml:space="preserve"> The share of businesses and citizens that use e-government services (43 %) remains solidly above the EU average (34 %). Lithuania has further enhanced the availability and sophistication of available  online</w:t>
      </w:r>
      <w:r>
        <w:rPr>
          <w:noProof/>
        </w:rPr>
        <w:t xml:space="preserve"> services and has made continuous progress compared to previous years towards increasing its uptake of eGovernment. The latest EU survey on eGovernment reflects this improvement, placing Lithuania among the accelerator EU Member States, with growth and an </w:t>
      </w:r>
      <w:r>
        <w:rPr>
          <w:noProof/>
        </w:rPr>
        <w:t>absolute score above the EU average (European Commission, 2016i). However, it is lagging behind in promoting open data (European Commission, 2017b).</w:t>
      </w:r>
    </w:p>
    <w:p w:rsidR="003240A1" w:rsidRDefault="00EE321D">
      <w:pPr>
        <w:pStyle w:val="NumberedHeading1"/>
        <w:tabs>
          <w:tab w:val="left" w:pos="567"/>
        </w:tabs>
        <w:rPr>
          <w:noProof/>
        </w:rPr>
      </w:pPr>
      <w:r>
        <w:rPr>
          <w:noProof/>
        </w:rPr>
        <w:t>3.6.3.</w:t>
      </w:r>
      <w:r>
        <w:rPr>
          <w:noProof/>
        </w:rPr>
        <w:tab/>
        <w:t>Public procurement</w:t>
      </w:r>
    </w:p>
    <w:p w:rsidR="003240A1" w:rsidRDefault="00EE321D">
      <w:pPr>
        <w:rPr>
          <w:noProof/>
        </w:rPr>
      </w:pPr>
      <w:r>
        <w:rPr>
          <w:b/>
          <w:noProof/>
        </w:rPr>
        <w:t>Raising the efficiency of public procurement remains important.</w:t>
      </w:r>
      <w:r>
        <w:rPr>
          <w:noProof/>
        </w:rPr>
        <w:t xml:space="preserve"> In 2016, there wa</w:t>
      </w:r>
      <w:r>
        <w:rPr>
          <w:noProof/>
        </w:rPr>
        <w:t xml:space="preserve">s only one bidder for 17 % of the public procurement procedures published in the EU Official Journal.  There was no call for tender in 5 % of them (European Commission, 2016i). Improving the efficiency of the public tender market and the quality of public </w:t>
      </w:r>
      <w:r>
        <w:rPr>
          <w:noProof/>
        </w:rPr>
        <w:t xml:space="preserve">investments may need further strengthening of the public procurement agents as well as increasing the transparency throughout the process. </w:t>
      </w:r>
    </w:p>
    <w:p w:rsidR="003240A1" w:rsidRDefault="00EE321D">
      <w:pPr>
        <w:rPr>
          <w:noProof/>
        </w:rPr>
      </w:pPr>
      <w:r>
        <w:rPr>
          <w:b/>
          <w:noProof/>
        </w:rPr>
        <w:t>Transparency is insufficient in public procurement, in particular at the municipal level.</w:t>
      </w:r>
      <w:r>
        <w:rPr>
          <w:noProof/>
        </w:rPr>
        <w:t xml:space="preserve"> In a 2015 study, 39 % of b</w:t>
      </w:r>
      <w:r>
        <w:rPr>
          <w:noProof/>
        </w:rPr>
        <w:t>usiness managers claimed that corruption prevented them from winning a public tender or public procurement contract, compared with the EU average of 34 % (European Union Open Data Portal, 2015). To reduce corruption risks and conflicts of interest in low-v</w:t>
      </w:r>
      <w:r>
        <w:rPr>
          <w:noProof/>
        </w:rPr>
        <w:t>alue procurement, the government obliged contracting authorities to publish online information on initiated tenders, the successful bidders and the contracts awarded. In addition, weak whistleblower arrangements discourage tip-offs about potential irregula</w:t>
      </w:r>
      <w:r>
        <w:rPr>
          <w:noProof/>
        </w:rPr>
        <w:t xml:space="preserve">rities in the public and private sectors. In a 2015 study of the largest 41 companies operating in Lithuania, only three were found to publicly state that staff reporting suspected corruption would not suffer repercussions (TI Lithuania, 2015a). </w:t>
      </w:r>
    </w:p>
    <w:p w:rsidR="003240A1" w:rsidRDefault="00EE321D">
      <w:pPr>
        <w:rPr>
          <w:noProof/>
        </w:rPr>
      </w:pPr>
      <w:r>
        <w:rPr>
          <w:b/>
          <w:noProof/>
        </w:rPr>
        <w:t>Lithuania</w:t>
      </w:r>
      <w:r>
        <w:rPr>
          <w:b/>
          <w:noProof/>
        </w:rPr>
        <w:t xml:space="preserve"> is past the deadline for transposing the three new public procurement directives.</w:t>
      </w:r>
      <w:r>
        <w:rPr>
          <w:noProof/>
        </w:rPr>
        <w:t xml:space="preserve"> They are expected to ease and simplify complex public tender requirements and introduce stability into the legal system of public procurement. Also, they aim to facilitate t</w:t>
      </w:r>
      <w:r>
        <w:rPr>
          <w:noProof/>
        </w:rPr>
        <w:t xml:space="preserve">he transition of public procurement systems to fully digital mode. </w:t>
      </w:r>
    </w:p>
    <w:p w:rsidR="003240A1" w:rsidRDefault="00EE321D">
      <w:pPr>
        <w:pStyle w:val="NumberedHeading1"/>
        <w:tabs>
          <w:tab w:val="left" w:pos="567"/>
        </w:tabs>
        <w:rPr>
          <w:noProof/>
        </w:rPr>
      </w:pPr>
      <w:r>
        <w:rPr>
          <w:noProof/>
        </w:rPr>
        <w:t>3.6.4.</w:t>
      </w:r>
      <w:r>
        <w:rPr>
          <w:noProof/>
        </w:rPr>
        <w:tab/>
        <w:t>Anti-corruption</w:t>
      </w:r>
    </w:p>
    <w:p w:rsidR="003240A1" w:rsidRDefault="00EE321D">
      <w:pPr>
        <w:rPr>
          <w:noProof/>
        </w:rPr>
      </w:pPr>
      <w:r>
        <w:rPr>
          <w:b/>
          <w:noProof/>
        </w:rPr>
        <w:t xml:space="preserve">The number of bribery cases that reach courts is on the rise. </w:t>
      </w:r>
      <w:r>
        <w:rPr>
          <w:noProof/>
        </w:rPr>
        <w:t>From 2013 to 2014, there was a further increase in the officially reported number of bribery investigat</w:t>
      </w:r>
      <w:r>
        <w:rPr>
          <w:noProof/>
        </w:rPr>
        <w:t>ions (1053 to 1237), persons involved (880 to 1032) and final convictions (776 to 907) (European Commission, 2016j). However, provisions against petty and high-level corruption are not always applied in practice. A greater number of local elected officials</w:t>
      </w:r>
      <w:r>
        <w:rPr>
          <w:noProof/>
        </w:rPr>
        <w:t xml:space="preserve"> declare their assets and interests but the capacity to monitor, analyse and follow-up on declarations remains limited. The Chief Officials Ethics Commission is responsible for overseeing lobbying, but a 2015 study finds that much of the actual lobbying ac</w:t>
      </w:r>
      <w:r>
        <w:rPr>
          <w:noProof/>
        </w:rPr>
        <w:t>tivity takes place outside the scope of regulation (TI Lithuania, 2015b). The lobbyist register contains only 36 active lobbyists. A legislative loophole has not yet been closed after the Supreme Court ruled in March 2014 that private-to-private bribery co</w:t>
      </w:r>
      <w:r>
        <w:rPr>
          <w:noProof/>
        </w:rPr>
        <w:t>uld no longer be criminalised by reference to provisions for public officials.</w:t>
      </w:r>
    </w:p>
    <w:p w:rsidR="003240A1" w:rsidRDefault="003240A1">
      <w:pPr>
        <w:rPr>
          <w:noProof/>
        </w:rPr>
        <w:sectPr w:rsidR="003240A1">
          <w:headerReference w:type="even" r:id="rId102"/>
          <w:headerReference w:type="default" r:id="rId103"/>
          <w:footerReference w:type="even" r:id="rId104"/>
          <w:footerReference w:type="default" r:id="rId105"/>
          <w:headerReference w:type="first" r:id="rId106"/>
          <w:footerReference w:type="first" r:id="rId10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536"/>
        <w:gridCol w:w="3969"/>
      </w:tblGrid>
      <w:tr w:rsidR="003240A1">
        <w:tc>
          <w:tcPr>
            <w:tcW w:w="4536" w:type="dxa"/>
            <w:shd w:val="clear" w:color="auto" w:fill="auto"/>
          </w:tcPr>
          <w:p w:rsidR="003240A1" w:rsidRDefault="00EE321D">
            <w:pPr>
              <w:pStyle w:val="SectionTitleFramedtwolines"/>
              <w:framePr w:wrap="notBeside"/>
              <w:rPr>
                <w:noProof/>
              </w:rPr>
            </w:pPr>
            <w:bookmarkStart w:id="44" w:name="_Toc473809278"/>
            <w:bookmarkEnd w:id="44"/>
            <w:r>
              <w:rPr>
                <w:noProof/>
              </w:rPr>
              <w:t>Annex A</w:t>
            </w:r>
          </w:p>
          <w:p w:rsidR="003240A1" w:rsidRDefault="00EE321D">
            <w:pPr>
              <w:pStyle w:val="AnnexTitleFramed"/>
              <w:framePr w:wrap="notBeside"/>
              <w:rPr>
                <w:noProof/>
              </w:rPr>
            </w:pPr>
            <w:r>
              <w:rPr>
                <w:noProof/>
              </w:rPr>
              <w:t>Overview Table</w:t>
            </w:r>
          </w:p>
          <w:p w:rsidR="003240A1" w:rsidRDefault="00EE321D">
            <w:pPr>
              <w:rPr>
                <w:b/>
                <w:noProof/>
              </w:rPr>
            </w:pPr>
            <w:r>
              <w:rPr>
                <w:b/>
                <w:noProof/>
              </w:rPr>
              <w:t>Commitments</w:t>
            </w:r>
          </w:p>
        </w:tc>
        <w:tc>
          <w:tcPr>
            <w:tcW w:w="3969" w:type="dxa"/>
            <w:shd w:val="clear" w:color="auto" w:fill="auto"/>
            <w:vAlign w:val="bottom"/>
          </w:tcPr>
          <w:p w:rsidR="003240A1" w:rsidRDefault="00EE321D">
            <w:pPr>
              <w:jc w:val="left"/>
              <w:rPr>
                <w:b/>
                <w:noProof/>
              </w:rPr>
            </w:pPr>
            <w:r>
              <w:rPr>
                <w:b/>
                <w:noProof/>
              </w:rPr>
              <w:t>Summary assessment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3240A1">
        <w:tc>
          <w:tcPr>
            <w:tcW w:w="8505" w:type="dxa"/>
            <w:gridSpan w:val="2"/>
            <w:tcBorders>
              <w:top w:val="single" w:sz="4" w:space="0" w:color="auto"/>
              <w:left w:val="single" w:sz="4" w:space="0" w:color="auto"/>
              <w:bottom w:val="dashed" w:sz="4" w:space="0" w:color="auto"/>
            </w:tcBorders>
            <w:shd w:val="clear" w:color="auto" w:fill="auto"/>
          </w:tcPr>
          <w:p w:rsidR="003240A1" w:rsidRDefault="00EE321D">
            <w:pPr>
              <w:rPr>
                <w:b/>
                <w:noProof/>
              </w:rPr>
            </w:pPr>
            <w:r>
              <w:rPr>
                <w:b/>
                <w:noProof/>
              </w:rPr>
              <w:t>2016 Country-specific recommendations (CSRs)</w:t>
            </w:r>
          </w:p>
        </w:tc>
      </w:tr>
      <w:tr w:rsidR="003240A1">
        <w:tc>
          <w:tcPr>
            <w:tcW w:w="4536" w:type="dxa"/>
            <w:tcBorders>
              <w:top w:val="single" w:sz="4" w:space="0" w:color="auto"/>
              <w:left w:val="single" w:sz="4" w:space="0" w:color="auto"/>
              <w:bottom w:val="dashed" w:sz="4" w:space="0" w:color="auto"/>
            </w:tcBorders>
            <w:shd w:val="clear" w:color="auto" w:fill="auto"/>
          </w:tcPr>
          <w:p w:rsidR="003240A1" w:rsidRDefault="00EE321D">
            <w:pPr>
              <w:rPr>
                <w:noProof/>
              </w:rPr>
            </w:pPr>
            <w:r>
              <w:rPr>
                <w:b/>
                <w:noProof/>
              </w:rPr>
              <w:t>CSR 1:</w:t>
            </w:r>
            <w:r>
              <w:rPr>
                <w:noProof/>
              </w:rPr>
              <w:t xml:space="preserve"> Reduce the tax burden on low-income earners by shifting the tax burden to other sources less detrimental to growth and improve tax compliance, in particular in the area of VAT.</w:t>
            </w:r>
          </w:p>
        </w:tc>
        <w:tc>
          <w:tcPr>
            <w:tcW w:w="3969" w:type="dxa"/>
            <w:tcBorders>
              <w:top w:val="single" w:sz="4" w:space="0" w:color="auto"/>
              <w:bottom w:val="dashed" w:sz="4" w:space="0" w:color="auto"/>
            </w:tcBorders>
            <w:shd w:val="clear" w:color="auto" w:fill="auto"/>
          </w:tcPr>
          <w:p w:rsidR="003240A1" w:rsidRDefault="00EE321D">
            <w:pPr>
              <w:rPr>
                <w:noProof/>
              </w:rPr>
            </w:pPr>
            <w:r>
              <w:rPr>
                <w:noProof/>
              </w:rPr>
              <w:t xml:space="preserve">Lithuania has made </w:t>
            </w:r>
            <w:r>
              <w:rPr>
                <w:b/>
                <w:noProof/>
              </w:rPr>
              <w:t>some progress</w:t>
            </w:r>
            <w:r>
              <w:rPr>
                <w:noProof/>
              </w:rPr>
              <w:t xml:space="preserve"> in addressing CSR 1 (this overall assessment </w:t>
            </w:r>
            <w:r>
              <w:rPr>
                <w:noProof/>
              </w:rPr>
              <w:t>of CSR1 does not include an assessment of compliance with the Stability and Growth Pact):</w:t>
            </w:r>
          </w:p>
        </w:tc>
      </w:tr>
      <w:tr w:rsidR="003240A1">
        <w:tc>
          <w:tcPr>
            <w:tcW w:w="4536" w:type="dxa"/>
            <w:tcBorders>
              <w:top w:val="single" w:sz="4" w:space="0" w:color="auto"/>
              <w:left w:val="single" w:sz="4" w:space="0" w:color="auto"/>
              <w:bottom w:val="dashed" w:sz="4" w:space="0" w:color="auto"/>
            </w:tcBorders>
            <w:shd w:val="clear" w:color="auto" w:fill="auto"/>
          </w:tcPr>
          <w:p w:rsidR="003240A1" w:rsidRDefault="00EE321D">
            <w:pPr>
              <w:pStyle w:val="ListBullet"/>
              <w:rPr>
                <w:noProof/>
              </w:rPr>
            </w:pPr>
            <w:r>
              <w:rPr>
                <w:noProof/>
              </w:rPr>
              <w:t>Reduce the tax burden on low-income earners...</w:t>
            </w:r>
          </w:p>
        </w:tc>
        <w:tc>
          <w:tcPr>
            <w:tcW w:w="3969" w:type="dxa"/>
            <w:tcBorders>
              <w:top w:val="single" w:sz="4" w:space="0" w:color="auto"/>
              <w:bottom w:val="dashed" w:sz="4" w:space="0" w:color="auto"/>
            </w:tcBorders>
            <w:shd w:val="clear" w:color="auto" w:fill="auto"/>
          </w:tcPr>
          <w:p w:rsidR="003240A1" w:rsidRDefault="00EE321D">
            <w:pPr>
              <w:pStyle w:val="ListBullet"/>
              <w:rPr>
                <w:noProof/>
              </w:rPr>
            </w:pPr>
            <w:r>
              <w:rPr>
                <w:b/>
                <w:noProof/>
              </w:rPr>
              <w:t>Substantial progress</w:t>
            </w:r>
            <w:r>
              <w:rPr>
                <w:noProof/>
              </w:rPr>
              <w:t xml:space="preserve"> has been made in reducing the tax burden on low-wage earners. Lithuania has substantially increas</w:t>
            </w:r>
            <w:r>
              <w:rPr>
                <w:noProof/>
              </w:rPr>
              <w:t>ed the non-taxable allowance for the low wage earners.</w:t>
            </w:r>
          </w:p>
          <w:p w:rsidR="003240A1" w:rsidRDefault="00EE321D">
            <w:pPr>
              <w:pStyle w:val="ListBullet"/>
              <w:rPr>
                <w:noProof/>
              </w:rPr>
            </w:pPr>
            <w:r>
              <w:rPr>
                <w:noProof/>
              </w:rPr>
              <w:t>Lithuania raised the non-taxable allowance and the allowance for dependent children substantially as from 2017.</w:t>
            </w:r>
          </w:p>
          <w:p w:rsidR="003240A1" w:rsidRDefault="00EE321D">
            <w:pPr>
              <w:pStyle w:val="ListBullet"/>
              <w:rPr>
                <w:noProof/>
              </w:rPr>
            </w:pPr>
            <w:r>
              <w:rPr>
                <w:noProof/>
              </w:rPr>
              <w:t xml:space="preserve">As a result, the tax wedge to low earners is lowered by up to 2.5 pp for households </w:t>
            </w:r>
            <w:r>
              <w:rPr>
                <w:noProof/>
              </w:rPr>
              <w:t>without children and by up to 3.5 pp to households with children.</w:t>
            </w:r>
          </w:p>
          <w:p w:rsidR="003240A1" w:rsidRDefault="00EE321D">
            <w:pPr>
              <w:pStyle w:val="ListBullet"/>
              <w:rPr>
                <w:noProof/>
              </w:rPr>
            </w:pPr>
            <w:r>
              <w:rPr>
                <w:noProof/>
              </w:rPr>
              <w:t>However, these tax measures fail to further lower the tax wedge to some of the most vulnerable households, e.g. single earners with two children or more.</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 xml:space="preserve">…by shifting the tax burden to </w:t>
            </w:r>
            <w:r>
              <w:rPr>
                <w:noProof/>
              </w:rPr>
              <w:t>other sources less detrimental to growth…</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in shifting the tax burden to other sources. Measures to compensate for the revenue loss due to reduced tax burden on labour cover about a half of those losses. </w:t>
            </w:r>
          </w:p>
          <w:p w:rsidR="003240A1" w:rsidRDefault="00EE321D">
            <w:pPr>
              <w:pStyle w:val="ListBullet"/>
              <w:rPr>
                <w:noProof/>
              </w:rPr>
            </w:pPr>
            <w:r>
              <w:rPr>
                <w:noProof/>
              </w:rPr>
              <w:t>The diversity of new tax sources; howe</w:t>
            </w:r>
            <w:r>
              <w:rPr>
                <w:noProof/>
              </w:rPr>
              <w:t xml:space="preserve">ver, is limited however as the vast majority of additional revenue comes from increase in excise taxes on cigarettes and alcohol. </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…and improve tax compliance, in particular in the area of VAT.</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in improving tax compliance. Lithuania has adopted a number of measures that are expected to improve its analytical and tax collection ability substantially. The actual impact on tax collection of these efforts; however is yet to be seen.</w:t>
            </w:r>
          </w:p>
          <w:p w:rsidR="003240A1" w:rsidRDefault="00EE321D">
            <w:pPr>
              <w:pStyle w:val="ListBullet"/>
              <w:rPr>
                <w:noProof/>
              </w:rPr>
            </w:pPr>
            <w:r>
              <w:rPr>
                <w:noProof/>
              </w:rPr>
              <w:t>During 2016 Lith</w:t>
            </w:r>
            <w:r>
              <w:rPr>
                <w:noProof/>
              </w:rPr>
              <w:t>uania introduced an electronic invoicing system and an electronic waybill system.</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rPr>
                <w:noProof/>
              </w:rPr>
            </w:pPr>
            <w:r>
              <w:rPr>
                <w:b/>
                <w:noProof/>
              </w:rPr>
              <w:t>CSR 2:</w:t>
            </w:r>
            <w:r>
              <w:rPr>
                <w:noProof/>
              </w:rPr>
              <w:t xml:space="preserve"> Strengthen investment in human capital and address skills shortages, by improving the labour market relevance of education, raising the quality of teaching and adult </w:t>
            </w:r>
            <w:r>
              <w:rPr>
                <w:noProof/>
              </w:rPr>
              <w:t>learning. Reinforce the coverage and effectiveness of active labour market policies. Strengthen the role of social dialogue mechanisms. Improve the performance of the healthcare system by strengthening outpatient care, disease prevention and health promoti</w:t>
            </w:r>
            <w:r>
              <w:rPr>
                <w:noProof/>
              </w:rPr>
              <w:t>on. Improve the coverage and adequacy of unemployment benefits and social assistance.</w:t>
            </w:r>
          </w:p>
        </w:tc>
        <w:tc>
          <w:tcPr>
            <w:tcW w:w="3969" w:type="dxa"/>
            <w:tcBorders>
              <w:top w:val="dashed" w:sz="4" w:space="0" w:color="auto"/>
              <w:bottom w:val="dashed" w:sz="4" w:space="0" w:color="auto"/>
            </w:tcBorders>
            <w:shd w:val="clear" w:color="auto" w:fill="auto"/>
          </w:tcPr>
          <w:p w:rsidR="003240A1" w:rsidRDefault="00EE321D">
            <w:pPr>
              <w:rPr>
                <w:noProof/>
              </w:rPr>
            </w:pPr>
            <w:r>
              <w:rPr>
                <w:noProof/>
              </w:rPr>
              <w:t xml:space="preserve">Lithuania has made </w:t>
            </w:r>
            <w:r>
              <w:rPr>
                <w:b/>
                <w:noProof/>
              </w:rPr>
              <w:t>some progress</w:t>
            </w:r>
            <w:r>
              <w:rPr>
                <w:noProof/>
              </w:rPr>
              <w:t xml:space="preserve"> in addressing CSR 2:</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Strengthen investment in human capital and address skills shortages, by improving the labour market relevance of ed</w:t>
            </w:r>
            <w:r>
              <w:rPr>
                <w:noProof/>
              </w:rPr>
              <w:t>ucation, raising the quality of teaching and adult learning.</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Limited progress</w:t>
            </w:r>
            <w:r>
              <w:rPr>
                <w:noProof/>
              </w:rPr>
              <w:t xml:space="preserve"> has been made in strengthening the investment in human capital. Overall, Lithuania has adopted some measures that partly address the CSR, but a fair amount of work is still neede</w:t>
            </w:r>
            <w:r>
              <w:rPr>
                <w:noProof/>
              </w:rPr>
              <w:t>d to fully address the CSR.</w:t>
            </w:r>
          </w:p>
          <w:p w:rsidR="003240A1" w:rsidRDefault="00EE321D">
            <w:pPr>
              <w:pStyle w:val="ListBullet"/>
              <w:rPr>
                <w:noProof/>
              </w:rPr>
            </w:pPr>
            <w:r>
              <w:rPr>
                <w:noProof/>
              </w:rPr>
              <w:t xml:space="preserve">Lithuania continues implementing measures to improve the attractiveness of vocational education and training, and has taken steps to expand availability of work-based learning. </w:t>
            </w:r>
          </w:p>
          <w:p w:rsidR="003240A1" w:rsidRDefault="00EE321D">
            <w:pPr>
              <w:pStyle w:val="ListBullet"/>
              <w:rPr>
                <w:noProof/>
              </w:rPr>
            </w:pPr>
            <w:r>
              <w:rPr>
                <w:noProof/>
              </w:rPr>
              <w:t>However, there is limited progress on improving th</w:t>
            </w:r>
            <w:r>
              <w:rPr>
                <w:noProof/>
              </w:rPr>
              <w:t xml:space="preserve">e quality of teaching, and especially the working conditions and professional development of teachers. </w:t>
            </w:r>
          </w:p>
          <w:p w:rsidR="003240A1" w:rsidRDefault="00EE321D">
            <w:pPr>
              <w:pStyle w:val="ListBullet"/>
              <w:rPr>
                <w:noProof/>
              </w:rPr>
            </w:pPr>
            <w:r>
              <w:rPr>
                <w:noProof/>
              </w:rPr>
              <w:t xml:space="preserve">Also, there is a lack of improvement in the uptake of adult learning. </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Reinforce the coverage and effectiveness of active labour market policies.</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 xml:space="preserve">Some </w:t>
            </w:r>
            <w:r>
              <w:rPr>
                <w:b/>
                <w:noProof/>
              </w:rPr>
              <w:t>progress</w:t>
            </w:r>
            <w:r>
              <w:rPr>
                <w:noProof/>
              </w:rPr>
              <w:t xml:space="preserve"> has been made in reinforcing the coverage and effectiveness of active labour market policies. Overall, LT has adopted some measures that partly address the CSR, but a fair amount of work is still needed to fully address the CSR.</w:t>
            </w:r>
          </w:p>
          <w:p w:rsidR="003240A1" w:rsidRDefault="00EE321D">
            <w:pPr>
              <w:pStyle w:val="ListBullet"/>
              <w:rPr>
                <w:noProof/>
              </w:rPr>
            </w:pPr>
            <w:r>
              <w:rPr>
                <w:noProof/>
              </w:rPr>
              <w:t xml:space="preserve">Lithuanian Public Employment Service implemented specific activation projects targeting the low-skilled, long-term unemployed, older and disabled persons. </w:t>
            </w:r>
          </w:p>
          <w:p w:rsidR="003240A1" w:rsidRDefault="00EE321D">
            <w:pPr>
              <w:pStyle w:val="ListBullet"/>
              <w:rPr>
                <w:noProof/>
              </w:rPr>
            </w:pPr>
            <w:r>
              <w:rPr>
                <w:noProof/>
              </w:rPr>
              <w:t xml:space="preserve">Lithuania has adopted the new Law on Employment, which is planned to come into force in July 2017. </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Strengthen the role of social dialogue mechanisms.</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in strengthening the role of social dialogue mechanisms.</w:t>
            </w:r>
          </w:p>
          <w:p w:rsidR="003240A1" w:rsidRDefault="00EE321D">
            <w:pPr>
              <w:pStyle w:val="ListBullet"/>
              <w:rPr>
                <w:noProof/>
              </w:rPr>
            </w:pPr>
            <w:r>
              <w:rPr>
                <w:noProof/>
              </w:rPr>
              <w:t>LT has adopted the legislative package on the "new social model", among them a new labour code. It includes new provisions for collec</w:t>
            </w:r>
            <w:r>
              <w:rPr>
                <w:noProof/>
              </w:rPr>
              <w:t xml:space="preserve">tive bargaining, industrial action, and the participation in the Tripartite Council, but the implementation is postponed to 1 July 2017. </w:t>
            </w:r>
          </w:p>
          <w:p w:rsidR="003240A1" w:rsidRDefault="00EE321D">
            <w:pPr>
              <w:pStyle w:val="ListBullet"/>
              <w:rPr>
                <w:noProof/>
              </w:rPr>
            </w:pPr>
            <w:r>
              <w:rPr>
                <w:noProof/>
              </w:rPr>
              <w:t>The Ministry of Social Affairs and Labour has adopted the Action Plan for Strengthening of Social Dialogue in Lithuani</w:t>
            </w:r>
            <w:r>
              <w:rPr>
                <w:noProof/>
              </w:rPr>
              <w:t>a for 2016-2020. It will support the promotion of social dialogue between employers and employees' representatives (at national and local levels), and include other measures, including capacity building for the social partners, in order to foster the socia</w:t>
            </w:r>
            <w:r>
              <w:rPr>
                <w:noProof/>
              </w:rPr>
              <w:t>l dialogue. However, some social partners indicated that they were not fully involved in designing the Action Plan, which may not cover their real needs.</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Improve the performance of the healthcare system by strengthening outpatient care, disease prevention</w:t>
            </w:r>
            <w:r>
              <w:rPr>
                <w:noProof/>
              </w:rPr>
              <w:t xml:space="preserve"> and health promotion.</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has been made in improving the performance of healthcare system. </w:t>
            </w:r>
          </w:p>
          <w:p w:rsidR="003240A1" w:rsidRDefault="00EE321D">
            <w:pPr>
              <w:pStyle w:val="ListBullet"/>
              <w:rPr>
                <w:noProof/>
              </w:rPr>
            </w:pPr>
            <w:r>
              <w:rPr>
                <w:noProof/>
              </w:rPr>
              <w:t xml:space="preserve">Lithuania has advanced on the fourth stage of the health system reform, particularly on shifting patients from inpatient to outpatient settings. </w:t>
            </w:r>
          </w:p>
          <w:p w:rsidR="003240A1" w:rsidRDefault="00EE321D">
            <w:pPr>
              <w:pStyle w:val="ListBullet"/>
              <w:rPr>
                <w:noProof/>
              </w:rPr>
            </w:pPr>
            <w:r>
              <w:rPr>
                <w:noProof/>
              </w:rPr>
              <w:t>A State</w:t>
            </w:r>
            <w:r>
              <w:rPr>
                <w:noProof/>
              </w:rPr>
              <w:t xml:space="preserve"> Health Promotion Fund was established in 2016 funded by resources from alcohol excise duties and some projects are being supported by the fund; other small projects are being implemented. </w:t>
            </w:r>
          </w:p>
          <w:p w:rsidR="003240A1" w:rsidRDefault="00EE321D">
            <w:pPr>
              <w:pStyle w:val="ListBullet"/>
              <w:rPr>
                <w:noProof/>
              </w:rPr>
            </w:pPr>
            <w:r>
              <w:rPr>
                <w:noProof/>
              </w:rPr>
              <w:t>Other actions that could support the improvement of the performanc</w:t>
            </w:r>
            <w:r>
              <w:rPr>
                <w:noProof/>
              </w:rPr>
              <w:t xml:space="preserve">e of the health system, as the Action Plan for reducing health inequalities 2014-2023 are still to be effectively launched. </w:t>
            </w:r>
          </w:p>
          <w:p w:rsidR="003240A1" w:rsidRDefault="00EE321D">
            <w:pPr>
              <w:pStyle w:val="ListBullet"/>
              <w:rPr>
                <w:noProof/>
              </w:rPr>
            </w:pPr>
            <w:r>
              <w:rPr>
                <w:noProof/>
              </w:rPr>
              <w:t>Regarding corruption on healthcare the authorities have concrete plans that seem to be adequate, but, as in all other areas, the su</w:t>
            </w:r>
            <w:r>
              <w:rPr>
                <w:noProof/>
              </w:rPr>
              <w:t>ccess of implementation will be crucial.</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Improve the coverage and adequacy of unemployment benefits and social assistance.</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has been made in improving the coverage and adequacy of unemployment benefits. There was no progress in the adequacy o</w:t>
            </w:r>
            <w:r>
              <w:rPr>
                <w:noProof/>
              </w:rPr>
              <w:t>f social assistance but a slight one as regards coverage.</w:t>
            </w:r>
          </w:p>
          <w:p w:rsidR="003240A1" w:rsidRDefault="00EE321D">
            <w:pPr>
              <w:pStyle w:val="ListBullet"/>
              <w:rPr>
                <w:noProof/>
              </w:rPr>
            </w:pPr>
            <w:r>
              <w:rPr>
                <w:noProof/>
              </w:rPr>
              <w:t xml:space="preserve">LT has adopted measures that address the CSR, but a fair amount of work is still needed to fully address the CSR as only a few of the adopted measures have been implemented, and their effect is not </w:t>
            </w:r>
            <w:r>
              <w:rPr>
                <w:noProof/>
              </w:rPr>
              <w:t>tangible yet.</w:t>
            </w:r>
          </w:p>
          <w:p w:rsidR="003240A1" w:rsidRDefault="00EE321D">
            <w:pPr>
              <w:pStyle w:val="ListBullet"/>
              <w:rPr>
                <w:noProof/>
              </w:rPr>
            </w:pPr>
            <w:r>
              <w:rPr>
                <w:noProof/>
              </w:rPr>
              <w:t xml:space="preserve">LT has adopted the new labour code and the "social model", but the implementation is postponed to 1 July 2017. The initial analysis shows that while coverage of the unemployment insurance benefits may increase, the increase in adequacy could </w:t>
            </w:r>
            <w:r>
              <w:rPr>
                <w:noProof/>
              </w:rPr>
              <w:t>be only marginal. The effect of the new legislation "on the ground" is not clear at the moment.</w:t>
            </w:r>
          </w:p>
          <w:p w:rsidR="003240A1" w:rsidRDefault="00EE321D">
            <w:pPr>
              <w:pStyle w:val="ListBullet"/>
              <w:rPr>
                <w:noProof/>
              </w:rPr>
            </w:pPr>
            <w:r>
              <w:rPr>
                <w:noProof/>
              </w:rPr>
              <w:t>Regarding the social benefits, the amendments indeed increase the coverage, and for some beneficiary groups, the adequacy might be slightly improved. However, o</w:t>
            </w:r>
            <w:r>
              <w:rPr>
                <w:noProof/>
              </w:rPr>
              <w:t>verall the adequacy of the social benefits remains low, and no major changes have been implemented since 2008.</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rPr>
                <w:noProof/>
              </w:rPr>
            </w:pPr>
            <w:r>
              <w:rPr>
                <w:b/>
                <w:noProof/>
              </w:rPr>
              <w:t xml:space="preserve">CSR 3: </w:t>
            </w:r>
            <w:r>
              <w:rPr>
                <w:noProof/>
              </w:rPr>
              <w:t>Take measures to strengthen productivity and improve the adoption and absorption of new technology across the economy. Improve the coordi</w:t>
            </w:r>
            <w:r>
              <w:rPr>
                <w:noProof/>
              </w:rPr>
              <w:t>nation of innovation policies and encourage private investment, inter alia, by developing alternative means of financing.</w:t>
            </w:r>
          </w:p>
        </w:tc>
        <w:tc>
          <w:tcPr>
            <w:tcW w:w="3969" w:type="dxa"/>
            <w:tcBorders>
              <w:top w:val="dashed" w:sz="4" w:space="0" w:color="auto"/>
              <w:bottom w:val="dashed" w:sz="4" w:space="0" w:color="auto"/>
            </w:tcBorders>
            <w:shd w:val="clear" w:color="auto" w:fill="auto"/>
          </w:tcPr>
          <w:p w:rsidR="003240A1" w:rsidRDefault="00EE321D">
            <w:pPr>
              <w:rPr>
                <w:noProof/>
              </w:rPr>
            </w:pPr>
            <w:r>
              <w:rPr>
                <w:noProof/>
              </w:rPr>
              <w:t xml:space="preserve">Lithuania has made </w:t>
            </w:r>
            <w:r>
              <w:rPr>
                <w:b/>
                <w:noProof/>
              </w:rPr>
              <w:t>limited progress</w:t>
            </w:r>
            <w:r>
              <w:rPr>
                <w:noProof/>
              </w:rPr>
              <w:t xml:space="preserve"> in addressing CSR 3:</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 xml:space="preserve">Take measures to strengthen productivity and improve the adoption and </w:t>
            </w:r>
            <w:r>
              <w:rPr>
                <w:noProof/>
              </w:rPr>
              <w:t>absorption of new technology across the economy.</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Limited progress</w:t>
            </w:r>
            <w:r>
              <w:rPr>
                <w:noProof/>
              </w:rPr>
              <w:t xml:space="preserve"> has been made in strengthening the productivity. </w:t>
            </w:r>
          </w:p>
          <w:p w:rsidR="003240A1" w:rsidRDefault="00EE321D">
            <w:pPr>
              <w:pStyle w:val="ListBullet"/>
              <w:rPr>
                <w:noProof/>
              </w:rPr>
            </w:pPr>
            <w:r>
              <w:rPr>
                <w:noProof/>
              </w:rPr>
              <w:t>Although, implementation of the European Structural and Investment Funds and the Lithuanian Smart Specialisation Framework are expected to s</w:t>
            </w:r>
            <w:r>
              <w:rPr>
                <w:noProof/>
              </w:rPr>
              <w:t>upport this process in the coming years, no additional measures to address the challenge have been adopted.</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Improve the coordination of innovation policies…</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Limited progress</w:t>
            </w:r>
            <w:r>
              <w:rPr>
                <w:noProof/>
              </w:rPr>
              <w:t xml:space="preserve"> has been made to improve coordination of innovation policies. </w:t>
            </w:r>
          </w:p>
          <w:p w:rsidR="003240A1" w:rsidRDefault="00EE321D">
            <w:pPr>
              <w:pStyle w:val="ListBullet"/>
              <w:rPr>
                <w:noProof/>
              </w:rPr>
            </w:pPr>
            <w:r>
              <w:rPr>
                <w:noProof/>
              </w:rPr>
              <w:t>President's Office</w:t>
            </w:r>
            <w:r>
              <w:rPr>
                <w:noProof/>
              </w:rPr>
              <w:t xml:space="preserve"> called for reforms in the "Lithuanian Science and Innovation Policy Reform Guidelines", these were adopted by the Parliament and are expected to trigger the reform process in 2017.</w:t>
            </w:r>
          </w:p>
        </w:tc>
      </w:tr>
      <w:tr w:rsidR="003240A1">
        <w:tc>
          <w:tcPr>
            <w:tcW w:w="4536" w:type="dxa"/>
            <w:tcBorders>
              <w:top w:val="dashed" w:sz="4" w:space="0" w:color="auto"/>
              <w:left w:val="single" w:sz="4" w:space="0" w:color="auto"/>
              <w:bottom w:val="dashed" w:sz="4" w:space="0" w:color="auto"/>
            </w:tcBorders>
            <w:shd w:val="clear" w:color="auto" w:fill="auto"/>
          </w:tcPr>
          <w:p w:rsidR="003240A1" w:rsidRDefault="00EE321D">
            <w:pPr>
              <w:pStyle w:val="ListBullet"/>
              <w:rPr>
                <w:noProof/>
              </w:rPr>
            </w:pPr>
            <w:r>
              <w:rPr>
                <w:noProof/>
              </w:rPr>
              <w:t xml:space="preserve">…and encourage private investment, inter alia, by developing alternative </w:t>
            </w:r>
            <w:r>
              <w:rPr>
                <w:noProof/>
              </w:rPr>
              <w:t>means of financing.</w:t>
            </w:r>
          </w:p>
        </w:tc>
        <w:tc>
          <w:tcPr>
            <w:tcW w:w="3969" w:type="dxa"/>
            <w:tcBorders>
              <w:top w:val="dashed" w:sz="4" w:space="0" w:color="auto"/>
              <w:bottom w:val="dashed" w:sz="4" w:space="0" w:color="auto"/>
            </w:tcBorders>
            <w:shd w:val="clear" w:color="auto" w:fill="auto"/>
          </w:tcPr>
          <w:p w:rsidR="003240A1" w:rsidRDefault="00EE321D">
            <w:pPr>
              <w:pStyle w:val="ListBullet"/>
              <w:rPr>
                <w:noProof/>
              </w:rPr>
            </w:pPr>
            <w:r>
              <w:rPr>
                <w:b/>
                <w:noProof/>
              </w:rPr>
              <w:t>Some progress</w:t>
            </w:r>
            <w:r>
              <w:rPr>
                <w:noProof/>
              </w:rPr>
              <w:t xml:space="preserve"> has been made in developing alternative means of financing. </w:t>
            </w:r>
          </w:p>
          <w:p w:rsidR="003240A1" w:rsidRDefault="00EE321D">
            <w:pPr>
              <w:pStyle w:val="ListBullet"/>
              <w:rPr>
                <w:noProof/>
              </w:rPr>
            </w:pPr>
            <w:r>
              <w:rPr>
                <w:noProof/>
              </w:rPr>
              <w:t>Lithuania has helped establish and fund a number of venture capital and seed capital funds. Also, the government has recently passed a law on crowd-investing.</w:t>
            </w:r>
          </w:p>
        </w:tc>
      </w:tr>
      <w:tr w:rsidR="003240A1">
        <w:tc>
          <w:tcPr>
            <w:tcW w:w="8505" w:type="dxa"/>
            <w:gridSpan w:val="2"/>
            <w:tcBorders>
              <w:left w:val="single" w:sz="4" w:space="0" w:color="auto"/>
              <w:bottom w:val="dashSmallGap" w:sz="4" w:space="0" w:color="auto"/>
            </w:tcBorders>
            <w:shd w:val="clear" w:color="auto" w:fill="auto"/>
          </w:tcPr>
          <w:p w:rsidR="003240A1" w:rsidRDefault="00EE321D">
            <w:pPr>
              <w:rPr>
                <w:b/>
                <w:noProof/>
              </w:rPr>
            </w:pPr>
            <w:r>
              <w:rPr>
                <w:b/>
                <w:noProof/>
              </w:rPr>
              <w:t>Europe 2020 (national targets and progress)</w:t>
            </w:r>
          </w:p>
        </w:tc>
      </w:tr>
      <w:tr w:rsidR="003240A1">
        <w:tc>
          <w:tcPr>
            <w:tcW w:w="4536" w:type="dxa"/>
            <w:tcBorders>
              <w:left w:val="single" w:sz="4" w:space="0" w:color="auto"/>
              <w:bottom w:val="dashSmallGap" w:sz="4" w:space="0" w:color="auto"/>
            </w:tcBorders>
            <w:shd w:val="clear" w:color="auto" w:fill="auto"/>
          </w:tcPr>
          <w:p w:rsidR="003240A1" w:rsidRDefault="00EE321D">
            <w:pPr>
              <w:rPr>
                <w:noProof/>
              </w:rPr>
            </w:pPr>
            <w:r>
              <w:rPr>
                <w:noProof/>
              </w:rPr>
              <w:t>Employment rate: 72.8%</w:t>
            </w:r>
          </w:p>
          <w:p w:rsidR="003240A1" w:rsidRDefault="003240A1">
            <w:pPr>
              <w:rPr>
                <w:noProof/>
              </w:rPr>
            </w:pPr>
          </w:p>
        </w:tc>
        <w:tc>
          <w:tcPr>
            <w:tcW w:w="3969" w:type="dxa"/>
            <w:tcBorders>
              <w:bottom w:val="dashSmallGap" w:sz="4" w:space="0" w:color="auto"/>
            </w:tcBorders>
            <w:shd w:val="clear" w:color="auto" w:fill="auto"/>
          </w:tcPr>
          <w:p w:rsidR="003240A1" w:rsidRDefault="00EE321D">
            <w:pPr>
              <w:rPr>
                <w:noProof/>
              </w:rPr>
            </w:pPr>
            <w:r>
              <w:rPr>
                <w:noProof/>
              </w:rPr>
              <w:t>The employment rate reached 75.1 % in 2016.</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R&amp;D: 1.9 % of GDP with half coming from private sector</w:t>
            </w:r>
          </w:p>
          <w:p w:rsidR="003240A1" w:rsidRDefault="003240A1">
            <w:pPr>
              <w:rPr>
                <w:noProof/>
              </w:rPr>
            </w:pP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In 2015, Lithuania's R&amp;</w:t>
            </w:r>
            <w:r>
              <w:rPr>
                <w:noProof/>
              </w:rPr>
              <w:t xml:space="preserve">D investment was 1.04 % of GDP compared to 0.78% of GDP in 2010. While improving, the R&amp;D investment is unlikely to reach the target level by 2020, mainly due to low level of private investment. </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Greenhouse gas (GHG) emissions target:</w:t>
            </w:r>
          </w:p>
          <w:p w:rsidR="003240A1" w:rsidRDefault="00EE321D">
            <w:pPr>
              <w:rPr>
                <w:noProof/>
              </w:rPr>
            </w:pPr>
            <w:r>
              <w:rPr>
                <w:noProof/>
              </w:rPr>
              <w:t xml:space="preserve">+15% compared to </w:t>
            </w:r>
            <w:r>
              <w:rPr>
                <w:noProof/>
              </w:rPr>
              <w:t>2005 emissions, ETS (Emissions Trading System) emissions are not covered by this national target.</w:t>
            </w:r>
          </w:p>
          <w:p w:rsidR="003240A1" w:rsidRDefault="003240A1">
            <w:pPr>
              <w:rPr>
                <w:noProof/>
              </w:rPr>
            </w:pPr>
          </w:p>
        </w:tc>
        <w:tc>
          <w:tcPr>
            <w:tcW w:w="3969" w:type="dxa"/>
            <w:tcBorders>
              <w:top w:val="dashSmallGap" w:sz="4" w:space="0" w:color="auto"/>
              <w:bottom w:val="dashSmallGap" w:sz="4" w:space="0" w:color="auto"/>
            </w:tcBorders>
            <w:shd w:val="clear" w:color="auto" w:fill="auto"/>
          </w:tcPr>
          <w:p w:rsidR="003240A1" w:rsidRDefault="00EE321D">
            <w:pPr>
              <w:rPr>
                <w:noProof/>
              </w:rPr>
            </w:pPr>
            <w:r>
              <w:rPr>
                <w:b/>
                <w:noProof/>
              </w:rPr>
              <w:t>Europe 2020 target</w:t>
            </w:r>
            <w:r>
              <w:rPr>
                <w:noProof/>
              </w:rPr>
              <w:t>: 15 %</w:t>
            </w:r>
          </w:p>
          <w:p w:rsidR="003240A1" w:rsidRDefault="00EE321D">
            <w:pPr>
              <w:rPr>
                <w:noProof/>
              </w:rPr>
            </w:pPr>
            <w:r>
              <w:rPr>
                <w:noProof/>
              </w:rPr>
              <w:t>Lithuania is expected to meet its target by a margin of 18 pp.: -3 % in 2020 compared with 2005. This is according to the latest nat</w:t>
            </w:r>
            <w:r>
              <w:rPr>
                <w:noProof/>
              </w:rPr>
              <w:t>ional projections submitted to the Commission, and when existing measures are taken into account.</w:t>
            </w:r>
          </w:p>
          <w:p w:rsidR="003240A1" w:rsidRDefault="00EE321D">
            <w:pPr>
              <w:rPr>
                <w:noProof/>
              </w:rPr>
            </w:pPr>
            <w:r>
              <w:rPr>
                <w:b/>
                <w:noProof/>
              </w:rPr>
              <w:t>Non-ETS 2014 target</w:t>
            </w:r>
            <w:r>
              <w:rPr>
                <w:noProof/>
              </w:rPr>
              <w:t xml:space="preserve">: -1 %. </w:t>
            </w:r>
          </w:p>
          <w:p w:rsidR="003240A1" w:rsidRDefault="00EE321D">
            <w:pPr>
              <w:rPr>
                <w:noProof/>
              </w:rPr>
            </w:pPr>
            <w:r>
              <w:rPr>
                <w:noProof/>
              </w:rPr>
              <w:t>Greenhouse gas emissions from sectors not covered by the emissions trading scheme fell by 10 % between 2005 and 2015. Therefore Li</w:t>
            </w:r>
            <w:r>
              <w:rPr>
                <w:noProof/>
              </w:rPr>
              <w:t>thuania has achieved its 2015 target.</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Renewable energy target: 23 %</w:t>
            </w:r>
          </w:p>
          <w:p w:rsidR="003240A1" w:rsidRDefault="00EE321D">
            <w:pPr>
              <w:rPr>
                <w:noProof/>
              </w:rPr>
            </w:pPr>
            <w:r>
              <w:rPr>
                <w:noProof/>
              </w:rPr>
              <w:t>Share of renewable energy in transport sector: 10 %</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With a renewable energy share of 23.9 % in 2014, Lithuania is already above its 23% target in 2020. Lithuania has also considered holdi</w:t>
            </w:r>
            <w:r>
              <w:rPr>
                <w:noProof/>
              </w:rPr>
              <w:t>ng negotiations with other Member States on sharing its excess renewables production (up to 2020) under cooperation mechanisms for renewable energy. The Commission strongly encourages this initiative and hopes that it will result in the signing of relevant</w:t>
            </w:r>
            <w:r>
              <w:rPr>
                <w:noProof/>
              </w:rPr>
              <w:t xml:space="preserve"> cooperation agreements in 2015/2016.</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Energy efficiency: 17 % reduction in final energy use compared to 2009 level (reduction of 740 ktoe), which implies reaching a 2020 level of 6.49 Mtoe of primary and 4.28 Mtoe of final energy consumption.</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Comparing th</w:t>
            </w:r>
            <w:r>
              <w:rPr>
                <w:noProof/>
              </w:rPr>
              <w:t>e trend of primary energy consumption with changes in GDP over the past decades, shows evidence that there has been a strong decoupling of both in Lithuania.</w:t>
            </w:r>
          </w:p>
          <w:p w:rsidR="003240A1" w:rsidRDefault="00EE321D">
            <w:pPr>
              <w:rPr>
                <w:noProof/>
              </w:rPr>
            </w:pPr>
            <w:r>
              <w:rPr>
                <w:noProof/>
              </w:rPr>
              <w:t xml:space="preserve">However, in light of the increase of the final energy consumption in 2014, Lithuania will have to </w:t>
            </w:r>
            <w:r>
              <w:rPr>
                <w:noProof/>
              </w:rPr>
              <w:t>increase its effort to decrease its final energy consumption further in order to achieve its 2020 energy efficiency targets.</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Early school leaving target: &lt;9 %</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The early school leaving rate among 18-24 year olds decreased further to 5.5% in 2015. Lithuania</w:t>
            </w:r>
            <w:r>
              <w:rPr>
                <w:noProof/>
              </w:rPr>
              <w:t xml:space="preserve"> is successful at staying below the 9% national target. This figure is also significantly below the EU average of 11%.</w:t>
            </w:r>
          </w:p>
        </w:tc>
      </w:tr>
      <w:tr w:rsidR="003240A1">
        <w:tc>
          <w:tcPr>
            <w:tcW w:w="4536" w:type="dxa"/>
            <w:tcBorders>
              <w:top w:val="dashSmallGap" w:sz="4" w:space="0" w:color="auto"/>
              <w:left w:val="single" w:sz="4" w:space="0" w:color="auto"/>
              <w:bottom w:val="dashSmallGap" w:sz="4" w:space="0" w:color="auto"/>
            </w:tcBorders>
            <w:shd w:val="clear" w:color="auto" w:fill="auto"/>
          </w:tcPr>
          <w:p w:rsidR="003240A1" w:rsidRDefault="00EE321D">
            <w:pPr>
              <w:rPr>
                <w:noProof/>
              </w:rPr>
            </w:pPr>
            <w:r>
              <w:rPr>
                <w:noProof/>
              </w:rPr>
              <w:t>Tertiary education target: 48.7 %</w:t>
            </w:r>
          </w:p>
        </w:tc>
        <w:tc>
          <w:tcPr>
            <w:tcW w:w="3969" w:type="dxa"/>
            <w:tcBorders>
              <w:top w:val="dashSmallGap" w:sz="4" w:space="0" w:color="auto"/>
              <w:bottom w:val="dashSmallGap" w:sz="4" w:space="0" w:color="auto"/>
            </w:tcBorders>
            <w:shd w:val="clear" w:color="auto" w:fill="auto"/>
          </w:tcPr>
          <w:p w:rsidR="003240A1" w:rsidRDefault="00EE321D">
            <w:pPr>
              <w:rPr>
                <w:noProof/>
              </w:rPr>
            </w:pPr>
            <w:r>
              <w:rPr>
                <w:noProof/>
              </w:rPr>
              <w:t xml:space="preserve">Tertiary attainment among 30-34 year olds in Lithuania is the highest in the EU, having reached 57.6% </w:t>
            </w:r>
            <w:r>
              <w:rPr>
                <w:noProof/>
              </w:rPr>
              <w:t>in 2015.  It is above the national target and among the highest in the EU.</w:t>
            </w:r>
          </w:p>
        </w:tc>
      </w:tr>
      <w:tr w:rsidR="003240A1">
        <w:tc>
          <w:tcPr>
            <w:tcW w:w="4536" w:type="dxa"/>
            <w:tcBorders>
              <w:top w:val="dashSmallGap" w:sz="4" w:space="0" w:color="auto"/>
              <w:left w:val="single" w:sz="4" w:space="0" w:color="auto"/>
              <w:bottom w:val="single" w:sz="4" w:space="0" w:color="auto"/>
            </w:tcBorders>
            <w:shd w:val="clear" w:color="auto" w:fill="auto"/>
          </w:tcPr>
          <w:p w:rsidR="003240A1" w:rsidRDefault="00EE321D">
            <w:pPr>
              <w:rPr>
                <w:noProof/>
              </w:rPr>
            </w:pPr>
            <w:r>
              <w:rPr>
                <w:noProof/>
              </w:rPr>
              <w:t>Risk of poverty or social exclusion target: 814,000</w:t>
            </w:r>
          </w:p>
        </w:tc>
        <w:tc>
          <w:tcPr>
            <w:tcW w:w="3969" w:type="dxa"/>
            <w:tcBorders>
              <w:top w:val="dashSmallGap" w:sz="4" w:space="0" w:color="auto"/>
              <w:bottom w:val="single" w:sz="4" w:space="0" w:color="auto"/>
            </w:tcBorders>
            <w:shd w:val="clear" w:color="auto" w:fill="auto"/>
          </w:tcPr>
          <w:p w:rsidR="003240A1" w:rsidRDefault="00EE321D">
            <w:pPr>
              <w:rPr>
                <w:noProof/>
              </w:rPr>
            </w:pPr>
            <w:r>
              <w:rPr>
                <w:noProof/>
              </w:rPr>
              <w:t>Lithuania has met its national target: in 2015 there were 857 000 people at risk of poverty or social exclusion (29.3 % of the t</w:t>
            </w:r>
            <w:r>
              <w:rPr>
                <w:noProof/>
              </w:rPr>
              <w:t>otal population). Compared to 2014, the number and share of people at risk of poverty or social exclusion has increased.</w:t>
            </w:r>
          </w:p>
        </w:tc>
      </w:tr>
    </w:tbl>
    <w:p w:rsidR="003240A1" w:rsidRDefault="003240A1">
      <w:pPr>
        <w:rPr>
          <w:noProof/>
        </w:rPr>
        <w:sectPr w:rsidR="003240A1">
          <w:headerReference w:type="even" r:id="rId108"/>
          <w:headerReference w:type="default" r:id="rId109"/>
          <w:footerReference w:type="even" r:id="rId110"/>
          <w:footerReference w:type="default" r:id="rId111"/>
          <w:headerReference w:type="first" r:id="rId112"/>
          <w:footerReference w:type="first" r:id="rId11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EE321D">
            <w:pPr>
              <w:pStyle w:val="SectionTitleFramedtwolines1"/>
              <w:framePr w:w="0" w:hRule="auto" w:wrap="auto" w:vAnchor="margin" w:yAlign="inline"/>
              <w:rPr>
                <w:noProof/>
              </w:rPr>
            </w:pPr>
            <w:bookmarkStart w:id="45" w:name="_Toc473809279"/>
            <w:bookmarkEnd w:id="45"/>
            <w:r>
              <w:rPr>
                <w:noProof/>
              </w:rPr>
              <w:t>Annex B</w:t>
            </w:r>
          </w:p>
          <w:p w:rsidR="003240A1" w:rsidRDefault="00EE321D">
            <w:pPr>
              <w:pStyle w:val="AnnexTitleFramed1"/>
              <w:framePr w:w="0" w:hRule="auto" w:wrap="auto" w:vAnchor="margin" w:yAlign="inline"/>
              <w:rPr>
                <w:noProof/>
              </w:rPr>
            </w:pPr>
            <w:r>
              <w:rPr>
                <w:noProof/>
              </w:rPr>
              <w:t>MIP Scoreboard</w:t>
            </w:r>
          </w:p>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B.1:</w:t>
            </w:r>
            <w:r>
              <w:rPr>
                <w:b/>
                <w:noProof/>
              </w:rPr>
              <w:tab/>
              <w:t>Macroeconomic imbalances scoreboard</w:t>
            </w:r>
          </w:p>
        </w:tc>
      </w:tr>
      <w:tr w:rsidR="003240A1">
        <w:trPr>
          <w:cantSplit/>
        </w:trPr>
        <w:tc>
          <w:tcPr>
            <w:tcW w:w="8505" w:type="dxa"/>
            <w:shd w:val="clear" w:color="auto" w:fill="auto"/>
          </w:tcPr>
          <w:p w:rsidR="003240A1" w:rsidRDefault="00EE321D">
            <w:pPr>
              <w:pStyle w:val="TableShape"/>
              <w:rPr>
                <w:noProof/>
                <w:sz w:val="2"/>
              </w:rPr>
            </w:pPr>
            <w:bookmarkStart w:id="46" w:name="_Toc473809285"/>
            <w:bookmarkEnd w:id="46"/>
            <w:r>
              <w:rPr>
                <w:noProof/>
                <w:sz w:val="2"/>
                <w:lang w:eastAsia="en-GB"/>
              </w:rPr>
              <w:drawing>
                <wp:inline distT="0" distB="0" distL="0" distR="0">
                  <wp:extent cx="5400929" cy="5086589"/>
                  <wp:effectExtent l="0" t="0" r="9525" b="0"/>
                  <wp:docPr id="17" name="Picture 17" descr="&lt;_DISABLED_nbr_DISABLED_&gt;&lt;GETTEXTFROMWORD&gt;&lt;/nbr&gt;&#10;&lt;title&gt;&lt;GETTEXTFROMWORD&gt;&lt;/title&gt;&#10;&lt;_DISABLED_id_DISABLED_&gt;b839dff5-7c34-4a42-838b-6497abfe49d0&lt;/id&gt;&#10;&lt;srcType&gt;EXCEL&lt;/srcType&gt;&#10;&lt;srcPath&gt;\\net1.cec.eu.int\ECFIN\Projects\European Semester\2017\Working space for country desks\06 Country Reports\08 Statistical Annex-Standard tables\01 Contribution by Horizontal units-other DGs\MIP Scoreboard\&lt;/srcPath&gt;&#10;&lt;srcName&gt;15 LT MIP Table 2017.xlsx&lt;/srcName&gt;&#10;&lt;type&gt;table&lt;/type&gt;&#10; &lt;srcSheet&gt;Sheet1&lt;/srcSheet&gt;&#10; &lt;srcRange&gt;R2C2:R16C15&lt;/srcRang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9T10:58:2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00929" cy="5086589"/>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Source"/>
              <w:rPr>
                <w:noProof/>
              </w:rPr>
            </w:pPr>
            <w:r>
              <w:rPr>
                <w:b/>
                <w:i/>
                <w:noProof/>
              </w:rPr>
              <w:t>Source:</w:t>
            </w:r>
            <w:r>
              <w:rPr>
                <w:noProof/>
              </w:rPr>
              <w:t xml:space="preserve"> Alert mechanism report 2017</w:t>
            </w:r>
            <w:r>
              <w:rPr>
                <w:noProof/>
              </w:rPr>
              <w:br/>
              <w:t>Highlighted figures are those falling outside the threshold established in the European Commission Alert Mechanism Report.</w:t>
            </w:r>
            <w:r>
              <w:rPr>
                <w:noProof/>
              </w:rPr>
              <w:br/>
              <w:t>For REER and ULC, the</w:t>
            </w:r>
            <w:r>
              <w:rPr>
                <w:noProof/>
              </w:rPr>
              <w:t xml:space="preserve"> first threshold applies to euro area Member States</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sectPr w:rsidR="003240A1">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EE321D">
            <w:pPr>
              <w:pStyle w:val="SectionTitleFramedtwolines2"/>
              <w:framePr w:w="0" w:hRule="auto" w:wrap="auto" w:vAnchor="margin" w:yAlign="inline"/>
              <w:rPr>
                <w:noProof/>
              </w:rPr>
            </w:pPr>
            <w:bookmarkStart w:id="47" w:name="_Toc473809280"/>
            <w:bookmarkEnd w:id="47"/>
            <w:r>
              <w:rPr>
                <w:noProof/>
              </w:rPr>
              <w:t>Annex C</w:t>
            </w:r>
          </w:p>
          <w:p w:rsidR="003240A1" w:rsidRDefault="00EE321D">
            <w:pPr>
              <w:pStyle w:val="AnnexTitleFramed2"/>
              <w:framePr w:w="0" w:hRule="auto" w:wrap="auto" w:vAnchor="margin" w:yAlign="inline"/>
              <w:rPr>
                <w:noProof/>
              </w:rPr>
            </w:pPr>
            <w:r>
              <w:rPr>
                <w:noProof/>
              </w:rPr>
              <w:t>Standard Tables</w:t>
            </w:r>
          </w:p>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C.1:</w:t>
            </w:r>
            <w:r>
              <w:rPr>
                <w:b/>
                <w:noProof/>
              </w:rPr>
              <w:tab/>
              <w:t>Financial market indicators</w:t>
            </w:r>
          </w:p>
        </w:tc>
      </w:tr>
      <w:tr w:rsidR="003240A1">
        <w:trPr>
          <w:cantSplit/>
        </w:trPr>
        <w:tc>
          <w:tcPr>
            <w:tcW w:w="8505" w:type="dxa"/>
            <w:shd w:val="clear" w:color="auto" w:fill="auto"/>
          </w:tcPr>
          <w:p w:rsidR="003240A1" w:rsidRDefault="00EE321D">
            <w:pPr>
              <w:pStyle w:val="TableShape"/>
              <w:rPr>
                <w:noProof/>
                <w:sz w:val="2"/>
              </w:rPr>
            </w:pPr>
            <w:bookmarkStart w:id="48" w:name="_Toc473809286"/>
            <w:bookmarkEnd w:id="48"/>
            <w:r>
              <w:rPr>
                <w:noProof/>
                <w:sz w:val="2"/>
                <w:lang w:eastAsia="en-GB"/>
              </w:rPr>
              <w:drawing>
                <wp:inline distT="0" distB="0" distL="0" distR="0">
                  <wp:extent cx="5400929" cy="2033291"/>
                  <wp:effectExtent l="0" t="0" r="9525" b="5080"/>
                  <wp:docPr id="51" name="Picture 51" descr="&lt;_DISABLED_nbr_DISABLED_&gt;&lt;GETTEXTFROMWORD&gt;&lt;/nbr&gt;&#10;&lt;title&gt;&lt;GETTEXTFROMWORD&gt;&lt;/title&gt;&#10;&lt;_DISABLED_id_DISABLED_&gt;c7d965c2-d4e1-46d1-be7f-fcb01ee33950&lt;/id&gt;&#10;&lt;srcType&gt;EXCEL&lt;/srcType&gt;&#10;&lt;srcPath&gt;O:\2017 CRs\15 LT\15_LT_GraphesTables\&lt;/srcPath&gt;&#10;&lt;srcName&gt;15 LT Standard tables.xls&lt;/srcName&gt;&#10;&lt;type&gt;table&lt;/type&gt;&#10; &lt;srcSheet&gt;LT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10:10: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00929" cy="2033291"/>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(1) Latest data Q2 2016.</w:t>
            </w:r>
            <w:r>
              <w:rPr>
                <w:noProof/>
              </w:rPr>
              <w:br/>
              <w:t>(2) Quarterly values are not annualised</w:t>
            </w:r>
            <w:r>
              <w:rPr>
                <w:noProof/>
              </w:rPr>
              <w:br/>
              <w:t>* Measured in basis points.</w:t>
            </w:r>
            <w:r>
              <w:rPr>
                <w:noProof/>
              </w:rPr>
              <w:br/>
            </w:r>
          </w:p>
          <w:p w:rsidR="003240A1" w:rsidRDefault="00EE321D">
            <w:pPr>
              <w:pStyle w:val="TableSource"/>
              <w:rPr>
                <w:noProof/>
              </w:rPr>
            </w:pPr>
            <w:r>
              <w:rPr>
                <w:b/>
                <w:i/>
                <w:noProof/>
              </w:rPr>
              <w:t>Source:</w:t>
            </w:r>
            <w:r>
              <w:rPr>
                <w:noProof/>
              </w:rPr>
              <w:t xml:space="preserve"> European Commission (long-term interest rates); World Bank (gross external debt); Eurostat (private debt); ECB (all other indicators).</w:t>
            </w:r>
            <w:r>
              <w:rPr>
                <w:noProof/>
              </w:rPr>
              <w:br/>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C.2:</w:t>
            </w:r>
            <w:r>
              <w:rPr>
                <w:b/>
                <w:noProof/>
              </w:rPr>
              <w:tab/>
            </w:r>
            <w:r>
              <w:rPr>
                <w:b/>
                <w:noProof/>
              </w:rPr>
              <w:t>Labour market and social indicators (A)</w:t>
            </w:r>
          </w:p>
        </w:tc>
      </w:tr>
      <w:tr w:rsidR="003240A1">
        <w:trPr>
          <w:cantSplit/>
        </w:trPr>
        <w:tc>
          <w:tcPr>
            <w:tcW w:w="8505" w:type="dxa"/>
            <w:shd w:val="clear" w:color="auto" w:fill="auto"/>
          </w:tcPr>
          <w:p w:rsidR="003240A1" w:rsidRDefault="00EE321D">
            <w:pPr>
              <w:pStyle w:val="TableShape"/>
              <w:rPr>
                <w:noProof/>
                <w:sz w:val="2"/>
              </w:rPr>
            </w:pPr>
            <w:bookmarkStart w:id="49" w:name="_Toc473809287"/>
            <w:bookmarkEnd w:id="49"/>
            <w:r>
              <w:rPr>
                <w:noProof/>
                <w:sz w:val="2"/>
                <w:lang w:eastAsia="en-GB"/>
              </w:rPr>
              <w:drawing>
                <wp:inline distT="0" distB="0" distL="0" distR="0">
                  <wp:extent cx="5400929" cy="4247400"/>
                  <wp:effectExtent l="0" t="0" r="0" b="1270"/>
                  <wp:docPr id="54" name="Picture 54" descr="&lt;_DISABLED_nbr_DISABLED_&gt;&lt;GETTEXTFROMWORD&gt;&lt;/nbr&gt;&#10;&lt;title&gt;&lt;GETTEXTFROMWORD&gt;&lt;/title&gt;&#10;&lt;_DISABLED_id_DISABLED_&gt;577ea7b1-dc15-49cb-92f4-fef504f94c60&lt;/id&gt;&#10;&lt;srcType&gt;EXCEL&lt;/srcType&gt;&#10;&lt;srcPath&gt;O:\2017 CRs\15 LT\15_LT_GraphesTables\&lt;/srcPath&gt;&#10;&lt;srcName&gt;15 LT Standard tables.xls&lt;/srcName&gt;&#10;&lt;type&gt;table&lt;/type&gt;&#10; &lt;srcSheet&gt;LT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4T12:10: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400929" cy="4247400"/>
                          </a:xfrm>
                          <a:prstGeom prst="rect">
                            <a:avLst/>
                          </a:prstGeom>
                          <a:noFill/>
                          <a:ln>
                            <a:noFill/>
                          </a:ln>
                        </pic:spPr>
                      </pic:pic>
                    </a:graphicData>
                  </a:graphic>
                </wp:inline>
              </w:drawing>
            </w:r>
          </w:p>
        </w:tc>
      </w:tr>
      <w:tr w:rsidR="003240A1" w:rsidRPr="00EE321D">
        <w:trPr>
          <w:cantSplit/>
        </w:trPr>
        <w:tc>
          <w:tcPr>
            <w:tcW w:w="8505" w:type="dxa"/>
            <w:shd w:val="clear" w:color="auto" w:fill="auto"/>
          </w:tcPr>
          <w:p w:rsidR="003240A1" w:rsidRDefault="00EE321D">
            <w:pPr>
              <w:pStyle w:val="TableFootnote"/>
              <w:rPr>
                <w:noProof/>
              </w:rPr>
            </w:pPr>
            <w:r>
              <w:rPr>
                <w:noProof/>
              </w:rPr>
              <w:t xml:space="preserve">(1) Unemployed persons are all those who were not employed but had actively sought work and were ready to begin working immediately or within two weeks.      </w:t>
            </w:r>
            <w:r>
              <w:rPr>
                <w:noProof/>
              </w:rPr>
              <w:br/>
              <w:t>(2) Long-term unemployed are people who have been une</w:t>
            </w:r>
            <w:r>
              <w:rPr>
                <w:noProof/>
              </w:rPr>
              <w:t xml:space="preserve">mployed for at least 12 months.      </w:t>
            </w:r>
            <w:r>
              <w:rPr>
                <w:noProof/>
              </w:rPr>
              <w:br/>
              <w:t xml:space="preserve">(3) Not in education, employment or training.      </w:t>
            </w:r>
            <w:r>
              <w:rPr>
                <w:noProof/>
              </w:rPr>
              <w:br/>
              <w:t xml:space="preserve">(4) Average of first three quarters of 2016. Data for total unemployment and youth unemployment rates are seasonally adjusted.      </w:t>
            </w:r>
            <w:r>
              <w:rPr>
                <w:noProof/>
              </w:rPr>
              <w:br/>
            </w:r>
          </w:p>
          <w:p w:rsidR="003240A1" w:rsidRDefault="00EE321D">
            <w:pPr>
              <w:pStyle w:val="TableSource"/>
              <w:rPr>
                <w:noProof/>
                <w:lang w:val="fr-BE"/>
              </w:rPr>
            </w:pPr>
            <w:r>
              <w:rPr>
                <w:b/>
                <w:i/>
                <w:noProof/>
                <w:lang w:val="fr-BE"/>
              </w:rPr>
              <w:t>Source:</w:t>
            </w:r>
            <w:r>
              <w:rPr>
                <w:noProof/>
                <w:lang w:val="fr-BE"/>
              </w:rPr>
              <w:t xml:space="preserve"> European Commission (EU Labour Force Survey)</w:t>
            </w:r>
          </w:p>
        </w:tc>
      </w:tr>
      <w:tr w:rsidR="003240A1" w:rsidRPr="00EE321D">
        <w:trPr>
          <w:cantSplit/>
          <w:trHeight w:val="20"/>
        </w:trPr>
        <w:tc>
          <w:tcPr>
            <w:tcW w:w="8505" w:type="dxa"/>
            <w:shd w:val="clear" w:color="auto" w:fill="auto"/>
          </w:tcPr>
          <w:p w:rsidR="003240A1" w:rsidRDefault="003240A1">
            <w:pPr>
              <w:pStyle w:val="SlimCell"/>
              <w:rPr>
                <w:noProof/>
                <w:lang w:val="fr-BE"/>
              </w:rPr>
            </w:pPr>
          </w:p>
        </w:tc>
      </w:tr>
    </w:tbl>
    <w:p w:rsidR="003240A1" w:rsidRDefault="003240A1">
      <w:pPr>
        <w:pStyle w:val="MultipageDelimiter"/>
        <w:rPr>
          <w:noProof/>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rsidRPr="00EE321D">
        <w:trPr>
          <w:cantSplit/>
          <w:trHeight w:val="20"/>
        </w:trPr>
        <w:tc>
          <w:tcPr>
            <w:tcW w:w="8505" w:type="dxa"/>
            <w:shd w:val="clear" w:color="auto" w:fill="auto"/>
          </w:tcPr>
          <w:p w:rsidR="003240A1" w:rsidRDefault="003240A1">
            <w:pPr>
              <w:pStyle w:val="SlimCell"/>
              <w:keepNext/>
              <w:rPr>
                <w:noProof/>
                <w:lang w:val="fr-BE"/>
              </w:rPr>
            </w:pPr>
          </w:p>
        </w:tc>
      </w:tr>
      <w:tr w:rsidR="003240A1">
        <w:trPr>
          <w:cantSplit/>
        </w:trPr>
        <w:tc>
          <w:tcPr>
            <w:tcW w:w="8505" w:type="dxa"/>
            <w:shd w:val="clear" w:color="auto" w:fill="auto"/>
          </w:tcPr>
          <w:p w:rsidR="003240A1" w:rsidRDefault="00EE321D">
            <w:pPr>
              <w:pStyle w:val="TableTitle"/>
              <w:rPr>
                <w:b/>
                <w:noProof/>
              </w:rPr>
            </w:pPr>
            <w:r>
              <w:rPr>
                <w:noProof/>
              </w:rPr>
              <w:t>Table C.3:</w:t>
            </w:r>
            <w:r>
              <w:rPr>
                <w:b/>
                <w:noProof/>
              </w:rPr>
              <w:tab/>
              <w:t>Labour market and social indicators (B)</w:t>
            </w:r>
          </w:p>
        </w:tc>
      </w:tr>
      <w:tr w:rsidR="003240A1">
        <w:trPr>
          <w:cantSplit/>
        </w:trPr>
        <w:tc>
          <w:tcPr>
            <w:tcW w:w="8505" w:type="dxa"/>
            <w:shd w:val="clear" w:color="auto" w:fill="auto"/>
          </w:tcPr>
          <w:p w:rsidR="003240A1" w:rsidRDefault="00EE321D">
            <w:pPr>
              <w:pStyle w:val="TableShape"/>
              <w:rPr>
                <w:noProof/>
                <w:sz w:val="2"/>
              </w:rPr>
            </w:pPr>
            <w:bookmarkStart w:id="50" w:name="_Toc473809288"/>
            <w:bookmarkEnd w:id="50"/>
            <w:r>
              <w:rPr>
                <w:noProof/>
                <w:sz w:val="2"/>
                <w:lang w:eastAsia="en-GB"/>
              </w:rPr>
              <w:drawing>
                <wp:inline distT="0" distB="0" distL="0" distR="0">
                  <wp:extent cx="5397910" cy="35691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398135" cy="3569259"/>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(1) People at risk of poverty or social exclusion : individuals who are at risk of poverty and/or suffering from severe material deprivation and/or living in households with zero or very low work intensity.      </w:t>
            </w:r>
            <w:r>
              <w:rPr>
                <w:noProof/>
              </w:rPr>
              <w:br/>
              <w:t>(2) At-risk-of-poverty rate (AROP): proport</w:t>
            </w:r>
            <w:r>
              <w:rPr>
                <w:noProof/>
              </w:rPr>
              <w:t>ion of people with an equivalised disposable income below 60</w:t>
            </w:r>
            <w:r>
              <w:rPr>
                <w:rFonts w:ascii="Arial" w:hAnsi="Arial" w:cs="Arial"/>
                <w:noProof/>
              </w:rPr>
              <w:t> </w:t>
            </w:r>
            <w:r>
              <w:rPr>
                <w:noProof/>
              </w:rPr>
              <w:t xml:space="preserve">% of the national equivalised median income.       </w:t>
            </w:r>
            <w:r>
              <w:rPr>
                <w:noProof/>
              </w:rPr>
              <w:br/>
              <w:t>(3) Proportion of people who experience at least four of the following forms of deprivation: not being able to afford to i) pay their rent or u</w:t>
            </w:r>
            <w:r>
              <w:rPr>
                <w:noProof/>
              </w:rPr>
              <w:t xml:space="preserve">tility bills, ii) keep their home adequately warm, iii) face unexpected expenses, iv) eat meat, fish or a protein equivalent every second day, v) enjoy a week of holiday away from home once a year, vi) have a car, vii) have a washing machine, viii) have a </w:t>
            </w:r>
            <w:r>
              <w:rPr>
                <w:noProof/>
              </w:rPr>
              <w:t xml:space="preserve">colour TV, or ix) have a telephone.      </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w:t>
            </w:r>
            <w:r>
              <w:rPr>
                <w:noProof/>
              </w:rPr>
              <w:t xml:space="preserve">tial in the previous 12 months.      </w:t>
            </w:r>
            <w:r>
              <w:rPr>
                <w:noProof/>
              </w:rPr>
              <w:br/>
              <w:t xml:space="preserve">(5) For EE, CY, MT, SI and SK, thresholds in nominal values in euros; harmonised index of consumer prices (HICP) = 100 in 2006 (2007 survey refers to 2006 incomes)      </w:t>
            </w:r>
            <w:r>
              <w:rPr>
                <w:noProof/>
              </w:rPr>
              <w:br/>
            </w:r>
          </w:p>
          <w:p w:rsidR="003240A1" w:rsidRDefault="00EE321D">
            <w:pPr>
              <w:pStyle w:val="TableSource"/>
              <w:rPr>
                <w:noProof/>
              </w:rPr>
            </w:pPr>
            <w:r>
              <w:rPr>
                <w:b/>
                <w:i/>
                <w:noProof/>
              </w:rPr>
              <w:t>Source:</w:t>
            </w:r>
            <w:r>
              <w:rPr>
                <w:noProof/>
              </w:rPr>
              <w:t xml:space="preserve"> For expenditure for social protection b</w:t>
            </w:r>
            <w:r>
              <w:rPr>
                <w:noProof/>
              </w:rPr>
              <w:t>enefits ESSPROS; for social inclusion EU-SILC.</w:t>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C.4:</w:t>
            </w:r>
            <w:r>
              <w:rPr>
                <w:b/>
                <w:noProof/>
              </w:rPr>
              <w:tab/>
              <w:t>Product market performance and policy indicators</w:t>
            </w:r>
          </w:p>
        </w:tc>
      </w:tr>
      <w:tr w:rsidR="003240A1">
        <w:trPr>
          <w:cantSplit/>
        </w:trPr>
        <w:tc>
          <w:tcPr>
            <w:tcW w:w="8505" w:type="dxa"/>
            <w:shd w:val="clear" w:color="auto" w:fill="auto"/>
          </w:tcPr>
          <w:p w:rsidR="003240A1" w:rsidRDefault="00EE321D">
            <w:pPr>
              <w:pStyle w:val="TableShape"/>
              <w:rPr>
                <w:noProof/>
                <w:sz w:val="2"/>
              </w:rPr>
            </w:pPr>
            <w:bookmarkStart w:id="51" w:name="_Toc473809289"/>
            <w:bookmarkEnd w:id="51"/>
            <w:r>
              <w:rPr>
                <w:noProof/>
                <w:sz w:val="2"/>
                <w:lang w:eastAsia="en-GB"/>
              </w:rPr>
              <w:drawing>
                <wp:inline distT="0" distB="0" distL="0" distR="0">
                  <wp:extent cx="5400929" cy="3855080"/>
                  <wp:effectExtent l="0" t="0" r="0" b="0"/>
                  <wp:docPr id="11" name="Picture 11" descr="&lt;_DISABLED_nbr_DISABLED_&gt;&lt;GETTEXTFROMWORD&gt;&lt;/nbr&gt;&#10;&lt;title&gt;&lt;GETTEXTFROMWORD&gt;&lt;/title&gt;&#10;&lt;_DISABLED_id_DISABLED_&gt;0bbf0a58-8aed-4043-9a7b-23ca8ecc83f2&lt;/id&gt;&#10;&lt;srcType&gt;EXCEL&lt;/srcType&gt;&#10;&lt;srcPath&gt;O:\2017 CRs\15 LT\15_LT_GraphesTables\&lt;/srcPath&gt;&#10;&lt;srcName&gt;15 LT Standard tables.xls&lt;/srcName&gt;&#10;&lt;type&gt;table&lt;/type&gt;&#10; &lt;srcSheet&gt;LT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10:11: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00929" cy="3855080"/>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1 The methodologies, including the assumptions, for this indicator are shown in detail at: http://www.doingbusiness.org/methodology.       </w:t>
            </w:r>
            <w:r>
              <w:rPr>
                <w:noProof/>
              </w:rPr>
              <w:br/>
              <w:t>2 Average of the answer to question Q7B_a. "[Bank loan]: If you applied and tried to negotiate for this type of financing over the past six months, what was the outcome?". Answers were codified as follows: zero if received everything, one if received most</w:t>
            </w:r>
            <w:r>
              <w:rPr>
                <w:noProof/>
              </w:rPr>
              <w:t xml:space="preserve">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t xml:space="preserve">     </w:t>
            </w:r>
            <w:r>
              <w:rPr>
                <w:noProof/>
              </w:rPr>
              <w:br/>
              <w:t xml:space="preserve">4 Percentage population aged 20-24 having attained at least upper secondary education.      </w:t>
            </w:r>
            <w:r>
              <w:rPr>
                <w:noProof/>
              </w:rPr>
              <w:br/>
              <w:t>5 Index: 0 = not regulated; 6 = most regulated. The methodologies of the OECD product market regulation indicators are shown in detail here: http://www.oecd.</w:t>
            </w:r>
            <w:r>
              <w:rPr>
                <w:noProof/>
              </w:rPr>
              <w:t xml:space="preserve">org/competition/reform/indicatorsofproductmarketregulationhomepage.htm      </w:t>
            </w:r>
            <w:r>
              <w:rPr>
                <w:noProof/>
              </w:rPr>
              <w:br/>
              <w:t xml:space="preserve">6 Aggregate OECD indicators of regulation in energy, transport and communications.      </w:t>
            </w:r>
            <w:r>
              <w:rPr>
                <w:noProof/>
              </w:rPr>
              <w:br/>
            </w:r>
          </w:p>
          <w:p w:rsidR="003240A1" w:rsidRDefault="00EE321D">
            <w:pPr>
              <w:pStyle w:val="TableSource"/>
              <w:rPr>
                <w:noProof/>
              </w:rPr>
            </w:pPr>
            <w:r>
              <w:rPr>
                <w:b/>
                <w:i/>
                <w:noProof/>
              </w:rPr>
              <w:t>Source:</w:t>
            </w:r>
            <w:r>
              <w:rPr>
                <w:noProof/>
              </w:rPr>
              <w:t xml:space="preserve"> "European Commission; World Bank — Doing Business (for enforcing contracts and ti</w:t>
            </w:r>
            <w:r>
              <w:rPr>
                <w:noProof/>
              </w:rPr>
              <w:t xml:space="preserve">me to start a business); OECD (for the product market regulation indicators); SAFE (for outcome of SMEs' applications for bank loans)."      </w:t>
            </w:r>
            <w:r>
              <w:rPr>
                <w:noProof/>
              </w:rPr>
              <w:br/>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3240A1">
        <w:trPr>
          <w:cantSplit/>
          <w:trHeight w:val="20"/>
        </w:trPr>
        <w:tc>
          <w:tcPr>
            <w:tcW w:w="8505" w:type="dxa"/>
            <w:shd w:val="clear" w:color="auto" w:fill="auto"/>
          </w:tcPr>
          <w:p w:rsidR="003240A1" w:rsidRDefault="003240A1">
            <w:pPr>
              <w:pStyle w:val="SlimCell"/>
              <w:keepNext/>
              <w:rPr>
                <w:noProof/>
              </w:rPr>
            </w:pPr>
          </w:p>
        </w:tc>
      </w:tr>
      <w:tr w:rsidR="003240A1">
        <w:trPr>
          <w:cantSplit/>
        </w:trPr>
        <w:tc>
          <w:tcPr>
            <w:tcW w:w="8505" w:type="dxa"/>
            <w:shd w:val="clear" w:color="auto" w:fill="auto"/>
          </w:tcPr>
          <w:p w:rsidR="003240A1" w:rsidRDefault="00EE321D">
            <w:pPr>
              <w:pStyle w:val="TableTitle"/>
              <w:rPr>
                <w:b/>
                <w:noProof/>
              </w:rPr>
            </w:pPr>
            <w:r>
              <w:rPr>
                <w:noProof/>
              </w:rPr>
              <w:t>Table C.5:</w:t>
            </w:r>
            <w:r>
              <w:rPr>
                <w:b/>
                <w:noProof/>
              </w:rPr>
              <w:tab/>
              <w:t>Green growth</w:t>
            </w:r>
          </w:p>
        </w:tc>
      </w:tr>
      <w:tr w:rsidR="003240A1">
        <w:trPr>
          <w:cantSplit/>
        </w:trPr>
        <w:tc>
          <w:tcPr>
            <w:tcW w:w="8505" w:type="dxa"/>
            <w:shd w:val="clear" w:color="auto" w:fill="auto"/>
          </w:tcPr>
          <w:p w:rsidR="003240A1" w:rsidRDefault="00EE321D">
            <w:pPr>
              <w:pStyle w:val="TableShape"/>
              <w:rPr>
                <w:noProof/>
                <w:sz w:val="2"/>
              </w:rPr>
            </w:pPr>
            <w:bookmarkStart w:id="52" w:name="_Toc473809290"/>
            <w:bookmarkEnd w:id="52"/>
            <w:r>
              <w:rPr>
                <w:noProof/>
                <w:lang w:eastAsia="en-GB"/>
              </w:rPr>
              <w:drawing>
                <wp:inline distT="0" distB="0" distL="0" distR="0">
                  <wp:extent cx="4880344" cy="3630079"/>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882231" cy="3631483"/>
                          </a:xfrm>
                          <a:prstGeom prst="rect">
                            <a:avLst/>
                          </a:prstGeom>
                          <a:noFill/>
                          <a:ln>
                            <a:noFill/>
                          </a:ln>
                        </pic:spPr>
                      </pic:pic>
                    </a:graphicData>
                  </a:graphic>
                </wp:inline>
              </w:drawing>
            </w:r>
          </w:p>
        </w:tc>
      </w:tr>
      <w:tr w:rsidR="003240A1">
        <w:trPr>
          <w:cantSplit/>
        </w:trPr>
        <w:tc>
          <w:tcPr>
            <w:tcW w:w="8505" w:type="dxa"/>
            <w:shd w:val="clear" w:color="auto" w:fill="auto"/>
          </w:tcPr>
          <w:p w:rsidR="003240A1" w:rsidRDefault="00EE321D">
            <w:pPr>
              <w:pStyle w:val="TableFootnote"/>
              <w:rPr>
                <w:noProof/>
              </w:rPr>
            </w:pPr>
            <w:r>
              <w:rPr>
                <w:noProof/>
              </w:rPr>
              <w:t xml:space="preserve">All macro intensity indicators are expressed as a ratio of a physical quantity to GDP (in 2005 prices) </w:t>
            </w:r>
            <w:r>
              <w:rPr>
                <w:noProof/>
              </w:rPr>
              <w:br/>
              <w:t xml:space="preserve">          Energy intensity: gross inland energy consumption (in kgoe) divided by GDP (in EUR) </w:t>
            </w:r>
            <w:r>
              <w:rPr>
                <w:noProof/>
              </w:rPr>
              <w:br/>
              <w:t xml:space="preserve">          Carbon intensity: greenhouse gas emissions (in </w:t>
            </w:r>
            <w:r>
              <w:rPr>
                <w:noProof/>
              </w:rPr>
              <w:t xml:space="preserve">kg CO2 equivalents) divided by GDP (in EUR) </w:t>
            </w:r>
            <w:r>
              <w:rPr>
                <w:noProof/>
              </w:rPr>
              <w:br/>
              <w:t xml:space="preserve">          Resource intensity: domestic material consumption (in kg) divided by GDP (in EUR) </w:t>
            </w:r>
            <w:r>
              <w:rPr>
                <w:noProof/>
              </w:rPr>
              <w:br/>
              <w:t xml:space="preserve">          Waste intensity: waste (in kg) divided by GDP (in EUR) </w:t>
            </w:r>
            <w:r>
              <w:rPr>
                <w:noProof/>
              </w:rPr>
              <w:br/>
              <w:t>Energy balance of trade: the balance of energy expor</w:t>
            </w:r>
            <w:r>
              <w:rPr>
                <w:noProof/>
              </w:rPr>
              <w:t xml:space="preserve">ts and imports, expressed as % of GDP   </w:t>
            </w:r>
            <w:r>
              <w:rPr>
                <w:noProof/>
              </w:rPr>
              <w:br/>
              <w:t xml:space="preserve">Weighting of energy in HICP: the proportion of "energy" items in the consumption basket used for the construction of the HICP </w:t>
            </w:r>
            <w:r>
              <w:rPr>
                <w:noProof/>
              </w:rPr>
              <w:br/>
              <w:t>Difference between energy price change and inflation: energy component of HICP, and tota</w:t>
            </w:r>
            <w:r>
              <w:rPr>
                <w:noProof/>
              </w:rPr>
              <w:t xml:space="preserve">l HICP inflation (annual % change) </w:t>
            </w:r>
            <w:r>
              <w:rPr>
                <w:noProof/>
              </w:rPr>
              <w:br/>
              <w:t xml:space="preserve">Real unit energy cost: real energy costs as a percentage of total value added for the economy </w:t>
            </w:r>
            <w:r>
              <w:rPr>
                <w:noProof/>
              </w:rPr>
              <w:br/>
              <w:t xml:space="preserve">Environmental taxes over labour taxes and GDP: from European Commission's database, ‘Taxation trends in the European Union’ </w:t>
            </w:r>
            <w:r>
              <w:rPr>
                <w:noProof/>
              </w:rPr>
              <w:br/>
            </w:r>
            <w:r>
              <w:rPr>
                <w:noProof/>
              </w:rPr>
              <w:t xml:space="preserve">Industry energy intensity: final energy consumption of industry (in kgoe) divided by gross value added of industry (in 2005 EUR)  </w:t>
            </w:r>
            <w:r>
              <w:rPr>
                <w:noProof/>
              </w:rPr>
              <w:br/>
              <w:t>Real unit energy costs for manufacturing industry excluding refining : real costs as a percentage of value added for  manufac</w:t>
            </w:r>
            <w:r>
              <w:rPr>
                <w:noProof/>
              </w:rPr>
              <w:t xml:space="preserve">turing sectors </w:t>
            </w:r>
            <w:r>
              <w:rPr>
                <w:noProof/>
              </w:rPr>
              <w:br/>
              <w:t xml:space="preserve">Share of energy-intensive industries in the economy: share of gross value added of the energy-intensive industries in GDP </w:t>
            </w:r>
            <w:r>
              <w:rPr>
                <w:noProof/>
              </w:rPr>
              <w:br/>
              <w:t>Electricity and gas prices for medium-sized industrial users: consumption band 500–20 00MWh and 10 000–100 000 GJ; fi</w:t>
            </w:r>
            <w:r>
              <w:rPr>
                <w:noProof/>
              </w:rPr>
              <w:t xml:space="preserve">gures excl. VAT.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(GBAORD) for these categories as % of GDP </w:t>
            </w:r>
            <w:r>
              <w:rPr>
                <w:noProof/>
              </w:rPr>
              <w:br/>
              <w:t>Proportion of</w:t>
            </w:r>
            <w:r>
              <w:rPr>
                <w:noProof/>
              </w:rPr>
              <w:t xml:space="preserve"> greenhouse gas (GHG) emissions covered by EU Emission Trading System (ETS) (excluding aviation): based on greenhouse gas emissions </w:t>
            </w:r>
            <w:r>
              <w:rPr>
                <w:noProof/>
              </w:rPr>
              <w:br/>
              <w:t xml:space="preserve">(excl. land use, land use change and forestry) as reported by Member States to the European Environment Agency  </w:t>
            </w:r>
            <w:r>
              <w:rPr>
                <w:noProof/>
              </w:rPr>
              <w:br/>
              <w:t xml:space="preserve">Transport </w:t>
            </w:r>
            <w:r>
              <w:rPr>
                <w:noProof/>
              </w:rPr>
              <w:t xml:space="preserve">energy intensity: final energy consumption of transport activity (kgoe) divided by transport industry gross value added (in 2005 EUR) </w:t>
            </w:r>
            <w:r>
              <w:rPr>
                <w:noProof/>
              </w:rPr>
              <w:br/>
              <w:t xml:space="preserve">Transport carbon intensity: greenhouse gas emissions in transport activity divided by gross value added of the transport </w:t>
            </w:r>
            <w:r>
              <w:rPr>
                <w:noProof/>
              </w:rPr>
              <w:t xml:space="preserve">sector </w:t>
            </w:r>
            <w:r>
              <w:rPr>
                <w:noProof/>
              </w:rPr>
              <w:br/>
              <w:t xml:space="preserve">Energy import dependency: net energy imports divided by gross inland energy consumption incl. consumption of international bunker fuels </w:t>
            </w:r>
            <w:r>
              <w:rPr>
                <w:noProof/>
              </w:rPr>
              <w:br/>
              <w:t>Aggregated supplier concentration index:  covers oil, gas and coal. Smaller values indicate larger diversificat</w:t>
            </w:r>
            <w:r>
              <w:rPr>
                <w:noProof/>
              </w:rPr>
              <w:t xml:space="preserve">ion and hence lower risk. </w:t>
            </w:r>
            <w:r>
              <w:rPr>
                <w:noProof/>
              </w:rPr>
              <w:br/>
              <w:t xml:space="preserve">Diversification of the energy mix: Herfindahl index over natural gas, total petrol products, nuclear heat, renewable energies and solid fuels </w:t>
            </w:r>
            <w:r>
              <w:rPr>
                <w:noProof/>
              </w:rPr>
              <w:br/>
              <w:t xml:space="preserve">* European Commission and European Environment Agency </w:t>
            </w:r>
            <w:r>
              <w:rPr>
                <w:noProof/>
              </w:rPr>
              <w:br/>
            </w:r>
          </w:p>
          <w:p w:rsidR="003240A1" w:rsidRDefault="00EE321D">
            <w:pPr>
              <w:pStyle w:val="TableSource"/>
              <w:rPr>
                <w:noProof/>
              </w:rPr>
            </w:pPr>
            <w:r>
              <w:rPr>
                <w:b/>
                <w:i/>
                <w:noProof/>
              </w:rPr>
              <w:t>Source:</w:t>
            </w:r>
            <w:r>
              <w:rPr>
                <w:noProof/>
              </w:rPr>
              <w:t xml:space="preserve"> European Commission (E</w:t>
            </w:r>
            <w:r>
              <w:rPr>
                <w:noProof/>
              </w:rPr>
              <w:t>urostat) unless indicated otherwise</w:t>
            </w:r>
            <w:r>
              <w:rPr>
                <w:noProof/>
              </w:rPr>
              <w:br/>
            </w:r>
          </w:p>
        </w:tc>
      </w:tr>
      <w:tr w:rsidR="003240A1">
        <w:trPr>
          <w:cantSplit/>
          <w:trHeight w:val="20"/>
        </w:trPr>
        <w:tc>
          <w:tcPr>
            <w:tcW w:w="8505" w:type="dxa"/>
            <w:shd w:val="clear" w:color="auto" w:fill="auto"/>
          </w:tcPr>
          <w:p w:rsidR="003240A1" w:rsidRDefault="003240A1">
            <w:pPr>
              <w:pStyle w:val="SlimCell"/>
              <w:rPr>
                <w:noProof/>
              </w:rPr>
            </w:pPr>
          </w:p>
        </w:tc>
      </w:tr>
    </w:tbl>
    <w:p w:rsidR="003240A1" w:rsidRDefault="003240A1">
      <w:pPr>
        <w:rPr>
          <w:noProof/>
        </w:rPr>
        <w:sectPr w:rsidR="003240A1">
          <w:headerReference w:type="even" r:id="rId126"/>
          <w:headerReference w:type="default" r:id="rId127"/>
          <w:footerReference w:type="even" r:id="rId128"/>
          <w:footerReference w:type="default" r:id="rId129"/>
          <w:headerReference w:type="first" r:id="rId130"/>
          <w:footerReference w:type="first" r:id="rId13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3240A1" w:rsidRDefault="00EE321D">
      <w:pPr>
        <w:pStyle w:val="SectionTitleFramed10"/>
        <w:framePr w:wrap="notBeside"/>
        <w:rPr>
          <w:noProof/>
        </w:rPr>
      </w:pPr>
      <w:bookmarkStart w:id="53" w:name="_Toc473809281"/>
      <w:bookmarkEnd w:id="53"/>
      <w:r>
        <w:rPr>
          <w:noProof/>
        </w:rPr>
        <w:t>References</w:t>
      </w:r>
    </w:p>
    <w:p w:rsidR="003240A1" w:rsidRDefault="00EE321D">
      <w:pPr>
        <w:rPr>
          <w:noProof/>
        </w:rPr>
      </w:pPr>
      <w:r>
        <w:rPr>
          <w:noProof/>
        </w:rPr>
        <w:t xml:space="preserve">ANED – The Academic Network of European Disability Experts (2016a), </w:t>
      </w:r>
      <w:r>
        <w:rPr>
          <w:i/>
          <w:noProof/>
        </w:rPr>
        <w:t>European Semester 2015/2016 country fiche on disability, Lithuania</w:t>
      </w:r>
      <w:r>
        <w:rPr>
          <w:noProof/>
        </w:rPr>
        <w:t>, p.28.</w:t>
      </w:r>
    </w:p>
    <w:p w:rsidR="003240A1" w:rsidRDefault="00EE321D">
      <w:pPr>
        <w:rPr>
          <w:noProof/>
        </w:rPr>
      </w:pPr>
      <w:r>
        <w:rPr>
          <w:noProof/>
        </w:rPr>
        <w:t xml:space="preserve">ANED – The Academic Network of European Disability Experts (2016b), </w:t>
      </w:r>
      <w:r>
        <w:rPr>
          <w:i/>
          <w:noProof/>
        </w:rPr>
        <w:t>European Semester 2015/2016 country fiche on disability, Lithuania</w:t>
      </w:r>
      <w:r>
        <w:rPr>
          <w:noProof/>
        </w:rPr>
        <w:t>, pp. 30-32.</w:t>
      </w:r>
    </w:p>
    <w:p w:rsidR="003240A1" w:rsidRDefault="00EE321D">
      <w:pPr>
        <w:rPr>
          <w:noProof/>
        </w:rPr>
      </w:pPr>
      <w:r>
        <w:rPr>
          <w:noProof/>
        </w:rPr>
        <w:t>CASE – Centre for Social and Econom</w:t>
      </w:r>
      <w:r>
        <w:rPr>
          <w:noProof/>
        </w:rPr>
        <w:t xml:space="preserve">ic Research (2016), </w:t>
      </w:r>
      <w:r>
        <w:rPr>
          <w:i/>
          <w:noProof/>
        </w:rPr>
        <w:t xml:space="preserve">Study and Reports on the VAT Gap in the EU-28 Member States: 2016 Final Report, </w:t>
      </w:r>
      <w:r>
        <w:rPr>
          <w:noProof/>
        </w:rPr>
        <w:t>TAXUD/2015/CC/131, Warsaw.</w:t>
      </w:r>
    </w:p>
    <w:p w:rsidR="003240A1" w:rsidRDefault="00EE321D">
      <w:pPr>
        <w:rPr>
          <w:noProof/>
        </w:rPr>
      </w:pPr>
      <w:r>
        <w:rPr>
          <w:noProof/>
        </w:rPr>
        <w:t xml:space="preserve">European Commission (2014a), </w:t>
      </w:r>
      <w:r>
        <w:rPr>
          <w:i/>
          <w:noProof/>
        </w:rPr>
        <w:t>Taxation trends in the European Union, Data for the EU Member States, Iceland and Norway</w:t>
      </w:r>
      <w:r>
        <w:rPr>
          <w:noProof/>
        </w:rPr>
        <w:t>, Publicatio</w:t>
      </w:r>
      <w:r>
        <w:rPr>
          <w:noProof/>
        </w:rPr>
        <w:t>ns Office of the European Union, Luxembourg. Retrieved from http://ec.europa.eu/taxation_customs/sites/taxation/files/resources/documents/taxation/gen_info/economic_analysis/tax_structures/2014/report.pdf</w:t>
      </w:r>
    </w:p>
    <w:p w:rsidR="003240A1" w:rsidRDefault="00EE321D">
      <w:pPr>
        <w:rPr>
          <w:noProof/>
        </w:rPr>
      </w:pPr>
      <w:r>
        <w:rPr>
          <w:noProof/>
        </w:rPr>
        <w:t xml:space="preserve">European Commission (2014b), </w:t>
      </w:r>
      <w:r>
        <w:rPr>
          <w:i/>
          <w:noProof/>
        </w:rPr>
        <w:t>Tax Reforms in EU Memb</w:t>
      </w:r>
      <w:r>
        <w:rPr>
          <w:i/>
          <w:noProof/>
        </w:rPr>
        <w:t>er States, Tax policy challenges for economic growth and fiscal sustainability, European Economy 6/2014</w:t>
      </w:r>
      <w:r>
        <w:rPr>
          <w:noProof/>
        </w:rPr>
        <w:t>, Publications Office of the European Union, Luxembourg. Retrieved from http://ec.europa.eu/economy_finance/publications/european_economy/2014/pdf/ee6_en</w:t>
      </w:r>
      <w:r>
        <w:rPr>
          <w:noProof/>
        </w:rPr>
        <w:t>.pdf</w:t>
      </w:r>
    </w:p>
    <w:p w:rsidR="003240A1" w:rsidRDefault="00EE321D">
      <w:pPr>
        <w:rPr>
          <w:noProof/>
        </w:rPr>
      </w:pPr>
      <w:r>
        <w:rPr>
          <w:noProof/>
        </w:rPr>
        <w:t xml:space="preserve">European Commission (2014c), </w:t>
      </w:r>
      <w:r>
        <w:rPr>
          <w:i/>
          <w:noProof/>
        </w:rPr>
        <w:t>ECFIN Country Focus</w:t>
      </w:r>
      <w:r>
        <w:rPr>
          <w:noProof/>
        </w:rPr>
        <w:t>, Volume 12</w:t>
      </w:r>
      <w:r>
        <w:rPr>
          <w:b/>
          <w:noProof/>
        </w:rPr>
        <w:t xml:space="preserve">, </w:t>
      </w:r>
      <w:r>
        <w:rPr>
          <w:noProof/>
        </w:rPr>
        <w:t>Issue 11, November 2014. Retrieved from http://ec.europa.eu/economy_finance/publications/country_focus/2014/pdf/cf_vol11_issue11_en.pdf</w:t>
      </w:r>
    </w:p>
    <w:p w:rsidR="003240A1" w:rsidRDefault="00EE321D">
      <w:pPr>
        <w:rPr>
          <w:noProof/>
        </w:rPr>
      </w:pPr>
      <w:r>
        <w:rPr>
          <w:noProof/>
        </w:rPr>
        <w:t xml:space="preserve">European Commission (2015a), </w:t>
      </w:r>
      <w:r>
        <w:rPr>
          <w:i/>
          <w:noProof/>
        </w:rPr>
        <w:t>Challenges to Member Stat</w:t>
      </w:r>
      <w:r>
        <w:rPr>
          <w:i/>
          <w:noProof/>
        </w:rPr>
        <w:t>es’ Investment Environments</w:t>
      </w:r>
      <w:r>
        <w:rPr>
          <w:noProof/>
        </w:rPr>
        <w:t xml:space="preserve">, SWD(2015) 400 final. Retrieved from </w:t>
      </w:r>
      <w:hyperlink r:id="rId132" w:history="1">
        <w:r>
          <w:rPr>
            <w:noProof/>
            <w:color w:val="0000FF" w:themeColor="hyperlink"/>
            <w:u w:val="single"/>
          </w:rPr>
          <w:t>http://ec.europa.eu/europe2020/challenges-to-member-states-investment-environme</w:t>
        </w:r>
        <w:r>
          <w:rPr>
            <w:noProof/>
            <w:color w:val="0000FF" w:themeColor="hyperlink"/>
            <w:u w:val="single"/>
          </w:rPr>
          <w:t>nts/index_en.htm</w:t>
        </w:r>
      </w:hyperlink>
      <w:r>
        <w:rPr>
          <w:noProof/>
        </w:rPr>
        <w:t xml:space="preserve"> and </w:t>
      </w:r>
      <w:hyperlink r:id="rId133" w:history="1">
        <w:r>
          <w:rPr>
            <w:noProof/>
            <w:color w:val="0000FF" w:themeColor="hyperlink"/>
            <w:u w:val="single"/>
          </w:rPr>
          <w:t>http://ec.europa.eu/europe2020/pdf/csr2016/cr2016_lithuania_en.pdf</w:t>
        </w:r>
      </w:hyperlink>
    </w:p>
    <w:p w:rsidR="003240A1" w:rsidRDefault="00EE321D">
      <w:pPr>
        <w:rPr>
          <w:noProof/>
        </w:rPr>
      </w:pPr>
      <w:r>
        <w:rPr>
          <w:noProof/>
        </w:rPr>
        <w:t xml:space="preserve">European Commission (2015b), </w:t>
      </w:r>
      <w:r>
        <w:rPr>
          <w:i/>
          <w:noProof/>
        </w:rPr>
        <w:t>Antitrust: Commission sends statement of objections to t</w:t>
      </w:r>
      <w:r>
        <w:rPr>
          <w:i/>
          <w:noProof/>
        </w:rPr>
        <w:t>he Lithuanian railway incumbent AB Lietuvos geležinkeliai, Press release</w:t>
      </w:r>
      <w:r>
        <w:rPr>
          <w:noProof/>
        </w:rPr>
        <w:t xml:space="preserve">, Brussels, January 2015. Retrieved from </w:t>
      </w:r>
      <w:hyperlink r:id="rId134" w:history="1">
        <w:r>
          <w:rPr>
            <w:noProof/>
            <w:color w:val="0000FF" w:themeColor="hyperlink"/>
            <w:u w:val="single"/>
          </w:rPr>
          <w:t>http://europa.eu/rapid/press-release_IP-15-2940_en.htm</w:t>
        </w:r>
      </w:hyperlink>
    </w:p>
    <w:p w:rsidR="003240A1" w:rsidRDefault="00EE321D">
      <w:pPr>
        <w:rPr>
          <w:noProof/>
        </w:rPr>
      </w:pPr>
      <w:r>
        <w:rPr>
          <w:noProof/>
        </w:rPr>
        <w:t xml:space="preserve">European Commission (2015b), </w:t>
      </w:r>
      <w:r>
        <w:rPr>
          <w:i/>
          <w:noProof/>
        </w:rPr>
        <w:t>The Single Market Scoreboard, Public Procurement in Lithuania</w:t>
      </w:r>
      <w:r>
        <w:rPr>
          <w:noProof/>
        </w:rPr>
        <w:t>, 2015. Retrieved http://ec.europa.eu/internal_market/scoreboard/performance_by_member_state/lithuania/index_en.htm#maincontentSec9</w:t>
      </w:r>
    </w:p>
    <w:p w:rsidR="003240A1" w:rsidRDefault="00EE321D">
      <w:pPr>
        <w:rPr>
          <w:noProof/>
        </w:rPr>
      </w:pPr>
      <w:r>
        <w:rPr>
          <w:noProof/>
        </w:rPr>
        <w:t xml:space="preserve">European Commission (2016a), </w:t>
      </w:r>
      <w:r>
        <w:rPr>
          <w:i/>
          <w:noProof/>
        </w:rPr>
        <w:t>Europ</w:t>
      </w:r>
      <w:r>
        <w:rPr>
          <w:i/>
          <w:noProof/>
        </w:rPr>
        <w:t>ean Innovation Scoreboard 2016</w:t>
      </w:r>
      <w:r>
        <w:rPr>
          <w:noProof/>
        </w:rPr>
        <w:t xml:space="preserve">. Retrieved from </w:t>
      </w:r>
      <w:hyperlink r:id="rId135" w:history="1">
        <w:r>
          <w:rPr>
            <w:noProof/>
            <w:color w:val="0000FF" w:themeColor="hyperlink"/>
            <w:u w:val="single"/>
          </w:rPr>
          <w:t>http://ec.europa.eu/DocsRoom/documents/17822</w:t>
        </w:r>
      </w:hyperlink>
    </w:p>
    <w:p w:rsidR="003240A1" w:rsidRDefault="00EE321D">
      <w:pPr>
        <w:rPr>
          <w:noProof/>
        </w:rPr>
      </w:pPr>
      <w:r>
        <w:rPr>
          <w:noProof/>
        </w:rPr>
        <w:t xml:space="preserve">European Commission (2016b), </w:t>
      </w:r>
      <w:r>
        <w:rPr>
          <w:i/>
          <w:noProof/>
        </w:rPr>
        <w:t>Digital Scoreboard</w:t>
      </w:r>
      <w:r>
        <w:rPr>
          <w:noProof/>
        </w:rPr>
        <w:t>. Retrieved from https://ec.europa.eu/digital-single-mar</w:t>
      </w:r>
      <w:r>
        <w:rPr>
          <w:noProof/>
        </w:rPr>
        <w:t>ket/en/digital-scoreboard</w:t>
      </w:r>
    </w:p>
    <w:p w:rsidR="003240A1" w:rsidRDefault="00EE321D">
      <w:pPr>
        <w:rPr>
          <w:noProof/>
        </w:rPr>
      </w:pPr>
      <w:r>
        <w:rPr>
          <w:noProof/>
        </w:rPr>
        <w:t xml:space="preserve">European Commission (2016c), </w:t>
      </w:r>
      <w:r>
        <w:rPr>
          <w:i/>
          <w:noProof/>
        </w:rPr>
        <w:t>Education and Training Monitor 2016</w:t>
      </w:r>
      <w:r>
        <w:rPr>
          <w:noProof/>
        </w:rPr>
        <w:t>.</w:t>
      </w:r>
    </w:p>
    <w:p w:rsidR="003240A1" w:rsidRDefault="00EE321D">
      <w:pPr>
        <w:rPr>
          <w:noProof/>
        </w:rPr>
      </w:pPr>
      <w:r>
        <w:rPr>
          <w:noProof/>
        </w:rPr>
        <w:t xml:space="preserve">European Commission (2016d), </w:t>
      </w:r>
      <w:r>
        <w:rPr>
          <w:i/>
          <w:noProof/>
        </w:rPr>
        <w:t>Country Report Lithuania 2016,</w:t>
      </w:r>
      <w:r>
        <w:rPr>
          <w:noProof/>
        </w:rPr>
        <w:t xml:space="preserve"> SWD(2016) 83 final, February 2016, Brussels. Retrieved from http://ec.europa.eu/europe2020/pdf/csr2016/cr2016_lithuania_en.pdf</w:t>
      </w:r>
    </w:p>
    <w:p w:rsidR="003240A1" w:rsidRDefault="00EE321D">
      <w:pPr>
        <w:rPr>
          <w:noProof/>
        </w:rPr>
      </w:pPr>
      <w:r>
        <w:rPr>
          <w:noProof/>
        </w:rPr>
        <w:t xml:space="preserve">European Commission (2016e), </w:t>
      </w:r>
      <w:r>
        <w:rPr>
          <w:i/>
          <w:noProof/>
        </w:rPr>
        <w:t>PISA 2015: EU performance and initial conclusions regarding education policies in Europe</w:t>
      </w:r>
      <w:r>
        <w:rPr>
          <w:noProof/>
        </w:rPr>
        <w:t xml:space="preserve">. </w:t>
      </w:r>
    </w:p>
    <w:p w:rsidR="003240A1" w:rsidRDefault="00EE321D">
      <w:pPr>
        <w:rPr>
          <w:noProof/>
        </w:rPr>
      </w:pPr>
      <w:r>
        <w:rPr>
          <w:noProof/>
        </w:rPr>
        <w:t>European</w:t>
      </w:r>
      <w:r>
        <w:rPr>
          <w:noProof/>
        </w:rPr>
        <w:t xml:space="preserve"> Commission (2016f), </w:t>
      </w:r>
      <w:r>
        <w:rPr>
          <w:i/>
          <w:noProof/>
        </w:rPr>
        <w:t>Digital Economy and Society Index 2016</w:t>
      </w:r>
      <w:r>
        <w:rPr>
          <w:noProof/>
        </w:rPr>
        <w:t xml:space="preserve">. Retrieved from </w:t>
      </w:r>
      <w:hyperlink r:id="rId136" w:history="1">
        <w:r>
          <w:rPr>
            <w:noProof/>
            <w:color w:val="0000FF" w:themeColor="hyperlink"/>
            <w:u w:val="single"/>
          </w:rPr>
          <w:t>https://ec.europa.eu/digital-single-market/en/desi</w:t>
        </w:r>
      </w:hyperlink>
    </w:p>
    <w:p w:rsidR="003240A1" w:rsidRDefault="00EE321D">
      <w:pPr>
        <w:rPr>
          <w:noProof/>
        </w:rPr>
      </w:pPr>
      <w:r>
        <w:rPr>
          <w:noProof/>
        </w:rPr>
        <w:t xml:space="preserve">European Commission (2016g), </w:t>
      </w:r>
      <w:r>
        <w:rPr>
          <w:i/>
          <w:noProof/>
        </w:rPr>
        <w:t>Statistical pocketbook 2016, EU T</w:t>
      </w:r>
      <w:r>
        <w:rPr>
          <w:i/>
          <w:noProof/>
        </w:rPr>
        <w:t>ransport in figures</w:t>
      </w:r>
      <w:r>
        <w:rPr>
          <w:noProof/>
        </w:rPr>
        <w:t xml:space="preserve">, Publications Office of the European Union, Luxembourg. Retrieved from </w:t>
      </w:r>
      <w:hyperlink r:id="rId137" w:history="1">
        <w:r>
          <w:rPr>
            <w:noProof/>
            <w:color w:val="0000FF" w:themeColor="hyperlink"/>
            <w:u w:val="single"/>
          </w:rPr>
          <w:t>https://ec.europa.eu/transport/facts-fundings/statistics/pocketbook-2016_</w:t>
        </w:r>
        <w:r>
          <w:rPr>
            <w:noProof/>
            <w:color w:val="0000FF" w:themeColor="hyperlink"/>
            <w:u w:val="single"/>
          </w:rPr>
          <w:t>en</w:t>
        </w:r>
      </w:hyperlink>
    </w:p>
    <w:p w:rsidR="003240A1" w:rsidRDefault="00EE321D">
      <w:pPr>
        <w:rPr>
          <w:noProof/>
        </w:rPr>
      </w:pPr>
      <w:r>
        <w:rPr>
          <w:noProof/>
        </w:rPr>
        <w:t xml:space="preserve">European Commission (2016h), </w:t>
      </w:r>
      <w:r>
        <w:rPr>
          <w:i/>
          <w:noProof/>
        </w:rPr>
        <w:t>Road Safety 2015</w:t>
      </w:r>
      <w:r>
        <w:rPr>
          <w:noProof/>
        </w:rPr>
        <w:t xml:space="preserve">. Retrieved from </w:t>
      </w:r>
      <w:hyperlink r:id="rId138" w:history="1">
        <w:r>
          <w:rPr>
            <w:noProof/>
            <w:color w:val="0000FF" w:themeColor="hyperlink"/>
            <w:u w:val="single"/>
          </w:rPr>
          <w:t>https://ec.europa.eu/transport/road_safety/sites/roadsafety/files/roadsafety_s</w:t>
        </w:r>
        <w:r>
          <w:rPr>
            <w:noProof/>
            <w:color w:val="0000FF" w:themeColor="hyperlink"/>
            <w:u w:val="single"/>
          </w:rPr>
          <w:t>coreboard_2015.pdf</w:t>
        </w:r>
      </w:hyperlink>
    </w:p>
    <w:p w:rsidR="003240A1" w:rsidRDefault="00EE321D">
      <w:pPr>
        <w:rPr>
          <w:noProof/>
        </w:rPr>
      </w:pPr>
      <w:r>
        <w:rPr>
          <w:noProof/>
        </w:rPr>
        <w:t xml:space="preserve">European Commission (2016i), </w:t>
      </w:r>
      <w:r>
        <w:rPr>
          <w:i/>
          <w:noProof/>
        </w:rPr>
        <w:t>EU eGovernment Report 2016</w:t>
      </w:r>
      <w:r>
        <w:rPr>
          <w:noProof/>
        </w:rPr>
        <w:t xml:space="preserve">. Retrieved from </w:t>
      </w:r>
      <w:hyperlink r:id="rId139" w:history="1">
        <w:r>
          <w:rPr>
            <w:rStyle w:val="Hyperlink"/>
            <w:noProof/>
          </w:rPr>
          <w:t>http://ec.europa.eu/newsroom/dae/document.cfm?action=display&amp;doc_id=17855</w:t>
        </w:r>
      </w:hyperlink>
      <w:r>
        <w:rPr>
          <w:noProof/>
        </w:rPr>
        <w:t xml:space="preserve"> </w:t>
      </w:r>
    </w:p>
    <w:p w:rsidR="003240A1" w:rsidRDefault="00EE321D">
      <w:pPr>
        <w:rPr>
          <w:noProof/>
        </w:rPr>
      </w:pPr>
      <w:r>
        <w:rPr>
          <w:noProof/>
        </w:rPr>
        <w:t xml:space="preserve">European Commission (2016j), </w:t>
      </w:r>
      <w:r>
        <w:rPr>
          <w:i/>
          <w:noProof/>
        </w:rPr>
        <w:t>Collection of official data on corruption offences</w:t>
      </w:r>
      <w:r>
        <w:rPr>
          <w:noProof/>
        </w:rPr>
        <w:t xml:space="preserve"> </w:t>
      </w:r>
      <w:hyperlink r:id="rId140" w:history="1">
        <w:r>
          <w:rPr>
            <w:noProof/>
            <w:color w:val="0000FF" w:themeColor="hyperlink"/>
            <w:u w:val="single"/>
          </w:rPr>
          <w:t>http://ec.europa.eu/transparency/regexpert/index.cfm?do=groupDe</w:t>
        </w:r>
        <w:r>
          <w:rPr>
            <w:noProof/>
            <w:color w:val="0000FF" w:themeColor="hyperlink"/>
            <w:u w:val="single"/>
          </w:rPr>
          <w:t>tail.groupDetailDoc&amp;id=21215&amp;no=2</w:t>
        </w:r>
      </w:hyperlink>
    </w:p>
    <w:p w:rsidR="003240A1" w:rsidRDefault="00EE321D">
      <w:pPr>
        <w:rPr>
          <w:noProof/>
        </w:rPr>
      </w:pPr>
      <w:r>
        <w:rPr>
          <w:noProof/>
        </w:rPr>
        <w:t xml:space="preserve">European Commission (2017a), </w:t>
      </w:r>
      <w:r>
        <w:rPr>
          <w:i/>
          <w:noProof/>
        </w:rPr>
        <w:t>Corruption in the Healthcare Sector</w:t>
      </w:r>
      <w:r>
        <w:rPr>
          <w:noProof/>
        </w:rPr>
        <w:t>, Publications Office of the European Union, Luxembourg (forthcoming).</w:t>
      </w:r>
    </w:p>
    <w:p w:rsidR="003240A1" w:rsidRDefault="00EE321D">
      <w:pPr>
        <w:rPr>
          <w:noProof/>
        </w:rPr>
      </w:pPr>
      <w:r>
        <w:rPr>
          <w:noProof/>
        </w:rPr>
        <w:t>European Commission (2017b), Digital Scoreboard 2017 (forthcoming).</w:t>
      </w:r>
    </w:p>
    <w:p w:rsidR="003240A1" w:rsidRDefault="00EE321D">
      <w:pPr>
        <w:rPr>
          <w:noProof/>
        </w:rPr>
      </w:pPr>
      <w:r>
        <w:rPr>
          <w:noProof/>
        </w:rPr>
        <w:t>European Commission</w:t>
      </w:r>
      <w:r>
        <w:rPr>
          <w:noProof/>
        </w:rPr>
        <w:t xml:space="preserve">/EACEA/Eurydice (2016), </w:t>
      </w:r>
      <w:r>
        <w:rPr>
          <w:i/>
          <w:noProof/>
        </w:rPr>
        <w:t>Teachers' and School Heads' Salaries and Allowances in Europe – 2015/16, Eurydice Facts and Figures,</w:t>
      </w:r>
      <w:r>
        <w:rPr>
          <w:noProof/>
        </w:rPr>
        <w:t xml:space="preserve"> Publications Office of the European Union, Luxembourg.</w:t>
      </w:r>
    </w:p>
    <w:p w:rsidR="003240A1" w:rsidRDefault="00EE321D">
      <w:pPr>
        <w:rPr>
          <w:noProof/>
        </w:rPr>
      </w:pPr>
      <w:r>
        <w:rPr>
          <w:noProof/>
        </w:rPr>
        <w:t xml:space="preserve">European Commission/European Central Bank (2016), </w:t>
      </w:r>
      <w:r>
        <w:rPr>
          <w:i/>
          <w:noProof/>
        </w:rPr>
        <w:t>Survey on the Access to Fi</w:t>
      </w:r>
      <w:r>
        <w:rPr>
          <w:i/>
          <w:noProof/>
        </w:rPr>
        <w:t>nance of Enterprises (SAFE), Results 2016</w:t>
      </w:r>
      <w:r>
        <w:rPr>
          <w:noProof/>
        </w:rPr>
        <w:t xml:space="preserve">. Retrieved from </w:t>
      </w:r>
      <w:hyperlink r:id="rId141" w:history="1">
        <w:r>
          <w:rPr>
            <w:noProof/>
            <w:color w:val="0000FF" w:themeColor="hyperlink"/>
            <w:u w:val="single"/>
          </w:rPr>
          <w:t>http://ec.europa.eu/growth/access-to-finance/data-surveys/</w:t>
        </w:r>
      </w:hyperlink>
    </w:p>
    <w:p w:rsidR="003240A1" w:rsidRDefault="00EE321D">
      <w:pPr>
        <w:rPr>
          <w:noProof/>
        </w:rPr>
      </w:pPr>
      <w:r>
        <w:rPr>
          <w:noProof/>
        </w:rPr>
        <w:t xml:space="preserve">European Environment Agency (2014), </w:t>
      </w:r>
      <w:r>
        <w:rPr>
          <w:i/>
          <w:noProof/>
        </w:rPr>
        <w:t xml:space="preserve">Monitoring of CO2 emissions </w:t>
      </w:r>
      <w:r>
        <w:rPr>
          <w:i/>
          <w:noProof/>
        </w:rPr>
        <w:t>from passenger cars - Data 2014 - Provisional data</w:t>
      </w:r>
      <w:r>
        <w:rPr>
          <w:noProof/>
        </w:rPr>
        <w:t xml:space="preserve">. Retrieved from </w:t>
      </w:r>
      <w:hyperlink r:id="rId142" w:history="1">
        <w:r>
          <w:rPr>
            <w:noProof/>
            <w:color w:val="0000FF" w:themeColor="hyperlink"/>
            <w:u w:val="single"/>
          </w:rPr>
          <w:t>http://www.eea.europa.eu/data-and-maps/data/co2-cars-emission-8</w:t>
        </w:r>
      </w:hyperlink>
    </w:p>
    <w:p w:rsidR="003240A1" w:rsidRDefault="00EE321D">
      <w:pPr>
        <w:rPr>
          <w:noProof/>
        </w:rPr>
      </w:pPr>
      <w:r>
        <w:rPr>
          <w:noProof/>
        </w:rPr>
        <w:t xml:space="preserve">European Union Open Data Portal (2015), </w:t>
      </w:r>
      <w:r>
        <w:rPr>
          <w:i/>
          <w:noProof/>
        </w:rPr>
        <w:t>Flash</w:t>
      </w:r>
      <w:r>
        <w:rPr>
          <w:i/>
          <w:noProof/>
        </w:rPr>
        <w:t xml:space="preserve"> Eurobarometer 428: Businesses’ attitudes towards corruption in the EU</w:t>
      </w:r>
      <w:r>
        <w:rPr>
          <w:noProof/>
        </w:rPr>
        <w:t>. Retrieved from https://data.europa.eu/euodp/en/data/dataset/S2084_428_ENG</w:t>
      </w:r>
    </w:p>
    <w:p w:rsidR="003240A1" w:rsidRDefault="00EE321D">
      <w:pPr>
        <w:rPr>
          <w:noProof/>
        </w:rPr>
      </w:pPr>
      <w:r>
        <w:rPr>
          <w:noProof/>
        </w:rPr>
        <w:t xml:space="preserve">Eurostat (2014), </w:t>
      </w:r>
      <w:r>
        <w:rPr>
          <w:i/>
          <w:noProof/>
        </w:rPr>
        <w:t>Implicit tax rate on energy (tsdcc360)</w:t>
      </w:r>
      <w:r>
        <w:rPr>
          <w:noProof/>
        </w:rPr>
        <w:t>. Retrieved from http://ec.europa.eu/eurostat/web/produ</w:t>
      </w:r>
      <w:r>
        <w:rPr>
          <w:noProof/>
        </w:rPr>
        <w:t>cts-datasets/-/tsdcc360</w:t>
      </w:r>
    </w:p>
    <w:p w:rsidR="003240A1" w:rsidRDefault="00EE321D">
      <w:pPr>
        <w:rPr>
          <w:noProof/>
        </w:rPr>
      </w:pPr>
      <w:r>
        <w:rPr>
          <w:noProof/>
        </w:rPr>
        <w:t>Eurydice (2016), Teachers' and School Heads' Salaries and Allowances in Europe, 2015/16.</w:t>
      </w:r>
    </w:p>
    <w:p w:rsidR="003240A1" w:rsidRDefault="00EE321D">
      <w:pPr>
        <w:rPr>
          <w:noProof/>
        </w:rPr>
      </w:pPr>
      <w:r>
        <w:rPr>
          <w:noProof/>
        </w:rPr>
        <w:t>Government of the Republic of Lithuania (2014), Resolution on the approval of the programme on the Development of the Information Society for 2</w:t>
      </w:r>
      <w:r>
        <w:rPr>
          <w:noProof/>
        </w:rPr>
        <w:t xml:space="preserve">014-2020 'Digital Agenda of the Republic of Lithuania' (Nutarimas Dėl informacinès visuomenès pletros 2014-2020 programos „Lietuvos Respublikos Skaitmeninè darbotvarkè" Partvirtinimo), No. 244, March 2014, Vilnius. Retrieved from </w:t>
      </w:r>
      <w:hyperlink r:id="rId143" w:history="1">
        <w:r>
          <w:rPr>
            <w:noProof/>
            <w:color w:val="0000FF" w:themeColor="hyperlink"/>
            <w:u w:val="single"/>
          </w:rPr>
          <w:t>https://e-seimas.lrs.lt/portal/legalAct/lt/TAD/a66c0760b04011e3bf53dc70cf7669d9</w:t>
        </w:r>
      </w:hyperlink>
    </w:p>
    <w:p w:rsidR="003240A1" w:rsidRDefault="00EE321D">
      <w:pPr>
        <w:rPr>
          <w:noProof/>
        </w:rPr>
      </w:pPr>
      <w:r>
        <w:rPr>
          <w:noProof/>
        </w:rPr>
        <w:t xml:space="preserve">ILO – International Labour Organization (2007), </w:t>
      </w:r>
      <w:r>
        <w:rPr>
          <w:i/>
          <w:noProof/>
        </w:rPr>
        <w:t xml:space="preserve">Report Meeting of Experts on Labour Statistics. Updating </w:t>
      </w:r>
      <w:r>
        <w:rPr>
          <w:i/>
          <w:noProof/>
        </w:rPr>
        <w:t>the International Standard Classification of Occupations (ISCO)</w:t>
      </w:r>
      <w:r>
        <w:rPr>
          <w:noProof/>
        </w:rPr>
        <w:t>, Geneva.</w:t>
      </w:r>
    </w:p>
    <w:p w:rsidR="003240A1" w:rsidRDefault="00EE321D">
      <w:pPr>
        <w:rPr>
          <w:noProof/>
        </w:rPr>
      </w:pPr>
      <w:r>
        <w:rPr>
          <w:noProof/>
        </w:rPr>
        <w:t xml:space="preserve">LFMI – Lithuanian Free Market Institute (2016a), </w:t>
      </w:r>
      <w:r>
        <w:rPr>
          <w:i/>
          <w:noProof/>
        </w:rPr>
        <w:t>How much does teacher earn Lithuania? (Kiek uždirba mokytojas Lietuvoje</w:t>
      </w:r>
      <w:r>
        <w:rPr>
          <w:noProof/>
        </w:rPr>
        <w:t>?</w:t>
      </w:r>
      <w:r>
        <w:rPr>
          <w:i/>
          <w:noProof/>
        </w:rPr>
        <w:t>)</w:t>
      </w:r>
      <w:r>
        <w:rPr>
          <w:noProof/>
        </w:rPr>
        <w:t xml:space="preserve">, Vilnius. Retrieved from </w:t>
      </w:r>
      <w:hyperlink r:id="rId144" w:history="1">
        <w:r>
          <w:rPr>
            <w:noProof/>
            <w:color w:val="0000FF" w:themeColor="hyperlink"/>
            <w:u w:val="single"/>
          </w:rPr>
          <w:t>http://www.llri.lt/naujienos/ekonomine-politika/z-silenas-kiek-uzdirba-mokytojas-lietuvoje/zilvinas-silenas</w:t>
        </w:r>
      </w:hyperlink>
    </w:p>
    <w:p w:rsidR="003240A1" w:rsidRDefault="00EE321D">
      <w:pPr>
        <w:rPr>
          <w:noProof/>
        </w:rPr>
      </w:pPr>
      <w:r>
        <w:rPr>
          <w:noProof/>
        </w:rPr>
        <w:t>LFMI – Lithuanian Free Market Institute (2016b), Gap in edu</w:t>
      </w:r>
      <w:r>
        <w:rPr>
          <w:noProof/>
        </w:rPr>
        <w:t>cation funding: money to be saved by transforming schools (Švietimo finansavimo spragos: Pinigų būtu sutaupompa pertvarkius mokyklas), Vilnius. Retrieved from http://www.llri.lt/wp-content/uploads/2016/01/PB-Svietimas_01_26.pdf</w:t>
      </w:r>
    </w:p>
    <w:p w:rsidR="003240A1" w:rsidRDefault="00EE321D">
      <w:pPr>
        <w:rPr>
          <w:noProof/>
        </w:rPr>
      </w:pPr>
      <w:r>
        <w:rPr>
          <w:noProof/>
        </w:rPr>
        <w:t>MOSTA (2016a) – Research and</w:t>
      </w:r>
      <w:r>
        <w:rPr>
          <w:noProof/>
        </w:rPr>
        <w:t xml:space="preserve"> Higher Education Monitoring and Analysis Centre (2016a), </w:t>
      </w:r>
      <w:r>
        <w:rPr>
          <w:i/>
          <w:noProof/>
        </w:rPr>
        <w:t>General admission to the first cycle and integrated studies (Bendrasis priėmimas į pirmos pakopos ir vientisąsias studijas, 2016 m)</w:t>
      </w:r>
      <w:r>
        <w:rPr>
          <w:noProof/>
        </w:rPr>
        <w:t xml:space="preserve">, Vilnius. Retrieved from </w:t>
      </w:r>
      <w:hyperlink r:id="rId145" w:history="1">
        <w:r>
          <w:rPr>
            <w:noProof/>
            <w:color w:val="0000FF" w:themeColor="hyperlink"/>
            <w:u w:val="single"/>
          </w:rPr>
          <w:t>http://www.mosta.lt/images/Priemimas_2016_09_27.pdf</w:t>
        </w:r>
      </w:hyperlink>
    </w:p>
    <w:p w:rsidR="003240A1" w:rsidRDefault="00EE321D">
      <w:pPr>
        <w:rPr>
          <w:noProof/>
        </w:rPr>
      </w:pPr>
      <w:r>
        <w:rPr>
          <w:noProof/>
        </w:rPr>
        <w:t xml:space="preserve">MOSTA (2016b) – Research and Higher Education Monitoring and Analysis Centre (2016b), </w:t>
      </w:r>
      <w:r>
        <w:rPr>
          <w:i/>
          <w:noProof/>
        </w:rPr>
        <w:t>Lithuanian science and studies status overview (Lietuvos mokslo ir studijų būklės apžvalga)</w:t>
      </w:r>
      <w:r>
        <w:rPr>
          <w:noProof/>
        </w:rPr>
        <w:t xml:space="preserve">, Vilnius. Retrieved from </w:t>
      </w:r>
      <w:hyperlink r:id="rId146" w:history="1">
        <w:r>
          <w:rPr>
            <w:noProof/>
            <w:color w:val="0000FF" w:themeColor="hyperlink"/>
            <w:u w:val="single"/>
          </w:rPr>
          <w:t>http://www.mosta.lt/images/leidiniai/Lietuvos_mokslo_ir_studiju_bukle_2016.pdf</w:t>
        </w:r>
      </w:hyperlink>
    </w:p>
    <w:p w:rsidR="003240A1" w:rsidRDefault="00EE321D">
      <w:pPr>
        <w:rPr>
          <w:noProof/>
        </w:rPr>
      </w:pPr>
      <w:r>
        <w:rPr>
          <w:noProof/>
        </w:rPr>
        <w:t xml:space="preserve">National Audit Office of Lithuania (2016), </w:t>
      </w:r>
      <w:r>
        <w:rPr>
          <w:i/>
          <w:noProof/>
        </w:rPr>
        <w:t>Management of</w:t>
      </w:r>
      <w:r>
        <w:rPr>
          <w:i/>
          <w:noProof/>
        </w:rPr>
        <w:t xml:space="preserve"> the Programme for Investment in 2015,</w:t>
      </w:r>
      <w:r>
        <w:rPr>
          <w:noProof/>
        </w:rPr>
        <w:t xml:space="preserve"> No. VA-P-60-9-16, October 2016. Retrieved from http://www.vkontrole.lt/failas.aspx?id=3638</w:t>
      </w:r>
    </w:p>
    <w:p w:rsidR="003240A1" w:rsidRDefault="00EE321D">
      <w:pPr>
        <w:rPr>
          <w:noProof/>
        </w:rPr>
      </w:pPr>
      <w:r>
        <w:rPr>
          <w:noProof/>
        </w:rPr>
        <w:t xml:space="preserve">National Test Center of Lithuania (2015), </w:t>
      </w:r>
      <w:r>
        <w:rPr>
          <w:i/>
          <w:noProof/>
        </w:rPr>
        <w:t xml:space="preserve">Results of Test of Basic Education Learning Achievement. </w:t>
      </w:r>
      <w:r>
        <w:rPr>
          <w:noProof/>
        </w:rPr>
        <w:t xml:space="preserve">Retrieved from </w:t>
      </w:r>
      <w:hyperlink r:id="rId147" w:history="1">
        <w:r>
          <w:rPr>
            <w:noProof/>
            <w:color w:val="0000FF" w:themeColor="hyperlink"/>
            <w:u w:val="single"/>
          </w:rPr>
          <w:t>http://www.egzaminai.lt/591/</w:t>
        </w:r>
      </w:hyperlink>
    </w:p>
    <w:p w:rsidR="003240A1" w:rsidRDefault="00EE321D">
      <w:pPr>
        <w:rPr>
          <w:noProof/>
        </w:rPr>
      </w:pPr>
      <w:r>
        <w:rPr>
          <w:noProof/>
        </w:rPr>
        <w:t xml:space="preserve">OECD (2016a), </w:t>
      </w:r>
      <w:r>
        <w:rPr>
          <w:i/>
          <w:noProof/>
        </w:rPr>
        <w:t>PISA 2015 Results (Volume I): Excellence and Equity in Education</w:t>
      </w:r>
      <w:r>
        <w:rPr>
          <w:noProof/>
        </w:rPr>
        <w:t xml:space="preserve">, OECD Publishing, Paris. DOI: </w:t>
      </w:r>
      <w:hyperlink r:id="rId148" w:tgtFrame="_blank" w:tooltip="http://dx.doi.org/10.1787/9789264266490-en" w:history="1">
        <w:r>
          <w:rPr>
            <w:noProof/>
            <w:color w:val="0000FF" w:themeColor="hyperlink"/>
            <w:u w:val="single"/>
          </w:rPr>
          <w:t>http://dx.doi.org/10.1787/9789264266490-en</w:t>
        </w:r>
      </w:hyperlink>
    </w:p>
    <w:p w:rsidR="003240A1" w:rsidRDefault="00EE321D">
      <w:pPr>
        <w:rPr>
          <w:noProof/>
        </w:rPr>
      </w:pPr>
      <w:r>
        <w:rPr>
          <w:noProof/>
        </w:rPr>
        <w:t xml:space="preserve">OECD (2016c), </w:t>
      </w:r>
      <w:r>
        <w:rPr>
          <w:i/>
          <w:noProof/>
        </w:rPr>
        <w:t>OECD Economic Surveys: Lithuania 2016: Economic Assessment</w:t>
      </w:r>
      <w:r>
        <w:rPr>
          <w:noProof/>
        </w:rPr>
        <w:t xml:space="preserve">, OECD Publishing, Paris. DOI: </w:t>
      </w:r>
      <w:hyperlink r:id="rId149" w:tgtFrame="_blank" w:tooltip="http://dx.doi.org/10.1787/eco_surveys-ltu-2016-en" w:history="1">
        <w:r>
          <w:rPr>
            <w:noProof/>
            <w:color w:val="0000FF" w:themeColor="hyperlink"/>
            <w:u w:val="single"/>
          </w:rPr>
          <w:t>http://dx.doi.org/10.1787/eco_surveys-ltu-2016-en</w:t>
        </w:r>
      </w:hyperlink>
    </w:p>
    <w:p w:rsidR="003240A1" w:rsidRDefault="00EE321D">
      <w:pPr>
        <w:rPr>
          <w:noProof/>
        </w:rPr>
      </w:pPr>
      <w:r>
        <w:rPr>
          <w:noProof/>
        </w:rPr>
        <w:t xml:space="preserve">Paliokaitė A., Krūminas P., Stamenov B., </w:t>
      </w:r>
      <w:r>
        <w:rPr>
          <w:i/>
          <w:noProof/>
        </w:rPr>
        <w:t>RIO Country Report 2015: Lithuania</w:t>
      </w:r>
      <w:r>
        <w:rPr>
          <w:noProof/>
        </w:rPr>
        <w:t>, EUR 27882 EN, doi:10.2791/049440.</w:t>
      </w:r>
    </w:p>
    <w:p w:rsidR="003240A1" w:rsidRDefault="00EE321D">
      <w:pPr>
        <w:rPr>
          <w:noProof/>
        </w:rPr>
      </w:pPr>
      <w:r>
        <w:rPr>
          <w:noProof/>
        </w:rPr>
        <w:t xml:space="preserve">Putniņs, T.J. and Sauka A., (2016), </w:t>
      </w:r>
      <w:r>
        <w:rPr>
          <w:i/>
          <w:noProof/>
        </w:rPr>
        <w:t>Shadow economy index for the Baltic countries, 2009-2015</w:t>
      </w:r>
      <w:r>
        <w:rPr>
          <w:noProof/>
        </w:rPr>
        <w:t>, The Centre for Sustainable Business, Riga.</w:t>
      </w:r>
    </w:p>
    <w:p w:rsidR="003240A1" w:rsidRDefault="00EE321D">
      <w:pPr>
        <w:rPr>
          <w:noProof/>
          <w:lang w:val="da-DK"/>
        </w:rPr>
      </w:pPr>
      <w:r>
        <w:rPr>
          <w:noProof/>
        </w:rPr>
        <w:t>Schneider F. (2015</w:t>
      </w:r>
      <w:r>
        <w:rPr>
          <w:i/>
          <w:noProof/>
        </w:rPr>
        <w:t>), Shadow Economies in 7 Eastern European Countries: Latest results and what are the driving forces?</w:t>
      </w:r>
      <w:r>
        <w:rPr>
          <w:noProof/>
        </w:rPr>
        <w:t xml:space="preserve">, Johannes Kepler University Linz. </w:t>
      </w:r>
      <w:r>
        <w:rPr>
          <w:noProof/>
          <w:lang w:val="da-DK"/>
        </w:rPr>
        <w:t>Re</w:t>
      </w:r>
      <w:r>
        <w:rPr>
          <w:noProof/>
          <w:lang w:val="da-DK"/>
        </w:rPr>
        <w:t xml:space="preserve">trieved from </w:t>
      </w:r>
      <w:hyperlink r:id="rId150" w:history="1">
        <w:r>
          <w:rPr>
            <w:noProof/>
            <w:color w:val="0000FF" w:themeColor="hyperlink"/>
            <w:u w:val="single"/>
            <w:lang w:val="da-DK"/>
          </w:rPr>
          <w:t>https://www.lb.lt/n26698/friedrich_11-24.pdf</w:t>
        </w:r>
      </w:hyperlink>
    </w:p>
    <w:p w:rsidR="003240A1" w:rsidRDefault="00EE321D">
      <w:pPr>
        <w:rPr>
          <w:noProof/>
        </w:rPr>
      </w:pPr>
      <w:r>
        <w:rPr>
          <w:noProof/>
          <w:lang w:val="da-DK"/>
        </w:rPr>
        <w:t xml:space="preserve">Shewbridge, C. et al. </w:t>
      </w:r>
      <w:r>
        <w:rPr>
          <w:noProof/>
        </w:rPr>
        <w:t xml:space="preserve">(2016), </w:t>
      </w:r>
      <w:r>
        <w:rPr>
          <w:i/>
          <w:noProof/>
        </w:rPr>
        <w:t>OECD Reviews of Schools Resources: Lithuania 2016, OECD Reviews of Schools Resources</w:t>
      </w:r>
      <w:r>
        <w:rPr>
          <w:noProof/>
        </w:rPr>
        <w:t xml:space="preserve">, OECD publishing, </w:t>
      </w:r>
      <w:r>
        <w:rPr>
          <w:noProof/>
        </w:rPr>
        <w:t>Paris.</w:t>
      </w:r>
    </w:p>
    <w:p w:rsidR="003240A1" w:rsidRDefault="00EE321D">
      <w:pPr>
        <w:rPr>
          <w:noProof/>
        </w:rPr>
      </w:pPr>
      <w:r>
        <w:rPr>
          <w:noProof/>
        </w:rPr>
        <w:t xml:space="preserve">Skills Panorama (2016), </w:t>
      </w:r>
      <w:r>
        <w:rPr>
          <w:i/>
          <w:noProof/>
        </w:rPr>
        <w:t>Lithuania: Mismatch priority occupations</w:t>
      </w:r>
      <w:r>
        <w:rPr>
          <w:noProof/>
        </w:rPr>
        <w:t xml:space="preserve">, October 2016. Retrieved from </w:t>
      </w:r>
      <w:hyperlink r:id="rId151" w:history="1">
        <w:r>
          <w:rPr>
            <w:noProof/>
            <w:color w:val="0000FF" w:themeColor="hyperlink"/>
            <w:u w:val="single"/>
          </w:rPr>
          <w:t>http://skillspanorama.cedefop.eur</w:t>
        </w:r>
        <w:r>
          <w:rPr>
            <w:noProof/>
            <w:color w:val="0000FF" w:themeColor="hyperlink"/>
            <w:u w:val="single"/>
          </w:rPr>
          <w:t>opa.eu/en/analytical_highligths/lithuania-mismatch-priority-occupations</w:t>
        </w:r>
      </w:hyperlink>
    </w:p>
    <w:p w:rsidR="003240A1" w:rsidRDefault="00EE321D">
      <w:pPr>
        <w:rPr>
          <w:noProof/>
        </w:rPr>
      </w:pPr>
      <w:r>
        <w:rPr>
          <w:noProof/>
        </w:rPr>
        <w:t xml:space="preserve">Technopolis group and Ernst and Young  (2014), </w:t>
      </w:r>
      <w:r>
        <w:rPr>
          <w:i/>
          <w:noProof/>
        </w:rPr>
        <w:t>Monitoring of Science Valleys.</w:t>
      </w:r>
      <w:r>
        <w:rPr>
          <w:noProof/>
        </w:rPr>
        <w:t xml:space="preserve"> Retrieved from: </w:t>
      </w:r>
      <w:hyperlink r:id="rId152" w:history="1">
        <w:r>
          <w:rPr>
            <w:noProof/>
            <w:color w:val="0000FF" w:themeColor="hyperlink"/>
            <w:u w:val="single"/>
          </w:rPr>
          <w:t>http://www.</w:t>
        </w:r>
        <w:r>
          <w:rPr>
            <w:noProof/>
            <w:color w:val="0000FF" w:themeColor="hyperlink"/>
            <w:u w:val="single"/>
          </w:rPr>
          <w:t>mosta.lt/en/projects/other-projects/valleys-and-jrp</w:t>
        </w:r>
      </w:hyperlink>
    </w:p>
    <w:p w:rsidR="003240A1" w:rsidRDefault="00EE321D">
      <w:pPr>
        <w:rPr>
          <w:noProof/>
        </w:rPr>
      </w:pPr>
      <w:r>
        <w:rPr>
          <w:noProof/>
        </w:rPr>
        <w:t xml:space="preserve">Transparency International (TI) Lithuania (2015a), </w:t>
      </w:r>
      <w:r>
        <w:rPr>
          <w:i/>
          <w:noProof/>
        </w:rPr>
        <w:t>Accountability of enterprises 2015(Įmonių atskaitingumas 2015</w:t>
      </w:r>
      <w:r>
        <w:rPr>
          <w:noProof/>
        </w:rPr>
        <w:t xml:space="preserve">), Vilnius. Retrieved from </w:t>
      </w:r>
      <w:hyperlink r:id="rId153" w:history="1">
        <w:r>
          <w:rPr>
            <w:noProof/>
            <w:color w:val="0000FF" w:themeColor="hyperlink"/>
            <w:u w:val="single"/>
          </w:rPr>
          <w:t>http://sk</w:t>
        </w:r>
        <w:r>
          <w:rPr>
            <w:noProof/>
            <w:color w:val="0000FF" w:themeColor="hyperlink"/>
            <w:u w:val="single"/>
          </w:rPr>
          <w:t>aidrumas.lt/savivaldybiuimones</w:t>
        </w:r>
      </w:hyperlink>
    </w:p>
    <w:p w:rsidR="003240A1" w:rsidRDefault="00EE321D">
      <w:pPr>
        <w:rPr>
          <w:noProof/>
        </w:rPr>
      </w:pPr>
      <w:r>
        <w:rPr>
          <w:noProof/>
        </w:rPr>
        <w:t xml:space="preserve">Transparency International (TI) Lithuania (2015b), </w:t>
      </w:r>
      <w:r>
        <w:rPr>
          <w:i/>
          <w:noProof/>
        </w:rPr>
        <w:t>Backstage Politics, Understanding Lobbying in Lithuania</w:t>
      </w:r>
      <w:r>
        <w:rPr>
          <w:noProof/>
        </w:rPr>
        <w:t>, Vilnius</w:t>
      </w:r>
      <w:r>
        <w:rPr>
          <w:i/>
          <w:noProof/>
        </w:rPr>
        <w:t>.</w:t>
      </w:r>
      <w:r>
        <w:rPr>
          <w:noProof/>
        </w:rPr>
        <w:t xml:space="preserve"> Retrieved from http://transparency.lt/media/filer_public/2015/10/29/backstage_politics_understanding_lobbyin</w:t>
      </w:r>
      <w:r>
        <w:rPr>
          <w:noProof/>
        </w:rPr>
        <w:t>g_in_lithuania.pdf</w:t>
      </w:r>
    </w:p>
    <w:p w:rsidR="003240A1" w:rsidRDefault="003240A1">
      <w:pPr>
        <w:rPr>
          <w:noProof/>
        </w:rPr>
      </w:pPr>
    </w:p>
    <w:p w:rsidR="003240A1" w:rsidRDefault="003240A1">
      <w:pPr>
        <w:rPr>
          <w:noProof/>
        </w:rPr>
      </w:pPr>
    </w:p>
    <w:p w:rsidR="003240A1" w:rsidRDefault="003240A1">
      <w:pPr>
        <w:rPr>
          <w:noProof/>
        </w:rPr>
      </w:pPr>
    </w:p>
    <w:sectPr w:rsidR="003240A1">
      <w:headerReference w:type="even" r:id="rId154"/>
      <w:headerReference w:type="default" r:id="rId155"/>
      <w:footerReference w:type="even" r:id="rId156"/>
      <w:footerReference w:type="default" r:id="rId157"/>
      <w:headerReference w:type="first" r:id="rId158"/>
      <w:footerReference w:type="first" r:id="rId159"/>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A1" w:rsidRDefault="00EE321D">
      <w:pPr>
        <w:spacing w:after="0"/>
      </w:pPr>
      <w:r>
        <w:separator/>
      </w:r>
    </w:p>
  </w:endnote>
  <w:endnote w:type="continuationSeparator" w:id="0">
    <w:p w:rsidR="003240A1" w:rsidRDefault="00E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FooterCoverPage"/>
      <w:rPr>
        <w:rFonts w:ascii="Arial" w:hAnsi="Arial" w:cs="Arial"/>
        <w:b/>
        <w:sz w:val="48"/>
      </w:rPr>
    </w:pPr>
    <w:r w:rsidRPr="00EE321D">
      <w:rPr>
        <w:rFonts w:ascii="Arial" w:hAnsi="Arial" w:cs="Arial"/>
        <w:b/>
        <w:sz w:val="48"/>
      </w:rPr>
      <w:t>EN</w:t>
    </w:r>
    <w:r w:rsidRPr="00EE321D">
      <w:rPr>
        <w:rFonts w:ascii="Arial" w:hAnsi="Arial" w:cs="Arial"/>
        <w:b/>
        <w:sz w:val="48"/>
      </w:rPr>
      <w:tab/>
    </w:r>
    <w:r w:rsidRPr="00EE321D">
      <w:rPr>
        <w:rFonts w:ascii="Arial" w:hAnsi="Arial" w:cs="Arial"/>
        <w:b/>
        <w:sz w:val="48"/>
      </w:rPr>
      <w:tab/>
    </w:r>
    <w:fldSimple w:instr=" DOCVARIABLE &quot;LW_Confidence&quot; \* MERGEFORMAT ">
      <w:r>
        <w:t xml:space="preserve"> </w:t>
      </w:r>
    </w:fldSimple>
    <w:r w:rsidRPr="00EE321D">
      <w:tab/>
    </w:r>
    <w:proofErr w:type="spellStart"/>
    <w:r w:rsidRPr="00EE321D">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49</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Footer"/>
    </w:pPr>
  </w:p>
  <w:p w:rsidR="003240A1" w:rsidRDefault="00EE321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A1" w:rsidRDefault="00EE321D">
      <w:pPr>
        <w:spacing w:after="0"/>
      </w:pPr>
      <w:r>
        <w:separator/>
      </w:r>
    </w:p>
  </w:footnote>
  <w:footnote w:type="continuationSeparator" w:id="0">
    <w:p w:rsidR="003240A1" w:rsidRDefault="00EE321D">
      <w:r>
        <w:continuationSeparator/>
      </w:r>
    </w:p>
  </w:footnote>
  <w:footnote w:id="1">
    <w:p w:rsidR="003240A1" w:rsidRDefault="00EE321D">
      <w:pPr>
        <w:pStyle w:val="FootnoteText"/>
        <w:rPr>
          <w:lang w:val="en-US"/>
        </w:rPr>
      </w:pPr>
      <w:r>
        <w:t>(</w:t>
      </w:r>
      <w:r>
        <w:rPr>
          <w:vertAlign w:val="superscript"/>
        </w:rPr>
        <w:footnoteRef/>
      </w:r>
      <w:r>
        <w:t>)</w:t>
      </w:r>
      <w:r>
        <w:tab/>
        <w:t>Information on the level of progress ad actions taken to address the policy advice in each respective subpart of a CSR is presented in the Overview Table</w:t>
      </w:r>
      <w:r>
        <w:t xml:space="preserve"> in the Annex.</w:t>
      </w:r>
    </w:p>
  </w:footnote>
  <w:footnote w:id="2">
    <w:p w:rsidR="003240A1" w:rsidRDefault="00EE321D">
      <w:pPr>
        <w:pStyle w:val="FootnoteText"/>
        <w:rPr>
          <w:lang w:val="en-US"/>
        </w:rPr>
      </w:pPr>
      <w:r>
        <w:t>(</w:t>
      </w:r>
      <w:r>
        <w:rPr>
          <w:vertAlign w:val="superscript"/>
        </w:rPr>
        <w:footnoteRef/>
      </w:r>
      <w:r>
        <w:t>)</w:t>
      </w:r>
      <w:r>
        <w:tab/>
      </w:r>
      <w:r>
        <w:rPr>
          <w:lang w:val="en-US"/>
        </w:rPr>
        <w:t>This assessment does not cover the fiscal subpart of CSR1, which will have the final assessment published in Spring 2017</w:t>
      </w:r>
    </w:p>
  </w:footnote>
  <w:footnote w:id="3">
    <w:p w:rsidR="003240A1" w:rsidRDefault="00EE321D">
      <w:pPr>
        <w:pStyle w:val="FootnoteText"/>
        <w:rPr>
          <w:lang w:val="en-US"/>
        </w:rPr>
      </w:pPr>
      <w:r>
        <w:t>(</w:t>
      </w:r>
      <w:r>
        <w:rPr>
          <w:vertAlign w:val="superscript"/>
        </w:rPr>
        <w:footnoteRef/>
      </w:r>
      <w:r>
        <w:t>)</w:t>
      </w:r>
      <w:r>
        <w:tab/>
        <w:t>Measured by GINI coefficient</w:t>
      </w:r>
    </w:p>
  </w:footnote>
  <w:footnote w:id="4">
    <w:p w:rsidR="003240A1" w:rsidRDefault="00EE321D">
      <w:pPr>
        <w:pStyle w:val="FootnoteText"/>
        <w:rPr>
          <w:lang w:val="en-US"/>
        </w:rPr>
      </w:pPr>
      <w:r>
        <w:t>(</w:t>
      </w:r>
      <w:r>
        <w:rPr>
          <w:vertAlign w:val="superscript"/>
        </w:rPr>
        <w:footnoteRef/>
      </w:r>
      <w:r>
        <w:t>)</w:t>
      </w:r>
      <w:r>
        <w:tab/>
        <w:t>November 2016 data</w:t>
      </w:r>
    </w:p>
  </w:footnote>
  <w:footnote w:id="5">
    <w:p w:rsidR="003240A1" w:rsidRDefault="00EE321D">
      <w:pPr>
        <w:pStyle w:val="FootnoteText"/>
        <w:rPr>
          <w:lang w:val="lv-LV"/>
        </w:rPr>
      </w:pPr>
      <w:r>
        <w:t>(</w:t>
      </w:r>
      <w:r>
        <w:rPr>
          <w:vertAlign w:val="superscript"/>
        </w:rPr>
        <w:footnoteRef/>
      </w:r>
      <w:r>
        <w:t>)</w:t>
      </w:r>
      <w:r>
        <w:tab/>
        <w:t>Aged between 20 and 64.</w:t>
      </w:r>
    </w:p>
  </w:footnote>
  <w:footnote w:id="6">
    <w:p w:rsidR="003240A1" w:rsidRDefault="00EE321D">
      <w:pPr>
        <w:pStyle w:val="FootnoteText"/>
      </w:pPr>
      <w:r>
        <w:t>(</w:t>
      </w:r>
      <w:r>
        <w:rPr>
          <w:vertAlign w:val="superscript"/>
        </w:rPr>
        <w:footnoteRef/>
      </w:r>
      <w:r>
        <w:t>)</w:t>
      </w:r>
      <w:r>
        <w:tab/>
        <w:t>Actual data for 2013 - 2015,</w:t>
      </w:r>
      <w:r>
        <w:t xml:space="preserve"> though, indicate that the current population projections have been overly pessimistic. An update of the projections is expected to be published in 2017.</w:t>
      </w:r>
    </w:p>
  </w:footnote>
  <w:footnote w:id="7">
    <w:p w:rsidR="003240A1" w:rsidRDefault="00EE321D">
      <w:pPr>
        <w:pStyle w:val="FootnoteText"/>
        <w:rPr>
          <w:lang w:val="en-US"/>
        </w:rPr>
      </w:pPr>
      <w:r>
        <w:t>(</w:t>
      </w:r>
      <w:r>
        <w:rPr>
          <w:vertAlign w:val="superscript"/>
        </w:rPr>
        <w:footnoteRef/>
      </w:r>
      <w:r>
        <w:t>)</w:t>
      </w:r>
      <w:r>
        <w:tab/>
        <w:t>Measured as the ratio of those aged 65 and over to those aged 20-64.</w:t>
      </w:r>
    </w:p>
  </w:footnote>
  <w:footnote w:id="8">
    <w:p w:rsidR="003240A1" w:rsidRDefault="00EE321D">
      <w:pPr>
        <w:pStyle w:val="FootnoteText"/>
        <w:rPr>
          <w:lang w:val="en-US"/>
        </w:rPr>
      </w:pPr>
      <w:r>
        <w:t>(</w:t>
      </w:r>
      <w:r>
        <w:rPr>
          <w:vertAlign w:val="superscript"/>
        </w:rPr>
        <w:footnoteRef/>
      </w:r>
      <w:r>
        <w:t>)</w:t>
      </w:r>
      <w:r>
        <w:tab/>
        <w:t xml:space="preserve">Measured as the ratio of </w:t>
      </w:r>
      <w:r>
        <w:t>those younger than 20 to those aged 20-64.</w:t>
      </w:r>
    </w:p>
  </w:footnote>
  <w:footnote w:id="9">
    <w:p w:rsidR="003240A1" w:rsidRDefault="00EE321D">
      <w:pPr>
        <w:pStyle w:val="FootnoteText"/>
        <w:rPr>
          <w:lang w:val="en-US"/>
        </w:rPr>
      </w:pPr>
      <w:r>
        <w:t>(</w:t>
      </w:r>
      <w:r>
        <w:rPr>
          <w:vertAlign w:val="superscript"/>
        </w:rPr>
        <w:footnoteRef/>
      </w:r>
      <w:r>
        <w:t>)</w:t>
      </w:r>
      <w:r>
        <w:tab/>
        <w:t>For the assessment of other reforms implemented in the past, see in particular section 3.</w:t>
      </w:r>
    </w:p>
  </w:footnote>
  <w:footnote w:id="10">
    <w:p w:rsidR="003240A1" w:rsidRDefault="00EE321D">
      <w:pPr>
        <w:pStyle w:val="FootnoteText"/>
        <w:rPr>
          <w:lang w:val="en-US"/>
        </w:rPr>
      </w:pPr>
      <w:r>
        <w:t>(</w:t>
      </w:r>
      <w:r>
        <w:rPr>
          <w:vertAlign w:val="superscript"/>
        </w:rPr>
        <w:footnoteRef/>
      </w:r>
      <w:r>
        <w:t>)</w:t>
      </w:r>
      <w:r>
        <w:tab/>
        <w:t>Information on the level of progress and actions taken to address the policy advice in each respective subpart of a</w:t>
      </w:r>
      <w:r>
        <w:t xml:space="preserve"> CSR is presented in the Overview Table in the Annex. This overall assessment does not include an assessment of compliance with the Stability and Growth Pact.</w:t>
      </w:r>
    </w:p>
  </w:footnote>
  <w:footnote w:id="11">
    <w:p w:rsidR="003240A1" w:rsidRDefault="00EE321D">
      <w:pPr>
        <w:pStyle w:val="FootnoteText"/>
      </w:pPr>
      <w:r>
        <w:t>(</w:t>
      </w:r>
      <w:r>
        <w:rPr>
          <w:vertAlign w:val="superscript"/>
        </w:rPr>
        <w:footnoteRef/>
      </w:r>
      <w:r>
        <w:t>)</w:t>
      </w:r>
      <w:r>
        <w:tab/>
        <w:t>Lithuania’s retirement age will increase by 2 months a year for men and 4 months a year for w</w:t>
      </w:r>
      <w:r>
        <w:t>omen to reach 65 years by 2026.</w:t>
      </w:r>
    </w:p>
  </w:footnote>
  <w:footnote w:id="12">
    <w:p w:rsidR="003240A1" w:rsidRDefault="00EE321D">
      <w:pPr>
        <w:pStyle w:val="FootnoteText"/>
        <w:rPr>
          <w:lang w:val="en-US"/>
        </w:rPr>
      </w:pPr>
      <w:r>
        <w:t>(</w:t>
      </w:r>
      <w:r>
        <w:rPr>
          <w:vertAlign w:val="superscript"/>
        </w:rPr>
        <w:footnoteRef/>
      </w:r>
      <w:r>
        <w:t>)</w:t>
      </w:r>
      <w:r>
        <w:tab/>
      </w:r>
      <w:r>
        <w:rPr>
          <w:lang w:val="lv-LV"/>
        </w:rPr>
        <w:t xml:space="preserve">EUR 140 </w:t>
      </w:r>
      <w:proofErr w:type="spellStart"/>
      <w:r>
        <w:rPr>
          <w:lang w:val="lv-LV"/>
        </w:rPr>
        <w:t>million</w:t>
      </w:r>
      <w:proofErr w:type="spellEnd"/>
      <w:r>
        <w:rPr>
          <w:lang w:val="lv-LV"/>
        </w:rPr>
        <w:t xml:space="preserve"> </w:t>
      </w:r>
      <w:proofErr w:type="spellStart"/>
      <w:r>
        <w:rPr>
          <w:lang w:val="lv-LV"/>
        </w:rPr>
        <w:t>in</w:t>
      </w:r>
      <w:proofErr w:type="spellEnd"/>
      <w:r>
        <w:rPr>
          <w:lang w:val="lv-LV"/>
        </w:rPr>
        <w:t xml:space="preserve"> 2015 </w:t>
      </w:r>
      <w:proofErr w:type="spellStart"/>
      <w:r>
        <w:rPr>
          <w:lang w:val="lv-LV"/>
        </w:rPr>
        <w:t>prices</w:t>
      </w:r>
      <w:proofErr w:type="spellEnd"/>
    </w:p>
  </w:footnote>
  <w:footnote w:id="13">
    <w:p w:rsidR="003240A1" w:rsidRDefault="00EE321D">
      <w:pPr>
        <w:pStyle w:val="FootnoteText"/>
        <w:rPr>
          <w:lang w:val="en-US"/>
        </w:rPr>
      </w:pPr>
      <w:r>
        <w:t>(</w:t>
      </w:r>
      <w:r>
        <w:rPr>
          <w:vertAlign w:val="superscript"/>
        </w:rPr>
        <w:footnoteRef/>
      </w:r>
      <w:r>
        <w:t>)</w:t>
      </w:r>
      <w:r>
        <w:tab/>
        <w:t xml:space="preserve">In 2015 tax revenue was </w:t>
      </w:r>
      <w:r>
        <w:rPr>
          <w:lang w:val="en-US"/>
        </w:rPr>
        <w:t>29.2% of GDP</w:t>
      </w:r>
    </w:p>
  </w:footnote>
  <w:footnote w:id="14">
    <w:p w:rsidR="003240A1" w:rsidRDefault="00EE321D">
      <w:pPr>
        <w:pStyle w:val="FootnoteText"/>
        <w:rPr>
          <w:lang w:val="en-US"/>
        </w:rPr>
      </w:pPr>
      <w:r>
        <w:t>(</w:t>
      </w:r>
      <w:r>
        <w:rPr>
          <w:vertAlign w:val="superscript"/>
        </w:rPr>
        <w:footnoteRef/>
      </w:r>
      <w:r>
        <w:t>)</w:t>
      </w:r>
      <w:r>
        <w:tab/>
        <w:t xml:space="preserve">Tier 1 capital includes equity and reserves, it is the 'highest grade' capital </w:t>
      </w:r>
    </w:p>
  </w:footnote>
  <w:footnote w:id="15">
    <w:p w:rsidR="003240A1" w:rsidRDefault="00EE321D">
      <w:pPr>
        <w:pStyle w:val="FootnoteText"/>
        <w:rPr>
          <w:lang w:val="en-US"/>
        </w:rPr>
      </w:pPr>
      <w:r>
        <w:t>(</w:t>
      </w:r>
      <w:r>
        <w:rPr>
          <w:vertAlign w:val="superscript"/>
        </w:rPr>
        <w:footnoteRef/>
      </w:r>
      <w:r>
        <w:t>)</w:t>
      </w:r>
      <w:r>
        <w:tab/>
        <w:t>This results from particularly low level of provisions in on</w:t>
      </w:r>
      <w:r>
        <w:t>e large Swedish subsidiary, which was compensated by particularly high capital buffers.</w:t>
      </w:r>
    </w:p>
  </w:footnote>
  <w:footnote w:id="16">
    <w:p w:rsidR="003240A1" w:rsidRDefault="00EE321D">
      <w:pPr>
        <w:pStyle w:val="FootnoteText"/>
        <w:rPr>
          <w:lang w:val="en-US"/>
        </w:rPr>
      </w:pPr>
      <w:r>
        <w:t>(</w:t>
      </w:r>
      <w:r>
        <w:rPr>
          <w:vertAlign w:val="superscript"/>
        </w:rPr>
        <w:footnoteRef/>
      </w:r>
      <w:r>
        <w:t>)</w:t>
      </w:r>
      <w:r>
        <w:tab/>
        <w:t xml:space="preserve">SEB, </w:t>
      </w:r>
      <w:proofErr w:type="spellStart"/>
      <w:r>
        <w:t>Swedbank</w:t>
      </w:r>
      <w:proofErr w:type="spellEnd"/>
      <w:r>
        <w:t xml:space="preserve"> and DNB – each 2% of risk weighted assets; </w:t>
      </w:r>
      <w:r>
        <w:rPr>
          <w:lang w:val="lt-LT"/>
        </w:rPr>
        <w:t>Š</w:t>
      </w:r>
      <w:proofErr w:type="spellStart"/>
      <w:r>
        <w:t>iaulių</w:t>
      </w:r>
      <w:proofErr w:type="spellEnd"/>
      <w:r>
        <w:t xml:space="preserve"> </w:t>
      </w:r>
      <w:proofErr w:type="spellStart"/>
      <w:r>
        <w:t>Bankas</w:t>
      </w:r>
      <w:proofErr w:type="spellEnd"/>
      <w:r>
        <w:t xml:space="preserve"> – 0.5% of risk weighted assets.</w:t>
      </w:r>
    </w:p>
  </w:footnote>
  <w:footnote w:id="17">
    <w:p w:rsidR="003240A1" w:rsidRDefault="00EE321D">
      <w:pPr>
        <w:pStyle w:val="FootnoteText"/>
        <w:rPr>
          <w:lang w:val="en-US"/>
        </w:rPr>
      </w:pPr>
      <w:r>
        <w:t>(</w:t>
      </w:r>
      <w:r>
        <w:rPr>
          <w:vertAlign w:val="superscript"/>
        </w:rPr>
        <w:footnoteRef/>
      </w:r>
      <w:r>
        <w:t>)</w:t>
      </w:r>
      <w:r>
        <w:tab/>
        <w:t>For a more detailed analysis of potential financial spil</w:t>
      </w:r>
      <w:r>
        <w:t xml:space="preserve">l-overs in the Baltic-Nordic region see the </w:t>
      </w:r>
      <w:r>
        <w:rPr>
          <w:i/>
        </w:rPr>
        <w:t>Country Report Sweden 2016.</w:t>
      </w:r>
    </w:p>
  </w:footnote>
  <w:footnote w:id="18">
    <w:p w:rsidR="003240A1" w:rsidRDefault="00EE321D">
      <w:pPr>
        <w:pStyle w:val="FootnoteText"/>
        <w:rPr>
          <w:lang w:val="en-US"/>
        </w:rPr>
      </w:pPr>
      <w:r>
        <w:t>(</w:t>
      </w:r>
      <w:r>
        <w:rPr>
          <w:vertAlign w:val="superscript"/>
        </w:rPr>
        <w:footnoteRef/>
      </w:r>
      <w:r>
        <w:t>)</w:t>
      </w:r>
      <w:r>
        <w:tab/>
        <w:t>EUR 179.6 million were secured for loans, guarantees and venture capital in a new "Business Financing Fund" (managed by INVEGA).</w:t>
      </w:r>
    </w:p>
  </w:footnote>
  <w:footnote w:id="19">
    <w:p w:rsidR="003240A1" w:rsidRDefault="00EE321D">
      <w:pPr>
        <w:pStyle w:val="FootnoteText"/>
        <w:rPr>
          <w:lang w:val="en-US"/>
        </w:rPr>
      </w:pPr>
      <w:r>
        <w:t>(</w:t>
      </w:r>
      <w:r>
        <w:rPr>
          <w:vertAlign w:val="superscript"/>
        </w:rPr>
        <w:footnoteRef/>
      </w:r>
      <w:r>
        <w:t>)</w:t>
      </w:r>
      <w:r>
        <w:tab/>
        <w:t>In 2015, the unemployment rate (15-74) for high</w:t>
      </w:r>
      <w:r>
        <w:t>-skilled in Lithuania stood at 3.7%, as compared to an EU-average of 5.6%. 2016 sees a further decline.</w:t>
      </w:r>
    </w:p>
  </w:footnote>
  <w:footnote w:id="20">
    <w:p w:rsidR="003240A1" w:rsidRDefault="00EE321D">
      <w:pPr>
        <w:pStyle w:val="FootnoteText"/>
        <w:rPr>
          <w:lang w:val="en-US"/>
        </w:rPr>
      </w:pPr>
      <w:r>
        <w:t>(</w:t>
      </w:r>
      <w:r>
        <w:rPr>
          <w:vertAlign w:val="superscript"/>
        </w:rPr>
        <w:footnoteRef/>
      </w:r>
      <w:r>
        <w:t>)</w:t>
      </w:r>
      <w:r>
        <w:tab/>
        <w:t>Lithuania is below the EU average in advanced and basic digital skills (European Commission, 2016b).</w:t>
      </w:r>
    </w:p>
  </w:footnote>
  <w:footnote w:id="21">
    <w:p w:rsidR="003240A1" w:rsidRDefault="00EE321D">
      <w:pPr>
        <w:pStyle w:val="FootnoteText"/>
        <w:rPr>
          <w:lang w:val="en-US"/>
        </w:rPr>
      </w:pPr>
      <w:r>
        <w:t>(</w:t>
      </w:r>
      <w:r>
        <w:rPr>
          <w:vertAlign w:val="superscript"/>
        </w:rPr>
        <w:footnoteRef/>
      </w:r>
      <w:r>
        <w:t>)</w:t>
      </w:r>
      <w:r>
        <w:tab/>
        <w:t>This is one of the highest levels in the EU</w:t>
      </w:r>
      <w:r>
        <w:t>, whose average is 1.5 times the mean wage.</w:t>
      </w:r>
    </w:p>
  </w:footnote>
  <w:footnote w:id="22">
    <w:p w:rsidR="003240A1" w:rsidRDefault="00EE321D">
      <w:pPr>
        <w:pStyle w:val="FootnoteText"/>
        <w:rPr>
          <w:lang w:val="en-US"/>
        </w:rPr>
      </w:pPr>
      <w:r>
        <w:t>(</w:t>
      </w:r>
      <w:r>
        <w:rPr>
          <w:vertAlign w:val="superscript"/>
        </w:rPr>
        <w:footnoteRef/>
      </w:r>
      <w:r>
        <w:t>)</w:t>
      </w:r>
      <w:r>
        <w:tab/>
        <w:t xml:space="preserve">High-skilled occupations are defined as those classified under ISCO08 1-digit levels 1, 2 and 3, according to a definition by ILO. </w:t>
      </w:r>
    </w:p>
  </w:footnote>
  <w:footnote w:id="23">
    <w:p w:rsidR="003240A1" w:rsidRDefault="00EE321D">
      <w:pPr>
        <w:pStyle w:val="FootnoteText"/>
        <w:rPr>
          <w:lang w:val="en-US"/>
        </w:rPr>
      </w:pPr>
      <w:r>
        <w:t>(</w:t>
      </w:r>
      <w:r>
        <w:rPr>
          <w:vertAlign w:val="superscript"/>
        </w:rPr>
        <w:footnoteRef/>
      </w:r>
      <w:r>
        <w:t>)</w:t>
      </w:r>
      <w:r>
        <w:tab/>
        <w:t>For more detailed analysis, see Country Report Lithuania 2016.</w:t>
      </w:r>
    </w:p>
  </w:footnote>
  <w:footnote w:id="24">
    <w:p w:rsidR="003240A1" w:rsidRDefault="00EE321D">
      <w:pPr>
        <w:pStyle w:val="FootnoteText"/>
        <w:rPr>
          <w:lang w:val="en-US"/>
        </w:rPr>
      </w:pPr>
      <w:r>
        <w:t>(</w:t>
      </w:r>
      <w:r>
        <w:rPr>
          <w:vertAlign w:val="superscript"/>
        </w:rPr>
        <w:footnoteRef/>
      </w:r>
      <w:r>
        <w:t>)</w:t>
      </w:r>
      <w:r>
        <w:tab/>
        <w:t>Entry</w:t>
      </w:r>
      <w:r>
        <w:t xml:space="preserve"> into force has been postponed from 1 January 2017 to 1 July 2017.</w:t>
      </w:r>
    </w:p>
  </w:footnote>
  <w:footnote w:id="25">
    <w:p w:rsidR="003240A1" w:rsidRDefault="00EE321D">
      <w:pPr>
        <w:pStyle w:val="FootnoteText"/>
      </w:pPr>
      <w:r>
        <w:t>(</w:t>
      </w:r>
      <w:r>
        <w:rPr>
          <w:vertAlign w:val="superscript"/>
        </w:rPr>
        <w:footnoteRef/>
      </w:r>
      <w:r>
        <w:t>)</w:t>
      </w:r>
      <w:r>
        <w:tab/>
        <w:t>Union density is calculated as net union membership as a proportion of wage and salary earners in employment. Employer organisation density is calculated as the proportion of wage and s</w:t>
      </w:r>
      <w:r>
        <w:t>alary earners in firms organised in employers' organisations. Bargaining coverage measures the % of employees covered by collective wage bargaining agreements as a proportion of all employees with the right to bargaining.</w:t>
      </w:r>
    </w:p>
  </w:footnote>
  <w:footnote w:id="26">
    <w:p w:rsidR="003240A1" w:rsidRDefault="00EE321D">
      <w:pPr>
        <w:pStyle w:val="FootnoteText"/>
        <w:rPr>
          <w:lang w:val="en-US"/>
        </w:rPr>
      </w:pPr>
      <w:r>
        <w:t>(</w:t>
      </w:r>
      <w:r>
        <w:rPr>
          <w:vertAlign w:val="superscript"/>
        </w:rPr>
        <w:footnoteRef/>
      </w:r>
      <w:r>
        <w:t>)</w:t>
      </w:r>
      <w:r>
        <w:tab/>
        <w:t>The ratio of total income rece</w:t>
      </w:r>
      <w:r>
        <w:t xml:space="preserve">ived by the 20 % of the population with the highest income (top quintile) to that received by the 20 % of the population with the lowest income (lowest quintile). Income must be understood as </w:t>
      </w:r>
      <w:proofErr w:type="spellStart"/>
      <w:r>
        <w:t>equivalised</w:t>
      </w:r>
      <w:proofErr w:type="spellEnd"/>
      <w:r>
        <w:t xml:space="preserve"> disposable income.</w:t>
      </w:r>
    </w:p>
  </w:footnote>
  <w:footnote w:id="27">
    <w:p w:rsidR="003240A1" w:rsidRDefault="00EE321D">
      <w:pPr>
        <w:pStyle w:val="FootnoteText"/>
      </w:pPr>
      <w:r>
        <w:t>(</w:t>
      </w:r>
      <w:r>
        <w:rPr>
          <w:vertAlign w:val="superscript"/>
        </w:rPr>
        <w:footnoteRef/>
      </w:r>
      <w:r>
        <w:t>)</w:t>
      </w:r>
      <w:r>
        <w:tab/>
      </w:r>
      <w:r>
        <w:rPr>
          <w:lang w:eastAsia="ar-SA"/>
        </w:rPr>
        <w:t>The Gini-coefficient is an in</w:t>
      </w:r>
      <w:r>
        <w:rPr>
          <w:lang w:eastAsia="ar-SA"/>
        </w:rPr>
        <w:t>dicator of income inequality with a value between 0 and 1. Lower values indicate higher equality and high values higher inequality. A value equal to 0 indicates that everybody has the same income,. A value equal to 1 indicates that one person has all the i</w:t>
      </w:r>
      <w:r>
        <w:rPr>
          <w:lang w:eastAsia="ar-SA"/>
        </w:rPr>
        <w:t>ncome in a country.</w:t>
      </w:r>
    </w:p>
  </w:footnote>
  <w:footnote w:id="28">
    <w:p w:rsidR="003240A1" w:rsidRDefault="00EE321D">
      <w:pPr>
        <w:pStyle w:val="FootnoteText"/>
        <w:rPr>
          <w:lang w:val="en-US"/>
        </w:rPr>
      </w:pPr>
      <w:r>
        <w:t>(</w:t>
      </w:r>
      <w:r>
        <w:rPr>
          <w:vertAlign w:val="superscript"/>
        </w:rPr>
        <w:footnoteRef/>
      </w:r>
      <w:r>
        <w:t>)</w:t>
      </w:r>
      <w:r>
        <w:tab/>
      </w:r>
      <w:r>
        <w:rPr>
          <w:lang w:val="en-US"/>
        </w:rPr>
        <w:t xml:space="preserve">For example, </w:t>
      </w:r>
      <w:r>
        <w:rPr>
          <w:lang w:val="en-US"/>
        </w:rPr>
        <w:tab/>
        <w:t xml:space="preserve">management studies are offered by 23 higher education institutions (HEIs) in 40 study </w:t>
      </w:r>
      <w:proofErr w:type="spellStart"/>
      <w:r>
        <w:rPr>
          <w:lang w:val="en-US"/>
        </w:rPr>
        <w:t>programmes</w:t>
      </w:r>
      <w:proofErr w:type="spellEnd"/>
      <w:r>
        <w:rPr>
          <w:lang w:val="en-US"/>
        </w:rPr>
        <w:t xml:space="preserve">; </w:t>
      </w:r>
      <w:r>
        <w:rPr>
          <w:lang w:val="en-US"/>
        </w:rPr>
        <w:tab/>
        <w:t xml:space="preserve">business studies are offered by 20 HEIs in 32 study </w:t>
      </w:r>
      <w:proofErr w:type="spellStart"/>
      <w:r>
        <w:rPr>
          <w:lang w:val="en-US"/>
        </w:rPr>
        <w:t>programmes</w:t>
      </w:r>
      <w:proofErr w:type="spellEnd"/>
      <w:r>
        <w:rPr>
          <w:lang w:val="en-US"/>
        </w:rPr>
        <w:t xml:space="preserve">. (MOSTA, 2016b)  </w:t>
      </w:r>
    </w:p>
  </w:footnote>
  <w:footnote w:id="29">
    <w:p w:rsidR="003240A1" w:rsidRDefault="00EE321D">
      <w:pPr>
        <w:pStyle w:val="FootnoteText"/>
        <w:rPr>
          <w:lang w:val="en-US"/>
        </w:rPr>
      </w:pPr>
      <w:r>
        <w:t>(</w:t>
      </w:r>
      <w:r>
        <w:rPr>
          <w:vertAlign w:val="superscript"/>
        </w:rPr>
        <w:footnoteRef/>
      </w:r>
      <w:r>
        <w:t>)</w:t>
      </w:r>
      <w:r>
        <w:tab/>
        <w:t xml:space="preserve">Public R&amp;D intensity (public R&amp;D </w:t>
      </w:r>
      <w:r>
        <w:t>expenditure as % of GDP) stood at 0.76 in 2015 (EU average: 0.71)</w:t>
      </w:r>
      <w:r>
        <w:rPr>
          <w:i/>
        </w:rPr>
        <w:t>.</w:t>
      </w:r>
    </w:p>
  </w:footnote>
  <w:footnote w:id="30">
    <w:p w:rsidR="003240A1" w:rsidRDefault="00EE321D">
      <w:pPr>
        <w:pStyle w:val="FootnoteText"/>
        <w:rPr>
          <w:lang w:val="en-US"/>
        </w:rPr>
      </w:pPr>
      <w:r>
        <w:t>(</w:t>
      </w:r>
      <w:r>
        <w:rPr>
          <w:vertAlign w:val="superscript"/>
        </w:rPr>
        <w:footnoteRef/>
      </w:r>
      <w:r>
        <w:t>)</w:t>
      </w:r>
      <w:r>
        <w:tab/>
        <w:t>Business enterprise expenditure on R&amp;D (BERD) as % of GDP stood at 0.28 in 2015, with Lithuania ranking 25</w:t>
      </w:r>
      <w:r>
        <w:rPr>
          <w:vertAlign w:val="superscript"/>
        </w:rPr>
        <w:t>th</w:t>
      </w:r>
      <w:r>
        <w:t xml:space="preserve"> in the EU (EU average is 1.30).</w:t>
      </w:r>
    </w:p>
  </w:footnote>
  <w:footnote w:id="31">
    <w:p w:rsidR="003240A1" w:rsidRDefault="00EE321D">
      <w:pPr>
        <w:pStyle w:val="FootnoteText"/>
        <w:rPr>
          <w:lang w:val="en-US"/>
        </w:rPr>
      </w:pPr>
      <w:r>
        <w:t>(</w:t>
      </w:r>
      <w:r>
        <w:rPr>
          <w:vertAlign w:val="superscript"/>
        </w:rPr>
        <w:footnoteRef/>
      </w:r>
      <w:r>
        <w:t>)</w:t>
      </w:r>
      <w:r>
        <w:tab/>
        <w:t>Value added in high-tech and medium-high</w:t>
      </w:r>
      <w:r>
        <w:t>-tech manufacturing and in knowledge-intensive services as % of total value added – 29.7 (ranks 28</w:t>
      </w:r>
      <w:r>
        <w:rPr>
          <w:vertAlign w:val="superscript"/>
        </w:rPr>
        <w:t>th</w:t>
      </w:r>
      <w:r>
        <w:t>), EU: 48. Compare with added value in manufacturing – 19.3 (ranks 8</w:t>
      </w:r>
      <w:r>
        <w:rPr>
          <w:vertAlign w:val="superscript"/>
        </w:rPr>
        <w:t>th</w:t>
      </w:r>
      <w:r>
        <w:t>), EU: 15.5.</w:t>
      </w:r>
    </w:p>
  </w:footnote>
  <w:footnote w:id="32">
    <w:p w:rsidR="003240A1" w:rsidRDefault="00EE321D">
      <w:pPr>
        <w:pStyle w:val="FootnoteText"/>
        <w:rPr>
          <w:lang w:val="en-US"/>
        </w:rPr>
      </w:pPr>
      <w:r>
        <w:t>(</w:t>
      </w:r>
      <w:r>
        <w:rPr>
          <w:vertAlign w:val="superscript"/>
        </w:rPr>
        <w:footnoteRef/>
      </w:r>
      <w:r>
        <w:t>)</w:t>
      </w:r>
      <w:r>
        <w:tab/>
        <w:t>As compared with the EU average of 34 per million of population in 20</w:t>
      </w:r>
      <w:r>
        <w:t>14.</w:t>
      </w:r>
    </w:p>
  </w:footnote>
  <w:footnote w:id="33">
    <w:p w:rsidR="003240A1" w:rsidRDefault="00EE321D">
      <w:pPr>
        <w:pStyle w:val="FootnoteText"/>
        <w:rPr>
          <w:lang w:val="en-US"/>
        </w:rPr>
      </w:pPr>
      <w:r>
        <w:t>(</w:t>
      </w:r>
      <w:r>
        <w:rPr>
          <w:vertAlign w:val="superscript"/>
        </w:rPr>
        <w:footnoteRef/>
      </w:r>
      <w:r>
        <w:t>)</w:t>
      </w:r>
      <w:r>
        <w:tab/>
        <w:t>These infrastructures will require additional ~ EUR 118 million for the upgrading of outdated equipment.</w:t>
      </w:r>
    </w:p>
  </w:footnote>
  <w:footnote w:id="34">
    <w:p w:rsidR="003240A1" w:rsidRDefault="00EE321D">
      <w:pPr>
        <w:pStyle w:val="FootnoteText"/>
        <w:rPr>
          <w:lang w:val="en-US"/>
        </w:rPr>
      </w:pPr>
      <w:r>
        <w:t>(</w:t>
      </w:r>
      <w:r>
        <w:rPr>
          <w:vertAlign w:val="superscript"/>
        </w:rPr>
        <w:footnoteRef/>
      </w:r>
      <w:r>
        <w:t>)</w:t>
      </w:r>
      <w:r>
        <w:tab/>
        <w:t>Scientific publications within the top 10% most cited scientific publications worldwide as % of total scientific publications of the countr</w:t>
      </w:r>
      <w:r>
        <w:t>y: 4.5% (2013), ranks 27</w:t>
      </w:r>
      <w:r>
        <w:rPr>
          <w:vertAlign w:val="superscript"/>
        </w:rPr>
        <w:t xml:space="preserve">st </w:t>
      </w:r>
      <w:r>
        <w:t>among EU Member States. EU average: 10.5%.</w:t>
      </w:r>
    </w:p>
  </w:footnote>
  <w:footnote w:id="35">
    <w:p w:rsidR="003240A1" w:rsidRDefault="00EE321D">
      <w:pPr>
        <w:pStyle w:val="FootnoteText"/>
        <w:rPr>
          <w:lang w:val="en-US"/>
        </w:rPr>
      </w:pPr>
      <w:r>
        <w:t>(</w:t>
      </w:r>
      <w:r>
        <w:rPr>
          <w:vertAlign w:val="superscript"/>
        </w:rPr>
        <w:footnoteRef/>
      </w:r>
      <w:r>
        <w:t>)</w:t>
      </w:r>
      <w:r>
        <w:tab/>
        <w:t>Lithuania is a country with less than 3 million inhabitants and it has 22 universities and 23 colleges.</w:t>
      </w:r>
    </w:p>
  </w:footnote>
  <w:footnote w:id="36">
    <w:p w:rsidR="003240A1" w:rsidRDefault="00EE321D">
      <w:pPr>
        <w:pStyle w:val="FootnoteText"/>
        <w:rPr>
          <w:lang w:val="en-US"/>
        </w:rPr>
      </w:pPr>
      <w:r>
        <w:t>(</w:t>
      </w:r>
      <w:r>
        <w:rPr>
          <w:vertAlign w:val="superscript"/>
        </w:rPr>
        <w:footnoteRef/>
      </w:r>
      <w:r>
        <w:t>)</w:t>
      </w:r>
      <w:r>
        <w:tab/>
        <w:t xml:space="preserve">Only two universities merged and as a result formed the Lithuanian </w:t>
      </w:r>
      <w:r>
        <w:t>University of Health Sciences.</w:t>
      </w:r>
    </w:p>
  </w:footnote>
  <w:footnote w:id="37">
    <w:p w:rsidR="003240A1" w:rsidRDefault="00EE321D">
      <w:pPr>
        <w:pStyle w:val="FootnoteText"/>
      </w:pPr>
      <w:r>
        <w:t>(</w:t>
      </w:r>
      <w:r>
        <w:rPr>
          <w:vertAlign w:val="superscript"/>
        </w:rPr>
        <w:footnoteRef/>
      </w:r>
      <w:r>
        <w:t>)</w:t>
      </w:r>
      <w:r>
        <w:tab/>
        <w:t>New doctoral graduates per thousand population aged 25-34 – 1.11 (2014), ranks 22</w:t>
      </w:r>
      <w:r>
        <w:rPr>
          <w:vertAlign w:val="superscript"/>
        </w:rPr>
        <w:t>nd</w:t>
      </w:r>
      <w:r>
        <w:t>. EU average – 1.97</w:t>
      </w:r>
    </w:p>
  </w:footnote>
  <w:footnote w:id="38">
    <w:p w:rsidR="003240A1" w:rsidRDefault="00EE321D">
      <w:pPr>
        <w:pStyle w:val="FootnoteText"/>
        <w:rPr>
          <w:lang w:val="en-US"/>
        </w:rPr>
      </w:pPr>
      <w:r>
        <w:t>(</w:t>
      </w:r>
      <w:r>
        <w:rPr>
          <w:vertAlign w:val="superscript"/>
        </w:rPr>
        <w:footnoteRef/>
      </w:r>
      <w:r>
        <w:t>)</w:t>
      </w:r>
      <w:r>
        <w:tab/>
        <w:t>Science and Innovation policy reform guidelines were issued by the President's Office and adopted by the parliamen</w:t>
      </w:r>
      <w:r>
        <w:t>t in 2016.</w:t>
      </w:r>
    </w:p>
  </w:footnote>
  <w:footnote w:id="39">
    <w:p w:rsidR="003240A1" w:rsidRDefault="00EE321D">
      <w:pPr>
        <w:pStyle w:val="FootnoteText"/>
        <w:rPr>
          <w:lang w:val="en-US"/>
        </w:rPr>
      </w:pPr>
      <w:r>
        <w:t>(</w:t>
      </w:r>
      <w:r>
        <w:rPr>
          <w:vertAlign w:val="superscript"/>
        </w:rPr>
        <w:footnoteRef/>
      </w:r>
      <w:r>
        <w:t>)</w:t>
      </w:r>
      <w:r>
        <w:tab/>
        <w:t>The Smart Specialisation Coordinating group was set up as platform for stakeholders' involvement in the policy mix. It will continue to work in 2017-2020 and this might improve co-ordination of research and innovation policies.</w:t>
      </w:r>
    </w:p>
  </w:footnote>
  <w:footnote w:id="40">
    <w:p w:rsidR="003240A1" w:rsidRDefault="00EE321D">
      <w:pPr>
        <w:pStyle w:val="FootnoteText"/>
      </w:pPr>
      <w:r>
        <w:t>(</w:t>
      </w:r>
      <w:r>
        <w:rPr>
          <w:rStyle w:val="FootnoteReference"/>
        </w:rPr>
        <w:footnoteRef/>
      </w:r>
      <w:r>
        <w:t>) https://r</w:t>
      </w:r>
      <w:r>
        <w:t xml:space="preserve">io.jrc.ec.europa.eu/en/policy-support-facility </w:t>
      </w:r>
    </w:p>
  </w:footnote>
  <w:footnote w:id="41">
    <w:p w:rsidR="003240A1" w:rsidRDefault="00EE321D">
      <w:pPr>
        <w:pStyle w:val="FootnoteText"/>
        <w:rPr>
          <w:lang w:val="en-US"/>
        </w:rPr>
      </w:pPr>
      <w:r>
        <w:t>(</w:t>
      </w:r>
      <w:r>
        <w:rPr>
          <w:vertAlign w:val="superscript"/>
        </w:rPr>
        <w:footnoteRef/>
      </w:r>
      <w:r>
        <w:t>)</w:t>
      </w:r>
      <w:r>
        <w:tab/>
        <w:t xml:space="preserve">The capacity of electricity </w:t>
      </w:r>
      <w:proofErr w:type="spellStart"/>
      <w:r>
        <w:rPr>
          <w:lang w:val="lv-LV"/>
        </w:rPr>
        <w:t>interconnectors</w:t>
      </w:r>
      <w:proofErr w:type="spellEnd"/>
      <w:r>
        <w:rPr>
          <w:lang w:val="lv-LV"/>
        </w:rPr>
        <w:t xml:space="preserve"> (</w:t>
      </w:r>
      <w:proofErr w:type="spellStart"/>
      <w:r>
        <w:rPr>
          <w:lang w:val="lv-LV"/>
        </w:rPr>
        <w:t>electricity</w:t>
      </w:r>
      <w:proofErr w:type="spellEnd"/>
      <w:r>
        <w:rPr>
          <w:lang w:val="lv-LV"/>
        </w:rPr>
        <w:t xml:space="preserve"> </w:t>
      </w:r>
      <w:proofErr w:type="spellStart"/>
      <w:r>
        <w:rPr>
          <w:lang w:val="lv-LV"/>
        </w:rPr>
        <w:t>lines</w:t>
      </w:r>
      <w:proofErr w:type="spellEnd"/>
      <w:r>
        <w:rPr>
          <w:lang w:val="lv-LV"/>
        </w:rPr>
        <w:t xml:space="preserve">) </w:t>
      </w:r>
      <w:proofErr w:type="spellStart"/>
      <w:r>
        <w:rPr>
          <w:lang w:val="lv-LV"/>
        </w:rPr>
        <w:t>divided</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total</w:t>
      </w:r>
      <w:proofErr w:type="spellEnd"/>
      <w:r>
        <w:rPr>
          <w:lang w:val="lv-LV"/>
        </w:rPr>
        <w:t xml:space="preserve"> </w:t>
      </w:r>
      <w:proofErr w:type="spellStart"/>
      <w:r>
        <w:rPr>
          <w:lang w:val="lv-LV"/>
        </w:rPr>
        <w:t>installed</w:t>
      </w:r>
      <w:proofErr w:type="spellEnd"/>
      <w:r>
        <w:rPr>
          <w:lang w:val="lv-LV"/>
        </w:rPr>
        <w:t xml:space="preserve"> </w:t>
      </w:r>
      <w:proofErr w:type="spellStart"/>
      <w:r>
        <w:rPr>
          <w:lang w:val="lv-LV"/>
        </w:rPr>
        <w:t>capacity</w:t>
      </w:r>
      <w:proofErr w:type="spellEnd"/>
      <w:r>
        <w:rPr>
          <w:lang w:val="lv-LV"/>
        </w:rPr>
        <w:t>.</w:t>
      </w:r>
    </w:p>
  </w:footnote>
  <w:footnote w:id="42">
    <w:p w:rsidR="003240A1" w:rsidRDefault="00EE321D">
      <w:pPr>
        <w:pStyle w:val="FootnoteText"/>
        <w:rPr>
          <w:lang w:val="en-US"/>
        </w:rPr>
      </w:pPr>
      <w:r>
        <w:t>(</w:t>
      </w:r>
      <w:r>
        <w:rPr>
          <w:vertAlign w:val="superscript"/>
        </w:rPr>
        <w:footnoteRef/>
      </w:r>
      <w:r>
        <w:t>)</w:t>
      </w:r>
      <w:r>
        <w:tab/>
        <w:t>Combined cross-border capacity amounts of 2200 MW.</w:t>
      </w:r>
    </w:p>
  </w:footnote>
  <w:footnote w:id="43">
    <w:p w:rsidR="003240A1" w:rsidRDefault="00EE321D">
      <w:pPr>
        <w:pStyle w:val="FootnoteText"/>
        <w:rPr>
          <w:lang w:val="en-US"/>
        </w:rPr>
      </w:pPr>
      <w:r>
        <w:t>(</w:t>
      </w:r>
      <w:r>
        <w:rPr>
          <w:vertAlign w:val="superscript"/>
        </w:rPr>
        <w:footnoteRef/>
      </w:r>
      <w:r>
        <w:t>)</w:t>
      </w:r>
      <w:r>
        <w:tab/>
        <w:t xml:space="preserve">For its Europe 2020 target, Lithuania's </w:t>
      </w:r>
      <w:r>
        <w:t xml:space="preserve">agreed not to increase its greenhouse gas emissions by more than 15% in 2020 compared to 2005. </w:t>
      </w:r>
    </w:p>
  </w:footnote>
  <w:footnote w:id="44">
    <w:p w:rsidR="003240A1" w:rsidRDefault="00EE321D">
      <w:pPr>
        <w:pStyle w:val="FootnoteText"/>
      </w:pPr>
      <w:r>
        <w:t>(</w:t>
      </w:r>
      <w:r>
        <w:rPr>
          <w:vertAlign w:val="superscript"/>
        </w:rPr>
        <w:footnoteRef/>
      </w:r>
      <w:r>
        <w:t>)</w:t>
      </w:r>
      <w:r>
        <w:tab/>
        <w:t xml:space="preserve">The average age of passenger cars in Lithuania is around 15 years while it is between 7 and 8 years in the EU. </w:t>
      </w:r>
    </w:p>
    <w:p w:rsidR="003240A1" w:rsidRDefault="00EE321D">
      <w:pPr>
        <w:pStyle w:val="FootnoteText"/>
        <w:rPr>
          <w:lang w:val="en-US"/>
        </w:rPr>
      </w:pPr>
      <w:r>
        <w:t>New passenger car emissions are 135.82 g CO2</w:t>
      </w:r>
      <w:r>
        <w:t>/km against the EU average of 123.40 g CO2/km.</w:t>
      </w:r>
    </w:p>
  </w:footnote>
  <w:footnote w:id="45">
    <w:p w:rsidR="003240A1" w:rsidRDefault="00EE321D">
      <w:pPr>
        <w:pStyle w:val="FootnoteText"/>
        <w:rPr>
          <w:lang w:val="en-US"/>
        </w:rPr>
      </w:pPr>
      <w:r>
        <w:t>(</w:t>
      </w:r>
      <w:r>
        <w:rPr>
          <w:vertAlign w:val="superscript"/>
        </w:rPr>
        <w:footnoteRef/>
      </w:r>
      <w:r>
        <w:t>)</w:t>
      </w:r>
      <w:r>
        <w:tab/>
        <w:t>In 91% of all waste was landfilled, in 2015 54% of waste was landfilled</w:t>
      </w:r>
    </w:p>
  </w:footnote>
  <w:footnote w:id="46">
    <w:p w:rsidR="003240A1" w:rsidRDefault="00EE321D">
      <w:pPr>
        <w:pStyle w:val="FootnoteText"/>
        <w:rPr>
          <w:lang w:val="en-US"/>
        </w:rPr>
      </w:pPr>
      <w:r>
        <w:t>(</w:t>
      </w:r>
      <w:r>
        <w:rPr>
          <w:vertAlign w:val="superscript"/>
        </w:rPr>
        <w:footnoteRef/>
      </w:r>
      <w:r>
        <w:t>)</w:t>
      </w:r>
      <w:r>
        <w:tab/>
        <w:t>50% of all waste should be recycled</w:t>
      </w:r>
    </w:p>
  </w:footnote>
  <w:footnote w:id="47">
    <w:p w:rsidR="003240A1" w:rsidRDefault="00EE321D">
      <w:pPr>
        <w:pStyle w:val="FootnoteText"/>
        <w:rPr>
          <w:lang w:val="en-US"/>
        </w:rPr>
      </w:pPr>
      <w:r>
        <w:t>(</w:t>
      </w:r>
      <w:r>
        <w:rPr>
          <w:vertAlign w:val="superscript"/>
        </w:rPr>
        <w:footnoteRef/>
      </w:r>
      <w:r>
        <w:t>)</w:t>
      </w:r>
      <w:r>
        <w:tab/>
        <w:t xml:space="preserve">From 3 EUR/t to 27.51 EUR/t for non-hazardous waste, and from 47.79 EUR/t to 70.96 EUR/t </w:t>
      </w:r>
      <w:r>
        <w:t>for hazardous waste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 xml:space="preserve">3.5. </w:t>
    </w:r>
    <w:proofErr w:type="spellStart"/>
    <w:r>
      <w:t>Sectoral</w:t>
    </w:r>
    <w:proofErr w:type="spellEnd"/>
    <w:r>
      <w:t xml:space="preserve">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1D" w:rsidRPr="00EE321D" w:rsidRDefault="00EE321D" w:rsidP="00EE321D">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3.6. Public administration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References</w:t>
    </w:r>
  </w:p>
  <w:p w:rsidR="003240A1" w:rsidRDefault="003240A1">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EE321D">
    <w:pPr>
      <w:pStyle w:val="HeaderTitleRight"/>
    </w:pPr>
    <w:r>
      <w:t>Executive</w:t>
    </w:r>
    <w:r>
      <w:t xml:space="preserve"> summary</w:t>
    </w:r>
  </w:p>
  <w:p w:rsidR="003240A1" w:rsidRDefault="003240A1">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A1" w:rsidRDefault="00324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B5D40FAA"/>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6"/>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4F244865718040C3BF0C58A70EB3FB16"/>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_x000b_"/>
    <w:docVar w:name="LW_PART_NBR" w:val="1"/>
    <w:docVar w:name="LW_PART_NBR_TOTAL" w:val="1"/>
    <w:docVar w:name="LW_REF.INST.NEW" w:val="SWD"/>
    <w:docVar w:name="LW_REF.INST.NEW_ADOPTED" w:val="final"/>
    <w:docVar w:name="LW_REF.INST.NEW_TEXT" w:val="(2017) 80"/>
    <w:docVar w:name="LW_REF.INTERNE" w:val="&lt;UNUSED&gt;"/>
    <w:docVar w:name="LW_SUPERTITRE" w:val="&lt;UNUSED&gt;"/>
    <w:docVar w:name="LW_TITRE.OBJ.CP" w:val="Country Report Lithuania 2017"/>
    <w:docVar w:name="LW_TYPE.DOC.CP" w:val="COMMISSION STAFF WORKING DOCUMENT"/>
    <w:docVar w:name="LW_TYPEACTEPRINCIPAL.CP" w:val="COMMUNICATION FROM THE COMMISSION TO THE EUROPEAN PARLIAMENT, THE COUNCIL, THE EUROPEAN CENTRAL BANK AND THE EUROGROUP_x000b__x000b_"/>
  </w:docVars>
  <w:rsids>
    <w:rsidRoot w:val="003240A1"/>
    <w:rsid w:val="003240A1"/>
    <w:rsid w:val="00EE3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1625">
      <w:bodyDiv w:val="1"/>
      <w:marLeft w:val="0"/>
      <w:marRight w:val="0"/>
      <w:marTop w:val="0"/>
      <w:marBottom w:val="0"/>
      <w:divBdr>
        <w:top w:val="none" w:sz="0" w:space="0" w:color="auto"/>
        <w:left w:val="none" w:sz="0" w:space="0" w:color="auto"/>
        <w:bottom w:val="none" w:sz="0" w:space="0" w:color="auto"/>
        <w:right w:val="none" w:sz="0" w:space="0" w:color="auto"/>
      </w:divBdr>
    </w:div>
    <w:div w:id="20036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footer" Target="footer37.xml"/><Relationship Id="rId21" Type="http://schemas.openxmlformats.org/officeDocument/2006/relationships/footer" Target="footer6.xml"/><Relationship Id="rId42" Type="http://schemas.openxmlformats.org/officeDocument/2006/relationships/footer" Target="footer12.xml"/><Relationship Id="rId47" Type="http://schemas.openxmlformats.org/officeDocument/2006/relationships/footer" Target="footer13.xml"/><Relationship Id="rId63" Type="http://schemas.openxmlformats.org/officeDocument/2006/relationships/footer" Target="footer20.xml"/><Relationship Id="rId68" Type="http://schemas.openxmlformats.org/officeDocument/2006/relationships/image" Target="media/image18.emf"/><Relationship Id="rId84" Type="http://schemas.openxmlformats.org/officeDocument/2006/relationships/footer" Target="footer24.xml"/><Relationship Id="rId89" Type="http://schemas.openxmlformats.org/officeDocument/2006/relationships/header" Target="header26.xml"/><Relationship Id="rId112" Type="http://schemas.openxmlformats.org/officeDocument/2006/relationships/header" Target="header36.xml"/><Relationship Id="rId133" Type="http://schemas.openxmlformats.org/officeDocument/2006/relationships/hyperlink" Target="http://ec.europa.eu/europe2020/pdf/csr2016/cr2016_lithuania_en.pdf" TargetMode="External"/><Relationship Id="rId138" Type="http://schemas.openxmlformats.org/officeDocument/2006/relationships/hyperlink" Target="https://ec.europa.eu/transport/road_safety/sites/roadsafety/files/roadsafety_scoreboard_2015.pdf" TargetMode="External"/><Relationship Id="rId154" Type="http://schemas.openxmlformats.org/officeDocument/2006/relationships/header" Target="header43.xml"/><Relationship Id="rId159" Type="http://schemas.openxmlformats.org/officeDocument/2006/relationships/footer" Target="footer45.xml"/><Relationship Id="rId16" Type="http://schemas.openxmlformats.org/officeDocument/2006/relationships/header" Target="header4.xml"/><Relationship Id="rId107" Type="http://schemas.openxmlformats.org/officeDocument/2006/relationships/footer" Target="footer33.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0.xml"/><Relationship Id="rId53" Type="http://schemas.openxmlformats.org/officeDocument/2006/relationships/header" Target="header16.xml"/><Relationship Id="rId58" Type="http://schemas.openxmlformats.org/officeDocument/2006/relationships/footer" Target="footer18.xml"/><Relationship Id="rId74" Type="http://schemas.openxmlformats.org/officeDocument/2006/relationships/image" Target="media/image24.emf"/><Relationship Id="rId79" Type="http://schemas.openxmlformats.org/officeDocument/2006/relationships/header" Target="header22.xml"/><Relationship Id="rId102" Type="http://schemas.openxmlformats.org/officeDocument/2006/relationships/header" Target="header31.xml"/><Relationship Id="rId123" Type="http://schemas.openxmlformats.org/officeDocument/2006/relationships/image" Target="media/image37.emf"/><Relationship Id="rId128" Type="http://schemas.openxmlformats.org/officeDocument/2006/relationships/footer" Target="footer40.xml"/><Relationship Id="rId144" Type="http://schemas.openxmlformats.org/officeDocument/2006/relationships/hyperlink" Target="http://www.llri.lt/naujienos/ekonomine-politika/z-silenas-kiek-uzdirba-mokytojas-lietuvoje/zilvinas-silenas" TargetMode="External"/><Relationship Id="rId149" Type="http://schemas.openxmlformats.org/officeDocument/2006/relationships/hyperlink" Target="http://dx.doi.org/10.1787/eco_surveys-ltu-2016-en" TargetMode="External"/><Relationship Id="rId5" Type="http://schemas.openxmlformats.org/officeDocument/2006/relationships/settings" Target="settings.xml"/><Relationship Id="rId90" Type="http://schemas.openxmlformats.org/officeDocument/2006/relationships/footer" Target="footer25.xml"/><Relationship Id="rId95" Type="http://schemas.openxmlformats.org/officeDocument/2006/relationships/image" Target="media/image33.emf"/><Relationship Id="rId160" Type="http://schemas.openxmlformats.org/officeDocument/2006/relationships/fontTable" Target="fontTable.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image" Target="media/image11.emf"/><Relationship Id="rId48" Type="http://schemas.openxmlformats.org/officeDocument/2006/relationships/footer" Target="footer14.xml"/><Relationship Id="rId64" Type="http://schemas.openxmlformats.org/officeDocument/2006/relationships/header" Target="header21.xml"/><Relationship Id="rId69" Type="http://schemas.openxmlformats.org/officeDocument/2006/relationships/image" Target="media/image19.emf"/><Relationship Id="rId113" Type="http://schemas.openxmlformats.org/officeDocument/2006/relationships/footer" Target="footer36.xml"/><Relationship Id="rId118" Type="http://schemas.openxmlformats.org/officeDocument/2006/relationships/footer" Target="footer38.xml"/><Relationship Id="rId134" Type="http://schemas.openxmlformats.org/officeDocument/2006/relationships/hyperlink" Target="http://europa.eu/rapid/press-release_IP-15-2940_en.htm" TargetMode="External"/><Relationship Id="rId139" Type="http://schemas.openxmlformats.org/officeDocument/2006/relationships/hyperlink" Target="http://ec.europa.eu/newsroom/dae/document.cfm?action=display&amp;doc_id=17855" TargetMode="External"/><Relationship Id="rId80" Type="http://schemas.openxmlformats.org/officeDocument/2006/relationships/header" Target="header23.xml"/><Relationship Id="rId85" Type="http://schemas.openxmlformats.org/officeDocument/2006/relationships/image" Target="media/image29.emf"/><Relationship Id="rId150" Type="http://schemas.openxmlformats.org/officeDocument/2006/relationships/hyperlink" Target="https://www.lb.lt/n26698/friedrich_11-24.pdf" TargetMode="External"/><Relationship Id="rId155" Type="http://schemas.openxmlformats.org/officeDocument/2006/relationships/header" Target="header44.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1.xml"/><Relationship Id="rId59" Type="http://schemas.openxmlformats.org/officeDocument/2006/relationships/image" Target="media/image15.emf"/><Relationship Id="rId103" Type="http://schemas.openxmlformats.org/officeDocument/2006/relationships/header" Target="header32.xml"/><Relationship Id="rId108" Type="http://schemas.openxmlformats.org/officeDocument/2006/relationships/header" Target="header34.xml"/><Relationship Id="rId124" Type="http://schemas.openxmlformats.org/officeDocument/2006/relationships/image" Target="media/image38.emf"/><Relationship Id="rId129" Type="http://schemas.openxmlformats.org/officeDocument/2006/relationships/footer" Target="footer41.xml"/><Relationship Id="rId20" Type="http://schemas.openxmlformats.org/officeDocument/2006/relationships/header" Target="header6.xml"/><Relationship Id="rId41" Type="http://schemas.openxmlformats.org/officeDocument/2006/relationships/header" Target="header12.xml"/><Relationship Id="rId54" Type="http://schemas.openxmlformats.org/officeDocument/2006/relationships/header" Target="header17.xml"/><Relationship Id="rId62" Type="http://schemas.openxmlformats.org/officeDocument/2006/relationships/footer" Target="footer19.xml"/><Relationship Id="rId70" Type="http://schemas.openxmlformats.org/officeDocument/2006/relationships/image" Target="media/image20.emf"/><Relationship Id="rId75" Type="http://schemas.openxmlformats.org/officeDocument/2006/relationships/image" Target="media/image25.emf"/><Relationship Id="rId83" Type="http://schemas.openxmlformats.org/officeDocument/2006/relationships/header" Target="header24.xml"/><Relationship Id="rId88" Type="http://schemas.openxmlformats.org/officeDocument/2006/relationships/header" Target="header25.xml"/><Relationship Id="rId91" Type="http://schemas.openxmlformats.org/officeDocument/2006/relationships/footer" Target="footer26.xml"/><Relationship Id="rId96" Type="http://schemas.openxmlformats.org/officeDocument/2006/relationships/header" Target="header28.xml"/><Relationship Id="rId111" Type="http://schemas.openxmlformats.org/officeDocument/2006/relationships/footer" Target="footer35.xml"/><Relationship Id="rId132" Type="http://schemas.openxmlformats.org/officeDocument/2006/relationships/hyperlink" Target="http://ec.europa.eu/europe2020/challenges-to-member-states-investment-environments/index_en.htm" TargetMode="External"/><Relationship Id="rId140" Type="http://schemas.openxmlformats.org/officeDocument/2006/relationships/hyperlink" Target="http://ec.europa.eu/transparency/regexpert/index.cfm?do=groupDetail.groupDetailDoc&amp;id=21215&amp;no=2" TargetMode="External"/><Relationship Id="rId145" Type="http://schemas.openxmlformats.org/officeDocument/2006/relationships/hyperlink" Target="http://www.mosta.lt/images/Priemimas_2016_09_27.pdf" TargetMode="External"/><Relationship Id="rId153" Type="http://schemas.openxmlformats.org/officeDocument/2006/relationships/hyperlink" Target="http://skaidrumas.lt/savivaldybiuimones"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header" Target="header15.xml"/><Relationship Id="rId57" Type="http://schemas.openxmlformats.org/officeDocument/2006/relationships/header" Target="header18.xml"/><Relationship Id="rId106" Type="http://schemas.openxmlformats.org/officeDocument/2006/relationships/header" Target="header33.xml"/><Relationship Id="rId114" Type="http://schemas.openxmlformats.org/officeDocument/2006/relationships/image" Target="media/image34.emf"/><Relationship Id="rId119" Type="http://schemas.openxmlformats.org/officeDocument/2006/relationships/header" Target="header39.xml"/><Relationship Id="rId127" Type="http://schemas.openxmlformats.org/officeDocument/2006/relationships/header" Target="header41.xml"/><Relationship Id="rId10" Type="http://schemas.openxmlformats.org/officeDocument/2006/relationships/header" Target="header1.xml"/><Relationship Id="rId31" Type="http://schemas.openxmlformats.org/officeDocument/2006/relationships/image" Target="media/image5.emf"/><Relationship Id="rId44" Type="http://schemas.openxmlformats.org/officeDocument/2006/relationships/image" Target="media/image12.emf"/><Relationship Id="rId52" Type="http://schemas.openxmlformats.org/officeDocument/2006/relationships/image" Target="media/image14.emf"/><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image" Target="media/image23.emf"/><Relationship Id="rId78" Type="http://schemas.openxmlformats.org/officeDocument/2006/relationships/image" Target="media/image28.emf"/><Relationship Id="rId81" Type="http://schemas.openxmlformats.org/officeDocument/2006/relationships/footer" Target="footer22.xml"/><Relationship Id="rId86" Type="http://schemas.openxmlformats.org/officeDocument/2006/relationships/image" Target="media/image30.emf"/><Relationship Id="rId94" Type="http://schemas.openxmlformats.org/officeDocument/2006/relationships/image" Target="media/image32.emf"/><Relationship Id="rId99" Type="http://schemas.openxmlformats.org/officeDocument/2006/relationships/footer" Target="footer29.xml"/><Relationship Id="rId101" Type="http://schemas.openxmlformats.org/officeDocument/2006/relationships/footer" Target="footer30.xml"/><Relationship Id="rId122" Type="http://schemas.openxmlformats.org/officeDocument/2006/relationships/image" Target="media/image36.emf"/><Relationship Id="rId130" Type="http://schemas.openxmlformats.org/officeDocument/2006/relationships/header" Target="header42.xml"/><Relationship Id="rId135" Type="http://schemas.openxmlformats.org/officeDocument/2006/relationships/hyperlink" Target="http://ec.europa.eu/DocsRoom/documents/17822" TargetMode="External"/><Relationship Id="rId143" Type="http://schemas.openxmlformats.org/officeDocument/2006/relationships/hyperlink" Target="https://e-seimas.lrs.lt/portal/legalAct/lt/TAD/a66c0760b04011e3bf53dc70cf7669d9" TargetMode="External"/><Relationship Id="rId148" Type="http://schemas.openxmlformats.org/officeDocument/2006/relationships/hyperlink" Target="http://dx.doi.org/10.1787/9789264266490-en" TargetMode="External"/><Relationship Id="rId151" Type="http://schemas.openxmlformats.org/officeDocument/2006/relationships/hyperlink" Target="http://skillspanorama.cedefop.europa.eu/en/analytical_highligths/lithuania-mismatch-priority-occupations" TargetMode="External"/><Relationship Id="rId156" Type="http://schemas.openxmlformats.org/officeDocument/2006/relationships/footer" Target="footer43.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header" Target="header35.xml"/><Relationship Id="rId34" Type="http://schemas.openxmlformats.org/officeDocument/2006/relationships/image" Target="media/image8.emf"/><Relationship Id="rId50" Type="http://schemas.openxmlformats.org/officeDocument/2006/relationships/footer" Target="footer15.xml"/><Relationship Id="rId55" Type="http://schemas.openxmlformats.org/officeDocument/2006/relationships/footer" Target="footer16.xml"/><Relationship Id="rId76" Type="http://schemas.openxmlformats.org/officeDocument/2006/relationships/image" Target="media/image26.emf"/><Relationship Id="rId97" Type="http://schemas.openxmlformats.org/officeDocument/2006/relationships/header" Target="header29.xml"/><Relationship Id="rId104" Type="http://schemas.openxmlformats.org/officeDocument/2006/relationships/footer" Target="footer31.xml"/><Relationship Id="rId120" Type="http://schemas.openxmlformats.org/officeDocument/2006/relationships/footer" Target="footer39.xml"/><Relationship Id="rId125" Type="http://schemas.openxmlformats.org/officeDocument/2006/relationships/image" Target="media/image39.emf"/><Relationship Id="rId141" Type="http://schemas.openxmlformats.org/officeDocument/2006/relationships/hyperlink" Target="http://ec.europa.eu/growth/access-to-finance/data-surveys/" TargetMode="External"/><Relationship Id="rId146" Type="http://schemas.openxmlformats.org/officeDocument/2006/relationships/hyperlink" Target="http://www.mosta.lt/images/leidiniai/Lietuvos_mokslo_ir_studiju_bukle_2016.pdf" TargetMode="External"/><Relationship Id="rId7" Type="http://schemas.openxmlformats.org/officeDocument/2006/relationships/footnotes" Target="footnotes.xml"/><Relationship Id="rId71" Type="http://schemas.openxmlformats.org/officeDocument/2006/relationships/image" Target="media/image21.emf"/><Relationship Id="rId92" Type="http://schemas.openxmlformats.org/officeDocument/2006/relationships/header" Target="header27.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1.xml"/><Relationship Id="rId45" Type="http://schemas.openxmlformats.org/officeDocument/2006/relationships/header" Target="header13.xml"/><Relationship Id="rId66" Type="http://schemas.openxmlformats.org/officeDocument/2006/relationships/image" Target="media/image16.emf"/><Relationship Id="rId87" Type="http://schemas.openxmlformats.org/officeDocument/2006/relationships/image" Target="media/image31.emf"/><Relationship Id="rId110" Type="http://schemas.openxmlformats.org/officeDocument/2006/relationships/footer" Target="footer34.xml"/><Relationship Id="rId115" Type="http://schemas.openxmlformats.org/officeDocument/2006/relationships/header" Target="header37.xml"/><Relationship Id="rId131" Type="http://schemas.openxmlformats.org/officeDocument/2006/relationships/footer" Target="footer42.xml"/><Relationship Id="rId136" Type="http://schemas.openxmlformats.org/officeDocument/2006/relationships/hyperlink" Target="https://ec.europa.eu/digital-single-market/en/desi" TargetMode="External"/><Relationship Id="rId157" Type="http://schemas.openxmlformats.org/officeDocument/2006/relationships/footer" Target="footer44.xml"/><Relationship Id="rId61" Type="http://schemas.openxmlformats.org/officeDocument/2006/relationships/header" Target="header20.xml"/><Relationship Id="rId82" Type="http://schemas.openxmlformats.org/officeDocument/2006/relationships/footer" Target="footer23.xml"/><Relationship Id="rId152" Type="http://schemas.openxmlformats.org/officeDocument/2006/relationships/hyperlink" Target="http://www.mosta.lt/en/projects/other-projects/valleys-and-jrp"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7.xml"/><Relationship Id="rId77" Type="http://schemas.openxmlformats.org/officeDocument/2006/relationships/image" Target="media/image27.emf"/><Relationship Id="rId100" Type="http://schemas.openxmlformats.org/officeDocument/2006/relationships/header" Target="header30.xml"/><Relationship Id="rId105" Type="http://schemas.openxmlformats.org/officeDocument/2006/relationships/footer" Target="footer32.xml"/><Relationship Id="rId126" Type="http://schemas.openxmlformats.org/officeDocument/2006/relationships/header" Target="header40.xml"/><Relationship Id="rId147" Type="http://schemas.openxmlformats.org/officeDocument/2006/relationships/hyperlink" Target="http://www.egzaminai.lt/591/" TargetMode="External"/><Relationship Id="rId8" Type="http://schemas.openxmlformats.org/officeDocument/2006/relationships/endnotes" Target="endnotes.xml"/><Relationship Id="rId51" Type="http://schemas.openxmlformats.org/officeDocument/2006/relationships/image" Target="media/image13.emf"/><Relationship Id="rId72" Type="http://schemas.openxmlformats.org/officeDocument/2006/relationships/image" Target="media/image22.emf"/><Relationship Id="rId93" Type="http://schemas.openxmlformats.org/officeDocument/2006/relationships/footer" Target="footer27.xml"/><Relationship Id="rId98" Type="http://schemas.openxmlformats.org/officeDocument/2006/relationships/footer" Target="footer28.xml"/><Relationship Id="rId121" Type="http://schemas.openxmlformats.org/officeDocument/2006/relationships/image" Target="media/image35.emf"/><Relationship Id="rId142" Type="http://schemas.openxmlformats.org/officeDocument/2006/relationships/hyperlink" Target="http://www.eea.europa.eu/data-and-maps/data/co2-cars-emission-8" TargetMode="Externa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4.xml"/><Relationship Id="rId67" Type="http://schemas.openxmlformats.org/officeDocument/2006/relationships/image" Target="media/image17.emf"/><Relationship Id="rId116" Type="http://schemas.openxmlformats.org/officeDocument/2006/relationships/header" Target="header38.xml"/><Relationship Id="rId137" Type="http://schemas.openxmlformats.org/officeDocument/2006/relationships/hyperlink" Target="https://ec.europa.eu/transport/facts-fundings/statistics/pocketbook-2016_en" TargetMode="External"/><Relationship Id="rId158"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4CD30-AD06-48F5-9133-EBF4DF19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18118</Words>
  <Characters>102457</Characters>
  <Application>Microsoft Office Word</Application>
  <DocSecurity>0</DocSecurity>
  <Lines>2711</Lines>
  <Paragraphs>438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17</cp:revision>
  <cp:lastPrinted>2017-01-18T19:41:00Z</cp:lastPrinted>
  <dcterms:created xsi:type="dcterms:W3CDTF">2017-02-21T10:08:00Z</dcterms:created>
  <dcterms:modified xsi:type="dcterms:W3CDTF">2017-02-21T14:08:00Z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