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B3" w:rsidRDefault="00AD0641">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2D5FF3FA8D24C9BB0DF629E7B42F1F9" style="width:450pt;height:293.25pt">
            <v:imagedata r:id="rId9" o:title=""/>
          </v:shape>
        </w:pict>
      </w:r>
    </w:p>
    <w:bookmarkEnd w:id="0"/>
    <w:p w:rsidR="00FC79B3" w:rsidRDefault="00FC79B3">
      <w:pPr>
        <w:rPr>
          <w:noProof/>
          <w:lang w:val="fr-FR"/>
        </w:rPr>
        <w:sectPr w:rsidR="00FC79B3">
          <w:headerReference w:type="even" r:id="rId10"/>
          <w:headerReference w:type="default" r:id="rId11"/>
          <w:footerReference w:type="even" r:id="rId12"/>
          <w:footerReference w:type="default" r:id="rId13"/>
          <w:headerReference w:type="first" r:id="rId14"/>
          <w:footerReference w:type="first" r:id="rId15"/>
          <w:pgSz w:w="11909" w:h="16834"/>
          <w:pgMar w:top="1134" w:right="1417" w:bottom="1134" w:left="1417" w:header="709" w:footer="709" w:gutter="0"/>
          <w:pgNumType w:start="1"/>
          <w:cols w:space="720"/>
          <w:docGrid w:linePitch="360"/>
        </w:sectPr>
      </w:pPr>
    </w:p>
    <w:p w:rsidR="00FC79B3" w:rsidRDefault="002A6CE7">
      <w:pPr>
        <w:pStyle w:val="TOCHeading"/>
        <w:rPr>
          <w:rStyle w:val="En-tte1"/>
          <w:noProof/>
          <w:color w:val="auto"/>
          <w:lang w:val="fr-FR"/>
        </w:rPr>
      </w:pPr>
      <w:bookmarkStart w:id="1" w:name="_Toc444506142"/>
      <w:bookmarkStart w:id="2" w:name="_Toc469591163"/>
      <w:bookmarkStart w:id="3" w:name="_Toc471909124"/>
      <w:r>
        <w:rPr>
          <w:rStyle w:val="En-tte1"/>
          <w:noProof/>
          <w:color w:val="auto"/>
          <w:lang w:val="fr-FR"/>
        </w:rPr>
        <w:lastRenderedPageBreak/>
        <w:t>TABLE DES MATIÈRES</w:t>
      </w:r>
      <w:bookmarkEnd w:id="1"/>
      <w:bookmarkEnd w:id="2"/>
      <w:bookmarkEnd w:id="3"/>
    </w:p>
    <w:p w:rsidR="00FC79B3" w:rsidRDefault="00FC79B3">
      <w:pPr>
        <w:rPr>
          <w:noProof/>
          <w:lang w:val="fr-FR" w:eastAsia="ja-JP"/>
        </w:rPr>
      </w:pPr>
    </w:p>
    <w:p w:rsidR="00FC79B3" w:rsidRDefault="002A6CE7">
      <w:pPr>
        <w:pStyle w:val="TOC1"/>
        <w:tabs>
          <w:tab w:val="right" w:leader="dot" w:pos="9063"/>
        </w:tabs>
        <w:rPr>
          <w:rFonts w:asciiTheme="minorHAnsi" w:eastAsiaTheme="minorEastAsia" w:hAnsiTheme="minorHAnsi" w:cstheme="minorBidi"/>
          <w:noProof/>
          <w:color w:val="auto"/>
          <w:sz w:val="22"/>
          <w:szCs w:val="22"/>
        </w:rPr>
      </w:pPr>
      <w:r>
        <w:rPr>
          <w:rStyle w:val="En-tte1"/>
          <w:b/>
          <w:bCs/>
          <w:noProof/>
          <w:lang w:val="fr-FR"/>
        </w:rPr>
        <w:fldChar w:fldCharType="begin"/>
      </w:r>
      <w:r>
        <w:rPr>
          <w:rStyle w:val="En-tte1"/>
          <w:b/>
          <w:bCs/>
          <w:noProof/>
          <w:lang w:val="fr-FR"/>
        </w:rPr>
        <w:instrText xml:space="preserve"> TOC \o "1-2" \h \z \u </w:instrText>
      </w:r>
      <w:r>
        <w:rPr>
          <w:rStyle w:val="En-tte1"/>
          <w:b/>
          <w:bCs/>
          <w:noProof/>
          <w:lang w:val="fr-FR"/>
        </w:rPr>
        <w:fldChar w:fldCharType="separate"/>
      </w:r>
    </w:p>
    <w:p w:rsidR="00FC79B3" w:rsidRDefault="002A6CE7">
      <w:pPr>
        <w:pStyle w:val="TOC1"/>
        <w:tabs>
          <w:tab w:val="left" w:pos="880"/>
          <w:tab w:val="right" w:leader="dot" w:pos="9063"/>
        </w:tabs>
        <w:rPr>
          <w:rFonts w:asciiTheme="minorHAnsi" w:eastAsiaTheme="minorEastAsia" w:hAnsiTheme="minorHAnsi" w:cstheme="minorBidi"/>
          <w:noProof/>
          <w:color w:val="auto"/>
          <w:sz w:val="22"/>
          <w:szCs w:val="22"/>
        </w:rPr>
      </w:pPr>
      <w:hyperlink w:anchor="_Toc471909125" w:history="1">
        <w:r>
          <w:rPr>
            <w:rStyle w:val="Hyperlink"/>
            <w:noProof/>
            <w:lang w:val="fr-FR"/>
          </w:rPr>
          <w:t>1</w:t>
        </w:r>
        <w:r>
          <w:rPr>
            <w:rFonts w:asciiTheme="minorHAnsi" w:eastAsiaTheme="minorEastAsia" w:hAnsiTheme="minorHAnsi" w:cstheme="minorBidi"/>
            <w:noProof/>
            <w:color w:val="auto"/>
            <w:sz w:val="22"/>
            <w:szCs w:val="22"/>
          </w:rPr>
          <w:tab/>
        </w:r>
        <w:r>
          <w:rPr>
            <w:rStyle w:val="Hyperlink"/>
            <w:noProof/>
            <w:lang w:val="fr-FR"/>
          </w:rPr>
          <w:t>INTRODUCTION</w:t>
        </w:r>
        <w:r>
          <w:rPr>
            <w:noProof/>
            <w:webHidden/>
          </w:rPr>
          <w:tab/>
        </w:r>
        <w:r>
          <w:rPr>
            <w:noProof/>
            <w:webHidden/>
          </w:rPr>
          <w:fldChar w:fldCharType="begin"/>
        </w:r>
        <w:r>
          <w:rPr>
            <w:noProof/>
            <w:webHidden/>
          </w:rPr>
          <w:instrText xml:space="preserve"> PAGEREF _Toc471909125 \h </w:instrText>
        </w:r>
        <w:r>
          <w:rPr>
            <w:noProof/>
            <w:webHidden/>
          </w:rPr>
        </w:r>
        <w:r>
          <w:rPr>
            <w:noProof/>
            <w:webHidden/>
          </w:rPr>
          <w:fldChar w:fldCharType="separate"/>
        </w:r>
        <w:r>
          <w:rPr>
            <w:noProof/>
            <w:webHidden/>
          </w:rPr>
          <w:t>3</w:t>
        </w:r>
        <w:r>
          <w:rPr>
            <w:noProof/>
            <w:webHidden/>
          </w:rPr>
          <w:fldChar w:fldCharType="end"/>
        </w:r>
      </w:hyperlink>
    </w:p>
    <w:p w:rsidR="00FC79B3" w:rsidRDefault="002A6CE7">
      <w:pPr>
        <w:pStyle w:val="TOC2"/>
        <w:tabs>
          <w:tab w:val="left" w:pos="880"/>
          <w:tab w:val="right" w:leader="dot" w:pos="9063"/>
        </w:tabs>
        <w:rPr>
          <w:rFonts w:asciiTheme="minorHAnsi" w:eastAsiaTheme="minorEastAsia" w:hAnsiTheme="minorHAnsi" w:cstheme="minorBidi"/>
          <w:noProof/>
          <w:color w:val="auto"/>
          <w:sz w:val="22"/>
          <w:szCs w:val="22"/>
        </w:rPr>
      </w:pPr>
      <w:hyperlink w:anchor="_Toc471909126" w:history="1">
        <w:r>
          <w:rPr>
            <w:rStyle w:val="Hyperlink"/>
            <w:noProof/>
            <w:lang w:val="fr-FR"/>
          </w:rPr>
          <w:t>1.1</w:t>
        </w:r>
        <w:r>
          <w:rPr>
            <w:rFonts w:asciiTheme="minorHAnsi" w:eastAsiaTheme="minorEastAsia" w:hAnsiTheme="minorHAnsi" w:cstheme="minorBidi"/>
            <w:noProof/>
            <w:color w:val="auto"/>
            <w:sz w:val="22"/>
            <w:szCs w:val="22"/>
          </w:rPr>
          <w:tab/>
        </w:r>
        <w:r>
          <w:rPr>
            <w:rStyle w:val="Hyperlink"/>
            <w:noProof/>
            <w:lang w:val="fr-FR"/>
          </w:rPr>
          <w:t>OBJET DU RAPPORT</w:t>
        </w:r>
        <w:r>
          <w:rPr>
            <w:noProof/>
            <w:webHidden/>
          </w:rPr>
          <w:tab/>
        </w:r>
        <w:r>
          <w:rPr>
            <w:noProof/>
            <w:webHidden/>
          </w:rPr>
          <w:fldChar w:fldCharType="begin"/>
        </w:r>
        <w:r>
          <w:rPr>
            <w:noProof/>
            <w:webHidden/>
          </w:rPr>
          <w:instrText xml:space="preserve"> PAGEREF _Toc471909126 \h </w:instrText>
        </w:r>
        <w:r>
          <w:rPr>
            <w:noProof/>
            <w:webHidden/>
          </w:rPr>
        </w:r>
        <w:r>
          <w:rPr>
            <w:noProof/>
            <w:webHidden/>
          </w:rPr>
          <w:fldChar w:fldCharType="separate"/>
        </w:r>
        <w:r>
          <w:rPr>
            <w:noProof/>
            <w:webHidden/>
          </w:rPr>
          <w:t>3</w:t>
        </w:r>
        <w:r>
          <w:rPr>
            <w:noProof/>
            <w:webHidden/>
          </w:rPr>
          <w:fldChar w:fldCharType="end"/>
        </w:r>
      </w:hyperlink>
    </w:p>
    <w:p w:rsidR="00FC79B3" w:rsidRDefault="002A6CE7">
      <w:pPr>
        <w:pStyle w:val="TOC2"/>
        <w:tabs>
          <w:tab w:val="left" w:pos="880"/>
          <w:tab w:val="right" w:leader="dot" w:pos="9063"/>
        </w:tabs>
        <w:rPr>
          <w:rFonts w:asciiTheme="minorHAnsi" w:eastAsiaTheme="minorEastAsia" w:hAnsiTheme="minorHAnsi" w:cstheme="minorBidi"/>
          <w:noProof/>
          <w:color w:val="auto"/>
          <w:sz w:val="22"/>
          <w:szCs w:val="22"/>
        </w:rPr>
      </w:pPr>
      <w:hyperlink w:anchor="_Toc471909127" w:history="1">
        <w:r>
          <w:rPr>
            <w:rStyle w:val="Hyperlink"/>
            <w:noProof/>
            <w:lang w:val="fr-FR"/>
          </w:rPr>
          <w:t>1.2</w:t>
        </w:r>
        <w:r>
          <w:rPr>
            <w:rFonts w:asciiTheme="minorHAnsi" w:eastAsiaTheme="minorEastAsia" w:hAnsiTheme="minorHAnsi" w:cstheme="minorBidi"/>
            <w:noProof/>
            <w:color w:val="auto"/>
            <w:sz w:val="22"/>
            <w:szCs w:val="22"/>
          </w:rPr>
          <w:tab/>
        </w:r>
        <w:r>
          <w:rPr>
            <w:rStyle w:val="Hyperlink"/>
            <w:noProof/>
            <w:lang w:val="fr-FR"/>
          </w:rPr>
          <w:t>MÉTHODOLOGIE ET SOURCES D’INFORMATIONS</w:t>
        </w:r>
        <w:r>
          <w:rPr>
            <w:noProof/>
            <w:webHidden/>
          </w:rPr>
          <w:tab/>
        </w:r>
        <w:r>
          <w:rPr>
            <w:noProof/>
            <w:webHidden/>
          </w:rPr>
          <w:fldChar w:fldCharType="begin"/>
        </w:r>
        <w:r>
          <w:rPr>
            <w:noProof/>
            <w:webHidden/>
          </w:rPr>
          <w:instrText xml:space="preserve"> PAGEREF _Toc471909127 \h </w:instrText>
        </w:r>
        <w:r>
          <w:rPr>
            <w:noProof/>
            <w:webHidden/>
          </w:rPr>
        </w:r>
        <w:r>
          <w:rPr>
            <w:noProof/>
            <w:webHidden/>
          </w:rPr>
          <w:fldChar w:fldCharType="separate"/>
        </w:r>
        <w:r>
          <w:rPr>
            <w:noProof/>
            <w:webHidden/>
          </w:rPr>
          <w:t>3</w:t>
        </w:r>
        <w:r>
          <w:rPr>
            <w:noProof/>
            <w:webHidden/>
          </w:rPr>
          <w:fldChar w:fldCharType="end"/>
        </w:r>
      </w:hyperlink>
    </w:p>
    <w:p w:rsidR="00FC79B3" w:rsidRDefault="002A6CE7">
      <w:pPr>
        <w:pStyle w:val="TOC2"/>
        <w:tabs>
          <w:tab w:val="left" w:pos="880"/>
          <w:tab w:val="right" w:leader="dot" w:pos="9063"/>
        </w:tabs>
        <w:rPr>
          <w:rFonts w:asciiTheme="minorHAnsi" w:eastAsiaTheme="minorEastAsia" w:hAnsiTheme="minorHAnsi" w:cstheme="minorBidi"/>
          <w:noProof/>
          <w:color w:val="auto"/>
          <w:sz w:val="22"/>
          <w:szCs w:val="22"/>
        </w:rPr>
      </w:pPr>
      <w:hyperlink w:anchor="_Toc471909128" w:history="1">
        <w:r>
          <w:rPr>
            <w:rStyle w:val="Hyperlink"/>
            <w:noProof/>
            <w:lang w:val="fr-FR"/>
          </w:rPr>
          <w:t>1.3</w:t>
        </w:r>
        <w:r>
          <w:rPr>
            <w:rFonts w:asciiTheme="minorHAnsi" w:eastAsiaTheme="minorEastAsia" w:hAnsiTheme="minorHAnsi" w:cstheme="minorBidi"/>
            <w:noProof/>
            <w:color w:val="auto"/>
            <w:sz w:val="22"/>
            <w:szCs w:val="22"/>
          </w:rPr>
          <w:tab/>
        </w:r>
        <w:r>
          <w:rPr>
            <w:rStyle w:val="Hyperlink"/>
            <w:noProof/>
            <w:lang w:val="fr-FR"/>
          </w:rPr>
          <w:t>APERÇU DU PROGRAMME</w:t>
        </w:r>
        <w:r>
          <w:rPr>
            <w:noProof/>
            <w:webHidden/>
          </w:rPr>
          <w:tab/>
        </w:r>
        <w:r>
          <w:rPr>
            <w:noProof/>
            <w:webHidden/>
          </w:rPr>
          <w:fldChar w:fldCharType="begin"/>
        </w:r>
        <w:r>
          <w:rPr>
            <w:noProof/>
            <w:webHidden/>
          </w:rPr>
          <w:instrText xml:space="preserve"> PAGEREF _Toc471909128 \h </w:instrText>
        </w:r>
        <w:r>
          <w:rPr>
            <w:noProof/>
            <w:webHidden/>
          </w:rPr>
        </w:r>
        <w:r>
          <w:rPr>
            <w:noProof/>
            <w:webHidden/>
          </w:rPr>
          <w:fldChar w:fldCharType="separate"/>
        </w:r>
        <w:r>
          <w:rPr>
            <w:noProof/>
            <w:webHidden/>
          </w:rPr>
          <w:t>3</w:t>
        </w:r>
        <w:r>
          <w:rPr>
            <w:noProof/>
            <w:webHidden/>
          </w:rPr>
          <w:fldChar w:fldCharType="end"/>
        </w:r>
      </w:hyperlink>
    </w:p>
    <w:p w:rsidR="00FC79B3" w:rsidRDefault="002A6CE7">
      <w:pPr>
        <w:pStyle w:val="TOC1"/>
        <w:tabs>
          <w:tab w:val="left" w:pos="880"/>
          <w:tab w:val="right" w:leader="dot" w:pos="9063"/>
        </w:tabs>
        <w:rPr>
          <w:rFonts w:asciiTheme="minorHAnsi" w:eastAsiaTheme="minorEastAsia" w:hAnsiTheme="minorHAnsi" w:cstheme="minorBidi"/>
          <w:noProof/>
          <w:color w:val="auto"/>
          <w:sz w:val="22"/>
          <w:szCs w:val="22"/>
        </w:rPr>
      </w:pPr>
      <w:hyperlink w:anchor="_Toc471909129" w:history="1">
        <w:r>
          <w:rPr>
            <w:rStyle w:val="Hyperlink"/>
            <w:noProof/>
            <w:lang w:val="fr-FR"/>
          </w:rPr>
          <w:t>2</w:t>
        </w:r>
        <w:r>
          <w:rPr>
            <w:rFonts w:asciiTheme="minorHAnsi" w:eastAsiaTheme="minorEastAsia" w:hAnsiTheme="minorHAnsi" w:cstheme="minorBidi"/>
            <w:noProof/>
            <w:color w:val="auto"/>
            <w:sz w:val="22"/>
            <w:szCs w:val="22"/>
          </w:rPr>
          <w:tab/>
        </w:r>
        <w:r>
          <w:rPr>
            <w:rStyle w:val="Hyperlink"/>
            <w:noProof/>
            <w:lang w:val="fr-FR"/>
          </w:rPr>
          <w:t>RÉSULTATS DE L’ÉVALUATION</w:t>
        </w:r>
        <w:r>
          <w:rPr>
            <w:noProof/>
            <w:webHidden/>
          </w:rPr>
          <w:tab/>
        </w:r>
        <w:r>
          <w:rPr>
            <w:noProof/>
            <w:webHidden/>
          </w:rPr>
          <w:fldChar w:fldCharType="begin"/>
        </w:r>
        <w:r>
          <w:rPr>
            <w:noProof/>
            <w:webHidden/>
          </w:rPr>
          <w:instrText xml:space="preserve"> PAGEREF _Toc471909129 \h </w:instrText>
        </w:r>
        <w:r>
          <w:rPr>
            <w:noProof/>
            <w:webHidden/>
          </w:rPr>
        </w:r>
        <w:r>
          <w:rPr>
            <w:noProof/>
            <w:webHidden/>
          </w:rPr>
          <w:fldChar w:fldCharType="separate"/>
        </w:r>
        <w:r>
          <w:rPr>
            <w:noProof/>
            <w:webHidden/>
          </w:rPr>
          <w:t>8</w:t>
        </w:r>
        <w:r>
          <w:rPr>
            <w:noProof/>
            <w:webHidden/>
          </w:rPr>
          <w:fldChar w:fldCharType="end"/>
        </w:r>
      </w:hyperlink>
    </w:p>
    <w:p w:rsidR="00FC79B3" w:rsidRDefault="002A6CE7">
      <w:pPr>
        <w:pStyle w:val="TOC2"/>
        <w:tabs>
          <w:tab w:val="left" w:pos="880"/>
          <w:tab w:val="right" w:leader="dot" w:pos="9063"/>
        </w:tabs>
        <w:rPr>
          <w:rFonts w:asciiTheme="minorHAnsi" w:eastAsiaTheme="minorEastAsia" w:hAnsiTheme="minorHAnsi" w:cstheme="minorBidi"/>
          <w:noProof/>
          <w:color w:val="auto"/>
          <w:sz w:val="22"/>
          <w:szCs w:val="22"/>
        </w:rPr>
      </w:pPr>
      <w:hyperlink w:anchor="_Toc471909130" w:history="1">
        <w:r>
          <w:rPr>
            <w:rStyle w:val="Hyperlink"/>
            <w:noProof/>
            <w:lang w:val="fr-FR"/>
          </w:rPr>
          <w:t>2.1</w:t>
        </w:r>
        <w:r>
          <w:rPr>
            <w:rFonts w:asciiTheme="minorHAnsi" w:eastAsiaTheme="minorEastAsia" w:hAnsiTheme="minorHAnsi" w:cstheme="minorBidi"/>
            <w:noProof/>
            <w:color w:val="auto"/>
            <w:sz w:val="22"/>
            <w:szCs w:val="22"/>
          </w:rPr>
          <w:tab/>
        </w:r>
        <w:r>
          <w:rPr>
            <w:rStyle w:val="Hyperlink"/>
            <w:noProof/>
            <w:lang w:val="fr-FR"/>
          </w:rPr>
          <w:t>PERTINENCE DU PROGRAMME</w:t>
        </w:r>
        <w:r>
          <w:rPr>
            <w:noProof/>
            <w:webHidden/>
          </w:rPr>
          <w:tab/>
        </w:r>
        <w:r>
          <w:rPr>
            <w:noProof/>
            <w:webHidden/>
          </w:rPr>
          <w:fldChar w:fldCharType="begin"/>
        </w:r>
        <w:r>
          <w:rPr>
            <w:noProof/>
            <w:webHidden/>
          </w:rPr>
          <w:instrText xml:space="preserve"> PAGEREF _Toc471909130 \h </w:instrText>
        </w:r>
        <w:r>
          <w:rPr>
            <w:noProof/>
            <w:webHidden/>
          </w:rPr>
        </w:r>
        <w:r>
          <w:rPr>
            <w:noProof/>
            <w:webHidden/>
          </w:rPr>
          <w:fldChar w:fldCharType="separate"/>
        </w:r>
        <w:r>
          <w:rPr>
            <w:noProof/>
            <w:webHidden/>
          </w:rPr>
          <w:t>8</w:t>
        </w:r>
        <w:r>
          <w:rPr>
            <w:noProof/>
            <w:webHidden/>
          </w:rPr>
          <w:fldChar w:fldCharType="end"/>
        </w:r>
      </w:hyperlink>
    </w:p>
    <w:p w:rsidR="00FC79B3" w:rsidRDefault="002A6CE7">
      <w:pPr>
        <w:pStyle w:val="TOC2"/>
        <w:tabs>
          <w:tab w:val="left" w:pos="880"/>
          <w:tab w:val="right" w:leader="dot" w:pos="9063"/>
        </w:tabs>
        <w:rPr>
          <w:rFonts w:asciiTheme="minorHAnsi" w:eastAsiaTheme="minorEastAsia" w:hAnsiTheme="minorHAnsi" w:cstheme="minorBidi"/>
          <w:noProof/>
          <w:color w:val="auto"/>
          <w:sz w:val="22"/>
          <w:szCs w:val="22"/>
        </w:rPr>
      </w:pPr>
      <w:hyperlink w:anchor="_Toc471909131" w:history="1">
        <w:r>
          <w:rPr>
            <w:rStyle w:val="Hyperlink"/>
            <w:noProof/>
            <w:lang w:val="fr-FR"/>
          </w:rPr>
          <w:t>2.2</w:t>
        </w:r>
        <w:r>
          <w:rPr>
            <w:rFonts w:asciiTheme="minorHAnsi" w:eastAsiaTheme="minorEastAsia" w:hAnsiTheme="minorHAnsi" w:cstheme="minorBidi"/>
            <w:noProof/>
            <w:color w:val="auto"/>
            <w:sz w:val="22"/>
            <w:szCs w:val="22"/>
          </w:rPr>
          <w:tab/>
        </w:r>
        <w:r>
          <w:rPr>
            <w:rStyle w:val="Hyperlink"/>
            <w:noProof/>
            <w:lang w:val="fr-FR"/>
          </w:rPr>
          <w:t>COHÉRENCE ET COMPLÉMENTARITÉ</w:t>
        </w:r>
        <w:r>
          <w:rPr>
            <w:noProof/>
            <w:webHidden/>
          </w:rPr>
          <w:tab/>
        </w:r>
        <w:r>
          <w:rPr>
            <w:noProof/>
            <w:webHidden/>
          </w:rPr>
          <w:fldChar w:fldCharType="begin"/>
        </w:r>
        <w:r>
          <w:rPr>
            <w:noProof/>
            <w:webHidden/>
          </w:rPr>
          <w:instrText xml:space="preserve"> PAGEREF _Toc471909131 \h </w:instrText>
        </w:r>
        <w:r>
          <w:rPr>
            <w:noProof/>
            <w:webHidden/>
          </w:rPr>
        </w:r>
        <w:r>
          <w:rPr>
            <w:noProof/>
            <w:webHidden/>
          </w:rPr>
          <w:fldChar w:fldCharType="separate"/>
        </w:r>
        <w:r>
          <w:rPr>
            <w:noProof/>
            <w:webHidden/>
          </w:rPr>
          <w:t>11</w:t>
        </w:r>
        <w:r>
          <w:rPr>
            <w:noProof/>
            <w:webHidden/>
          </w:rPr>
          <w:fldChar w:fldCharType="end"/>
        </w:r>
      </w:hyperlink>
    </w:p>
    <w:p w:rsidR="00FC79B3" w:rsidRDefault="002A6CE7">
      <w:pPr>
        <w:pStyle w:val="TOC2"/>
        <w:tabs>
          <w:tab w:val="left" w:pos="880"/>
          <w:tab w:val="right" w:leader="dot" w:pos="9063"/>
        </w:tabs>
        <w:rPr>
          <w:rFonts w:asciiTheme="minorHAnsi" w:eastAsiaTheme="minorEastAsia" w:hAnsiTheme="minorHAnsi" w:cstheme="minorBidi"/>
          <w:noProof/>
          <w:color w:val="auto"/>
          <w:sz w:val="22"/>
          <w:szCs w:val="22"/>
        </w:rPr>
      </w:pPr>
      <w:hyperlink w:anchor="_Toc471909132" w:history="1">
        <w:r>
          <w:rPr>
            <w:rStyle w:val="Hyperlink"/>
            <w:noProof/>
            <w:lang w:val="fr-FR"/>
          </w:rPr>
          <w:t>2.3</w:t>
        </w:r>
        <w:r>
          <w:rPr>
            <w:rFonts w:asciiTheme="minorHAnsi" w:eastAsiaTheme="minorEastAsia" w:hAnsiTheme="minorHAnsi" w:cstheme="minorBidi"/>
            <w:noProof/>
            <w:color w:val="auto"/>
            <w:sz w:val="22"/>
            <w:szCs w:val="22"/>
          </w:rPr>
          <w:tab/>
        </w:r>
        <w:r>
          <w:rPr>
            <w:rStyle w:val="Hyperlink"/>
            <w:noProof/>
            <w:lang w:val="fr-FR"/>
          </w:rPr>
          <w:t>EFFICACITÉ</w:t>
        </w:r>
        <w:r>
          <w:rPr>
            <w:noProof/>
            <w:webHidden/>
          </w:rPr>
          <w:tab/>
        </w:r>
        <w:r>
          <w:rPr>
            <w:noProof/>
            <w:webHidden/>
          </w:rPr>
          <w:fldChar w:fldCharType="begin"/>
        </w:r>
        <w:r>
          <w:rPr>
            <w:noProof/>
            <w:webHidden/>
          </w:rPr>
          <w:instrText xml:space="preserve"> PAGEREF _Toc471909132 \h </w:instrText>
        </w:r>
        <w:r>
          <w:rPr>
            <w:noProof/>
            <w:webHidden/>
          </w:rPr>
        </w:r>
        <w:r>
          <w:rPr>
            <w:noProof/>
            <w:webHidden/>
          </w:rPr>
          <w:fldChar w:fldCharType="separate"/>
        </w:r>
        <w:r>
          <w:rPr>
            <w:noProof/>
            <w:webHidden/>
          </w:rPr>
          <w:t>13</w:t>
        </w:r>
        <w:r>
          <w:rPr>
            <w:noProof/>
            <w:webHidden/>
          </w:rPr>
          <w:fldChar w:fldCharType="end"/>
        </w:r>
      </w:hyperlink>
    </w:p>
    <w:p w:rsidR="00FC79B3" w:rsidRDefault="002A6CE7">
      <w:pPr>
        <w:pStyle w:val="TOC2"/>
        <w:tabs>
          <w:tab w:val="left" w:pos="880"/>
          <w:tab w:val="right" w:leader="dot" w:pos="9063"/>
        </w:tabs>
        <w:rPr>
          <w:rFonts w:asciiTheme="minorHAnsi" w:eastAsiaTheme="minorEastAsia" w:hAnsiTheme="minorHAnsi" w:cstheme="minorBidi"/>
          <w:noProof/>
          <w:color w:val="auto"/>
          <w:sz w:val="22"/>
          <w:szCs w:val="22"/>
        </w:rPr>
      </w:pPr>
      <w:hyperlink w:anchor="_Toc471909133" w:history="1">
        <w:r>
          <w:rPr>
            <w:rStyle w:val="Hyperlink"/>
            <w:noProof/>
            <w:lang w:val="fr-FR"/>
          </w:rPr>
          <w:t>2.4</w:t>
        </w:r>
        <w:r>
          <w:rPr>
            <w:rFonts w:asciiTheme="minorHAnsi" w:eastAsiaTheme="minorEastAsia" w:hAnsiTheme="minorHAnsi" w:cstheme="minorBidi"/>
            <w:noProof/>
            <w:color w:val="auto"/>
            <w:sz w:val="22"/>
            <w:szCs w:val="22"/>
          </w:rPr>
          <w:tab/>
        </w:r>
        <w:r>
          <w:rPr>
            <w:rStyle w:val="Hyperlink"/>
            <w:noProof/>
            <w:lang w:val="fr-FR"/>
          </w:rPr>
          <w:t>DURABILITÉ</w:t>
        </w:r>
        <w:r>
          <w:rPr>
            <w:rStyle w:val="Hyperlink"/>
            <w:noProof/>
            <w:lang w:val="fr-FR"/>
          </w:rPr>
          <w:t xml:space="preserve"> ET POTENTIEL DE TRANSFERT</w:t>
        </w:r>
        <w:r>
          <w:rPr>
            <w:noProof/>
            <w:webHidden/>
          </w:rPr>
          <w:tab/>
        </w:r>
        <w:r>
          <w:rPr>
            <w:noProof/>
            <w:webHidden/>
          </w:rPr>
          <w:fldChar w:fldCharType="begin"/>
        </w:r>
        <w:r>
          <w:rPr>
            <w:noProof/>
            <w:webHidden/>
          </w:rPr>
          <w:instrText xml:space="preserve"> PAGEREF _Toc471909133 \h </w:instrText>
        </w:r>
        <w:r>
          <w:rPr>
            <w:noProof/>
            <w:webHidden/>
          </w:rPr>
        </w:r>
        <w:r>
          <w:rPr>
            <w:noProof/>
            <w:webHidden/>
          </w:rPr>
          <w:fldChar w:fldCharType="separate"/>
        </w:r>
        <w:r>
          <w:rPr>
            <w:noProof/>
            <w:webHidden/>
          </w:rPr>
          <w:t>17</w:t>
        </w:r>
        <w:r>
          <w:rPr>
            <w:noProof/>
            <w:webHidden/>
          </w:rPr>
          <w:fldChar w:fldCharType="end"/>
        </w:r>
      </w:hyperlink>
    </w:p>
    <w:p w:rsidR="00FC79B3" w:rsidRDefault="002A6CE7">
      <w:pPr>
        <w:pStyle w:val="TOC2"/>
        <w:tabs>
          <w:tab w:val="left" w:pos="880"/>
          <w:tab w:val="right" w:leader="dot" w:pos="9063"/>
        </w:tabs>
        <w:rPr>
          <w:rFonts w:asciiTheme="minorHAnsi" w:eastAsiaTheme="minorEastAsia" w:hAnsiTheme="minorHAnsi" w:cstheme="minorBidi"/>
          <w:noProof/>
          <w:color w:val="auto"/>
          <w:sz w:val="22"/>
          <w:szCs w:val="22"/>
        </w:rPr>
      </w:pPr>
      <w:hyperlink w:anchor="_Toc471909134" w:history="1">
        <w:r>
          <w:rPr>
            <w:rStyle w:val="Hyperlink"/>
            <w:noProof/>
            <w:lang w:val="fr-FR"/>
          </w:rPr>
          <w:t>2.5</w:t>
        </w:r>
        <w:r>
          <w:rPr>
            <w:rFonts w:asciiTheme="minorHAnsi" w:eastAsiaTheme="minorEastAsia" w:hAnsiTheme="minorHAnsi" w:cstheme="minorBidi"/>
            <w:noProof/>
            <w:color w:val="auto"/>
            <w:sz w:val="22"/>
            <w:szCs w:val="22"/>
          </w:rPr>
          <w:tab/>
        </w:r>
        <w:r>
          <w:rPr>
            <w:rStyle w:val="Hyperlink"/>
            <w:noProof/>
            <w:lang w:val="fr-FR"/>
          </w:rPr>
          <w:t>EFFICIENCE ET SIMPLIFICATIONS POTENTIELLES</w:t>
        </w:r>
        <w:r>
          <w:rPr>
            <w:noProof/>
            <w:webHidden/>
          </w:rPr>
          <w:tab/>
        </w:r>
        <w:r>
          <w:rPr>
            <w:noProof/>
            <w:webHidden/>
          </w:rPr>
          <w:fldChar w:fldCharType="begin"/>
        </w:r>
        <w:r>
          <w:rPr>
            <w:noProof/>
            <w:webHidden/>
          </w:rPr>
          <w:instrText xml:space="preserve"> PAGEREF _Toc471909134 \h </w:instrText>
        </w:r>
        <w:r>
          <w:rPr>
            <w:noProof/>
            <w:webHidden/>
          </w:rPr>
        </w:r>
        <w:r>
          <w:rPr>
            <w:noProof/>
            <w:webHidden/>
          </w:rPr>
          <w:fldChar w:fldCharType="separate"/>
        </w:r>
        <w:r>
          <w:rPr>
            <w:noProof/>
            <w:webHidden/>
          </w:rPr>
          <w:t>19</w:t>
        </w:r>
        <w:r>
          <w:rPr>
            <w:noProof/>
            <w:webHidden/>
          </w:rPr>
          <w:fldChar w:fldCharType="end"/>
        </w:r>
      </w:hyperlink>
    </w:p>
    <w:p w:rsidR="00FC79B3" w:rsidRDefault="002A6CE7">
      <w:pPr>
        <w:pStyle w:val="TOC2"/>
        <w:tabs>
          <w:tab w:val="left" w:pos="880"/>
          <w:tab w:val="right" w:leader="dot" w:pos="9063"/>
        </w:tabs>
        <w:rPr>
          <w:rFonts w:asciiTheme="minorHAnsi" w:eastAsiaTheme="minorEastAsia" w:hAnsiTheme="minorHAnsi" w:cstheme="minorBidi"/>
          <w:noProof/>
          <w:color w:val="auto"/>
          <w:sz w:val="22"/>
          <w:szCs w:val="22"/>
        </w:rPr>
      </w:pPr>
      <w:hyperlink w:anchor="_Toc471909135" w:history="1">
        <w:r>
          <w:rPr>
            <w:rStyle w:val="Hyperlink"/>
            <w:noProof/>
            <w:lang w:val="fr-FR"/>
          </w:rPr>
          <w:t>2.6</w:t>
        </w:r>
        <w:r>
          <w:rPr>
            <w:rFonts w:asciiTheme="minorHAnsi" w:eastAsiaTheme="minorEastAsia" w:hAnsiTheme="minorHAnsi" w:cstheme="minorBidi"/>
            <w:noProof/>
            <w:color w:val="auto"/>
            <w:sz w:val="22"/>
            <w:szCs w:val="22"/>
          </w:rPr>
          <w:tab/>
        </w:r>
        <w:r>
          <w:rPr>
            <w:rStyle w:val="Hyperlink"/>
            <w:noProof/>
            <w:lang w:val="fr-FR"/>
          </w:rPr>
          <w:t>VALEUR AJOUTÉE EUROPÉENNE</w:t>
        </w:r>
        <w:r>
          <w:rPr>
            <w:noProof/>
            <w:webHidden/>
          </w:rPr>
          <w:tab/>
        </w:r>
        <w:r>
          <w:rPr>
            <w:noProof/>
            <w:webHidden/>
          </w:rPr>
          <w:fldChar w:fldCharType="begin"/>
        </w:r>
        <w:r>
          <w:rPr>
            <w:noProof/>
            <w:webHidden/>
          </w:rPr>
          <w:instrText xml:space="preserve"> PAGEREF _Toc471909135 \h </w:instrText>
        </w:r>
        <w:r>
          <w:rPr>
            <w:noProof/>
            <w:webHidden/>
          </w:rPr>
        </w:r>
        <w:r>
          <w:rPr>
            <w:noProof/>
            <w:webHidden/>
          </w:rPr>
          <w:fldChar w:fldCharType="separate"/>
        </w:r>
        <w:r>
          <w:rPr>
            <w:noProof/>
            <w:webHidden/>
          </w:rPr>
          <w:t>24</w:t>
        </w:r>
        <w:r>
          <w:rPr>
            <w:noProof/>
            <w:webHidden/>
          </w:rPr>
          <w:fldChar w:fldCharType="end"/>
        </w:r>
      </w:hyperlink>
    </w:p>
    <w:p w:rsidR="00FC79B3" w:rsidRDefault="002A6CE7">
      <w:pPr>
        <w:pStyle w:val="TOC1"/>
        <w:tabs>
          <w:tab w:val="left" w:pos="880"/>
          <w:tab w:val="right" w:leader="dot" w:pos="9063"/>
        </w:tabs>
        <w:rPr>
          <w:rFonts w:asciiTheme="minorHAnsi" w:eastAsiaTheme="minorEastAsia" w:hAnsiTheme="minorHAnsi" w:cstheme="minorBidi"/>
          <w:noProof/>
          <w:color w:val="auto"/>
          <w:sz w:val="22"/>
          <w:szCs w:val="22"/>
        </w:rPr>
      </w:pPr>
      <w:hyperlink w:anchor="_Toc471909136" w:history="1">
        <w:r>
          <w:rPr>
            <w:rStyle w:val="Hyperlink"/>
            <w:noProof/>
            <w:lang w:val="fr-FR"/>
          </w:rPr>
          <w:t>3</w:t>
        </w:r>
        <w:r>
          <w:rPr>
            <w:rFonts w:asciiTheme="minorHAnsi" w:eastAsiaTheme="minorEastAsia" w:hAnsiTheme="minorHAnsi" w:cstheme="minorBidi"/>
            <w:noProof/>
            <w:color w:val="auto"/>
            <w:sz w:val="22"/>
            <w:szCs w:val="22"/>
          </w:rPr>
          <w:tab/>
        </w:r>
        <w:r>
          <w:rPr>
            <w:rStyle w:val="Hyperlink"/>
            <w:noProof/>
            <w:lang w:val="fr-FR"/>
          </w:rPr>
          <w:t>CONCLUSIONS</w:t>
        </w:r>
        <w:r>
          <w:rPr>
            <w:noProof/>
            <w:webHidden/>
          </w:rPr>
          <w:tab/>
        </w:r>
        <w:r>
          <w:rPr>
            <w:noProof/>
            <w:webHidden/>
          </w:rPr>
          <w:fldChar w:fldCharType="begin"/>
        </w:r>
        <w:r>
          <w:rPr>
            <w:noProof/>
            <w:webHidden/>
          </w:rPr>
          <w:instrText xml:space="preserve"> PAGEREF _Toc471909136 \h </w:instrText>
        </w:r>
        <w:r>
          <w:rPr>
            <w:noProof/>
            <w:webHidden/>
          </w:rPr>
        </w:r>
        <w:r>
          <w:rPr>
            <w:noProof/>
            <w:webHidden/>
          </w:rPr>
          <w:fldChar w:fldCharType="separate"/>
        </w:r>
        <w:r>
          <w:rPr>
            <w:noProof/>
            <w:webHidden/>
          </w:rPr>
          <w:t>28</w:t>
        </w:r>
        <w:r>
          <w:rPr>
            <w:noProof/>
            <w:webHidden/>
          </w:rPr>
          <w:fldChar w:fldCharType="end"/>
        </w:r>
      </w:hyperlink>
    </w:p>
    <w:p w:rsidR="00FC79B3" w:rsidRDefault="002A6CE7">
      <w:pPr>
        <w:rPr>
          <w:rStyle w:val="En-tte1"/>
          <w:b/>
          <w:bCs/>
          <w:noProof/>
          <w:lang w:val="fr-FR"/>
        </w:rPr>
      </w:pPr>
      <w:r>
        <w:rPr>
          <w:rStyle w:val="En-tte1"/>
          <w:b/>
          <w:bCs/>
          <w:noProof/>
          <w:lang w:val="fr-FR"/>
        </w:rPr>
        <w:fldChar w:fldCharType="end"/>
      </w:r>
    </w:p>
    <w:p w:rsidR="00FC79B3" w:rsidRDefault="00FC79B3">
      <w:pPr>
        <w:pStyle w:val="En-tte10"/>
        <w:keepNext/>
        <w:keepLines/>
        <w:shd w:val="clear" w:color="auto" w:fill="auto"/>
        <w:spacing w:after="109" w:line="270" w:lineRule="exact"/>
        <w:rPr>
          <w:noProof/>
          <w:lang w:val="fr-FR"/>
        </w:rPr>
      </w:pPr>
    </w:p>
    <w:p w:rsidR="00FC79B3" w:rsidRDefault="002A6CE7">
      <w:pPr>
        <w:rPr>
          <w:rStyle w:val="En-tte4"/>
          <w:b/>
          <w:bCs/>
          <w:noProof/>
          <w:lang w:val="fr-FR"/>
        </w:rPr>
      </w:pPr>
      <w:bookmarkStart w:id="4" w:name="bookmark2"/>
      <w:bookmarkStart w:id="5" w:name="bookmark3"/>
      <w:r>
        <w:rPr>
          <w:rStyle w:val="En-tte4"/>
          <w:noProof/>
          <w:lang w:val="fr-FR"/>
        </w:rPr>
        <w:br w:type="page"/>
      </w:r>
      <w:bookmarkStart w:id="6" w:name="_GoBack"/>
      <w:bookmarkEnd w:id="6"/>
    </w:p>
    <w:p w:rsidR="00FC79B3" w:rsidRDefault="002A6CE7">
      <w:pPr>
        <w:pStyle w:val="Heading1"/>
        <w:rPr>
          <w:noProof/>
          <w:szCs w:val="32"/>
          <w:lang w:val="fr-FR"/>
        </w:rPr>
      </w:pPr>
      <w:bookmarkStart w:id="7" w:name="_Toc471909125"/>
      <w:bookmarkEnd w:id="4"/>
      <w:bookmarkEnd w:id="5"/>
      <w:r>
        <w:rPr>
          <w:rStyle w:val="En-tte4"/>
          <w:noProof/>
          <w:sz w:val="32"/>
          <w:lang w:val="fr-FR"/>
        </w:rPr>
        <w:lastRenderedPageBreak/>
        <w:t>INTRODUCTION</w:t>
      </w:r>
      <w:bookmarkEnd w:id="7"/>
    </w:p>
    <w:p w:rsidR="00FC79B3" w:rsidRDefault="002A6CE7">
      <w:pPr>
        <w:pStyle w:val="Heading2"/>
        <w:rPr>
          <w:noProof/>
          <w:color w:val="auto"/>
          <w:lang w:val="fr-FR"/>
        </w:rPr>
      </w:pPr>
      <w:bookmarkStart w:id="8" w:name="_Toc471909126"/>
      <w:r>
        <w:rPr>
          <w:rStyle w:val="En-tte4"/>
          <w:noProof/>
          <w:color w:val="auto"/>
          <w:lang w:val="fr-FR"/>
        </w:rPr>
        <w:t>OBJET DU RAPPORT</w:t>
      </w:r>
      <w:bookmarkEnd w:id="8"/>
    </w:p>
    <w:p w:rsidR="00FC79B3" w:rsidRDefault="002A6CE7">
      <w:pPr>
        <w:pStyle w:val="Corpsdutexte0"/>
        <w:shd w:val="clear" w:color="auto" w:fill="auto"/>
        <w:tabs>
          <w:tab w:val="left" w:pos="342"/>
        </w:tabs>
        <w:spacing w:after="0" w:line="240" w:lineRule="auto"/>
        <w:ind w:left="23" w:right="40" w:firstLine="0"/>
        <w:jc w:val="both"/>
        <w:rPr>
          <w:rStyle w:val="Corpsdutexte"/>
          <w:noProof/>
          <w:lang w:val="fr-FR"/>
        </w:rPr>
      </w:pPr>
      <w:r>
        <w:rPr>
          <w:rStyle w:val="Corpsdutexte"/>
          <w:noProof/>
          <w:lang w:val="fr-FR"/>
        </w:rPr>
        <w:t xml:space="preserve">La </w:t>
      </w:r>
      <w:r>
        <w:rPr>
          <w:rStyle w:val="Corpsdutexte"/>
          <w:noProof/>
          <w:lang w:val="fr-FR"/>
        </w:rPr>
        <w:t>décision établissant le programme «Justice pénale» (JPEN) prévoit que la Commission présente un rapport d’évaluation ex post pour la période 2007-2013</w:t>
      </w:r>
      <w:r>
        <w:rPr>
          <w:rStyle w:val="FootnoteReference"/>
          <w:noProof/>
          <w:lang w:val="fr-FR"/>
        </w:rPr>
        <w:footnoteReference w:id="1"/>
      </w:r>
      <w:r>
        <w:rPr>
          <w:rStyle w:val="Corpsdutexte"/>
          <w:noProof/>
          <w:lang w:val="fr-FR"/>
        </w:rPr>
        <w:t>. Cette évaluation</w:t>
      </w:r>
      <w:r>
        <w:rPr>
          <w:rStyle w:val="FootnoteReference"/>
          <w:noProof/>
          <w:lang w:val="fr-FR"/>
        </w:rPr>
        <w:footnoteReference w:id="2"/>
      </w:r>
      <w:r>
        <w:rPr>
          <w:rStyle w:val="Corpsdutexte"/>
          <w:noProof/>
          <w:lang w:val="fr-FR"/>
        </w:rPr>
        <w:t xml:space="preserve"> a été réalisée par un évaluateur externe indépendant avec l’aide de collaborateurs de</w:t>
      </w:r>
      <w:r>
        <w:rPr>
          <w:rStyle w:val="Corpsdutexte"/>
          <w:noProof/>
          <w:lang w:val="fr-FR"/>
        </w:rPr>
        <w:t xml:space="preserve"> la Commission.</w:t>
      </w:r>
    </w:p>
    <w:p w:rsidR="00FC79B3" w:rsidRDefault="00FC79B3">
      <w:pPr>
        <w:pStyle w:val="Corpsdutexte0"/>
        <w:shd w:val="clear" w:color="auto" w:fill="auto"/>
        <w:tabs>
          <w:tab w:val="left" w:pos="342"/>
        </w:tabs>
        <w:spacing w:after="0" w:line="240" w:lineRule="auto"/>
        <w:ind w:left="23" w:right="40" w:firstLine="0"/>
        <w:jc w:val="both"/>
        <w:rPr>
          <w:rStyle w:val="Corpsdutexte"/>
          <w:noProof/>
          <w:lang w:val="fr-FR"/>
        </w:rPr>
      </w:pPr>
    </w:p>
    <w:p w:rsidR="00FC79B3" w:rsidRDefault="002A6CE7">
      <w:pPr>
        <w:pStyle w:val="Corpsdutexte0"/>
        <w:shd w:val="clear" w:color="auto" w:fill="auto"/>
        <w:tabs>
          <w:tab w:val="left" w:pos="342"/>
        </w:tabs>
        <w:spacing w:after="0" w:line="240" w:lineRule="auto"/>
        <w:ind w:left="23" w:right="40" w:firstLine="0"/>
        <w:jc w:val="both"/>
        <w:rPr>
          <w:rStyle w:val="Corpsdutexte"/>
          <w:noProof/>
          <w:lang w:val="fr-FR"/>
        </w:rPr>
      </w:pPr>
      <w:r>
        <w:rPr>
          <w:rStyle w:val="Corpsdutexte"/>
          <w:noProof/>
          <w:lang w:val="fr-FR"/>
        </w:rPr>
        <w:t>Le présent rapport est fondé sur cette évaluation. Il s’articule autour des principaux critères d’évaluation et de questions correspondantes. Sont ainsi abordés la pertinence, la cohérence et la complémentarité, l’efficacité, l’impact et l</w:t>
      </w:r>
      <w:r>
        <w:rPr>
          <w:rStyle w:val="Corpsdutexte"/>
          <w:noProof/>
          <w:lang w:val="fr-FR"/>
        </w:rPr>
        <w:t>a durabilité, l’efficience et les simplifications potentielles, ainsi que la valeur ajoutée européenne.</w:t>
      </w:r>
    </w:p>
    <w:p w:rsidR="00FC79B3" w:rsidRDefault="002A6CE7">
      <w:pPr>
        <w:pStyle w:val="Heading2"/>
        <w:rPr>
          <w:noProof/>
          <w:color w:val="auto"/>
          <w:lang w:val="fr-FR"/>
        </w:rPr>
      </w:pPr>
      <w:bookmarkStart w:id="9" w:name="_Toc471909127"/>
      <w:r>
        <w:rPr>
          <w:rStyle w:val="En-tte4"/>
          <w:noProof/>
          <w:color w:val="auto"/>
          <w:lang w:val="fr-FR"/>
        </w:rPr>
        <w:t>MÉTHODOLOGIE ET SOURCES D’INFORMATIONS</w:t>
      </w:r>
      <w:bookmarkEnd w:id="9"/>
    </w:p>
    <w:p w:rsidR="00FC79B3" w:rsidRDefault="002A6CE7">
      <w:pPr>
        <w:pStyle w:val="Corpsdutexte0"/>
        <w:tabs>
          <w:tab w:val="left" w:pos="342"/>
        </w:tabs>
        <w:spacing w:after="188" w:line="220" w:lineRule="exact"/>
        <w:ind w:firstLine="0"/>
        <w:jc w:val="both"/>
        <w:rPr>
          <w:noProof/>
          <w:lang w:val="fr-FR"/>
        </w:rPr>
      </w:pPr>
      <w:r>
        <w:rPr>
          <w:noProof/>
          <w:lang w:val="fr-FR"/>
        </w:rPr>
        <w:t>La présente évaluation finale du programme JPEN s’appuie sur les éléments suivants:</w:t>
      </w:r>
    </w:p>
    <w:p w:rsidR="00FC79B3" w:rsidRDefault="002A6CE7">
      <w:pPr>
        <w:pStyle w:val="BTBullet1"/>
        <w:numPr>
          <w:ilvl w:val="0"/>
          <w:numId w:val="12"/>
        </w:numPr>
        <w:ind w:left="740"/>
        <w:jc w:val="both"/>
        <w:rPr>
          <w:rFonts w:ascii="Times New Roman" w:hAnsi="Times New Roman"/>
          <w:noProof/>
          <w:sz w:val="22"/>
          <w:szCs w:val="22"/>
          <w:lang w:val="fr-FR"/>
        </w:rPr>
      </w:pPr>
      <w:r>
        <w:rPr>
          <w:rFonts w:ascii="Times New Roman" w:hAnsi="Times New Roman"/>
          <w:noProof/>
          <w:sz w:val="22"/>
          <w:lang w:val="fr-FR"/>
        </w:rPr>
        <w:t>un examen approfondi de la do</w:t>
      </w:r>
      <w:r>
        <w:rPr>
          <w:rFonts w:ascii="Times New Roman" w:hAnsi="Times New Roman"/>
          <w:noProof/>
          <w:sz w:val="22"/>
          <w:lang w:val="fr-FR"/>
        </w:rPr>
        <w:t>cumentation disponible pour 284 subventions à l’action et 50 subventions de fonctionnement financées par le programme «Justice pénale» au cours de la période 2007-2013;</w:t>
      </w:r>
    </w:p>
    <w:p w:rsidR="00FC79B3" w:rsidRDefault="002A6CE7">
      <w:pPr>
        <w:pStyle w:val="BTBullet1"/>
        <w:numPr>
          <w:ilvl w:val="0"/>
          <w:numId w:val="12"/>
        </w:numPr>
        <w:ind w:left="740"/>
        <w:jc w:val="both"/>
        <w:rPr>
          <w:rFonts w:ascii="Times New Roman" w:hAnsi="Times New Roman"/>
          <w:noProof/>
          <w:sz w:val="22"/>
          <w:szCs w:val="22"/>
          <w:lang w:val="fr-FR"/>
        </w:rPr>
      </w:pPr>
      <w:r>
        <w:rPr>
          <w:rFonts w:ascii="Times New Roman" w:hAnsi="Times New Roman"/>
          <w:noProof/>
          <w:sz w:val="22"/>
          <w:lang w:val="fr-FR"/>
        </w:rPr>
        <w:t xml:space="preserve">un examen de la documentation inhérente au programme, comprenant notamment la décision </w:t>
      </w:r>
      <w:r>
        <w:rPr>
          <w:rFonts w:ascii="Times New Roman" w:hAnsi="Times New Roman"/>
          <w:noProof/>
          <w:sz w:val="22"/>
          <w:lang w:val="fr-FR"/>
        </w:rPr>
        <w:t>d’établissement, les programmes de travail annuels et les appels à propositions à la fois pour les subventions et pour les marchés publics;</w:t>
      </w:r>
    </w:p>
    <w:p w:rsidR="00FC79B3" w:rsidRDefault="002A6CE7">
      <w:pPr>
        <w:pStyle w:val="BTBullet1"/>
        <w:numPr>
          <w:ilvl w:val="0"/>
          <w:numId w:val="12"/>
        </w:numPr>
        <w:ind w:left="740"/>
        <w:jc w:val="both"/>
        <w:rPr>
          <w:rFonts w:ascii="Times New Roman" w:hAnsi="Times New Roman"/>
          <w:noProof/>
          <w:sz w:val="22"/>
          <w:szCs w:val="22"/>
          <w:lang w:val="fr-FR"/>
        </w:rPr>
      </w:pPr>
      <w:r>
        <w:rPr>
          <w:rFonts w:ascii="Times New Roman" w:hAnsi="Times New Roman"/>
          <w:noProof/>
          <w:sz w:val="22"/>
          <w:lang w:val="fr-FR"/>
        </w:rPr>
        <w:t>un examen de documents de politique de l’Union européenne, de décisions établissant des programmes connexes de l’Uni</w:t>
      </w:r>
      <w:r>
        <w:rPr>
          <w:rFonts w:ascii="Times New Roman" w:hAnsi="Times New Roman"/>
          <w:noProof/>
          <w:sz w:val="22"/>
          <w:lang w:val="fr-FR"/>
        </w:rPr>
        <w:t>on, etc.;</w:t>
      </w:r>
    </w:p>
    <w:p w:rsidR="00FC79B3" w:rsidRDefault="002A6CE7">
      <w:pPr>
        <w:pStyle w:val="BTBullet1"/>
        <w:numPr>
          <w:ilvl w:val="0"/>
          <w:numId w:val="12"/>
        </w:numPr>
        <w:ind w:left="740"/>
        <w:jc w:val="both"/>
        <w:rPr>
          <w:rFonts w:ascii="Times New Roman" w:hAnsi="Times New Roman"/>
          <w:noProof/>
          <w:sz w:val="22"/>
          <w:szCs w:val="22"/>
          <w:lang w:val="fr-FR"/>
        </w:rPr>
      </w:pPr>
      <w:r>
        <w:rPr>
          <w:rFonts w:ascii="Times New Roman" w:hAnsi="Times New Roman"/>
          <w:noProof/>
          <w:sz w:val="22"/>
          <w:lang w:val="fr-FR"/>
        </w:rPr>
        <w:t>une analyse quantitative de 334 projets JPEN (subventions à l’action et subventions de fonctionnement);</w:t>
      </w:r>
    </w:p>
    <w:p w:rsidR="00FC79B3" w:rsidRDefault="002A6CE7">
      <w:pPr>
        <w:pStyle w:val="BTBullet1"/>
        <w:numPr>
          <w:ilvl w:val="0"/>
          <w:numId w:val="12"/>
        </w:numPr>
        <w:ind w:left="740"/>
        <w:jc w:val="both"/>
        <w:rPr>
          <w:rFonts w:ascii="Times New Roman" w:hAnsi="Times New Roman"/>
          <w:noProof/>
          <w:sz w:val="22"/>
          <w:szCs w:val="22"/>
          <w:lang w:val="fr-FR"/>
        </w:rPr>
      </w:pPr>
      <w:r>
        <w:rPr>
          <w:rFonts w:ascii="Times New Roman" w:hAnsi="Times New Roman"/>
          <w:noProof/>
          <w:sz w:val="22"/>
          <w:lang w:val="fr-FR"/>
        </w:rPr>
        <w:t>une analyse de 97 réponses de bénéficiaires de subventions à l’enquête menée en ligne;</w:t>
      </w:r>
    </w:p>
    <w:p w:rsidR="00FC79B3" w:rsidRDefault="002A6CE7">
      <w:pPr>
        <w:pStyle w:val="BTBullet1"/>
        <w:numPr>
          <w:ilvl w:val="0"/>
          <w:numId w:val="12"/>
        </w:numPr>
        <w:ind w:left="740"/>
        <w:jc w:val="both"/>
        <w:rPr>
          <w:rFonts w:ascii="Times New Roman" w:hAnsi="Times New Roman"/>
          <w:noProof/>
          <w:sz w:val="22"/>
          <w:szCs w:val="22"/>
          <w:lang w:val="fr-FR"/>
        </w:rPr>
      </w:pPr>
      <w:r>
        <w:rPr>
          <w:rFonts w:ascii="Times New Roman" w:hAnsi="Times New Roman"/>
          <w:noProof/>
          <w:sz w:val="22"/>
          <w:lang w:val="fr-FR"/>
        </w:rPr>
        <w:t>les transcriptions de 33 entretiens de suivi avec des c</w:t>
      </w:r>
      <w:r>
        <w:rPr>
          <w:rFonts w:ascii="Times New Roman" w:hAnsi="Times New Roman"/>
          <w:noProof/>
          <w:sz w:val="22"/>
          <w:lang w:val="fr-FR"/>
        </w:rPr>
        <w:t xml:space="preserve">oordinateurs de projets/d’organisations ayant reçu des subventions au titre du programme JPEN 2007-2013 qui avaient répondu à l’enquête en ligne; </w:t>
      </w:r>
    </w:p>
    <w:p w:rsidR="00FC79B3" w:rsidRDefault="002A6CE7">
      <w:pPr>
        <w:pStyle w:val="BTBullet1"/>
        <w:numPr>
          <w:ilvl w:val="0"/>
          <w:numId w:val="12"/>
        </w:numPr>
        <w:ind w:left="740"/>
        <w:jc w:val="both"/>
        <w:rPr>
          <w:rFonts w:ascii="Times New Roman" w:hAnsi="Times New Roman"/>
          <w:noProof/>
          <w:sz w:val="22"/>
          <w:szCs w:val="22"/>
          <w:lang w:val="fr-FR"/>
        </w:rPr>
      </w:pPr>
      <w:r>
        <w:rPr>
          <w:rFonts w:ascii="Times New Roman" w:hAnsi="Times New Roman"/>
          <w:noProof/>
          <w:sz w:val="22"/>
          <w:lang w:val="fr-FR"/>
        </w:rPr>
        <w:t>des entretiens avec des fonctionnaires de la Commission impliqués dans le programme.</w:t>
      </w:r>
    </w:p>
    <w:p w:rsidR="00FC79B3" w:rsidRDefault="002A6CE7">
      <w:pPr>
        <w:pStyle w:val="Heading2"/>
        <w:rPr>
          <w:noProof/>
          <w:color w:val="auto"/>
          <w:lang w:val="fr-FR"/>
        </w:rPr>
      </w:pPr>
      <w:bookmarkStart w:id="10" w:name="_Toc471909128"/>
      <w:r>
        <w:rPr>
          <w:rStyle w:val="En-tte4"/>
          <w:noProof/>
          <w:color w:val="auto"/>
          <w:lang w:val="fr-FR"/>
        </w:rPr>
        <w:t>APERÇU DU PROGRAMME</w:t>
      </w:r>
      <w:bookmarkEnd w:id="10"/>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Étab</w:t>
      </w:r>
      <w:r>
        <w:rPr>
          <w:rStyle w:val="Corpsdutexte"/>
          <w:rFonts w:ascii="Times New Roman" w:hAnsi="Times New Roman"/>
          <w:noProof/>
          <w:color w:val="000000"/>
          <w:lang w:val="fr-FR"/>
        </w:rPr>
        <w:t>li par la décision 2007/126/JAI du Conseil du 12 février 2007 dans le cadre du programme général «Droits fondamentaux et justice», le programme JPEN s’inscrivait dans le prolongement du programme-cadre concernant la coopération policière et judiciaire en m</w:t>
      </w:r>
      <w:r>
        <w:rPr>
          <w:rStyle w:val="Corpsdutexte"/>
          <w:rFonts w:ascii="Times New Roman" w:hAnsi="Times New Roman"/>
          <w:noProof/>
          <w:color w:val="000000"/>
          <w:lang w:val="fr-FR"/>
        </w:rPr>
        <w:t>atière pénale (AGIS) et il a été mis en œuvre pendant sept ans, de 2007 à 2013.</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 programme JPEN était consacré à l’un des quatre objectifs du programme «Droits fondamentaux et justice», qui portait sur la nécessité de promouvoir la coopération judiciaire</w:t>
      </w:r>
      <w:r>
        <w:rPr>
          <w:rStyle w:val="Corpsdutexte"/>
          <w:rFonts w:ascii="Times New Roman" w:hAnsi="Times New Roman"/>
          <w:noProof/>
          <w:color w:val="000000"/>
          <w:lang w:val="fr-FR"/>
        </w:rPr>
        <w:t xml:space="preserve"> et de créer un réel espace de justice en matière pénale dans le droit fil des principes de reconnaissance mutuelle. Il a également été conçu dans le but de mettre en place un système informatisé d’échange d’informations en matière pénale.</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Les cinq objecti</w:t>
      </w:r>
      <w:r>
        <w:rPr>
          <w:rStyle w:val="Corpsdutexte"/>
          <w:rFonts w:ascii="Times New Roman" w:hAnsi="Times New Roman"/>
          <w:noProof/>
          <w:color w:val="000000"/>
          <w:lang w:val="fr-FR"/>
        </w:rPr>
        <w:t>fs généraux du programme JPEN, tels qu’ils sont énoncés à l’article 2 de la décision, sont les suivants:</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lastRenderedPageBreak/>
        <w:t xml:space="preserve">promouvoir la coopération judiciaire afin de contribuer à la création d'un véritable espace européen de justice en matière pénale fondé sur la </w:t>
      </w:r>
      <w:r>
        <w:rPr>
          <w:rStyle w:val="Corpsdutexte"/>
          <w:rFonts w:ascii="Times New Roman" w:hAnsi="Times New Roman"/>
          <w:noProof/>
          <w:color w:val="000000"/>
          <w:lang w:val="fr-FR"/>
        </w:rPr>
        <w:t>reconnaissance et la confiance mutuelles;</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favoriser, dans la mesure nécessaire à l’amélioration de cette coopération, la compatibilité des règles applicables dans les États membres; </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favoriser l’élimination des obstacles juridiques existants au bon fonctio</w:t>
      </w:r>
      <w:r>
        <w:rPr>
          <w:rStyle w:val="Corpsdutexte"/>
          <w:rFonts w:ascii="Times New Roman" w:hAnsi="Times New Roman"/>
          <w:noProof/>
          <w:color w:val="000000"/>
          <w:lang w:val="fr-FR"/>
        </w:rPr>
        <w:t xml:space="preserve">nnement de la coopération judiciaire en vue de renforcer la coordination des enquêtes, et améliorer la compatibilité entre les systèmes judiciaires existants des États membres et l’Union européenne, en vue de donner la suite appropriée aux enquêtes menées </w:t>
      </w:r>
      <w:r>
        <w:rPr>
          <w:rStyle w:val="Corpsdutexte"/>
          <w:rFonts w:ascii="Times New Roman" w:hAnsi="Times New Roman"/>
          <w:noProof/>
          <w:color w:val="000000"/>
          <w:lang w:val="fr-FR"/>
        </w:rPr>
        <w:t>par les autorités répressives des États membres;</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améliorer les contacts et l’échange d’informations et des meilleures pratiques entre les autorités judiciaires et administratives et les professions juridiques (avocats et autres intervenants du secteur judi</w:t>
      </w:r>
      <w:r>
        <w:rPr>
          <w:rStyle w:val="Corpsdutexte"/>
          <w:rFonts w:ascii="Times New Roman" w:hAnsi="Times New Roman"/>
          <w:noProof/>
          <w:color w:val="000000"/>
          <w:lang w:val="fr-FR"/>
        </w:rPr>
        <w:t>ciaire) et promouvoir la formation des membres du pouvoir judiciaire, de façon à accroître la confiance mutuelle;</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accroître encore la confiance mutuelle en vue d'assurer le respect des droits des victimes et des défendeurs.</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Les objectifs spécifiques du pro</w:t>
      </w:r>
      <w:r>
        <w:rPr>
          <w:rStyle w:val="Corpsdutexte"/>
          <w:rFonts w:ascii="Times New Roman" w:hAnsi="Times New Roman"/>
          <w:noProof/>
          <w:color w:val="000000"/>
          <w:lang w:val="fr-FR"/>
        </w:rPr>
        <w:t>gramme JPEN, tels qu’ils sont énumérés à l’article 3 de la décision, sont les suivants:</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favoriser la coopération judiciaire;</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améliorer la connaissance réciproque du droit et des systèmes judiciaires des États membres en matière pénale et promouvoir et renf</w:t>
      </w:r>
      <w:r>
        <w:rPr>
          <w:rStyle w:val="Corpsdutexte"/>
          <w:rFonts w:ascii="Times New Roman" w:hAnsi="Times New Roman"/>
          <w:noProof/>
          <w:color w:val="000000"/>
          <w:lang w:val="fr-FR"/>
        </w:rPr>
        <w:t>orcer la constitution de réseaux, la coopération mutuelle, l’échange et la diffusion de l’information, de l’expérience et des meilleures pratiques;</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veiller à la bonne mise en œuvre, à l’application adéquate et concrète et à l’évaluation des instruments de </w:t>
      </w:r>
      <w:r>
        <w:rPr>
          <w:rStyle w:val="Corpsdutexte"/>
          <w:rFonts w:ascii="Times New Roman" w:hAnsi="Times New Roman"/>
          <w:noProof/>
          <w:color w:val="000000"/>
          <w:lang w:val="fr-FR"/>
        </w:rPr>
        <w:t>l’Union dans les domaines de la coopération judiciaire en matière pénale;</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améliorer l’information sur le droit des États membres et l’accès à la justice;</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promouvoir la formation en droit de l’Union et en droit communautaire des acteurs judiciaires, des avo</w:t>
      </w:r>
      <w:r>
        <w:rPr>
          <w:rStyle w:val="Corpsdutexte"/>
          <w:rFonts w:ascii="Times New Roman" w:hAnsi="Times New Roman"/>
          <w:noProof/>
          <w:color w:val="000000"/>
          <w:lang w:val="fr-FR"/>
        </w:rPr>
        <w:t>cats et des autres intervenants du secteur judiciaire;</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évaluer les conditions générales nécessaires pour renforcer la confiance mutuelle;</w:t>
      </w:r>
    </w:p>
    <w:p w:rsidR="00FC79B3" w:rsidRDefault="002A6CE7">
      <w:pPr>
        <w:pStyle w:val="BodyText"/>
        <w:numPr>
          <w:ilvl w:val="0"/>
          <w:numId w:val="17"/>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créer et mettre en place un système informatisé d’échange d’informations sur les casiers judiciaires et soutenir les é</w:t>
      </w:r>
      <w:r>
        <w:rPr>
          <w:rStyle w:val="Corpsdutexte"/>
          <w:rFonts w:ascii="Times New Roman" w:hAnsi="Times New Roman"/>
          <w:noProof/>
          <w:color w:val="000000"/>
          <w:lang w:val="fr-FR"/>
        </w:rPr>
        <w:t>tudes visant à instaurer d’autres types d’échange d’informations.</w:t>
      </w:r>
    </w:p>
    <w:p w:rsidR="00FC79B3" w:rsidRDefault="00FC79B3">
      <w:pPr>
        <w:pStyle w:val="BodyText"/>
        <w:ind w:left="0"/>
        <w:jc w:val="both"/>
        <w:rPr>
          <w:rStyle w:val="Corpsdutexte"/>
          <w:rFonts w:ascii="Times New Roman" w:eastAsia="Times New Roman" w:hAnsi="Times New Roman"/>
          <w:noProof/>
          <w:color w:val="000000"/>
          <w:lang w:val="fr-FR"/>
        </w:rPr>
      </w:pP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Afin de réaliser ces objectifs, le programme a financé des activités au moyen de trois formes distinctes de soutien financier, à savoir les subventions à l’action, les subventions de foncti</w:t>
      </w:r>
      <w:r>
        <w:rPr>
          <w:rStyle w:val="Corpsdutexte"/>
          <w:rFonts w:ascii="Times New Roman" w:hAnsi="Times New Roman"/>
          <w:noProof/>
          <w:color w:val="000000"/>
          <w:lang w:val="fr-FR"/>
        </w:rPr>
        <w:t>onnement et les marchés publics</w:t>
      </w:r>
      <w:r>
        <w:rPr>
          <w:rStyle w:val="FootnoteReference"/>
          <w:rFonts w:ascii="Times New Roman" w:hAnsi="Times New Roman"/>
          <w:noProof/>
          <w:color w:val="000000"/>
          <w:sz w:val="22"/>
          <w:lang w:val="fr-FR"/>
        </w:rPr>
        <w:footnoteReference w:id="3"/>
      </w:r>
      <w:r>
        <w:rPr>
          <w:rStyle w:val="Corpsdutexte"/>
          <w:rFonts w:ascii="Times New Roman" w:hAnsi="Times New Roman"/>
          <w:noProof/>
          <w:color w:val="000000"/>
          <w:lang w:val="fr-FR"/>
        </w:rPr>
        <w:t xml:space="preserve">. </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Des subventions à l’action ont été allouées en faveur de projets transnationaux spécifiques présentant un intérêt pour l’ensemble de l’Union, de projets nationaux préparant ou complétant des projets transnationaux ou des </w:t>
      </w:r>
      <w:r>
        <w:rPr>
          <w:rStyle w:val="Corpsdutexte"/>
          <w:rFonts w:ascii="Times New Roman" w:hAnsi="Times New Roman"/>
          <w:noProof/>
          <w:color w:val="000000"/>
          <w:lang w:val="fr-FR"/>
        </w:rPr>
        <w:t xml:space="preserve">actions de l’Union et de projets nationaux contribuant à mettre au point des méthodes et/ou des techniques novatrices susceptibles d’être transférées. </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Des subventions de fonctionnement ont été octroyées à des ONG ou autres entités poursuivant des objectifs d’intérêt général européen dans le domaine de la justice pénale, ainsi qu’au réseau européen de formation judiciaire (REFJ), en particulier, pour cofi</w:t>
      </w:r>
      <w:r>
        <w:rPr>
          <w:rStyle w:val="Corpsdutexte"/>
          <w:rFonts w:ascii="Times New Roman" w:hAnsi="Times New Roman"/>
          <w:noProof/>
          <w:color w:val="000000"/>
          <w:lang w:val="fr-FR"/>
        </w:rPr>
        <w:t>nancer les dépenses liées à son programme de travail permanent pour la formation des magistrats</w:t>
      </w:r>
      <w:r>
        <w:rPr>
          <w:rStyle w:val="FootnoteReference"/>
          <w:rFonts w:ascii="Times New Roman" w:hAnsi="Times New Roman"/>
          <w:noProof/>
          <w:color w:val="000000"/>
          <w:sz w:val="22"/>
          <w:lang w:val="fr-FR"/>
        </w:rPr>
        <w:footnoteReference w:id="4"/>
      </w:r>
      <w:r>
        <w:rPr>
          <w:noProof/>
          <w:lang w:val="fr-FR"/>
        </w:rPr>
        <w:t>.</w:t>
      </w:r>
      <w:r>
        <w:rPr>
          <w:rStyle w:val="Corpsdutexte"/>
          <w:rFonts w:ascii="Times New Roman" w:hAnsi="Times New Roman"/>
          <w:noProof/>
          <w:color w:val="000000"/>
          <w:lang w:val="fr-FR"/>
        </w:rPr>
        <w:t xml:space="preserve"> </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La Commission a également utilisé le financement du programme JPEN pour faire exécuter des actions spécifiques revêtant une importance particulière à ses yeu</w:t>
      </w:r>
      <w:r>
        <w:rPr>
          <w:rStyle w:val="Corpsdutexte"/>
          <w:rFonts w:ascii="Times New Roman" w:hAnsi="Times New Roman"/>
          <w:noProof/>
          <w:color w:val="000000"/>
          <w:lang w:val="fr-FR"/>
        </w:rPr>
        <w:t xml:space="preserve">x, parmi lesquelles des études et des travaux de recherche et la création et la mise en œuvre de projets informatiques spécifiques destinés à faciliter l’échange et la diffusion d’informations. </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En 2010, le programme de travail annuel a prévu des subventio</w:t>
      </w:r>
      <w:r>
        <w:rPr>
          <w:rStyle w:val="Corpsdutexte"/>
          <w:rFonts w:ascii="Times New Roman" w:hAnsi="Times New Roman"/>
          <w:noProof/>
          <w:color w:val="000000"/>
          <w:lang w:val="fr-FR"/>
        </w:rPr>
        <w:t>ns à l’action spécifiques pour le cofinancement de projets européens d’e-justice et, en 2013, un appel à propositions spécifique a été lancé pour le financement de projets de formation judiciaire.</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 programme entendait soutenir les groupes cibles suivants</w:t>
      </w:r>
      <w:r>
        <w:rPr>
          <w:rStyle w:val="Corpsdutexte"/>
          <w:rFonts w:ascii="Times New Roman" w:hAnsi="Times New Roman"/>
          <w:noProof/>
          <w:color w:val="000000"/>
          <w:lang w:val="fr-FR"/>
        </w:rPr>
        <w:t>: praticiens du droit, représentants des services d’assistance aux victimes, autres intervenants du secteur judiciaire, autorités nationales et citoyens de l’Union en général.</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Le budget total planifié pour le programme JPEN de janvier 2007 à décembre 2013 </w:t>
      </w:r>
      <w:r>
        <w:rPr>
          <w:rStyle w:val="Corpsdutexte"/>
          <w:rFonts w:ascii="Times New Roman" w:hAnsi="Times New Roman"/>
          <w:noProof/>
          <w:color w:val="000000"/>
          <w:lang w:val="fr-FR"/>
        </w:rPr>
        <w:t xml:space="preserve">s’élevait à 196 millions d’euros (cf. </w:t>
      </w:r>
      <w:r>
        <w:rPr>
          <w:rStyle w:val="Corpsdutexte"/>
          <w:rFonts w:ascii="Times New Roman" w:eastAsia="Times New Roman" w:hAnsi="Times New Roman"/>
          <w:noProof/>
          <w:color w:val="000000"/>
          <w:lang w:val="fr-FR"/>
        </w:rPr>
        <w:fldChar w:fldCharType="begin"/>
      </w:r>
      <w:r>
        <w:rPr>
          <w:rStyle w:val="Corpsdutexte"/>
          <w:rFonts w:ascii="Times New Roman" w:eastAsia="Times New Roman" w:hAnsi="Times New Roman"/>
          <w:noProof/>
          <w:color w:val="000000"/>
          <w:lang w:val="fr-FR"/>
        </w:rPr>
        <w:instrText xml:space="preserve"> REF _Ref456711472 \h  \* MERGEFORMAT </w:instrText>
      </w:r>
      <w:r>
        <w:rPr>
          <w:rStyle w:val="Corpsdutexte"/>
          <w:rFonts w:ascii="Times New Roman" w:eastAsia="Times New Roman" w:hAnsi="Times New Roman"/>
          <w:noProof/>
          <w:color w:val="000000"/>
          <w:lang w:val="fr-FR"/>
        </w:rPr>
      </w:r>
      <w:r>
        <w:rPr>
          <w:rStyle w:val="Corpsdutexte"/>
          <w:rFonts w:ascii="Times New Roman" w:eastAsia="Times New Roman" w:hAnsi="Times New Roman"/>
          <w:noProof/>
          <w:color w:val="000000"/>
          <w:lang w:val="fr-FR"/>
        </w:rPr>
        <w:fldChar w:fldCharType="separate"/>
      </w:r>
      <w:r w:rsidRPr="002A6CE7">
        <w:rPr>
          <w:rFonts w:ascii="Times New Roman" w:hAnsi="Times New Roman"/>
          <w:noProof/>
          <w:sz w:val="22"/>
          <w:szCs w:val="22"/>
          <w:lang w:val="fr-FR"/>
        </w:rPr>
        <w:t>Tableau 1</w:t>
      </w:r>
      <w:r w:rsidRPr="002A6CE7">
        <w:rPr>
          <w:rFonts w:ascii="Times New Roman" w:hAnsi="Times New Roman"/>
          <w:noProof/>
          <w:sz w:val="22"/>
          <w:szCs w:val="22"/>
          <w:lang w:val="fr-FR"/>
        </w:rPr>
        <w:noBreakHyphen/>
        <w:t>1 Ventilation budgétaire prévue du programme JPEN 2007-2013</w:t>
      </w:r>
      <w:r>
        <w:rPr>
          <w:rStyle w:val="Corpsdutexte"/>
          <w:rFonts w:ascii="Times New Roman" w:eastAsia="Times New Roman" w:hAnsi="Times New Roman"/>
          <w:noProof/>
          <w:color w:val="000000"/>
          <w:lang w:val="fr-FR"/>
        </w:rPr>
        <w:fldChar w:fldCharType="end"/>
      </w:r>
      <w:r>
        <w:rPr>
          <w:rStyle w:val="Corpsdutexte"/>
          <w:rFonts w:ascii="Times New Roman" w:hAnsi="Times New Roman"/>
          <w:noProof/>
          <w:color w:val="000000"/>
          <w:lang w:val="fr-FR"/>
        </w:rPr>
        <w:t>)</w:t>
      </w:r>
      <w:r>
        <w:rPr>
          <w:rStyle w:val="FootnoteReference"/>
          <w:rFonts w:ascii="Times New Roman" w:hAnsi="Times New Roman"/>
          <w:noProof/>
          <w:color w:val="000000"/>
          <w:sz w:val="22"/>
          <w:lang w:val="fr-FR"/>
        </w:rPr>
        <w:footnoteReference w:id="5"/>
      </w:r>
      <w:r>
        <w:rPr>
          <w:noProof/>
          <w:lang w:val="fr-FR"/>
        </w:rPr>
        <w:t>.</w:t>
      </w:r>
      <w:r>
        <w:rPr>
          <w:rStyle w:val="Corpsdutexte"/>
          <w:rFonts w:ascii="Times New Roman" w:hAnsi="Times New Roman"/>
          <w:noProof/>
          <w:color w:val="000000"/>
          <w:lang w:val="fr-FR"/>
        </w:rPr>
        <w:t xml:space="preserve"> </w:t>
      </w:r>
    </w:p>
    <w:p w:rsidR="00FC79B3" w:rsidRDefault="002A6CE7">
      <w:pPr>
        <w:pStyle w:val="Caption"/>
        <w:keepNext/>
        <w:jc w:val="both"/>
        <w:rPr>
          <w:noProof/>
          <w:lang w:val="fr-FR"/>
        </w:rPr>
      </w:pPr>
      <w:bookmarkStart w:id="11" w:name="_Ref456711404"/>
      <w:bookmarkStart w:id="12" w:name="_Ref456711472"/>
      <w:r>
        <w:rPr>
          <w:noProof/>
          <w:lang w:val="fr-FR"/>
        </w:rPr>
        <w:t>Tableau </w:t>
      </w:r>
      <w:r>
        <w:rPr>
          <w:noProof/>
          <w:lang w:val="fr-FR"/>
        </w:rPr>
        <w:fldChar w:fldCharType="begin"/>
      </w:r>
      <w:r>
        <w:rPr>
          <w:noProof/>
          <w:lang w:val="fr-FR"/>
        </w:rPr>
        <w:instrText xml:space="preserve"> STYLEREF 1 \s </w:instrText>
      </w:r>
      <w:r>
        <w:rPr>
          <w:noProof/>
          <w:lang w:val="fr-FR"/>
        </w:rPr>
        <w:fldChar w:fldCharType="separate"/>
      </w:r>
      <w:r>
        <w:rPr>
          <w:noProof/>
          <w:lang w:val="fr-FR"/>
        </w:rPr>
        <w:t>1</w:t>
      </w:r>
      <w:r>
        <w:rPr>
          <w:noProof/>
          <w:lang w:val="fr-FR"/>
        </w:rPr>
        <w:fldChar w:fldCharType="end"/>
      </w:r>
      <w:r>
        <w:rPr>
          <w:noProof/>
          <w:lang w:val="fr-FR"/>
        </w:rPr>
        <w:noBreakHyphen/>
      </w:r>
      <w:r>
        <w:rPr>
          <w:noProof/>
          <w:lang w:val="fr-FR"/>
        </w:rPr>
        <w:fldChar w:fldCharType="begin"/>
      </w:r>
      <w:r>
        <w:rPr>
          <w:noProof/>
          <w:lang w:val="fr-FR"/>
        </w:rPr>
        <w:instrText xml:space="preserve"> SEQ Table \* ARABIC \s 1 </w:instrText>
      </w:r>
      <w:r>
        <w:rPr>
          <w:noProof/>
          <w:lang w:val="fr-FR"/>
        </w:rPr>
        <w:fldChar w:fldCharType="separate"/>
      </w:r>
      <w:r>
        <w:rPr>
          <w:noProof/>
          <w:lang w:val="fr-FR"/>
        </w:rPr>
        <w:t>1</w:t>
      </w:r>
      <w:r>
        <w:rPr>
          <w:noProof/>
          <w:lang w:val="fr-FR"/>
        </w:rPr>
        <w:fldChar w:fldCharType="end"/>
      </w:r>
      <w:bookmarkEnd w:id="11"/>
      <w:r>
        <w:rPr>
          <w:noProof/>
          <w:color w:val="auto"/>
          <w:lang w:val="fr-FR"/>
        </w:rPr>
        <w:t xml:space="preserve"> </w:t>
      </w:r>
      <w:r>
        <w:rPr>
          <w:noProof/>
          <w:lang w:val="fr-FR"/>
        </w:rPr>
        <w:t>Ventilation budgétaire prévue du programme JPEN 2007-2013</w:t>
      </w:r>
      <w:bookmarkEnd w:id="12"/>
    </w:p>
    <w:tbl>
      <w:tblPr>
        <w:tblW w:w="8221" w:type="dxa"/>
        <w:tblInd w:w="851" w:type="dxa"/>
        <w:tblBorders>
          <w:top w:val="single" w:sz="2" w:space="0" w:color="auto"/>
          <w:bottom w:val="single" w:sz="2" w:space="0" w:color="auto"/>
          <w:insideH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1701"/>
        <w:gridCol w:w="1701"/>
        <w:gridCol w:w="1843"/>
        <w:gridCol w:w="1559"/>
      </w:tblGrid>
      <w:tr w:rsidR="00FC79B3">
        <w:trPr>
          <w:trHeight w:val="20"/>
          <w:tblHeader/>
        </w:trPr>
        <w:tc>
          <w:tcPr>
            <w:tcW w:w="1417" w:type="dxa"/>
            <w:tcBorders>
              <w:top w:val="single" w:sz="4" w:space="0" w:color="auto"/>
              <w:bottom w:val="single" w:sz="4" w:space="0" w:color="auto"/>
            </w:tcBorders>
            <w:shd w:val="clear" w:color="auto" w:fill="auto"/>
          </w:tcPr>
          <w:p w:rsidR="00FC79B3" w:rsidRDefault="00FC79B3">
            <w:pPr>
              <w:pStyle w:val="TableTitle"/>
              <w:jc w:val="both"/>
              <w:rPr>
                <w:noProof/>
                <w:sz w:val="16"/>
                <w:szCs w:val="16"/>
                <w:lang w:val="fr-FR"/>
              </w:rPr>
            </w:pPr>
          </w:p>
        </w:tc>
        <w:tc>
          <w:tcPr>
            <w:tcW w:w="1701" w:type="dxa"/>
            <w:tcBorders>
              <w:top w:val="single" w:sz="4" w:space="0" w:color="auto"/>
              <w:bottom w:val="single" w:sz="4" w:space="0" w:color="auto"/>
            </w:tcBorders>
            <w:shd w:val="clear" w:color="auto" w:fill="auto"/>
          </w:tcPr>
          <w:p w:rsidR="00FC79B3" w:rsidRDefault="002A6CE7">
            <w:pPr>
              <w:pStyle w:val="TableTitle"/>
              <w:jc w:val="both"/>
              <w:rPr>
                <w:noProof/>
                <w:sz w:val="16"/>
                <w:szCs w:val="16"/>
                <w:lang w:val="fr-FR"/>
              </w:rPr>
            </w:pPr>
            <w:r>
              <w:rPr>
                <w:noProof/>
                <w:sz w:val="16"/>
                <w:lang w:val="fr-FR"/>
              </w:rPr>
              <w:t>Subventions à l’action</w:t>
            </w:r>
          </w:p>
        </w:tc>
        <w:tc>
          <w:tcPr>
            <w:tcW w:w="1701" w:type="dxa"/>
            <w:tcBorders>
              <w:top w:val="single" w:sz="4" w:space="0" w:color="auto"/>
              <w:bottom w:val="single" w:sz="4" w:space="0" w:color="auto"/>
            </w:tcBorders>
            <w:shd w:val="clear" w:color="auto" w:fill="auto"/>
          </w:tcPr>
          <w:p w:rsidR="00FC79B3" w:rsidRDefault="002A6CE7">
            <w:pPr>
              <w:pStyle w:val="TableTitle"/>
              <w:jc w:val="both"/>
              <w:rPr>
                <w:noProof/>
                <w:sz w:val="16"/>
                <w:szCs w:val="16"/>
                <w:lang w:val="fr-FR"/>
              </w:rPr>
            </w:pPr>
            <w:r>
              <w:rPr>
                <w:noProof/>
                <w:sz w:val="16"/>
                <w:lang w:val="fr-FR"/>
              </w:rPr>
              <w:t>Subventions de fonctionnement</w:t>
            </w:r>
            <w:r>
              <w:rPr>
                <w:rStyle w:val="FootnoteReference"/>
                <w:noProof/>
                <w:sz w:val="16"/>
                <w:lang w:val="fr-FR"/>
              </w:rPr>
              <w:footnoteReference w:id="6"/>
            </w:r>
          </w:p>
        </w:tc>
        <w:tc>
          <w:tcPr>
            <w:tcW w:w="1843" w:type="dxa"/>
            <w:tcBorders>
              <w:top w:val="single" w:sz="4" w:space="0" w:color="auto"/>
              <w:bottom w:val="single" w:sz="4" w:space="0" w:color="auto"/>
            </w:tcBorders>
            <w:shd w:val="clear" w:color="auto" w:fill="auto"/>
          </w:tcPr>
          <w:p w:rsidR="00FC79B3" w:rsidRDefault="002A6CE7">
            <w:pPr>
              <w:pStyle w:val="TableTitle"/>
              <w:jc w:val="both"/>
              <w:rPr>
                <w:noProof/>
                <w:sz w:val="16"/>
                <w:szCs w:val="16"/>
                <w:lang w:val="fr-FR"/>
              </w:rPr>
            </w:pPr>
            <w:r>
              <w:rPr>
                <w:noProof/>
                <w:sz w:val="16"/>
                <w:lang w:val="fr-FR"/>
              </w:rPr>
              <w:t>Marchés</w:t>
            </w:r>
          </w:p>
        </w:tc>
        <w:tc>
          <w:tcPr>
            <w:tcW w:w="1559" w:type="dxa"/>
            <w:tcBorders>
              <w:top w:val="single" w:sz="4" w:space="0" w:color="auto"/>
              <w:bottom w:val="single" w:sz="4" w:space="0" w:color="auto"/>
            </w:tcBorders>
            <w:shd w:val="clear" w:color="auto" w:fill="auto"/>
          </w:tcPr>
          <w:p w:rsidR="00FC79B3" w:rsidRDefault="002A6CE7">
            <w:pPr>
              <w:pStyle w:val="TableTitle"/>
              <w:jc w:val="both"/>
              <w:rPr>
                <w:noProof/>
                <w:sz w:val="16"/>
                <w:szCs w:val="16"/>
                <w:lang w:val="fr-FR"/>
              </w:rPr>
            </w:pPr>
            <w:r>
              <w:rPr>
                <w:noProof/>
                <w:sz w:val="16"/>
                <w:lang w:val="fr-FR"/>
              </w:rPr>
              <w:t>Total</w:t>
            </w:r>
          </w:p>
        </w:tc>
      </w:tr>
      <w:tr w:rsidR="00FC79B3">
        <w:trPr>
          <w:trHeight w:val="20"/>
          <w:tblHeader/>
        </w:trPr>
        <w:tc>
          <w:tcPr>
            <w:tcW w:w="1417" w:type="dxa"/>
            <w:tcBorders>
              <w:top w:val="single" w:sz="4" w:space="0" w:color="auto"/>
              <w:bottom w:val="single" w:sz="4" w:space="0" w:color="auto"/>
            </w:tcBorders>
            <w:shd w:val="clear" w:color="auto" w:fill="auto"/>
          </w:tcPr>
          <w:p w:rsidR="00FC79B3" w:rsidRDefault="00FC79B3">
            <w:pPr>
              <w:pStyle w:val="TableTitle"/>
              <w:jc w:val="both"/>
              <w:rPr>
                <w:noProof/>
                <w:sz w:val="16"/>
                <w:szCs w:val="16"/>
                <w:lang w:val="fr-FR"/>
              </w:rPr>
            </w:pPr>
          </w:p>
        </w:tc>
        <w:tc>
          <w:tcPr>
            <w:tcW w:w="1701" w:type="dxa"/>
            <w:tcBorders>
              <w:top w:val="single" w:sz="4" w:space="0" w:color="auto"/>
              <w:bottom w:val="single" w:sz="4" w:space="0" w:color="auto"/>
            </w:tcBorders>
            <w:shd w:val="clear" w:color="auto" w:fill="auto"/>
          </w:tcPr>
          <w:p w:rsidR="00FC79B3" w:rsidRDefault="002A6CE7">
            <w:pPr>
              <w:pStyle w:val="TableTitle"/>
              <w:jc w:val="both"/>
              <w:rPr>
                <w:noProof/>
                <w:sz w:val="16"/>
                <w:szCs w:val="16"/>
                <w:lang w:val="fr-FR"/>
              </w:rPr>
            </w:pPr>
            <w:r>
              <w:rPr>
                <w:noProof/>
                <w:sz w:val="16"/>
                <w:lang w:val="fr-FR"/>
              </w:rPr>
              <w:t>Valeur (EUR)</w:t>
            </w:r>
          </w:p>
        </w:tc>
        <w:tc>
          <w:tcPr>
            <w:tcW w:w="1701" w:type="dxa"/>
            <w:tcBorders>
              <w:top w:val="single" w:sz="4" w:space="0" w:color="auto"/>
              <w:bottom w:val="single" w:sz="4" w:space="0" w:color="auto"/>
            </w:tcBorders>
            <w:shd w:val="clear" w:color="auto" w:fill="auto"/>
          </w:tcPr>
          <w:p w:rsidR="00FC79B3" w:rsidRDefault="002A6CE7">
            <w:pPr>
              <w:pStyle w:val="TableTitle"/>
              <w:jc w:val="both"/>
              <w:rPr>
                <w:noProof/>
                <w:sz w:val="16"/>
                <w:szCs w:val="16"/>
                <w:lang w:val="fr-FR"/>
              </w:rPr>
            </w:pPr>
            <w:r>
              <w:rPr>
                <w:noProof/>
                <w:sz w:val="16"/>
                <w:lang w:val="fr-FR"/>
              </w:rPr>
              <w:t>Valeur (EUR)</w:t>
            </w:r>
          </w:p>
        </w:tc>
        <w:tc>
          <w:tcPr>
            <w:tcW w:w="1843" w:type="dxa"/>
            <w:tcBorders>
              <w:top w:val="single" w:sz="4" w:space="0" w:color="auto"/>
              <w:bottom w:val="single" w:sz="4" w:space="0" w:color="auto"/>
            </w:tcBorders>
            <w:shd w:val="clear" w:color="auto" w:fill="auto"/>
          </w:tcPr>
          <w:p w:rsidR="00FC79B3" w:rsidRDefault="002A6CE7">
            <w:pPr>
              <w:pStyle w:val="TableTitle"/>
              <w:jc w:val="both"/>
              <w:rPr>
                <w:noProof/>
                <w:sz w:val="16"/>
                <w:szCs w:val="16"/>
                <w:lang w:val="fr-FR"/>
              </w:rPr>
            </w:pPr>
            <w:r>
              <w:rPr>
                <w:noProof/>
                <w:sz w:val="16"/>
                <w:lang w:val="fr-FR"/>
              </w:rPr>
              <w:t>Valeur (EUR)</w:t>
            </w:r>
          </w:p>
        </w:tc>
        <w:tc>
          <w:tcPr>
            <w:tcW w:w="1559" w:type="dxa"/>
            <w:tcBorders>
              <w:top w:val="single" w:sz="4" w:space="0" w:color="auto"/>
              <w:bottom w:val="single" w:sz="4" w:space="0" w:color="auto"/>
            </w:tcBorders>
            <w:shd w:val="clear" w:color="auto" w:fill="auto"/>
          </w:tcPr>
          <w:p w:rsidR="00FC79B3" w:rsidRDefault="002A6CE7">
            <w:pPr>
              <w:pStyle w:val="TableTitle"/>
              <w:jc w:val="both"/>
              <w:rPr>
                <w:noProof/>
                <w:sz w:val="16"/>
                <w:szCs w:val="16"/>
                <w:lang w:val="fr-FR"/>
              </w:rPr>
            </w:pPr>
            <w:r>
              <w:rPr>
                <w:noProof/>
                <w:sz w:val="16"/>
                <w:lang w:val="fr-FR"/>
              </w:rPr>
              <w:t>Valeur (EUR)</w:t>
            </w:r>
          </w:p>
        </w:tc>
      </w:tr>
      <w:tr w:rsidR="00FC79B3">
        <w:trPr>
          <w:trHeight w:val="20"/>
        </w:trPr>
        <w:tc>
          <w:tcPr>
            <w:tcW w:w="1417" w:type="dxa"/>
            <w:tcBorders>
              <w:top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2007</w:t>
            </w:r>
          </w:p>
        </w:tc>
        <w:tc>
          <w:tcPr>
            <w:tcW w:w="1701"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22 000 000</w:t>
            </w:r>
          </w:p>
        </w:tc>
        <w:tc>
          <w:tcPr>
            <w:tcW w:w="1701"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5 900 000</w:t>
            </w:r>
          </w:p>
        </w:tc>
        <w:tc>
          <w:tcPr>
            <w:tcW w:w="1843"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1 300 000</w:t>
            </w:r>
          </w:p>
        </w:tc>
        <w:tc>
          <w:tcPr>
            <w:tcW w:w="1559"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29 200 000</w:t>
            </w:r>
          </w:p>
        </w:tc>
      </w:tr>
      <w:tr w:rsidR="00FC79B3">
        <w:trPr>
          <w:trHeight w:val="20"/>
        </w:trPr>
        <w:tc>
          <w:tcPr>
            <w:tcW w:w="1417" w:type="dxa"/>
            <w:shd w:val="clear" w:color="auto" w:fill="auto"/>
          </w:tcPr>
          <w:p w:rsidR="00FC79B3" w:rsidRDefault="002A6CE7">
            <w:pPr>
              <w:pStyle w:val="TableTextNoSpace"/>
              <w:jc w:val="both"/>
              <w:rPr>
                <w:noProof/>
                <w:sz w:val="16"/>
                <w:szCs w:val="16"/>
                <w:lang w:val="fr-FR"/>
              </w:rPr>
            </w:pPr>
            <w:r>
              <w:rPr>
                <w:noProof/>
                <w:sz w:val="16"/>
                <w:lang w:val="fr-FR"/>
              </w:rPr>
              <w:t>2008</w:t>
            </w:r>
          </w:p>
        </w:tc>
        <w:tc>
          <w:tcPr>
            <w:tcW w:w="1701"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18 800 000</w:t>
            </w:r>
          </w:p>
        </w:tc>
        <w:tc>
          <w:tcPr>
            <w:tcW w:w="1701"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6 000 000</w:t>
            </w:r>
          </w:p>
        </w:tc>
        <w:tc>
          <w:tcPr>
            <w:tcW w:w="1843"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5 000 000</w:t>
            </w:r>
          </w:p>
        </w:tc>
        <w:tc>
          <w:tcPr>
            <w:tcW w:w="1559"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29 800 000</w:t>
            </w:r>
          </w:p>
        </w:tc>
      </w:tr>
      <w:tr w:rsidR="00FC79B3">
        <w:trPr>
          <w:trHeight w:val="20"/>
        </w:trPr>
        <w:tc>
          <w:tcPr>
            <w:tcW w:w="1417" w:type="dxa"/>
            <w:shd w:val="clear" w:color="auto" w:fill="auto"/>
          </w:tcPr>
          <w:p w:rsidR="00FC79B3" w:rsidRDefault="002A6CE7">
            <w:pPr>
              <w:pStyle w:val="TableTextNoSpace"/>
              <w:jc w:val="both"/>
              <w:rPr>
                <w:noProof/>
                <w:sz w:val="16"/>
                <w:szCs w:val="16"/>
                <w:lang w:val="fr-FR"/>
              </w:rPr>
            </w:pPr>
            <w:r>
              <w:rPr>
                <w:noProof/>
                <w:sz w:val="16"/>
                <w:lang w:val="fr-FR"/>
              </w:rPr>
              <w:t>2009</w:t>
            </w:r>
          </w:p>
        </w:tc>
        <w:tc>
          <w:tcPr>
            <w:tcW w:w="1701"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14 900 000</w:t>
            </w:r>
          </w:p>
        </w:tc>
        <w:tc>
          <w:tcPr>
            <w:tcW w:w="1701"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8 500 000</w:t>
            </w:r>
          </w:p>
        </w:tc>
        <w:tc>
          <w:tcPr>
            <w:tcW w:w="1843"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7 000 000</w:t>
            </w:r>
          </w:p>
        </w:tc>
        <w:tc>
          <w:tcPr>
            <w:tcW w:w="1559"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30 400 000</w:t>
            </w:r>
          </w:p>
        </w:tc>
      </w:tr>
      <w:tr w:rsidR="00FC79B3">
        <w:trPr>
          <w:trHeight w:val="20"/>
        </w:trPr>
        <w:tc>
          <w:tcPr>
            <w:tcW w:w="1417" w:type="dxa"/>
            <w:shd w:val="clear" w:color="auto" w:fill="auto"/>
          </w:tcPr>
          <w:p w:rsidR="00FC79B3" w:rsidRDefault="002A6CE7">
            <w:pPr>
              <w:pStyle w:val="TableTextNoSpace"/>
              <w:jc w:val="both"/>
              <w:rPr>
                <w:noProof/>
                <w:sz w:val="16"/>
                <w:szCs w:val="16"/>
                <w:lang w:val="fr-FR"/>
              </w:rPr>
            </w:pPr>
            <w:r>
              <w:rPr>
                <w:noProof/>
                <w:sz w:val="16"/>
                <w:lang w:val="fr-FR"/>
              </w:rPr>
              <w:t>2010</w:t>
            </w:r>
          </w:p>
        </w:tc>
        <w:tc>
          <w:tcPr>
            <w:tcW w:w="1701"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17 000 000</w:t>
            </w:r>
          </w:p>
        </w:tc>
        <w:tc>
          <w:tcPr>
            <w:tcW w:w="1701"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5 000 000</w:t>
            </w:r>
          </w:p>
        </w:tc>
        <w:tc>
          <w:tcPr>
            <w:tcW w:w="1843"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4 000 000</w:t>
            </w:r>
          </w:p>
        </w:tc>
        <w:tc>
          <w:tcPr>
            <w:tcW w:w="1559" w:type="dxa"/>
            <w:tcBorders>
              <w:top w:val="single" w:sz="4" w:space="0" w:color="auto"/>
              <w:bottom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26 000 000</w:t>
            </w:r>
          </w:p>
        </w:tc>
      </w:tr>
      <w:tr w:rsidR="00FC79B3">
        <w:trPr>
          <w:trHeight w:val="20"/>
        </w:trPr>
        <w:tc>
          <w:tcPr>
            <w:tcW w:w="1417" w:type="dxa"/>
            <w:shd w:val="clear" w:color="auto" w:fill="auto"/>
          </w:tcPr>
          <w:p w:rsidR="00FC79B3" w:rsidRDefault="002A6CE7">
            <w:pPr>
              <w:pStyle w:val="TableTextNoSpace"/>
              <w:jc w:val="both"/>
              <w:rPr>
                <w:noProof/>
                <w:sz w:val="16"/>
                <w:szCs w:val="16"/>
                <w:lang w:val="fr-FR"/>
              </w:rPr>
            </w:pPr>
            <w:r>
              <w:rPr>
                <w:noProof/>
                <w:sz w:val="16"/>
                <w:lang w:val="fr-FR"/>
              </w:rPr>
              <w:t>2011</w:t>
            </w:r>
          </w:p>
        </w:tc>
        <w:tc>
          <w:tcPr>
            <w:tcW w:w="1701" w:type="dxa"/>
            <w:tcBorders>
              <w:top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14 500 000</w:t>
            </w:r>
          </w:p>
        </w:tc>
        <w:tc>
          <w:tcPr>
            <w:tcW w:w="1701" w:type="dxa"/>
            <w:tcBorders>
              <w:top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6 500 000</w:t>
            </w:r>
          </w:p>
        </w:tc>
        <w:tc>
          <w:tcPr>
            <w:tcW w:w="1843" w:type="dxa"/>
            <w:tcBorders>
              <w:top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6 000 000</w:t>
            </w:r>
          </w:p>
        </w:tc>
        <w:tc>
          <w:tcPr>
            <w:tcW w:w="1559" w:type="dxa"/>
            <w:tcBorders>
              <w:top w:val="single" w:sz="4" w:space="0" w:color="auto"/>
            </w:tcBorders>
            <w:shd w:val="clear" w:color="auto" w:fill="auto"/>
          </w:tcPr>
          <w:p w:rsidR="00FC79B3" w:rsidRDefault="002A6CE7">
            <w:pPr>
              <w:pStyle w:val="TableTextNoSpace"/>
              <w:jc w:val="both"/>
              <w:rPr>
                <w:noProof/>
                <w:sz w:val="16"/>
                <w:szCs w:val="16"/>
                <w:lang w:val="fr-FR"/>
              </w:rPr>
            </w:pPr>
            <w:r>
              <w:rPr>
                <w:noProof/>
                <w:sz w:val="16"/>
                <w:lang w:val="fr-FR"/>
              </w:rPr>
              <w:t>26 500 000</w:t>
            </w:r>
          </w:p>
        </w:tc>
      </w:tr>
      <w:tr w:rsidR="00FC79B3">
        <w:trPr>
          <w:trHeight w:val="25"/>
        </w:trPr>
        <w:tc>
          <w:tcPr>
            <w:tcW w:w="1417" w:type="dxa"/>
            <w:shd w:val="clear" w:color="auto" w:fill="auto"/>
          </w:tcPr>
          <w:p w:rsidR="00FC79B3" w:rsidRDefault="002A6CE7">
            <w:pPr>
              <w:pStyle w:val="TableTextNoSpace"/>
              <w:jc w:val="both"/>
              <w:rPr>
                <w:noProof/>
                <w:sz w:val="16"/>
                <w:szCs w:val="16"/>
                <w:lang w:val="fr-FR"/>
              </w:rPr>
            </w:pPr>
            <w:r>
              <w:rPr>
                <w:noProof/>
                <w:sz w:val="16"/>
                <w:lang w:val="fr-FR"/>
              </w:rPr>
              <w:t>2012</w:t>
            </w:r>
          </w:p>
        </w:tc>
        <w:tc>
          <w:tcPr>
            <w:tcW w:w="1701" w:type="dxa"/>
            <w:shd w:val="clear" w:color="auto" w:fill="auto"/>
          </w:tcPr>
          <w:p w:rsidR="00FC79B3" w:rsidRDefault="002A6CE7">
            <w:pPr>
              <w:pStyle w:val="TableTextNoSpace"/>
              <w:jc w:val="both"/>
              <w:rPr>
                <w:noProof/>
                <w:sz w:val="16"/>
                <w:szCs w:val="16"/>
                <w:lang w:val="fr-FR"/>
              </w:rPr>
            </w:pPr>
            <w:r>
              <w:rPr>
                <w:noProof/>
                <w:sz w:val="16"/>
                <w:lang w:val="fr-FR"/>
              </w:rPr>
              <w:t>13 450 000</w:t>
            </w:r>
          </w:p>
        </w:tc>
        <w:tc>
          <w:tcPr>
            <w:tcW w:w="1701" w:type="dxa"/>
            <w:shd w:val="clear" w:color="auto" w:fill="auto"/>
          </w:tcPr>
          <w:p w:rsidR="00FC79B3" w:rsidRDefault="002A6CE7">
            <w:pPr>
              <w:pStyle w:val="TableTextNoSpace"/>
              <w:jc w:val="both"/>
              <w:rPr>
                <w:noProof/>
                <w:sz w:val="16"/>
                <w:szCs w:val="16"/>
                <w:lang w:val="fr-FR"/>
              </w:rPr>
            </w:pPr>
            <w:r>
              <w:rPr>
                <w:noProof/>
                <w:sz w:val="16"/>
                <w:lang w:val="fr-FR"/>
              </w:rPr>
              <w:t>7 500 000</w:t>
            </w:r>
          </w:p>
        </w:tc>
        <w:tc>
          <w:tcPr>
            <w:tcW w:w="1843" w:type="dxa"/>
            <w:shd w:val="clear" w:color="auto" w:fill="auto"/>
          </w:tcPr>
          <w:p w:rsidR="00FC79B3" w:rsidRDefault="002A6CE7">
            <w:pPr>
              <w:pStyle w:val="TableTextNoSpace"/>
              <w:jc w:val="both"/>
              <w:rPr>
                <w:noProof/>
                <w:sz w:val="16"/>
                <w:szCs w:val="16"/>
                <w:lang w:val="fr-FR"/>
              </w:rPr>
            </w:pPr>
            <w:r>
              <w:rPr>
                <w:noProof/>
                <w:sz w:val="16"/>
                <w:lang w:val="fr-FR"/>
              </w:rPr>
              <w:t>6 000 000</w:t>
            </w:r>
          </w:p>
        </w:tc>
        <w:tc>
          <w:tcPr>
            <w:tcW w:w="1559" w:type="dxa"/>
            <w:shd w:val="clear" w:color="auto" w:fill="auto"/>
          </w:tcPr>
          <w:p w:rsidR="00FC79B3" w:rsidRDefault="002A6CE7">
            <w:pPr>
              <w:pStyle w:val="TableTextNoSpace"/>
              <w:jc w:val="both"/>
              <w:rPr>
                <w:noProof/>
                <w:sz w:val="16"/>
                <w:szCs w:val="16"/>
                <w:lang w:val="fr-FR"/>
              </w:rPr>
            </w:pPr>
            <w:r>
              <w:rPr>
                <w:noProof/>
                <w:sz w:val="16"/>
                <w:lang w:val="fr-FR"/>
              </w:rPr>
              <w:t>26 950 000</w:t>
            </w:r>
          </w:p>
        </w:tc>
      </w:tr>
      <w:tr w:rsidR="00FC79B3">
        <w:trPr>
          <w:trHeight w:val="25"/>
        </w:trPr>
        <w:tc>
          <w:tcPr>
            <w:tcW w:w="1417" w:type="dxa"/>
            <w:shd w:val="clear" w:color="auto" w:fill="auto"/>
          </w:tcPr>
          <w:p w:rsidR="00FC79B3" w:rsidRDefault="002A6CE7">
            <w:pPr>
              <w:pStyle w:val="TableTextNoSpace"/>
              <w:jc w:val="both"/>
              <w:rPr>
                <w:noProof/>
                <w:sz w:val="16"/>
                <w:szCs w:val="16"/>
                <w:lang w:val="fr-FR"/>
              </w:rPr>
            </w:pPr>
            <w:r>
              <w:rPr>
                <w:noProof/>
                <w:sz w:val="16"/>
                <w:lang w:val="fr-FR"/>
              </w:rPr>
              <w:t>2013</w:t>
            </w:r>
          </w:p>
        </w:tc>
        <w:tc>
          <w:tcPr>
            <w:tcW w:w="1701" w:type="dxa"/>
            <w:shd w:val="clear" w:color="auto" w:fill="auto"/>
          </w:tcPr>
          <w:p w:rsidR="00FC79B3" w:rsidRDefault="002A6CE7">
            <w:pPr>
              <w:pStyle w:val="TableTextNoSpace"/>
              <w:jc w:val="both"/>
              <w:rPr>
                <w:noProof/>
                <w:sz w:val="16"/>
                <w:szCs w:val="16"/>
                <w:lang w:val="fr-FR"/>
              </w:rPr>
            </w:pPr>
            <w:r>
              <w:rPr>
                <w:noProof/>
                <w:sz w:val="16"/>
                <w:lang w:val="fr-FR"/>
              </w:rPr>
              <w:t>15 210 000</w:t>
            </w:r>
          </w:p>
        </w:tc>
        <w:tc>
          <w:tcPr>
            <w:tcW w:w="1701" w:type="dxa"/>
            <w:shd w:val="clear" w:color="auto" w:fill="auto"/>
          </w:tcPr>
          <w:p w:rsidR="00FC79B3" w:rsidRDefault="002A6CE7">
            <w:pPr>
              <w:pStyle w:val="TableTextNoSpace"/>
              <w:jc w:val="both"/>
              <w:rPr>
                <w:noProof/>
                <w:sz w:val="16"/>
                <w:szCs w:val="16"/>
                <w:lang w:val="fr-FR"/>
              </w:rPr>
            </w:pPr>
            <w:r>
              <w:rPr>
                <w:noProof/>
                <w:sz w:val="16"/>
                <w:lang w:val="fr-FR"/>
              </w:rPr>
              <w:t>7 660 000</w:t>
            </w:r>
          </w:p>
        </w:tc>
        <w:tc>
          <w:tcPr>
            <w:tcW w:w="1843" w:type="dxa"/>
            <w:shd w:val="clear" w:color="auto" w:fill="auto"/>
          </w:tcPr>
          <w:p w:rsidR="00FC79B3" w:rsidRDefault="002A6CE7">
            <w:pPr>
              <w:pStyle w:val="TableTextNoSpace"/>
              <w:jc w:val="both"/>
              <w:rPr>
                <w:noProof/>
                <w:sz w:val="16"/>
                <w:szCs w:val="16"/>
                <w:lang w:val="fr-FR"/>
              </w:rPr>
            </w:pPr>
            <w:r>
              <w:rPr>
                <w:noProof/>
                <w:sz w:val="16"/>
                <w:lang w:val="fr-FR"/>
              </w:rPr>
              <w:t>4 640 000</w:t>
            </w:r>
          </w:p>
        </w:tc>
        <w:tc>
          <w:tcPr>
            <w:tcW w:w="1559" w:type="dxa"/>
            <w:shd w:val="clear" w:color="auto" w:fill="auto"/>
          </w:tcPr>
          <w:p w:rsidR="00FC79B3" w:rsidRDefault="002A6CE7">
            <w:pPr>
              <w:pStyle w:val="TableTextNoSpace"/>
              <w:jc w:val="both"/>
              <w:rPr>
                <w:noProof/>
                <w:sz w:val="16"/>
                <w:szCs w:val="16"/>
                <w:lang w:val="fr-FR"/>
              </w:rPr>
            </w:pPr>
            <w:r>
              <w:rPr>
                <w:noProof/>
                <w:sz w:val="16"/>
                <w:lang w:val="fr-FR"/>
              </w:rPr>
              <w:t>27 510 000</w:t>
            </w:r>
          </w:p>
        </w:tc>
      </w:tr>
      <w:tr w:rsidR="00FC79B3">
        <w:trPr>
          <w:trHeight w:val="25"/>
        </w:trPr>
        <w:tc>
          <w:tcPr>
            <w:tcW w:w="1417" w:type="dxa"/>
            <w:shd w:val="clear" w:color="auto" w:fill="auto"/>
          </w:tcPr>
          <w:p w:rsidR="00FC79B3" w:rsidRDefault="002A6CE7">
            <w:pPr>
              <w:pStyle w:val="TableTextNoSpace"/>
              <w:jc w:val="both"/>
              <w:rPr>
                <w:b/>
                <w:noProof/>
                <w:sz w:val="16"/>
                <w:szCs w:val="16"/>
                <w:lang w:val="fr-FR"/>
              </w:rPr>
            </w:pPr>
            <w:r>
              <w:rPr>
                <w:b/>
                <w:noProof/>
                <w:sz w:val="16"/>
                <w:lang w:val="fr-FR"/>
              </w:rPr>
              <w:t>Total</w:t>
            </w:r>
          </w:p>
        </w:tc>
        <w:tc>
          <w:tcPr>
            <w:tcW w:w="1701" w:type="dxa"/>
            <w:shd w:val="clear" w:color="auto" w:fill="auto"/>
          </w:tcPr>
          <w:p w:rsidR="00FC79B3" w:rsidRDefault="002A6CE7">
            <w:pPr>
              <w:pStyle w:val="TableTextNoSpace"/>
              <w:jc w:val="both"/>
              <w:rPr>
                <w:b/>
                <w:noProof/>
                <w:sz w:val="16"/>
                <w:szCs w:val="16"/>
                <w:lang w:val="fr-FR"/>
              </w:rPr>
            </w:pPr>
            <w:r>
              <w:rPr>
                <w:noProof/>
                <w:sz w:val="16"/>
                <w:lang w:val="fr-FR"/>
              </w:rPr>
              <w:t>114 860 000</w:t>
            </w:r>
          </w:p>
        </w:tc>
        <w:tc>
          <w:tcPr>
            <w:tcW w:w="1701" w:type="dxa"/>
            <w:shd w:val="clear" w:color="auto" w:fill="auto"/>
          </w:tcPr>
          <w:p w:rsidR="00FC79B3" w:rsidRDefault="002A6CE7">
            <w:pPr>
              <w:pStyle w:val="TableTextNoSpace"/>
              <w:jc w:val="both"/>
              <w:rPr>
                <w:b/>
                <w:noProof/>
                <w:sz w:val="16"/>
                <w:szCs w:val="16"/>
                <w:lang w:val="fr-FR"/>
              </w:rPr>
            </w:pPr>
            <w:r>
              <w:rPr>
                <w:noProof/>
                <w:sz w:val="16"/>
                <w:lang w:val="fr-FR"/>
              </w:rPr>
              <w:t>49 560 000</w:t>
            </w:r>
          </w:p>
        </w:tc>
        <w:tc>
          <w:tcPr>
            <w:tcW w:w="1843" w:type="dxa"/>
            <w:shd w:val="clear" w:color="auto" w:fill="auto"/>
          </w:tcPr>
          <w:p w:rsidR="00FC79B3" w:rsidRDefault="002A6CE7">
            <w:pPr>
              <w:pStyle w:val="TableTextNoSpace"/>
              <w:jc w:val="both"/>
              <w:rPr>
                <w:b/>
                <w:noProof/>
                <w:sz w:val="16"/>
                <w:szCs w:val="16"/>
                <w:lang w:val="fr-FR"/>
              </w:rPr>
            </w:pPr>
            <w:r>
              <w:rPr>
                <w:noProof/>
                <w:sz w:val="16"/>
                <w:lang w:val="fr-FR"/>
              </w:rPr>
              <w:t>31 940 000</w:t>
            </w:r>
          </w:p>
        </w:tc>
        <w:tc>
          <w:tcPr>
            <w:tcW w:w="1559" w:type="dxa"/>
            <w:shd w:val="clear" w:color="auto" w:fill="auto"/>
          </w:tcPr>
          <w:p w:rsidR="00FC79B3" w:rsidRDefault="002A6CE7">
            <w:pPr>
              <w:pStyle w:val="TableTextNoSpace"/>
              <w:jc w:val="both"/>
              <w:rPr>
                <w:b/>
                <w:noProof/>
                <w:sz w:val="16"/>
                <w:szCs w:val="16"/>
                <w:lang w:val="fr-FR"/>
              </w:rPr>
            </w:pPr>
            <w:r>
              <w:rPr>
                <w:b/>
                <w:noProof/>
                <w:sz w:val="16"/>
                <w:lang w:val="fr-FR"/>
              </w:rPr>
              <w:t>196 360 000</w:t>
            </w:r>
          </w:p>
        </w:tc>
      </w:tr>
    </w:tbl>
    <w:p w:rsidR="00FC79B3" w:rsidRDefault="002A6CE7">
      <w:pPr>
        <w:pStyle w:val="TableSource"/>
        <w:jc w:val="both"/>
        <w:rPr>
          <w:rFonts w:ascii="Times New Roman" w:hAnsi="Times New Roman"/>
          <w:noProof/>
          <w:sz w:val="16"/>
          <w:szCs w:val="16"/>
          <w:lang w:val="fr-FR"/>
        </w:rPr>
      </w:pPr>
      <w:r>
        <w:rPr>
          <w:rFonts w:ascii="Times New Roman" w:hAnsi="Times New Roman"/>
          <w:noProof/>
          <w:sz w:val="16"/>
          <w:lang w:val="fr-FR"/>
        </w:rPr>
        <w:t>Sources: programme JPEN – programmes de travail annuels (2007-2013)</w:t>
      </w:r>
    </w:p>
    <w:p w:rsidR="00FC79B3" w:rsidRDefault="00FC79B3">
      <w:pPr>
        <w:pStyle w:val="BodyText"/>
        <w:ind w:left="0"/>
        <w:jc w:val="both"/>
        <w:rPr>
          <w:rStyle w:val="Corpsdutexte"/>
          <w:rFonts w:ascii="Times New Roman" w:eastAsia="Times New Roman" w:hAnsi="Times New Roman"/>
          <w:noProof/>
          <w:color w:val="000000"/>
          <w:lang w:val="fr-FR"/>
        </w:rPr>
      </w:pP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Les subventions à l’action ont accaparé la majeure partie du soutien financier accordé au </w:t>
      </w:r>
      <w:r>
        <w:rPr>
          <w:rStyle w:val="Corpsdutexte"/>
          <w:rFonts w:ascii="Times New Roman" w:hAnsi="Times New Roman"/>
          <w:noProof/>
          <w:color w:val="000000"/>
          <w:lang w:val="fr-FR"/>
        </w:rPr>
        <w:t>titre du budget du programme JPEN (64 %). Les subventions de fonctionnement destinées à cofinancer le programme de travail annuel d’ONG et les dépenses liées au programme de travail permanent du REFJ ont représenté 20 % du budget total du programme. Enfin,</w:t>
      </w:r>
      <w:r>
        <w:rPr>
          <w:rStyle w:val="Corpsdutexte"/>
          <w:rFonts w:ascii="Times New Roman" w:hAnsi="Times New Roman"/>
          <w:noProof/>
          <w:color w:val="000000"/>
          <w:lang w:val="fr-FR"/>
        </w:rPr>
        <w:t xml:space="preserve"> le solde du budget a été affecté aux marchés publics</w:t>
      </w:r>
      <w:r>
        <w:rPr>
          <w:rStyle w:val="FootnoteReference"/>
          <w:rFonts w:ascii="Times New Roman" w:hAnsi="Times New Roman"/>
          <w:noProof/>
          <w:color w:val="000000"/>
          <w:sz w:val="22"/>
          <w:lang w:val="fr-FR"/>
        </w:rPr>
        <w:footnoteReference w:id="7"/>
      </w:r>
      <w:r>
        <w:rPr>
          <w:noProof/>
          <w:lang w:val="fr-FR"/>
        </w:rPr>
        <w:t>.</w:t>
      </w:r>
      <w:r>
        <w:rPr>
          <w:rStyle w:val="Corpsdutexte"/>
          <w:rFonts w:ascii="Times New Roman" w:hAnsi="Times New Roman"/>
          <w:noProof/>
          <w:color w:val="000000"/>
          <w:lang w:val="fr-FR"/>
        </w:rPr>
        <w:t xml:space="preserve">  </w:t>
      </w:r>
    </w:p>
    <w:p w:rsidR="00FC79B3" w:rsidRDefault="002A6CE7">
      <w:pPr>
        <w:pStyle w:val="BodyText"/>
        <w:ind w:left="0"/>
        <w:jc w:val="both"/>
        <w:rPr>
          <w:rFonts w:ascii="Times New Roman" w:hAnsi="Times New Roman"/>
          <w:noProof/>
          <w:sz w:val="22"/>
          <w:szCs w:val="22"/>
          <w:lang w:val="fr-FR"/>
        </w:rPr>
      </w:pPr>
      <w:bookmarkStart w:id="13" w:name="_Ref402727120"/>
      <w:bookmarkStart w:id="14" w:name="_Ref412127875"/>
      <w:r>
        <w:rPr>
          <w:rFonts w:ascii="Times New Roman" w:hAnsi="Times New Roman"/>
          <w:noProof/>
          <w:sz w:val="22"/>
          <w:lang w:val="fr-FR"/>
        </w:rPr>
        <w:t xml:space="preserve">Ainsi que cela a été expliqué plus haut, le financement du programme JPEN a été alloué par le biais de subventions à l’action, de subventions de fonctionnement, de conventions-cadres de partenariat </w:t>
      </w:r>
      <w:r>
        <w:rPr>
          <w:rFonts w:ascii="Times New Roman" w:hAnsi="Times New Roman"/>
          <w:noProof/>
          <w:sz w:val="22"/>
          <w:lang w:val="fr-FR"/>
        </w:rPr>
        <w:t xml:space="preserve">et de marchés publics. Le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_Ref456711377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sidRPr="002A6CE7">
        <w:rPr>
          <w:rFonts w:ascii="Times New Roman" w:hAnsi="Times New Roman"/>
          <w:noProof/>
          <w:sz w:val="22"/>
          <w:szCs w:val="22"/>
          <w:lang w:val="fr-FR"/>
        </w:rPr>
        <w:t>Tableau 1</w:t>
      </w:r>
      <w:r w:rsidRPr="002A6CE7">
        <w:rPr>
          <w:rFonts w:ascii="Times New Roman" w:hAnsi="Times New Roman"/>
          <w:noProof/>
          <w:sz w:val="22"/>
          <w:szCs w:val="22"/>
          <w:lang w:val="fr-FR"/>
        </w:rPr>
        <w:noBreakHyphen/>
        <w:t>2</w:t>
      </w:r>
      <w:r>
        <w:rPr>
          <w:rFonts w:ascii="Times New Roman" w:hAnsi="Times New Roman"/>
          <w:noProof/>
          <w:sz w:val="22"/>
          <w:szCs w:val="22"/>
          <w:lang w:val="fr-FR"/>
        </w:rPr>
        <w:fldChar w:fldCharType="end"/>
      </w:r>
      <w:r>
        <w:rPr>
          <w:rFonts w:ascii="Times New Roman" w:hAnsi="Times New Roman"/>
          <w:noProof/>
          <w:sz w:val="22"/>
          <w:lang w:val="fr-FR"/>
        </w:rPr>
        <w:t xml:space="preserve"> résume le nombre d’actions différentes financées durant chaque année de la période de mise en œuvre. Les appels à</w:t>
      </w:r>
      <w:r>
        <w:rPr>
          <w:rFonts w:ascii="Times New Roman" w:hAnsi="Times New Roman"/>
          <w:noProof/>
          <w:sz w:val="22"/>
          <w:lang w:val="fr-FR"/>
        </w:rPr>
        <w:t xml:space="preserve"> propositions pour les subventions à l’action et les subventions de fonctionnement ont été répartis sur deux années en 2011 et 2012.</w:t>
      </w:r>
    </w:p>
    <w:p w:rsidR="00FC79B3" w:rsidRDefault="00FC79B3">
      <w:pPr>
        <w:pStyle w:val="BodyText"/>
        <w:jc w:val="both"/>
        <w:rPr>
          <w:noProof/>
          <w:lang w:val="fr-FR"/>
        </w:rPr>
      </w:pPr>
    </w:p>
    <w:p w:rsidR="00FC79B3" w:rsidRDefault="002A6CE7">
      <w:pPr>
        <w:pStyle w:val="Caption"/>
        <w:keepNext/>
        <w:rPr>
          <w:noProof/>
          <w:lang w:val="fr-FR"/>
        </w:rPr>
      </w:pPr>
      <w:bookmarkStart w:id="15" w:name="_Ref456711377"/>
      <w:r>
        <w:rPr>
          <w:noProof/>
          <w:lang w:val="fr-FR"/>
        </w:rPr>
        <w:t>Tableau </w:t>
      </w:r>
      <w:r>
        <w:rPr>
          <w:noProof/>
          <w:lang w:val="fr-FR"/>
        </w:rPr>
        <w:fldChar w:fldCharType="begin"/>
      </w:r>
      <w:r>
        <w:rPr>
          <w:noProof/>
          <w:lang w:val="fr-FR"/>
        </w:rPr>
        <w:instrText xml:space="preserve"> STYLEREF 1 \s </w:instrText>
      </w:r>
      <w:r>
        <w:rPr>
          <w:noProof/>
          <w:lang w:val="fr-FR"/>
        </w:rPr>
        <w:fldChar w:fldCharType="separate"/>
      </w:r>
      <w:r>
        <w:rPr>
          <w:noProof/>
          <w:lang w:val="fr-FR"/>
        </w:rPr>
        <w:t>1</w:t>
      </w:r>
      <w:r>
        <w:rPr>
          <w:noProof/>
          <w:lang w:val="fr-FR"/>
        </w:rPr>
        <w:fldChar w:fldCharType="end"/>
      </w:r>
      <w:r>
        <w:rPr>
          <w:noProof/>
          <w:lang w:val="fr-FR"/>
        </w:rPr>
        <w:noBreakHyphen/>
      </w:r>
      <w:r>
        <w:rPr>
          <w:noProof/>
          <w:lang w:val="fr-FR"/>
        </w:rPr>
        <w:fldChar w:fldCharType="begin"/>
      </w:r>
      <w:r>
        <w:rPr>
          <w:noProof/>
          <w:lang w:val="fr-FR"/>
        </w:rPr>
        <w:instrText xml:space="preserve"> SEQ Table \* ARABIC \s 1 </w:instrText>
      </w:r>
      <w:r>
        <w:rPr>
          <w:noProof/>
          <w:lang w:val="fr-FR"/>
        </w:rPr>
        <w:fldChar w:fldCharType="separate"/>
      </w:r>
      <w:r>
        <w:rPr>
          <w:noProof/>
          <w:lang w:val="fr-FR"/>
        </w:rPr>
        <w:t>2</w:t>
      </w:r>
      <w:r>
        <w:rPr>
          <w:noProof/>
          <w:lang w:val="fr-FR"/>
        </w:rPr>
        <w:fldChar w:fldCharType="end"/>
      </w:r>
      <w:bookmarkEnd w:id="15"/>
      <w:r>
        <w:rPr>
          <w:noProof/>
          <w:lang w:val="fr-FR"/>
        </w:rPr>
        <w:t xml:space="preserve"> Nombre d’actions financées par an</w:t>
      </w:r>
    </w:p>
    <w:tbl>
      <w:tblPr>
        <w:tblW w:w="7629" w:type="dxa"/>
        <w:tblInd w:w="810" w:type="dxa"/>
        <w:tblBorders>
          <w:top w:val="single" w:sz="2" w:space="0" w:color="auto"/>
          <w:bottom w:val="single" w:sz="2" w:space="0" w:color="auto"/>
          <w:insideH w:val="single" w:sz="2" w:space="0" w:color="auto"/>
        </w:tblBorders>
        <w:tblCellMar>
          <w:top w:w="57" w:type="dxa"/>
          <w:left w:w="85" w:type="dxa"/>
          <w:bottom w:w="57" w:type="dxa"/>
          <w:right w:w="85" w:type="dxa"/>
        </w:tblCellMar>
        <w:tblLook w:val="04A0" w:firstRow="1" w:lastRow="0" w:firstColumn="1" w:lastColumn="0" w:noHBand="0" w:noVBand="1"/>
      </w:tblPr>
      <w:tblGrid>
        <w:gridCol w:w="1667"/>
        <w:gridCol w:w="649"/>
        <w:gridCol w:w="649"/>
        <w:gridCol w:w="649"/>
        <w:gridCol w:w="649"/>
        <w:gridCol w:w="649"/>
        <w:gridCol w:w="649"/>
        <w:gridCol w:w="649"/>
        <w:gridCol w:w="649"/>
        <w:gridCol w:w="770"/>
      </w:tblGrid>
      <w:tr w:rsidR="00FC79B3">
        <w:trPr>
          <w:tblHeader/>
        </w:trPr>
        <w:tc>
          <w:tcPr>
            <w:tcW w:w="1667" w:type="dxa"/>
            <w:tcBorders>
              <w:left w:val="nil"/>
              <w:right w:val="nil"/>
            </w:tcBorders>
          </w:tcPr>
          <w:p w:rsidR="00FC79B3" w:rsidRDefault="00FC79B3">
            <w:pPr>
              <w:pStyle w:val="TableTitle"/>
              <w:rPr>
                <w:noProof/>
                <w:lang w:val="fr-FR"/>
              </w:rPr>
            </w:pPr>
          </w:p>
        </w:tc>
        <w:tc>
          <w:tcPr>
            <w:tcW w:w="0" w:type="auto"/>
            <w:tcBorders>
              <w:left w:val="nil"/>
              <w:right w:val="nil"/>
            </w:tcBorders>
            <w:hideMark/>
          </w:tcPr>
          <w:p w:rsidR="00FC79B3" w:rsidRDefault="002A6CE7">
            <w:pPr>
              <w:pStyle w:val="TableTitle"/>
              <w:jc w:val="center"/>
              <w:rPr>
                <w:noProof/>
                <w:lang w:val="fr-FR"/>
              </w:rPr>
            </w:pPr>
            <w:r>
              <w:rPr>
                <w:noProof/>
                <w:lang w:val="fr-FR"/>
              </w:rPr>
              <w:t>2007</w:t>
            </w:r>
          </w:p>
        </w:tc>
        <w:tc>
          <w:tcPr>
            <w:tcW w:w="0" w:type="auto"/>
            <w:tcBorders>
              <w:left w:val="nil"/>
              <w:right w:val="nil"/>
            </w:tcBorders>
            <w:hideMark/>
          </w:tcPr>
          <w:p w:rsidR="00FC79B3" w:rsidRDefault="002A6CE7">
            <w:pPr>
              <w:pStyle w:val="TableTitle"/>
              <w:jc w:val="center"/>
              <w:rPr>
                <w:noProof/>
                <w:lang w:val="fr-FR"/>
              </w:rPr>
            </w:pPr>
            <w:r>
              <w:rPr>
                <w:noProof/>
                <w:lang w:val="fr-FR"/>
              </w:rPr>
              <w:t>2008</w:t>
            </w:r>
          </w:p>
        </w:tc>
        <w:tc>
          <w:tcPr>
            <w:tcW w:w="0" w:type="auto"/>
            <w:tcBorders>
              <w:left w:val="nil"/>
              <w:right w:val="nil"/>
            </w:tcBorders>
            <w:hideMark/>
          </w:tcPr>
          <w:p w:rsidR="00FC79B3" w:rsidRDefault="002A6CE7">
            <w:pPr>
              <w:pStyle w:val="TableTitle"/>
              <w:jc w:val="center"/>
              <w:rPr>
                <w:noProof/>
                <w:lang w:val="fr-FR"/>
              </w:rPr>
            </w:pPr>
            <w:r>
              <w:rPr>
                <w:noProof/>
                <w:lang w:val="fr-FR"/>
              </w:rPr>
              <w:t>2009</w:t>
            </w:r>
          </w:p>
        </w:tc>
        <w:tc>
          <w:tcPr>
            <w:tcW w:w="0" w:type="auto"/>
            <w:tcBorders>
              <w:left w:val="nil"/>
              <w:right w:val="nil"/>
            </w:tcBorders>
            <w:hideMark/>
          </w:tcPr>
          <w:p w:rsidR="00FC79B3" w:rsidRDefault="002A6CE7">
            <w:pPr>
              <w:pStyle w:val="TableTitle"/>
              <w:jc w:val="center"/>
              <w:rPr>
                <w:noProof/>
                <w:lang w:val="fr-FR"/>
              </w:rPr>
            </w:pPr>
            <w:r>
              <w:rPr>
                <w:noProof/>
                <w:lang w:val="fr-FR"/>
              </w:rPr>
              <w:t>2010</w:t>
            </w:r>
          </w:p>
        </w:tc>
        <w:tc>
          <w:tcPr>
            <w:tcW w:w="0" w:type="auto"/>
            <w:tcBorders>
              <w:left w:val="nil"/>
              <w:right w:val="nil"/>
            </w:tcBorders>
            <w:hideMark/>
          </w:tcPr>
          <w:p w:rsidR="00FC79B3" w:rsidRDefault="002A6CE7">
            <w:pPr>
              <w:pStyle w:val="TableTitle"/>
              <w:jc w:val="center"/>
              <w:rPr>
                <w:noProof/>
                <w:lang w:val="fr-FR"/>
              </w:rPr>
            </w:pPr>
            <w:r>
              <w:rPr>
                <w:noProof/>
                <w:lang w:val="fr-FR"/>
              </w:rPr>
              <w:t>2011</w:t>
            </w:r>
          </w:p>
        </w:tc>
        <w:tc>
          <w:tcPr>
            <w:tcW w:w="0" w:type="auto"/>
            <w:tcBorders>
              <w:left w:val="nil"/>
              <w:right w:val="nil"/>
            </w:tcBorders>
            <w:hideMark/>
          </w:tcPr>
          <w:p w:rsidR="00FC79B3" w:rsidRDefault="002A6CE7">
            <w:pPr>
              <w:pStyle w:val="TableTitle"/>
              <w:jc w:val="center"/>
              <w:rPr>
                <w:noProof/>
                <w:lang w:val="fr-FR"/>
              </w:rPr>
            </w:pPr>
            <w:r>
              <w:rPr>
                <w:noProof/>
                <w:lang w:val="fr-FR"/>
              </w:rPr>
              <w:t>2012</w:t>
            </w:r>
          </w:p>
        </w:tc>
        <w:tc>
          <w:tcPr>
            <w:tcW w:w="0" w:type="auto"/>
            <w:tcBorders>
              <w:left w:val="nil"/>
              <w:right w:val="nil"/>
            </w:tcBorders>
          </w:tcPr>
          <w:p w:rsidR="00FC79B3" w:rsidRDefault="002A6CE7">
            <w:pPr>
              <w:pStyle w:val="TableTitle"/>
              <w:jc w:val="center"/>
              <w:rPr>
                <w:noProof/>
                <w:lang w:val="fr-FR"/>
              </w:rPr>
            </w:pPr>
            <w:r>
              <w:rPr>
                <w:noProof/>
                <w:lang w:val="fr-FR"/>
              </w:rPr>
              <w:t>2012</w:t>
            </w:r>
          </w:p>
        </w:tc>
        <w:tc>
          <w:tcPr>
            <w:tcW w:w="0" w:type="auto"/>
            <w:tcBorders>
              <w:left w:val="nil"/>
              <w:right w:val="nil"/>
            </w:tcBorders>
            <w:hideMark/>
          </w:tcPr>
          <w:p w:rsidR="00FC79B3" w:rsidRDefault="002A6CE7">
            <w:pPr>
              <w:pStyle w:val="TableTitle"/>
              <w:jc w:val="center"/>
              <w:rPr>
                <w:noProof/>
                <w:lang w:val="fr-FR"/>
              </w:rPr>
            </w:pPr>
            <w:r>
              <w:rPr>
                <w:noProof/>
                <w:lang w:val="fr-FR"/>
              </w:rPr>
              <w:t>2013</w:t>
            </w:r>
          </w:p>
        </w:tc>
        <w:tc>
          <w:tcPr>
            <w:tcW w:w="0" w:type="auto"/>
            <w:tcBorders>
              <w:left w:val="nil"/>
              <w:right w:val="nil"/>
            </w:tcBorders>
            <w:hideMark/>
          </w:tcPr>
          <w:p w:rsidR="00FC79B3" w:rsidRDefault="002A6CE7">
            <w:pPr>
              <w:pStyle w:val="TableTitle"/>
              <w:jc w:val="center"/>
              <w:rPr>
                <w:noProof/>
                <w:lang w:val="fr-FR"/>
              </w:rPr>
            </w:pPr>
            <w:r>
              <w:rPr>
                <w:noProof/>
                <w:lang w:val="fr-FR"/>
              </w:rPr>
              <w:t>TOTAL</w:t>
            </w:r>
          </w:p>
        </w:tc>
      </w:tr>
      <w:tr w:rsidR="00FC79B3">
        <w:tc>
          <w:tcPr>
            <w:tcW w:w="1667" w:type="dxa"/>
            <w:tcBorders>
              <w:left w:val="nil"/>
              <w:right w:val="dotted" w:sz="4" w:space="0" w:color="auto"/>
            </w:tcBorders>
            <w:hideMark/>
          </w:tcPr>
          <w:p w:rsidR="00FC79B3" w:rsidRDefault="002A6CE7">
            <w:pPr>
              <w:pStyle w:val="TableTextNoSpace"/>
              <w:rPr>
                <w:rFonts w:ascii="Calibri" w:hAnsi="Calibri"/>
                <w:b/>
                <w:noProof/>
                <w:color w:val="0067AC"/>
                <w:lang w:val="fr-FR"/>
              </w:rPr>
            </w:pPr>
            <w:r>
              <w:rPr>
                <w:rFonts w:ascii="Calibri" w:hAnsi="Calibri"/>
                <w:b/>
                <w:noProof/>
                <w:color w:val="0067AC"/>
                <w:lang w:val="fr-FR"/>
              </w:rPr>
              <w:t>Subventions à l’action</w:t>
            </w:r>
          </w:p>
        </w:tc>
        <w:tc>
          <w:tcPr>
            <w:tcW w:w="0" w:type="auto"/>
            <w:tcBorders>
              <w:left w:val="dotted" w:sz="4" w:space="0" w:color="auto"/>
              <w:right w:val="dotted" w:sz="4" w:space="0" w:color="auto"/>
            </w:tcBorders>
            <w:vAlign w:val="center"/>
            <w:hideMark/>
          </w:tcPr>
          <w:p w:rsidR="00FC79B3" w:rsidRDefault="002A6CE7">
            <w:pPr>
              <w:pStyle w:val="TableTextNoSpace"/>
              <w:jc w:val="center"/>
              <w:rPr>
                <w:noProof/>
                <w:sz w:val="16"/>
                <w:szCs w:val="16"/>
                <w:lang w:val="fr-FR"/>
              </w:rPr>
            </w:pPr>
            <w:r>
              <w:rPr>
                <w:noProof/>
                <w:sz w:val="16"/>
                <w:lang w:val="fr-FR"/>
              </w:rPr>
              <w:t>56</w:t>
            </w:r>
          </w:p>
        </w:tc>
        <w:tc>
          <w:tcPr>
            <w:tcW w:w="0" w:type="auto"/>
            <w:tcBorders>
              <w:left w:val="dotted" w:sz="4" w:space="0" w:color="auto"/>
              <w:right w:val="dotted" w:sz="4" w:space="0" w:color="auto"/>
            </w:tcBorders>
            <w:vAlign w:val="center"/>
            <w:hideMark/>
          </w:tcPr>
          <w:p w:rsidR="00FC79B3" w:rsidRDefault="002A6CE7">
            <w:pPr>
              <w:pStyle w:val="TableTextNoSpace"/>
              <w:jc w:val="center"/>
              <w:rPr>
                <w:noProof/>
                <w:sz w:val="16"/>
                <w:szCs w:val="16"/>
                <w:lang w:val="fr-FR"/>
              </w:rPr>
            </w:pPr>
            <w:r>
              <w:rPr>
                <w:noProof/>
                <w:sz w:val="16"/>
                <w:lang w:val="fr-FR"/>
              </w:rPr>
              <w:t>41</w:t>
            </w:r>
          </w:p>
        </w:tc>
        <w:tc>
          <w:tcPr>
            <w:tcW w:w="0" w:type="auto"/>
            <w:tcBorders>
              <w:left w:val="dotted" w:sz="4" w:space="0" w:color="auto"/>
              <w:right w:val="dotted" w:sz="4" w:space="0" w:color="auto"/>
            </w:tcBorders>
            <w:vAlign w:val="center"/>
            <w:hideMark/>
          </w:tcPr>
          <w:p w:rsidR="00FC79B3" w:rsidRDefault="002A6CE7">
            <w:pPr>
              <w:pStyle w:val="TableTextNoSpace"/>
              <w:jc w:val="center"/>
              <w:rPr>
                <w:noProof/>
                <w:sz w:val="16"/>
                <w:szCs w:val="16"/>
                <w:lang w:val="fr-FR"/>
              </w:rPr>
            </w:pPr>
            <w:r>
              <w:rPr>
                <w:noProof/>
                <w:sz w:val="16"/>
                <w:lang w:val="fr-FR"/>
              </w:rPr>
              <w:t>32</w:t>
            </w:r>
          </w:p>
        </w:tc>
        <w:tc>
          <w:tcPr>
            <w:tcW w:w="0" w:type="auto"/>
            <w:tcBorders>
              <w:left w:val="dotted" w:sz="4" w:space="0" w:color="auto"/>
              <w:right w:val="dotted" w:sz="4" w:space="0" w:color="auto"/>
            </w:tcBorders>
            <w:vAlign w:val="center"/>
          </w:tcPr>
          <w:p w:rsidR="00FC79B3" w:rsidRDefault="002A6CE7">
            <w:pPr>
              <w:pStyle w:val="TableTextNoSpace"/>
              <w:jc w:val="center"/>
              <w:rPr>
                <w:noProof/>
                <w:sz w:val="16"/>
                <w:szCs w:val="16"/>
                <w:lang w:val="fr-FR"/>
              </w:rPr>
            </w:pPr>
            <w:r>
              <w:rPr>
                <w:noProof/>
                <w:sz w:val="16"/>
                <w:lang w:val="fr-FR"/>
              </w:rPr>
              <w:t>49</w:t>
            </w:r>
          </w:p>
        </w:tc>
        <w:tc>
          <w:tcPr>
            <w:tcW w:w="0" w:type="auto"/>
            <w:gridSpan w:val="2"/>
            <w:tcBorders>
              <w:left w:val="dotted" w:sz="4" w:space="0" w:color="auto"/>
              <w:right w:val="dotted" w:sz="4" w:space="0" w:color="auto"/>
            </w:tcBorders>
            <w:vAlign w:val="center"/>
            <w:hideMark/>
          </w:tcPr>
          <w:p w:rsidR="00FC79B3" w:rsidRDefault="002A6CE7">
            <w:pPr>
              <w:pStyle w:val="TableTextNoSpace"/>
              <w:jc w:val="center"/>
              <w:rPr>
                <w:noProof/>
                <w:sz w:val="16"/>
                <w:szCs w:val="16"/>
                <w:lang w:val="fr-FR"/>
              </w:rPr>
            </w:pPr>
            <w:r>
              <w:rPr>
                <w:noProof/>
                <w:sz w:val="16"/>
                <w:lang w:val="fr-FR"/>
              </w:rPr>
              <w:t>53</w:t>
            </w:r>
          </w:p>
        </w:tc>
        <w:tc>
          <w:tcPr>
            <w:tcW w:w="0" w:type="auto"/>
            <w:tcBorders>
              <w:left w:val="dotted" w:sz="4" w:space="0" w:color="auto"/>
              <w:right w:val="dotted" w:sz="4" w:space="0" w:color="auto"/>
            </w:tcBorders>
            <w:vAlign w:val="center"/>
          </w:tcPr>
          <w:p w:rsidR="00FC79B3" w:rsidRDefault="002A6CE7">
            <w:pPr>
              <w:pStyle w:val="TableTextNoSpace"/>
              <w:jc w:val="center"/>
              <w:rPr>
                <w:noProof/>
                <w:sz w:val="16"/>
                <w:szCs w:val="16"/>
                <w:lang w:val="fr-FR"/>
              </w:rPr>
            </w:pPr>
            <w:r>
              <w:rPr>
                <w:noProof/>
                <w:sz w:val="16"/>
                <w:lang w:val="fr-FR"/>
              </w:rPr>
              <w:t>-</w:t>
            </w:r>
          </w:p>
        </w:tc>
        <w:tc>
          <w:tcPr>
            <w:tcW w:w="0" w:type="auto"/>
            <w:tcBorders>
              <w:left w:val="dotted" w:sz="4" w:space="0" w:color="auto"/>
              <w:right w:val="dotted" w:sz="4" w:space="0" w:color="auto"/>
            </w:tcBorders>
            <w:vAlign w:val="center"/>
            <w:hideMark/>
          </w:tcPr>
          <w:p w:rsidR="00FC79B3" w:rsidRDefault="002A6CE7">
            <w:pPr>
              <w:pStyle w:val="TableTextNoSpace"/>
              <w:jc w:val="center"/>
              <w:rPr>
                <w:noProof/>
                <w:sz w:val="16"/>
                <w:szCs w:val="16"/>
                <w:lang w:val="fr-FR"/>
              </w:rPr>
            </w:pPr>
            <w:r>
              <w:rPr>
                <w:noProof/>
                <w:sz w:val="16"/>
                <w:lang w:val="fr-FR"/>
              </w:rPr>
              <w:t>49</w:t>
            </w:r>
          </w:p>
        </w:tc>
        <w:tc>
          <w:tcPr>
            <w:tcW w:w="0" w:type="auto"/>
            <w:tcBorders>
              <w:left w:val="dotted" w:sz="4" w:space="0" w:color="auto"/>
              <w:right w:val="nil"/>
            </w:tcBorders>
            <w:vAlign w:val="center"/>
            <w:hideMark/>
          </w:tcPr>
          <w:p w:rsidR="00FC79B3" w:rsidRDefault="002A6CE7">
            <w:pPr>
              <w:pStyle w:val="TableTextNoSpace"/>
              <w:jc w:val="center"/>
              <w:rPr>
                <w:noProof/>
                <w:sz w:val="16"/>
                <w:szCs w:val="16"/>
                <w:lang w:val="fr-FR"/>
              </w:rPr>
            </w:pPr>
            <w:r>
              <w:rPr>
                <w:noProof/>
                <w:sz w:val="16"/>
                <w:lang w:val="fr-FR"/>
              </w:rPr>
              <w:t>280</w:t>
            </w:r>
          </w:p>
        </w:tc>
      </w:tr>
      <w:tr w:rsidR="00FC79B3">
        <w:tc>
          <w:tcPr>
            <w:tcW w:w="1667" w:type="dxa"/>
            <w:tcBorders>
              <w:left w:val="nil"/>
              <w:right w:val="dotted" w:sz="4" w:space="0" w:color="auto"/>
            </w:tcBorders>
          </w:tcPr>
          <w:p w:rsidR="00FC79B3" w:rsidRDefault="002A6CE7">
            <w:pPr>
              <w:pStyle w:val="TableTextNoSpace"/>
              <w:rPr>
                <w:rFonts w:ascii="Calibri" w:hAnsi="Calibri"/>
                <w:b/>
                <w:noProof/>
                <w:color w:val="0067AC"/>
                <w:lang w:val="fr-FR"/>
              </w:rPr>
            </w:pPr>
            <w:r>
              <w:rPr>
                <w:rFonts w:ascii="Calibri" w:hAnsi="Calibri"/>
                <w:b/>
                <w:noProof/>
                <w:color w:val="0067AC"/>
                <w:lang w:val="fr-FR"/>
              </w:rPr>
              <w:t>Subventions à l'action spécifiques</w:t>
            </w:r>
          </w:p>
        </w:tc>
        <w:tc>
          <w:tcPr>
            <w:tcW w:w="0" w:type="auto"/>
            <w:tcBorders>
              <w:left w:val="dotted" w:sz="4" w:space="0" w:color="auto"/>
              <w:right w:val="dotted" w:sz="4" w:space="0" w:color="auto"/>
            </w:tcBorders>
            <w:vAlign w:val="center"/>
          </w:tcPr>
          <w:p w:rsidR="00FC79B3" w:rsidRDefault="002A6CE7">
            <w:pPr>
              <w:pStyle w:val="TableTextNoSpace"/>
              <w:jc w:val="center"/>
              <w:rPr>
                <w:noProof/>
                <w:sz w:val="16"/>
                <w:szCs w:val="16"/>
                <w:lang w:val="fr-FR"/>
              </w:rPr>
            </w:pPr>
            <w:r>
              <w:rPr>
                <w:noProof/>
                <w:sz w:val="16"/>
                <w:lang w:val="fr-FR"/>
              </w:rPr>
              <w:t>-</w:t>
            </w:r>
          </w:p>
        </w:tc>
        <w:tc>
          <w:tcPr>
            <w:tcW w:w="0" w:type="auto"/>
            <w:tcBorders>
              <w:left w:val="dotted" w:sz="4" w:space="0" w:color="auto"/>
              <w:right w:val="dotted" w:sz="4" w:space="0" w:color="auto"/>
            </w:tcBorders>
            <w:vAlign w:val="center"/>
          </w:tcPr>
          <w:p w:rsidR="00FC79B3" w:rsidRDefault="002A6CE7">
            <w:pPr>
              <w:pStyle w:val="TableTextNoSpace"/>
              <w:jc w:val="center"/>
              <w:rPr>
                <w:noProof/>
                <w:sz w:val="16"/>
                <w:szCs w:val="16"/>
                <w:lang w:val="fr-FR"/>
              </w:rPr>
            </w:pPr>
            <w:r>
              <w:rPr>
                <w:noProof/>
                <w:sz w:val="16"/>
                <w:lang w:val="fr-FR"/>
              </w:rPr>
              <w:t>-</w:t>
            </w:r>
          </w:p>
        </w:tc>
        <w:tc>
          <w:tcPr>
            <w:tcW w:w="0" w:type="auto"/>
            <w:tcBorders>
              <w:left w:val="dotted" w:sz="4" w:space="0" w:color="auto"/>
              <w:right w:val="dotted" w:sz="4" w:space="0" w:color="auto"/>
            </w:tcBorders>
            <w:vAlign w:val="center"/>
          </w:tcPr>
          <w:p w:rsidR="00FC79B3" w:rsidRDefault="002A6CE7">
            <w:pPr>
              <w:pStyle w:val="TableTextNoSpace"/>
              <w:jc w:val="center"/>
              <w:rPr>
                <w:noProof/>
                <w:sz w:val="16"/>
                <w:szCs w:val="16"/>
                <w:lang w:val="fr-FR"/>
              </w:rPr>
            </w:pPr>
            <w:r>
              <w:rPr>
                <w:noProof/>
                <w:sz w:val="16"/>
                <w:lang w:val="fr-FR"/>
              </w:rPr>
              <w:t>2</w:t>
            </w:r>
          </w:p>
        </w:tc>
        <w:tc>
          <w:tcPr>
            <w:tcW w:w="0" w:type="auto"/>
            <w:tcBorders>
              <w:left w:val="dotted" w:sz="4" w:space="0" w:color="auto"/>
              <w:right w:val="dotted" w:sz="4" w:space="0" w:color="auto"/>
            </w:tcBorders>
            <w:vAlign w:val="center"/>
          </w:tcPr>
          <w:p w:rsidR="00FC79B3" w:rsidRDefault="002A6CE7">
            <w:pPr>
              <w:pStyle w:val="TableTextNoSpace"/>
              <w:jc w:val="center"/>
              <w:rPr>
                <w:noProof/>
                <w:sz w:val="16"/>
                <w:szCs w:val="16"/>
                <w:lang w:val="fr-FR"/>
              </w:rPr>
            </w:pPr>
            <w:r>
              <w:rPr>
                <w:noProof/>
                <w:sz w:val="16"/>
                <w:lang w:val="fr-FR"/>
              </w:rPr>
              <w:t>-</w:t>
            </w:r>
          </w:p>
        </w:tc>
        <w:tc>
          <w:tcPr>
            <w:tcW w:w="0" w:type="auto"/>
            <w:gridSpan w:val="2"/>
            <w:tcBorders>
              <w:left w:val="dotted" w:sz="4" w:space="0" w:color="auto"/>
              <w:right w:val="dotted" w:sz="4" w:space="0" w:color="auto"/>
            </w:tcBorders>
            <w:vAlign w:val="center"/>
          </w:tcPr>
          <w:p w:rsidR="00FC79B3" w:rsidRDefault="002A6CE7">
            <w:pPr>
              <w:pStyle w:val="TableTextNoSpace"/>
              <w:jc w:val="center"/>
              <w:rPr>
                <w:noProof/>
                <w:sz w:val="16"/>
                <w:szCs w:val="16"/>
                <w:lang w:val="fr-FR"/>
              </w:rPr>
            </w:pPr>
            <w:r>
              <w:rPr>
                <w:noProof/>
                <w:sz w:val="16"/>
                <w:lang w:val="fr-FR"/>
              </w:rPr>
              <w:t>2</w:t>
            </w:r>
          </w:p>
        </w:tc>
        <w:tc>
          <w:tcPr>
            <w:tcW w:w="0" w:type="auto"/>
            <w:tcBorders>
              <w:left w:val="dotted" w:sz="4" w:space="0" w:color="auto"/>
              <w:right w:val="dotted" w:sz="4" w:space="0" w:color="auto"/>
            </w:tcBorders>
            <w:vAlign w:val="center"/>
          </w:tcPr>
          <w:p w:rsidR="00FC79B3" w:rsidRDefault="002A6CE7">
            <w:pPr>
              <w:pStyle w:val="TableTextNoSpace"/>
              <w:jc w:val="center"/>
              <w:rPr>
                <w:noProof/>
                <w:sz w:val="16"/>
                <w:szCs w:val="16"/>
                <w:lang w:val="fr-FR"/>
              </w:rPr>
            </w:pPr>
            <w:r>
              <w:rPr>
                <w:noProof/>
                <w:sz w:val="16"/>
                <w:lang w:val="fr-FR"/>
              </w:rPr>
              <w:t>-</w:t>
            </w:r>
          </w:p>
        </w:tc>
        <w:tc>
          <w:tcPr>
            <w:tcW w:w="0" w:type="auto"/>
            <w:tcBorders>
              <w:left w:val="dotted" w:sz="4" w:space="0" w:color="auto"/>
              <w:right w:val="dotted" w:sz="4" w:space="0" w:color="auto"/>
            </w:tcBorders>
            <w:vAlign w:val="center"/>
          </w:tcPr>
          <w:p w:rsidR="00FC79B3" w:rsidRDefault="002A6CE7">
            <w:pPr>
              <w:pStyle w:val="TableTextNoSpace"/>
              <w:jc w:val="center"/>
              <w:rPr>
                <w:noProof/>
                <w:sz w:val="16"/>
                <w:szCs w:val="16"/>
                <w:lang w:val="fr-FR"/>
              </w:rPr>
            </w:pPr>
            <w:r>
              <w:rPr>
                <w:noProof/>
                <w:sz w:val="16"/>
                <w:lang w:val="fr-FR"/>
              </w:rPr>
              <w:t>-</w:t>
            </w:r>
          </w:p>
        </w:tc>
        <w:tc>
          <w:tcPr>
            <w:tcW w:w="0" w:type="auto"/>
            <w:tcBorders>
              <w:left w:val="dotted" w:sz="4" w:space="0" w:color="auto"/>
              <w:right w:val="nil"/>
            </w:tcBorders>
            <w:vAlign w:val="center"/>
          </w:tcPr>
          <w:p w:rsidR="00FC79B3" w:rsidRDefault="002A6CE7">
            <w:pPr>
              <w:pStyle w:val="TableTextNoSpace"/>
              <w:jc w:val="center"/>
              <w:rPr>
                <w:noProof/>
                <w:sz w:val="16"/>
                <w:szCs w:val="16"/>
                <w:lang w:val="fr-FR"/>
              </w:rPr>
            </w:pPr>
            <w:r>
              <w:rPr>
                <w:noProof/>
                <w:sz w:val="16"/>
                <w:lang w:val="fr-FR"/>
              </w:rPr>
              <w:t>4</w:t>
            </w:r>
          </w:p>
        </w:tc>
      </w:tr>
      <w:tr w:rsidR="00FC79B3">
        <w:trPr>
          <w:trHeight w:val="312"/>
        </w:trPr>
        <w:tc>
          <w:tcPr>
            <w:tcW w:w="1667" w:type="dxa"/>
            <w:tcBorders>
              <w:left w:val="nil"/>
              <w:right w:val="dotted" w:sz="4" w:space="0" w:color="auto"/>
            </w:tcBorders>
            <w:hideMark/>
          </w:tcPr>
          <w:p w:rsidR="00FC79B3" w:rsidRDefault="002A6CE7">
            <w:pPr>
              <w:pStyle w:val="TableTextNoSpace"/>
              <w:rPr>
                <w:rFonts w:ascii="Calibri" w:hAnsi="Calibri"/>
                <w:b/>
                <w:noProof/>
                <w:color w:val="0067AC"/>
                <w:lang w:val="fr-FR"/>
              </w:rPr>
            </w:pPr>
            <w:r>
              <w:rPr>
                <w:rFonts w:ascii="Calibri" w:hAnsi="Calibri"/>
                <w:b/>
                <w:noProof/>
                <w:color w:val="0067AC"/>
                <w:lang w:val="fr-FR"/>
              </w:rPr>
              <w:t>Subventions de fonctionnement</w:t>
            </w:r>
          </w:p>
        </w:tc>
        <w:tc>
          <w:tcPr>
            <w:tcW w:w="0" w:type="auto"/>
            <w:tcBorders>
              <w:left w:val="dotted" w:sz="4" w:space="0" w:color="auto"/>
              <w:right w:val="dotted" w:sz="4" w:space="0" w:color="auto"/>
            </w:tcBorders>
            <w:vAlign w:val="center"/>
            <w:hideMark/>
          </w:tcPr>
          <w:p w:rsidR="00FC79B3" w:rsidRDefault="002A6CE7">
            <w:pPr>
              <w:pStyle w:val="TableTextNoSpace"/>
              <w:jc w:val="center"/>
              <w:rPr>
                <w:noProof/>
                <w:sz w:val="16"/>
                <w:szCs w:val="16"/>
                <w:lang w:val="fr-FR"/>
              </w:rPr>
            </w:pPr>
            <w:r>
              <w:rPr>
                <w:noProof/>
                <w:sz w:val="16"/>
                <w:lang w:val="fr-FR"/>
              </w:rPr>
              <w:t>5</w:t>
            </w:r>
          </w:p>
        </w:tc>
        <w:tc>
          <w:tcPr>
            <w:tcW w:w="0" w:type="auto"/>
            <w:tcBorders>
              <w:left w:val="dotted" w:sz="4" w:space="0" w:color="auto"/>
              <w:right w:val="dotted" w:sz="4" w:space="0" w:color="auto"/>
            </w:tcBorders>
            <w:vAlign w:val="center"/>
            <w:hideMark/>
          </w:tcPr>
          <w:p w:rsidR="00FC79B3" w:rsidRDefault="002A6CE7">
            <w:pPr>
              <w:pStyle w:val="TableTextNoSpace"/>
              <w:jc w:val="center"/>
              <w:rPr>
                <w:noProof/>
                <w:sz w:val="16"/>
                <w:szCs w:val="16"/>
                <w:lang w:val="fr-FR"/>
              </w:rPr>
            </w:pPr>
            <w:r>
              <w:rPr>
                <w:noProof/>
                <w:sz w:val="16"/>
                <w:lang w:val="fr-FR"/>
              </w:rPr>
              <w:t>7</w:t>
            </w:r>
          </w:p>
        </w:tc>
        <w:tc>
          <w:tcPr>
            <w:tcW w:w="0" w:type="auto"/>
            <w:tcBorders>
              <w:left w:val="dotted" w:sz="4" w:space="0" w:color="auto"/>
              <w:right w:val="dotted" w:sz="4" w:space="0" w:color="auto"/>
            </w:tcBorders>
            <w:vAlign w:val="center"/>
            <w:hideMark/>
          </w:tcPr>
          <w:p w:rsidR="00FC79B3" w:rsidRDefault="002A6CE7">
            <w:pPr>
              <w:pStyle w:val="TableTextNoSpace"/>
              <w:jc w:val="center"/>
              <w:rPr>
                <w:noProof/>
                <w:sz w:val="16"/>
                <w:szCs w:val="16"/>
                <w:lang w:val="fr-FR"/>
              </w:rPr>
            </w:pPr>
            <w:r>
              <w:rPr>
                <w:noProof/>
                <w:sz w:val="16"/>
                <w:lang w:val="fr-FR"/>
              </w:rPr>
              <w:t>13</w:t>
            </w:r>
          </w:p>
        </w:tc>
        <w:tc>
          <w:tcPr>
            <w:tcW w:w="0" w:type="auto"/>
            <w:tcBorders>
              <w:left w:val="dotted" w:sz="4" w:space="0" w:color="auto"/>
              <w:right w:val="dotted" w:sz="4" w:space="0" w:color="auto"/>
            </w:tcBorders>
            <w:vAlign w:val="center"/>
            <w:hideMark/>
          </w:tcPr>
          <w:p w:rsidR="00FC79B3" w:rsidRDefault="002A6CE7">
            <w:pPr>
              <w:pStyle w:val="TableTextNoSpace"/>
              <w:jc w:val="center"/>
              <w:rPr>
                <w:noProof/>
                <w:sz w:val="16"/>
                <w:szCs w:val="16"/>
                <w:lang w:val="fr-FR"/>
              </w:rPr>
            </w:pPr>
            <w:r>
              <w:rPr>
                <w:noProof/>
                <w:sz w:val="16"/>
                <w:lang w:val="fr-FR"/>
              </w:rPr>
              <w:t>8</w:t>
            </w:r>
          </w:p>
        </w:tc>
        <w:tc>
          <w:tcPr>
            <w:tcW w:w="0" w:type="auto"/>
            <w:gridSpan w:val="2"/>
            <w:tcBorders>
              <w:left w:val="dotted" w:sz="4" w:space="0" w:color="auto"/>
              <w:right w:val="dotted" w:sz="4" w:space="0" w:color="auto"/>
            </w:tcBorders>
            <w:vAlign w:val="center"/>
            <w:hideMark/>
          </w:tcPr>
          <w:p w:rsidR="00FC79B3" w:rsidRDefault="002A6CE7">
            <w:pPr>
              <w:pStyle w:val="TableTextNoSpace"/>
              <w:jc w:val="center"/>
              <w:rPr>
                <w:noProof/>
                <w:sz w:val="16"/>
                <w:szCs w:val="16"/>
                <w:lang w:val="fr-FR"/>
              </w:rPr>
            </w:pPr>
            <w:r>
              <w:rPr>
                <w:noProof/>
                <w:sz w:val="16"/>
                <w:lang w:val="fr-FR"/>
              </w:rPr>
              <w:t>-</w:t>
            </w:r>
          </w:p>
        </w:tc>
        <w:tc>
          <w:tcPr>
            <w:tcW w:w="0" w:type="auto"/>
            <w:tcBorders>
              <w:left w:val="dotted" w:sz="4" w:space="0" w:color="auto"/>
              <w:right w:val="dotted" w:sz="4" w:space="0" w:color="auto"/>
            </w:tcBorders>
            <w:vAlign w:val="center"/>
          </w:tcPr>
          <w:p w:rsidR="00FC79B3" w:rsidRDefault="002A6CE7">
            <w:pPr>
              <w:pStyle w:val="TableTextNoSpace"/>
              <w:jc w:val="center"/>
              <w:rPr>
                <w:noProof/>
                <w:sz w:val="16"/>
                <w:szCs w:val="16"/>
                <w:lang w:val="fr-FR"/>
              </w:rPr>
            </w:pPr>
            <w:r>
              <w:rPr>
                <w:noProof/>
                <w:sz w:val="16"/>
                <w:lang w:val="fr-FR"/>
              </w:rPr>
              <w:t>10</w:t>
            </w:r>
          </w:p>
        </w:tc>
        <w:tc>
          <w:tcPr>
            <w:tcW w:w="0" w:type="auto"/>
            <w:tcBorders>
              <w:left w:val="dotted" w:sz="4" w:space="0" w:color="auto"/>
              <w:right w:val="dotted" w:sz="4" w:space="0" w:color="auto"/>
            </w:tcBorders>
            <w:vAlign w:val="center"/>
            <w:hideMark/>
          </w:tcPr>
          <w:p w:rsidR="00FC79B3" w:rsidRDefault="002A6CE7">
            <w:pPr>
              <w:pStyle w:val="TableTextNoSpace"/>
              <w:jc w:val="center"/>
              <w:rPr>
                <w:noProof/>
                <w:sz w:val="16"/>
                <w:szCs w:val="16"/>
                <w:lang w:val="fr-FR"/>
              </w:rPr>
            </w:pPr>
            <w:r>
              <w:rPr>
                <w:noProof/>
                <w:sz w:val="16"/>
                <w:lang w:val="fr-FR"/>
              </w:rPr>
              <w:t>7</w:t>
            </w:r>
          </w:p>
        </w:tc>
        <w:tc>
          <w:tcPr>
            <w:tcW w:w="0" w:type="auto"/>
            <w:tcBorders>
              <w:left w:val="dotted" w:sz="4" w:space="0" w:color="auto"/>
              <w:right w:val="nil"/>
            </w:tcBorders>
            <w:vAlign w:val="center"/>
            <w:hideMark/>
          </w:tcPr>
          <w:p w:rsidR="00FC79B3" w:rsidRDefault="002A6CE7">
            <w:pPr>
              <w:pStyle w:val="TableTextNoSpace"/>
              <w:jc w:val="center"/>
              <w:rPr>
                <w:noProof/>
                <w:sz w:val="16"/>
                <w:szCs w:val="16"/>
                <w:lang w:val="fr-FR"/>
              </w:rPr>
            </w:pPr>
            <w:r>
              <w:rPr>
                <w:noProof/>
                <w:sz w:val="16"/>
                <w:lang w:val="fr-FR"/>
              </w:rPr>
              <w:t>50</w:t>
            </w:r>
          </w:p>
        </w:tc>
      </w:tr>
      <w:tr w:rsidR="00FC79B3">
        <w:trPr>
          <w:trHeight w:val="312"/>
        </w:trPr>
        <w:tc>
          <w:tcPr>
            <w:tcW w:w="1667" w:type="dxa"/>
            <w:tcBorders>
              <w:left w:val="nil"/>
              <w:right w:val="dotted" w:sz="4" w:space="0" w:color="auto"/>
            </w:tcBorders>
          </w:tcPr>
          <w:p w:rsidR="00FC79B3" w:rsidRDefault="002A6CE7">
            <w:pPr>
              <w:pStyle w:val="TableTextNoSpace"/>
              <w:rPr>
                <w:rFonts w:ascii="Calibri" w:hAnsi="Calibri"/>
                <w:b/>
                <w:noProof/>
                <w:color w:val="0067AC"/>
                <w:lang w:val="fr-FR"/>
              </w:rPr>
            </w:pPr>
            <w:r>
              <w:rPr>
                <w:rFonts w:ascii="Calibri" w:hAnsi="Calibri"/>
                <w:b/>
                <w:noProof/>
                <w:color w:val="0067AC"/>
                <w:lang w:val="fr-FR"/>
              </w:rPr>
              <w:t>TOTAL</w:t>
            </w:r>
          </w:p>
        </w:tc>
        <w:tc>
          <w:tcPr>
            <w:tcW w:w="0" w:type="auto"/>
            <w:tcBorders>
              <w:left w:val="dotted" w:sz="4" w:space="0" w:color="auto"/>
              <w:right w:val="dotted" w:sz="4" w:space="0" w:color="auto"/>
            </w:tcBorders>
            <w:vAlign w:val="center"/>
          </w:tcPr>
          <w:p w:rsidR="00FC79B3" w:rsidRDefault="002A6CE7">
            <w:pPr>
              <w:pStyle w:val="TableTextNoSpace"/>
              <w:jc w:val="center"/>
              <w:rPr>
                <w:b/>
                <w:noProof/>
                <w:sz w:val="16"/>
                <w:szCs w:val="16"/>
                <w:lang w:val="fr-FR"/>
              </w:rPr>
            </w:pPr>
            <w:r>
              <w:rPr>
                <w:b/>
                <w:noProof/>
                <w:sz w:val="16"/>
                <w:lang w:val="fr-FR"/>
              </w:rPr>
              <w:t>61</w:t>
            </w:r>
          </w:p>
        </w:tc>
        <w:tc>
          <w:tcPr>
            <w:tcW w:w="0" w:type="auto"/>
            <w:tcBorders>
              <w:left w:val="dotted" w:sz="4" w:space="0" w:color="auto"/>
              <w:right w:val="dotted" w:sz="4" w:space="0" w:color="auto"/>
            </w:tcBorders>
            <w:vAlign w:val="center"/>
          </w:tcPr>
          <w:p w:rsidR="00FC79B3" w:rsidRDefault="002A6CE7">
            <w:pPr>
              <w:pStyle w:val="TableTextNoSpace"/>
              <w:jc w:val="center"/>
              <w:rPr>
                <w:b/>
                <w:noProof/>
                <w:sz w:val="16"/>
                <w:szCs w:val="16"/>
                <w:lang w:val="fr-FR"/>
              </w:rPr>
            </w:pPr>
            <w:r>
              <w:rPr>
                <w:b/>
                <w:noProof/>
                <w:sz w:val="16"/>
                <w:lang w:val="fr-FR"/>
              </w:rPr>
              <w:t>48</w:t>
            </w:r>
          </w:p>
        </w:tc>
        <w:tc>
          <w:tcPr>
            <w:tcW w:w="0" w:type="auto"/>
            <w:tcBorders>
              <w:left w:val="dotted" w:sz="4" w:space="0" w:color="auto"/>
              <w:right w:val="dotted" w:sz="4" w:space="0" w:color="auto"/>
            </w:tcBorders>
            <w:vAlign w:val="center"/>
          </w:tcPr>
          <w:p w:rsidR="00FC79B3" w:rsidRDefault="002A6CE7">
            <w:pPr>
              <w:pStyle w:val="TableTextNoSpace"/>
              <w:jc w:val="center"/>
              <w:rPr>
                <w:b/>
                <w:noProof/>
                <w:sz w:val="16"/>
                <w:szCs w:val="16"/>
                <w:lang w:val="fr-FR"/>
              </w:rPr>
            </w:pPr>
            <w:r>
              <w:rPr>
                <w:b/>
                <w:noProof/>
                <w:sz w:val="16"/>
                <w:lang w:val="fr-FR"/>
              </w:rPr>
              <w:t>47</w:t>
            </w:r>
          </w:p>
        </w:tc>
        <w:tc>
          <w:tcPr>
            <w:tcW w:w="0" w:type="auto"/>
            <w:tcBorders>
              <w:left w:val="dotted" w:sz="4" w:space="0" w:color="auto"/>
              <w:right w:val="dotted" w:sz="4" w:space="0" w:color="auto"/>
            </w:tcBorders>
            <w:vAlign w:val="center"/>
          </w:tcPr>
          <w:p w:rsidR="00FC79B3" w:rsidRDefault="002A6CE7">
            <w:pPr>
              <w:pStyle w:val="TableTextNoSpace"/>
              <w:jc w:val="center"/>
              <w:rPr>
                <w:b/>
                <w:noProof/>
                <w:sz w:val="16"/>
                <w:szCs w:val="16"/>
                <w:lang w:val="fr-FR"/>
              </w:rPr>
            </w:pPr>
            <w:r>
              <w:rPr>
                <w:b/>
                <w:noProof/>
                <w:sz w:val="16"/>
                <w:lang w:val="fr-FR"/>
              </w:rPr>
              <w:t>57</w:t>
            </w:r>
          </w:p>
        </w:tc>
        <w:tc>
          <w:tcPr>
            <w:tcW w:w="0" w:type="auto"/>
            <w:gridSpan w:val="2"/>
            <w:tcBorders>
              <w:left w:val="dotted" w:sz="4" w:space="0" w:color="auto"/>
              <w:right w:val="dotted" w:sz="4" w:space="0" w:color="auto"/>
            </w:tcBorders>
            <w:vAlign w:val="center"/>
          </w:tcPr>
          <w:p w:rsidR="00FC79B3" w:rsidRDefault="002A6CE7">
            <w:pPr>
              <w:pStyle w:val="TableTextNoSpace"/>
              <w:jc w:val="center"/>
              <w:rPr>
                <w:b/>
                <w:noProof/>
                <w:sz w:val="16"/>
                <w:szCs w:val="16"/>
                <w:lang w:val="fr-FR"/>
              </w:rPr>
            </w:pPr>
            <w:r>
              <w:rPr>
                <w:b/>
                <w:noProof/>
                <w:sz w:val="16"/>
                <w:lang w:val="fr-FR"/>
              </w:rPr>
              <w:t>55</w:t>
            </w:r>
          </w:p>
        </w:tc>
        <w:tc>
          <w:tcPr>
            <w:tcW w:w="0" w:type="auto"/>
            <w:tcBorders>
              <w:left w:val="dotted" w:sz="4" w:space="0" w:color="auto"/>
              <w:right w:val="dotted" w:sz="4" w:space="0" w:color="auto"/>
            </w:tcBorders>
            <w:vAlign w:val="center"/>
          </w:tcPr>
          <w:p w:rsidR="00FC79B3" w:rsidRDefault="002A6CE7">
            <w:pPr>
              <w:pStyle w:val="TableTextNoSpace"/>
              <w:jc w:val="center"/>
              <w:rPr>
                <w:b/>
                <w:noProof/>
                <w:sz w:val="16"/>
                <w:szCs w:val="16"/>
                <w:lang w:val="fr-FR"/>
              </w:rPr>
            </w:pPr>
            <w:r>
              <w:rPr>
                <w:b/>
                <w:noProof/>
                <w:sz w:val="16"/>
                <w:lang w:val="fr-FR"/>
              </w:rPr>
              <w:t>10</w:t>
            </w:r>
          </w:p>
        </w:tc>
        <w:tc>
          <w:tcPr>
            <w:tcW w:w="0" w:type="auto"/>
            <w:tcBorders>
              <w:left w:val="dotted" w:sz="4" w:space="0" w:color="auto"/>
              <w:right w:val="dotted" w:sz="4" w:space="0" w:color="auto"/>
            </w:tcBorders>
            <w:vAlign w:val="center"/>
          </w:tcPr>
          <w:p w:rsidR="00FC79B3" w:rsidRDefault="002A6CE7">
            <w:pPr>
              <w:pStyle w:val="TableTextNoSpace"/>
              <w:jc w:val="center"/>
              <w:rPr>
                <w:b/>
                <w:noProof/>
                <w:sz w:val="16"/>
                <w:szCs w:val="16"/>
                <w:lang w:val="fr-FR"/>
              </w:rPr>
            </w:pPr>
            <w:r>
              <w:rPr>
                <w:b/>
                <w:noProof/>
                <w:sz w:val="16"/>
                <w:lang w:val="fr-FR"/>
              </w:rPr>
              <w:t>56</w:t>
            </w:r>
          </w:p>
        </w:tc>
        <w:tc>
          <w:tcPr>
            <w:tcW w:w="0" w:type="auto"/>
            <w:tcBorders>
              <w:left w:val="dotted" w:sz="4" w:space="0" w:color="auto"/>
              <w:right w:val="nil"/>
            </w:tcBorders>
            <w:vAlign w:val="center"/>
          </w:tcPr>
          <w:p w:rsidR="00FC79B3" w:rsidRDefault="002A6CE7">
            <w:pPr>
              <w:pStyle w:val="TableTextNoSpace"/>
              <w:jc w:val="center"/>
              <w:rPr>
                <w:b/>
                <w:noProof/>
                <w:sz w:val="16"/>
                <w:szCs w:val="16"/>
                <w:lang w:val="fr-FR"/>
              </w:rPr>
            </w:pPr>
            <w:r>
              <w:rPr>
                <w:b/>
                <w:noProof/>
                <w:sz w:val="16"/>
                <w:lang w:val="fr-FR"/>
              </w:rPr>
              <w:t>334</w:t>
            </w:r>
          </w:p>
        </w:tc>
      </w:tr>
    </w:tbl>
    <w:p w:rsidR="00FC79B3" w:rsidRDefault="002A6CE7">
      <w:pPr>
        <w:pStyle w:val="BodyText"/>
        <w:ind w:left="0"/>
        <w:jc w:val="both"/>
        <w:rPr>
          <w:rFonts w:ascii="Times New Roman" w:hAnsi="Times New Roman"/>
          <w:noProof/>
          <w:sz w:val="22"/>
          <w:szCs w:val="22"/>
          <w:lang w:val="fr-FR"/>
        </w:rPr>
      </w:pPr>
      <w:r>
        <w:rPr>
          <w:b/>
          <w:i/>
          <w:noProof/>
          <w:sz w:val="16"/>
          <w:u w:val="single"/>
          <w:lang w:val="fr-FR"/>
        </w:rPr>
        <w:t>Remarque</w:t>
      </w:r>
      <w:r>
        <w:rPr>
          <w:b/>
          <w:i/>
          <w:noProof/>
          <w:sz w:val="16"/>
          <w:lang w:val="fr-FR"/>
        </w:rPr>
        <w:t xml:space="preserve">: </w:t>
      </w:r>
      <w:r>
        <w:rPr>
          <w:i/>
          <w:noProof/>
          <w:sz w:val="16"/>
          <w:lang w:val="fr-FR"/>
        </w:rPr>
        <w:t xml:space="preserve">le tableau est différent du nombre de </w:t>
      </w:r>
      <w:r>
        <w:rPr>
          <w:i/>
          <w:noProof/>
          <w:sz w:val="16"/>
          <w:lang w:val="fr-FR"/>
        </w:rPr>
        <w:t>projets analysés pour la présente évaluation, car une documentation n’était pas disponible pour tous les projets.</w:t>
      </w:r>
    </w:p>
    <w:p w:rsidR="00FC79B3" w:rsidRDefault="00FC79B3">
      <w:pPr>
        <w:pStyle w:val="BodyText"/>
        <w:ind w:left="0"/>
        <w:jc w:val="both"/>
        <w:rPr>
          <w:rFonts w:ascii="Times New Roman" w:hAnsi="Times New Roman"/>
          <w:noProof/>
          <w:sz w:val="22"/>
          <w:szCs w:val="22"/>
          <w:lang w:val="fr-FR"/>
        </w:rPr>
      </w:pPr>
    </w:p>
    <w:bookmarkEnd w:id="13"/>
    <w:bookmarkEnd w:id="14"/>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Les autorités nationales, comme les ministères de la justice ou de l’intérieur, formaient la majorité des organisations chefs de file de proj</w:t>
      </w:r>
      <w:r>
        <w:rPr>
          <w:rFonts w:ascii="Times New Roman" w:hAnsi="Times New Roman"/>
          <w:noProof/>
          <w:sz w:val="22"/>
          <w:lang w:val="fr-FR"/>
        </w:rPr>
        <w:t xml:space="preserve">ets JPEN (22 % du total), suivies par les ONG, les plates-formes ou les réseaux de niveau national (18 %), puis les réseaux, les plates-formes et les forums européens (17 %), et enfin les autres établissements d’enseignement ou de formation (10 %). </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Ces pr</w:t>
      </w:r>
      <w:r>
        <w:rPr>
          <w:rFonts w:ascii="Times New Roman" w:hAnsi="Times New Roman"/>
          <w:noProof/>
          <w:sz w:val="22"/>
          <w:lang w:val="fr-FR"/>
        </w:rPr>
        <w:t xml:space="preserve">oportions correspondent à la teneur de la décision d’établissement, qui régissait les types d'organisations qui avaient accès au programme.  </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Des subventions à l’action ont été allouées à des organisations coopérant dans le cadre de partenariats. L’analyse</w:t>
      </w:r>
      <w:r>
        <w:rPr>
          <w:rFonts w:ascii="Times New Roman" w:hAnsi="Times New Roman"/>
          <w:noProof/>
          <w:sz w:val="22"/>
          <w:lang w:val="fr-FR"/>
        </w:rPr>
        <w:t xml:space="preserve"> de ces partenariats révèle que les partenaires les plus fréquents étaient des ONG nationales, y compris des plates-formes et des réseaux de niveau national, des universités et des autorités nationales, qui représentaient respectivement 19 %, 16 % et 15 % </w:t>
      </w:r>
      <w:r>
        <w:rPr>
          <w:rFonts w:ascii="Times New Roman" w:hAnsi="Times New Roman"/>
          <w:noProof/>
          <w:sz w:val="22"/>
          <w:lang w:val="fr-FR"/>
        </w:rPr>
        <w:t>du total des partenaires. La décision établissant le programme n’abordait pas expressément la composition des partenariats</w:t>
      </w:r>
      <w:r>
        <w:rPr>
          <w:rStyle w:val="FootnoteReference"/>
          <w:rFonts w:ascii="Times New Roman" w:hAnsi="Times New Roman"/>
          <w:noProof/>
          <w:sz w:val="22"/>
          <w:lang w:val="fr-FR"/>
        </w:rPr>
        <w:footnoteReference w:id="8"/>
      </w:r>
      <w:r>
        <w:rPr>
          <w:noProof/>
          <w:lang w:val="fr-FR"/>
        </w:rPr>
        <w:t>.</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La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_Ref456711327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sidRPr="002A6CE7">
        <w:rPr>
          <w:rFonts w:ascii="Times New Roman" w:hAnsi="Times New Roman"/>
          <w:noProof/>
          <w:sz w:val="22"/>
          <w:lang w:val="fr-FR"/>
        </w:rPr>
        <w:t>Figure 1</w:t>
      </w:r>
      <w:r w:rsidRPr="002A6CE7">
        <w:rPr>
          <w:rFonts w:ascii="Times New Roman" w:hAnsi="Times New Roman"/>
          <w:noProof/>
          <w:sz w:val="22"/>
          <w:lang w:val="fr-FR"/>
        </w:rPr>
        <w:noBreakHyphen/>
        <w:t>1</w:t>
      </w:r>
      <w:r>
        <w:rPr>
          <w:rFonts w:ascii="Times New Roman" w:hAnsi="Times New Roman"/>
          <w:noProof/>
          <w:sz w:val="22"/>
          <w:szCs w:val="22"/>
          <w:lang w:val="fr-FR"/>
        </w:rPr>
        <w:fldChar w:fldCharType="end"/>
      </w:r>
      <w:r>
        <w:rPr>
          <w:rFonts w:ascii="Times New Roman" w:hAnsi="Times New Roman"/>
          <w:noProof/>
          <w:sz w:val="22"/>
          <w:lang w:val="fr-FR"/>
        </w:rPr>
        <w:t xml:space="preserve"> ci-après il</w:t>
      </w:r>
      <w:r>
        <w:rPr>
          <w:rFonts w:ascii="Times New Roman" w:hAnsi="Times New Roman"/>
          <w:noProof/>
          <w:sz w:val="22"/>
          <w:lang w:val="fr-FR"/>
        </w:rPr>
        <w:t>lustre les principaux types d’activités entreprises grâce aux subventions à l’action (à gauche) et aux subventions de fonctionnement (à droite) du programme JPEN. La plupart des projets financés par une subvention à l’action ont mis l’accent sur les activi</w:t>
      </w:r>
      <w:r>
        <w:rPr>
          <w:rFonts w:ascii="Times New Roman" w:hAnsi="Times New Roman"/>
          <w:noProof/>
          <w:sz w:val="22"/>
          <w:lang w:val="fr-FR"/>
        </w:rPr>
        <w:t xml:space="preserve">tés de sensibilisation, d’information et de diffusion (22 %), puis sur les activités analytiques (22 %), sur l’apprentissage mutuel, l’échange de bonnes pratiques et la coopération (21 %) et sur les activités de formation (19 %). </w:t>
      </w:r>
    </w:p>
    <w:p w:rsidR="00FC79B3" w:rsidRDefault="002A6CE7">
      <w:pPr>
        <w:pStyle w:val="BodyText"/>
        <w:ind w:left="0"/>
        <w:jc w:val="both"/>
        <w:rPr>
          <w:rFonts w:ascii="Times New Roman" w:hAnsi="Times New Roman"/>
          <w:noProof/>
          <w:sz w:val="22"/>
          <w:lang w:val="fr-FR"/>
        </w:rPr>
      </w:pPr>
      <w:r>
        <w:rPr>
          <w:rFonts w:ascii="Times New Roman" w:hAnsi="Times New Roman"/>
          <w:noProof/>
          <w:sz w:val="22"/>
          <w:lang w:val="fr-FR"/>
        </w:rPr>
        <w:t>Les activités les plus nombreuses mises en œuvre à l’aide de subventions de fonctionnement ont été des activités de sensibilisation, d’information et de diffusion (18 %), puis le soutien à des acteurs-clés (17 %), l’apprentissage mutuel, l’échange de bonne</w:t>
      </w:r>
      <w:r>
        <w:rPr>
          <w:rFonts w:ascii="Times New Roman" w:hAnsi="Times New Roman"/>
          <w:noProof/>
          <w:sz w:val="22"/>
          <w:lang w:val="fr-FR"/>
        </w:rPr>
        <w:t xml:space="preserve">s pratiques et la coopération (15 %) et, enfin, les activités de formation (15 %).  </w:t>
      </w:r>
    </w:p>
    <w:p w:rsidR="00FC79B3" w:rsidRDefault="00FC79B3">
      <w:pPr>
        <w:pStyle w:val="BodyText"/>
        <w:ind w:left="0"/>
        <w:jc w:val="both"/>
        <w:rPr>
          <w:rFonts w:ascii="Times New Roman" w:hAnsi="Times New Roman"/>
          <w:noProof/>
          <w:sz w:val="22"/>
          <w:lang w:val="fr-FR"/>
        </w:rPr>
      </w:pPr>
    </w:p>
    <w:p w:rsidR="00FC79B3" w:rsidRDefault="00FC79B3">
      <w:pPr>
        <w:pStyle w:val="BodyText"/>
        <w:ind w:left="0"/>
        <w:jc w:val="both"/>
        <w:rPr>
          <w:rFonts w:ascii="Times New Roman" w:hAnsi="Times New Roman"/>
          <w:noProof/>
          <w:sz w:val="22"/>
          <w:lang w:val="fr-FR"/>
        </w:rPr>
      </w:pPr>
    </w:p>
    <w:p w:rsidR="00FC79B3" w:rsidRDefault="00FC79B3">
      <w:pPr>
        <w:pStyle w:val="BodyText"/>
        <w:ind w:left="0"/>
        <w:jc w:val="both"/>
        <w:rPr>
          <w:rFonts w:ascii="Times New Roman" w:hAnsi="Times New Roman"/>
          <w:noProof/>
          <w:sz w:val="22"/>
          <w:lang w:val="fr-FR"/>
        </w:rPr>
      </w:pPr>
    </w:p>
    <w:p w:rsidR="00FC79B3" w:rsidRDefault="00FC79B3">
      <w:pPr>
        <w:pStyle w:val="BodyText"/>
        <w:ind w:left="0"/>
        <w:jc w:val="both"/>
        <w:rPr>
          <w:rFonts w:ascii="Times New Roman" w:hAnsi="Times New Roman"/>
          <w:noProof/>
          <w:sz w:val="22"/>
          <w:lang w:val="fr-FR"/>
        </w:rPr>
      </w:pPr>
    </w:p>
    <w:p w:rsidR="00FC79B3" w:rsidRDefault="00FC79B3">
      <w:pPr>
        <w:pStyle w:val="BodyText"/>
        <w:keepNext/>
        <w:keepLines/>
        <w:ind w:left="0"/>
        <w:jc w:val="both"/>
        <w:rPr>
          <w:rFonts w:ascii="Times New Roman" w:hAnsi="Times New Roman"/>
          <w:noProof/>
          <w:sz w:val="22"/>
          <w:lang w:val="fr-FR"/>
        </w:rPr>
      </w:pPr>
    </w:p>
    <w:p w:rsidR="00FC79B3" w:rsidRDefault="002A6CE7">
      <w:pPr>
        <w:pStyle w:val="BodyText"/>
        <w:keepNext/>
        <w:keepLines/>
        <w:ind w:left="0"/>
        <w:jc w:val="both"/>
        <w:rPr>
          <w:rFonts w:ascii="Times New Roman" w:hAnsi="Times New Roman"/>
          <w:noProof/>
          <w:sz w:val="22"/>
          <w:lang w:val="fr-FR"/>
        </w:rPr>
      </w:pPr>
      <w:r>
        <w:rPr>
          <w:rFonts w:ascii="Calibri" w:hAnsi="Calibri"/>
          <w:noProof/>
          <w:sz w:val="22"/>
          <w:szCs w:val="22"/>
          <w:lang w:eastAsia="en-GB"/>
        </w:rPr>
        <w:drawing>
          <wp:anchor distT="0" distB="0" distL="114300" distR="114300" simplePos="0" relativeHeight="251664384" behindDoc="0" locked="0" layoutInCell="1" allowOverlap="1">
            <wp:simplePos x="0" y="0"/>
            <wp:positionH relativeFrom="column">
              <wp:posOffset>2873375</wp:posOffset>
            </wp:positionH>
            <wp:positionV relativeFrom="paragraph">
              <wp:posOffset>85090</wp:posOffset>
            </wp:positionV>
            <wp:extent cx="4019550" cy="3312160"/>
            <wp:effectExtent l="0" t="0" r="19050" b="21590"/>
            <wp:wrapNone/>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Fonts w:ascii="Calibri" w:hAnsi="Calibri"/>
          <w:noProof/>
          <w:sz w:val="22"/>
          <w:szCs w:val="22"/>
          <w:lang w:eastAsia="en-GB"/>
        </w:rPr>
        <w:drawing>
          <wp:anchor distT="0" distB="0" distL="114300" distR="114300" simplePos="0" relativeHeight="251662336" behindDoc="0" locked="0" layoutInCell="1" allowOverlap="1">
            <wp:simplePos x="0" y="0"/>
            <wp:positionH relativeFrom="column">
              <wp:posOffset>-883920</wp:posOffset>
            </wp:positionH>
            <wp:positionV relativeFrom="paragraph">
              <wp:posOffset>109855</wp:posOffset>
            </wp:positionV>
            <wp:extent cx="4459605" cy="3303905"/>
            <wp:effectExtent l="0" t="0" r="17145" b="10795"/>
            <wp:wrapNone/>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FC79B3" w:rsidRDefault="00FC79B3">
      <w:pPr>
        <w:pStyle w:val="BodyText"/>
        <w:keepNext/>
        <w:keepLines/>
        <w:ind w:left="0"/>
        <w:jc w:val="both"/>
        <w:rPr>
          <w:rFonts w:ascii="Times New Roman" w:hAnsi="Times New Roman"/>
          <w:noProof/>
          <w:sz w:val="22"/>
          <w:lang w:val="fr-FR"/>
        </w:rPr>
      </w:pPr>
    </w:p>
    <w:tbl>
      <w:tblPr>
        <w:tblW w:w="14958" w:type="dxa"/>
        <w:tblInd w:w="-1026" w:type="dxa"/>
        <w:tblLayout w:type="fixed"/>
        <w:tblLook w:val="04A0" w:firstRow="1" w:lastRow="0" w:firstColumn="1" w:lastColumn="0" w:noHBand="0" w:noVBand="1"/>
      </w:tblPr>
      <w:tblGrid>
        <w:gridCol w:w="9923"/>
        <w:gridCol w:w="5035"/>
      </w:tblGrid>
      <w:tr w:rsidR="00FC79B3" w:rsidRPr="00AD0641">
        <w:trPr>
          <w:trHeight w:val="238"/>
        </w:trPr>
        <w:tc>
          <w:tcPr>
            <w:tcW w:w="9923" w:type="dxa"/>
          </w:tcPr>
          <w:p w:rsidR="00FC79B3" w:rsidRDefault="00FC79B3">
            <w:pPr>
              <w:pStyle w:val="Figure"/>
              <w:keepLines/>
              <w:numPr>
                <w:ilvl w:val="0"/>
                <w:numId w:val="0"/>
              </w:numPr>
              <w:ind w:left="540" w:right="-5380"/>
              <w:rPr>
                <w:noProof/>
                <w:lang w:val="fr-FR"/>
              </w:rPr>
            </w:pPr>
            <w:bookmarkStart w:id="16" w:name="_Ref422995730"/>
          </w:p>
        </w:tc>
        <w:tc>
          <w:tcPr>
            <w:tcW w:w="5035" w:type="dxa"/>
          </w:tcPr>
          <w:p w:rsidR="00FC79B3" w:rsidRDefault="00FC79B3">
            <w:pPr>
              <w:pStyle w:val="BodyText"/>
              <w:keepNext/>
              <w:keepLines/>
              <w:rPr>
                <w:noProof/>
                <w:lang w:val="fr-FR"/>
              </w:rPr>
            </w:pPr>
          </w:p>
        </w:tc>
      </w:tr>
      <w:tr w:rsidR="00FC79B3" w:rsidRPr="00AD0641">
        <w:trPr>
          <w:trHeight w:val="4501"/>
        </w:trPr>
        <w:tc>
          <w:tcPr>
            <w:tcW w:w="9923" w:type="dxa"/>
          </w:tcPr>
          <w:p w:rsidR="00FC79B3" w:rsidRDefault="00FC79B3">
            <w:pPr>
              <w:keepNext/>
              <w:keepLines/>
              <w:ind w:left="175" w:hanging="175"/>
              <w:rPr>
                <w:noProof/>
                <w:highlight w:val="yellow"/>
                <w:lang w:val="fr-FR"/>
              </w:rPr>
            </w:pPr>
          </w:p>
        </w:tc>
        <w:tc>
          <w:tcPr>
            <w:tcW w:w="5035" w:type="dxa"/>
          </w:tcPr>
          <w:p w:rsidR="00FC79B3" w:rsidRDefault="00FC79B3">
            <w:pPr>
              <w:keepNext/>
              <w:keepLines/>
              <w:rPr>
                <w:noProof/>
                <w:highlight w:val="yellow"/>
                <w:lang w:val="fr-FR"/>
              </w:rPr>
            </w:pPr>
          </w:p>
        </w:tc>
      </w:tr>
    </w:tbl>
    <w:p w:rsidR="00FC79B3" w:rsidRDefault="002A6CE7">
      <w:pPr>
        <w:pStyle w:val="Caption"/>
        <w:keepNext/>
        <w:keepLines/>
        <w:rPr>
          <w:noProof/>
          <w:lang w:val="fr-FR"/>
        </w:rPr>
      </w:pPr>
      <w:bookmarkStart w:id="17" w:name="_Ref456711327"/>
      <w:bookmarkEnd w:id="16"/>
      <w:r>
        <w:rPr>
          <w:noProof/>
          <w:lang w:val="fr-FR"/>
        </w:rPr>
        <w:t>Figure </w:t>
      </w:r>
      <w:r>
        <w:rPr>
          <w:noProof/>
          <w:lang w:val="fr-FR"/>
        </w:rPr>
        <w:fldChar w:fldCharType="begin"/>
      </w:r>
      <w:r>
        <w:rPr>
          <w:noProof/>
          <w:lang w:val="fr-FR"/>
        </w:rPr>
        <w:instrText xml:space="preserve"> STYLEREF 1 \s </w:instrText>
      </w:r>
      <w:r>
        <w:rPr>
          <w:noProof/>
          <w:lang w:val="fr-FR"/>
        </w:rPr>
        <w:fldChar w:fldCharType="separate"/>
      </w:r>
      <w:r>
        <w:rPr>
          <w:noProof/>
          <w:lang w:val="fr-FR"/>
        </w:rPr>
        <w:t>1</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1</w:t>
      </w:r>
      <w:r>
        <w:rPr>
          <w:noProof/>
          <w:lang w:val="fr-FR"/>
        </w:rPr>
        <w:fldChar w:fldCharType="end"/>
      </w:r>
      <w:bookmarkEnd w:id="17"/>
      <w:r>
        <w:rPr>
          <w:noProof/>
          <w:lang w:val="fr-FR"/>
        </w:rPr>
        <w:t xml:space="preserve"> Subventions à l’action du programme JPEN par activité principale (à gauche) et subventions de fonctionnement du programme JPEN par activité principale (à droite)</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Les marchés publics se sont concentrés sur les trois domaines d’activité essentiels que sont </w:t>
      </w:r>
      <w:r>
        <w:rPr>
          <w:rFonts w:ascii="Times New Roman" w:hAnsi="Times New Roman"/>
          <w:noProof/>
          <w:sz w:val="22"/>
          <w:lang w:val="fr-FR"/>
        </w:rPr>
        <w:t xml:space="preserve">les études, l’organisation d’événements et de réunions et la fourniture de services informatiques. </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La procédure des marchés publics a également été employée pour la maintenance du site web e-Justice. Elle a également servi à l’acquisition de services spéc</w:t>
      </w:r>
      <w:r>
        <w:rPr>
          <w:rFonts w:ascii="Times New Roman" w:hAnsi="Times New Roman"/>
          <w:noProof/>
          <w:sz w:val="22"/>
          <w:lang w:val="fr-FR"/>
        </w:rPr>
        <w:t>ialisés au titre du mécanisme de coopération et de vérification pour la Roumanie et la Bulgarie</w:t>
      </w:r>
      <w:r>
        <w:rPr>
          <w:rStyle w:val="FootnoteReference"/>
          <w:rFonts w:ascii="Times New Roman" w:hAnsi="Times New Roman"/>
          <w:noProof/>
          <w:sz w:val="22"/>
          <w:lang w:val="fr-FR"/>
        </w:rPr>
        <w:footnoteReference w:id="9"/>
      </w:r>
      <w:r>
        <w:rPr>
          <w:noProof/>
          <w:lang w:val="fr-FR"/>
        </w:rPr>
        <w:t>.</w:t>
      </w:r>
    </w:p>
    <w:p w:rsidR="00FC79B3" w:rsidRDefault="002A6CE7">
      <w:pPr>
        <w:pStyle w:val="Heading1"/>
        <w:rPr>
          <w:rStyle w:val="En-tte4"/>
          <w:noProof/>
          <w:sz w:val="32"/>
          <w:szCs w:val="28"/>
          <w:lang w:val="fr-FR"/>
        </w:rPr>
      </w:pPr>
      <w:bookmarkStart w:id="18" w:name="_Toc471909129"/>
      <w:bookmarkStart w:id="19" w:name="bookmark30"/>
      <w:bookmarkStart w:id="20" w:name="bookmark31"/>
      <w:r>
        <w:rPr>
          <w:rStyle w:val="En-tte4"/>
          <w:noProof/>
          <w:sz w:val="32"/>
          <w:lang w:val="fr-FR"/>
        </w:rPr>
        <w:t>RÉSULTATS DE L’ÉVALUATION</w:t>
      </w:r>
      <w:bookmarkEnd w:id="18"/>
    </w:p>
    <w:p w:rsidR="00FC79B3" w:rsidRDefault="002A6CE7">
      <w:pPr>
        <w:pStyle w:val="Heading2"/>
        <w:rPr>
          <w:noProof/>
          <w:color w:val="auto"/>
          <w:lang w:val="fr-FR"/>
        </w:rPr>
      </w:pPr>
      <w:bookmarkStart w:id="21" w:name="_Toc471909130"/>
      <w:r>
        <w:rPr>
          <w:rStyle w:val="En-tte4"/>
          <w:noProof/>
          <w:color w:val="auto"/>
          <w:lang w:val="fr-FR"/>
        </w:rPr>
        <w:t>PERTINENCE</w:t>
      </w:r>
      <w:bookmarkEnd w:id="19"/>
      <w:bookmarkEnd w:id="20"/>
      <w:r>
        <w:rPr>
          <w:rStyle w:val="En-tte4"/>
          <w:noProof/>
          <w:color w:val="auto"/>
          <w:lang w:val="fr-FR"/>
        </w:rPr>
        <w:t xml:space="preserve"> DU PROGRAMME</w:t>
      </w:r>
      <w:bookmarkEnd w:id="21"/>
    </w:p>
    <w:p w:rsidR="00FC79B3" w:rsidRDefault="002A6CE7">
      <w:pPr>
        <w:pStyle w:val="BodyText"/>
        <w:spacing w:before="0"/>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La pertinence d’un programme est évaluée à l’aune de la mesure dans laquelle ses actions répondent </w:t>
      </w:r>
      <w:r>
        <w:rPr>
          <w:rStyle w:val="Corpsdutexte"/>
          <w:rFonts w:ascii="Times New Roman" w:hAnsi="Times New Roman"/>
          <w:noProof/>
          <w:color w:val="000000"/>
          <w:lang w:val="fr-FR"/>
        </w:rPr>
        <w:t>logiquement à ses objectifs, aux exigences de politique plus larges de l’Union européenne et aux besoins des publics cibles.</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À l’analyse, il s’avère que les objectifs et les priorités du programme, s’ils étaient dans une large mesure spécifiques, atteignab</w:t>
      </w:r>
      <w:r>
        <w:rPr>
          <w:rStyle w:val="Corpsdutexte"/>
          <w:rFonts w:ascii="Times New Roman" w:hAnsi="Times New Roman"/>
          <w:noProof/>
          <w:color w:val="000000"/>
          <w:lang w:val="fr-FR"/>
        </w:rPr>
        <w:t>les et réalistes, n’étaient pas mesurables ou (dans leur majorité) situés dans le temps. De plus en plus, les appels à propositions ont intégré davantage de précisions quant aux attentes placées dans les projets susceptibles d’être financés (par rapport au</w:t>
      </w:r>
      <w:r>
        <w:rPr>
          <w:rStyle w:val="Corpsdutexte"/>
          <w:rFonts w:ascii="Times New Roman" w:hAnsi="Times New Roman"/>
          <w:noProof/>
          <w:color w:val="000000"/>
          <w:lang w:val="fr-FR"/>
        </w:rPr>
        <w:t>x différentes priorités). Les objectifs de la plupart des domaines prioritaires coïncidaient avec les ambitions et les politiques de l’Union, en particulier pendant la seconde moitié du programme</w:t>
      </w:r>
      <w:r>
        <w:rPr>
          <w:rStyle w:val="FootnoteReference"/>
          <w:rFonts w:ascii="Times New Roman" w:hAnsi="Times New Roman"/>
          <w:noProof/>
          <w:color w:val="000000"/>
          <w:sz w:val="22"/>
          <w:lang w:val="fr-FR"/>
        </w:rPr>
        <w:footnoteReference w:id="10"/>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Dans chaque appel pour l’octroi de subventions à l’action </w:t>
      </w:r>
      <w:r>
        <w:rPr>
          <w:rStyle w:val="Corpsdutexte"/>
          <w:rFonts w:ascii="Times New Roman" w:hAnsi="Times New Roman"/>
          <w:noProof/>
          <w:color w:val="000000"/>
          <w:lang w:val="fr-FR"/>
        </w:rPr>
        <w:t xml:space="preserve">et de subventions de fonctionnement, un critère de sélection fondamental était la pertinence au regard des ambitions et des priorités de politique plus larges de l’Union. L’examen des objectifs opérationnels poursuivis par les bénéficiaires des deux types </w:t>
      </w:r>
      <w:r>
        <w:rPr>
          <w:rStyle w:val="Corpsdutexte"/>
          <w:rFonts w:ascii="Times New Roman" w:hAnsi="Times New Roman"/>
          <w:noProof/>
          <w:color w:val="000000"/>
          <w:lang w:val="fr-FR"/>
        </w:rPr>
        <w:t>de subventions fait apparaître un parallèle entre les objectifs opérationnels des projets et les objectifs du programme. L’analyse des subventions atteste en outre que toutes les actions financées par des subventions à l’action et la plupart des actions fi</w:t>
      </w:r>
      <w:r>
        <w:rPr>
          <w:rStyle w:val="Corpsdutexte"/>
          <w:rFonts w:ascii="Times New Roman" w:hAnsi="Times New Roman"/>
          <w:noProof/>
          <w:color w:val="000000"/>
          <w:lang w:val="fr-FR"/>
        </w:rPr>
        <w:t>nancées par des subventions de fonctionnement ont sans ambiguïté respecté les priorités du programme</w:t>
      </w:r>
      <w:r>
        <w:rPr>
          <w:rStyle w:val="FootnoteReference"/>
          <w:rFonts w:ascii="Times New Roman" w:hAnsi="Times New Roman"/>
          <w:noProof/>
          <w:color w:val="000000"/>
          <w:sz w:val="22"/>
          <w:lang w:val="fr-FR"/>
        </w:rPr>
        <w:footnoteReference w:id="11"/>
      </w:r>
      <w:r>
        <w:rPr>
          <w:noProof/>
          <w:lang w:val="fr-FR"/>
        </w:rPr>
        <w:t>.</w:t>
      </w:r>
      <w:r>
        <w:rPr>
          <w:rStyle w:val="Corpsdutexte"/>
          <w:rFonts w:ascii="Times New Roman" w:hAnsi="Times New Roman"/>
          <w:noProof/>
          <w:color w:val="000000"/>
          <w:lang w:val="fr-FR"/>
        </w:rPr>
        <w:t xml:space="preserve">  </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Les types d’activités couverts étaient eux aussi éminemment pertinents pour les objectifs du programme et conformes à l’article 4 («Actions admissibles</w:t>
      </w:r>
      <w:r>
        <w:rPr>
          <w:rStyle w:val="Corpsdutexte"/>
          <w:rFonts w:ascii="Times New Roman" w:hAnsi="Times New Roman"/>
          <w:noProof/>
          <w:color w:val="000000"/>
          <w:lang w:val="fr-FR"/>
        </w:rPr>
        <w:t>») de la décision 2007/126/JAI du Conseil établissant le programme JPEN. Un grand nombre d’actions retenues pour des subventions ou des marchés publics de 2007 à 2013 appartenaient aux catégories suivantes:</w:t>
      </w:r>
    </w:p>
    <w:p w:rsidR="00FC79B3" w:rsidRDefault="002A6CE7">
      <w:pPr>
        <w:pStyle w:val="BTBullet1"/>
        <w:numPr>
          <w:ilvl w:val="0"/>
          <w:numId w:val="13"/>
        </w:numPr>
        <w:ind w:left="720"/>
        <w:jc w:val="both"/>
        <w:rPr>
          <w:rFonts w:ascii="Times New Roman" w:hAnsi="Times New Roman"/>
          <w:noProof/>
          <w:sz w:val="22"/>
          <w:szCs w:val="22"/>
          <w:lang w:val="fr-FR"/>
        </w:rPr>
      </w:pPr>
      <w:r>
        <w:rPr>
          <w:rFonts w:ascii="Times New Roman" w:hAnsi="Times New Roman"/>
          <w:i/>
          <w:noProof/>
          <w:sz w:val="22"/>
          <w:lang w:val="fr-FR"/>
        </w:rPr>
        <w:t>activités de formation</w:t>
      </w:r>
      <w:r>
        <w:rPr>
          <w:rFonts w:ascii="Times New Roman" w:hAnsi="Times New Roman"/>
          <w:noProof/>
          <w:sz w:val="22"/>
          <w:lang w:val="fr-FR"/>
        </w:rPr>
        <w:t>, principalement à destinat</w:t>
      </w:r>
      <w:r>
        <w:rPr>
          <w:rFonts w:ascii="Times New Roman" w:hAnsi="Times New Roman"/>
          <w:noProof/>
          <w:sz w:val="22"/>
          <w:lang w:val="fr-FR"/>
        </w:rPr>
        <w:t>ion de magistrats ou de praticiens du droit;</w:t>
      </w:r>
    </w:p>
    <w:p w:rsidR="00FC79B3" w:rsidRDefault="002A6CE7">
      <w:pPr>
        <w:pStyle w:val="BTBullet1"/>
        <w:numPr>
          <w:ilvl w:val="0"/>
          <w:numId w:val="13"/>
        </w:numPr>
        <w:ind w:left="720"/>
        <w:jc w:val="both"/>
        <w:rPr>
          <w:rFonts w:ascii="Times New Roman" w:hAnsi="Times New Roman"/>
          <w:b/>
          <w:noProof/>
          <w:sz w:val="22"/>
          <w:szCs w:val="22"/>
          <w:lang w:val="fr-FR"/>
        </w:rPr>
      </w:pPr>
      <w:r>
        <w:rPr>
          <w:rFonts w:ascii="Times New Roman" w:hAnsi="Times New Roman"/>
          <w:i/>
          <w:noProof/>
          <w:sz w:val="22"/>
          <w:lang w:val="fr-FR"/>
        </w:rPr>
        <w:t>apprentissage mutuel/échanges</w:t>
      </w:r>
      <w:r>
        <w:rPr>
          <w:rFonts w:ascii="Times New Roman" w:hAnsi="Times New Roman"/>
          <w:b/>
          <w:noProof/>
          <w:sz w:val="22"/>
          <w:lang w:val="fr-FR"/>
        </w:rPr>
        <w:t xml:space="preserve"> </w:t>
      </w:r>
      <w:r>
        <w:rPr>
          <w:rFonts w:ascii="Times New Roman" w:hAnsi="Times New Roman"/>
          <w:noProof/>
          <w:sz w:val="22"/>
          <w:lang w:val="fr-FR"/>
        </w:rPr>
        <w:t>entre autorités ou organisations actives dans les États membres</w:t>
      </w:r>
      <w:r>
        <w:rPr>
          <w:rFonts w:ascii="Times New Roman" w:hAnsi="Times New Roman"/>
          <w:b/>
          <w:noProof/>
          <w:sz w:val="22"/>
          <w:lang w:val="fr-FR"/>
        </w:rPr>
        <w:t xml:space="preserve"> </w:t>
      </w:r>
      <w:r>
        <w:rPr>
          <w:rFonts w:ascii="Times New Roman" w:hAnsi="Times New Roman"/>
          <w:noProof/>
          <w:sz w:val="22"/>
          <w:lang w:val="fr-FR"/>
        </w:rPr>
        <w:t>(p. ex. par le biais de symposiums, de séminaires et d’actions de diffusion des bonnes pratiques);</w:t>
      </w:r>
    </w:p>
    <w:p w:rsidR="00FC79B3" w:rsidRDefault="002A6CE7">
      <w:pPr>
        <w:pStyle w:val="BTBullet1"/>
        <w:numPr>
          <w:ilvl w:val="0"/>
          <w:numId w:val="13"/>
        </w:numPr>
        <w:ind w:left="720"/>
        <w:jc w:val="both"/>
        <w:rPr>
          <w:rFonts w:ascii="Times New Roman" w:hAnsi="Times New Roman"/>
          <w:noProof/>
          <w:sz w:val="22"/>
          <w:szCs w:val="22"/>
          <w:lang w:val="fr-FR"/>
        </w:rPr>
      </w:pPr>
      <w:r>
        <w:rPr>
          <w:rFonts w:ascii="Times New Roman" w:hAnsi="Times New Roman"/>
          <w:i/>
          <w:noProof/>
          <w:sz w:val="22"/>
          <w:lang w:val="fr-FR"/>
        </w:rPr>
        <w:t>conception et/ou i</w:t>
      </w:r>
      <w:r>
        <w:rPr>
          <w:rFonts w:ascii="Times New Roman" w:hAnsi="Times New Roman"/>
          <w:i/>
          <w:noProof/>
          <w:sz w:val="22"/>
          <w:lang w:val="fr-FR"/>
        </w:rPr>
        <w:t>nstallation de matériel informatique ou de logiciels</w:t>
      </w:r>
      <w:r>
        <w:rPr>
          <w:rFonts w:ascii="Times New Roman" w:hAnsi="Times New Roman"/>
          <w:noProof/>
          <w:sz w:val="22"/>
          <w:lang w:val="fr-FR"/>
        </w:rPr>
        <w:t xml:space="preserve"> destinés à faciliter les procédures judiciaires et l’accès aux informations sur la justice au niveau de l’Union et des différents États membres (e-justice);</w:t>
      </w:r>
    </w:p>
    <w:p w:rsidR="00FC79B3" w:rsidRDefault="002A6CE7">
      <w:pPr>
        <w:pStyle w:val="BTBullet1"/>
        <w:numPr>
          <w:ilvl w:val="0"/>
          <w:numId w:val="13"/>
        </w:numPr>
        <w:ind w:left="720"/>
        <w:jc w:val="both"/>
        <w:rPr>
          <w:rFonts w:ascii="Times New Roman" w:hAnsi="Times New Roman"/>
          <w:b/>
          <w:noProof/>
          <w:sz w:val="22"/>
          <w:szCs w:val="22"/>
          <w:lang w:val="fr-FR"/>
        </w:rPr>
      </w:pPr>
      <w:r>
        <w:rPr>
          <w:rFonts w:ascii="Times New Roman" w:hAnsi="Times New Roman"/>
          <w:i/>
          <w:noProof/>
          <w:sz w:val="22"/>
          <w:lang w:val="fr-FR"/>
        </w:rPr>
        <w:t>services de soutien et de conseil</w:t>
      </w:r>
      <w:r>
        <w:rPr>
          <w:rFonts w:ascii="Times New Roman" w:hAnsi="Times New Roman"/>
          <w:b/>
          <w:noProof/>
          <w:sz w:val="22"/>
          <w:lang w:val="fr-FR"/>
        </w:rPr>
        <w:t xml:space="preserve"> </w:t>
      </w:r>
      <w:r>
        <w:rPr>
          <w:rFonts w:ascii="Times New Roman" w:hAnsi="Times New Roman"/>
          <w:noProof/>
          <w:sz w:val="22"/>
          <w:lang w:val="fr-FR"/>
        </w:rPr>
        <w:t>(y compris s</w:t>
      </w:r>
      <w:r>
        <w:rPr>
          <w:rFonts w:ascii="Times New Roman" w:hAnsi="Times New Roman"/>
          <w:noProof/>
          <w:sz w:val="22"/>
          <w:lang w:val="fr-FR"/>
        </w:rPr>
        <w:t>ites web d’information et de conseil);</w:t>
      </w:r>
    </w:p>
    <w:p w:rsidR="00FC79B3" w:rsidRDefault="002A6CE7">
      <w:pPr>
        <w:pStyle w:val="BTBullet1"/>
        <w:numPr>
          <w:ilvl w:val="0"/>
          <w:numId w:val="13"/>
        </w:numPr>
        <w:spacing w:after="120"/>
        <w:ind w:left="720"/>
        <w:jc w:val="both"/>
        <w:rPr>
          <w:rFonts w:ascii="Times New Roman" w:hAnsi="Times New Roman"/>
          <w:b/>
          <w:noProof/>
          <w:sz w:val="22"/>
          <w:szCs w:val="22"/>
          <w:lang w:val="fr-FR"/>
        </w:rPr>
      </w:pPr>
      <w:r>
        <w:rPr>
          <w:rFonts w:ascii="Times New Roman" w:hAnsi="Times New Roman"/>
          <w:i/>
          <w:noProof/>
          <w:sz w:val="22"/>
          <w:lang w:val="fr-FR"/>
        </w:rPr>
        <w:t>activités de recherche et d’analyse</w:t>
      </w:r>
      <w:r>
        <w:rPr>
          <w:rFonts w:ascii="Times New Roman" w:hAnsi="Times New Roman"/>
          <w:noProof/>
          <w:sz w:val="22"/>
          <w:lang w:val="fr-FR"/>
        </w:rPr>
        <w:t xml:space="preserve"> visant à examiner l’application du droit de l’Union dans les États membres ou à cartographier les cadres législatifs nationaux afin de contrôler leur compatibilité avec la législati</w:t>
      </w:r>
      <w:r>
        <w:rPr>
          <w:rFonts w:ascii="Times New Roman" w:hAnsi="Times New Roman"/>
          <w:noProof/>
          <w:sz w:val="22"/>
          <w:lang w:val="fr-FR"/>
        </w:rPr>
        <w:t>on européenne. Ces activités ont également permis d'étudier des méthodes permettant de mettre en œuvre différentes formes de justice (p. ex., justice réparatrice ou solutions remplaçant la détention) et les obstacles à la justice existant dans l’Union euro</w:t>
      </w:r>
      <w:r>
        <w:rPr>
          <w:rFonts w:ascii="Times New Roman" w:hAnsi="Times New Roman"/>
          <w:noProof/>
          <w:sz w:val="22"/>
          <w:lang w:val="fr-FR"/>
        </w:rPr>
        <w:t>péenne. Certaines ont également analysé les obstacles entravant la mise en œuvre du droit de l’Union et la confiance mutuelle</w:t>
      </w:r>
      <w:r>
        <w:rPr>
          <w:rStyle w:val="FootnoteReference"/>
          <w:rFonts w:ascii="Times New Roman" w:hAnsi="Times New Roman"/>
          <w:noProof/>
          <w:sz w:val="22"/>
          <w:lang w:val="fr-FR"/>
        </w:rPr>
        <w:footnoteReference w:id="12"/>
      </w:r>
      <w:r>
        <w:rPr>
          <w:rFonts w:ascii="Times New Roman" w:hAnsi="Times New Roman"/>
          <w:noProof/>
          <w:sz w:val="22"/>
          <w:lang w:val="fr-FR"/>
        </w:rPr>
        <w:t xml:space="preserve">. </w:t>
      </w:r>
    </w:p>
    <w:p w:rsidR="00FC79B3" w:rsidRDefault="002A6CE7">
      <w:pPr>
        <w:pStyle w:val="BodyTextNoSpace"/>
        <w:spacing w:after="120"/>
        <w:ind w:left="0"/>
        <w:jc w:val="both"/>
        <w:rPr>
          <w:rFonts w:ascii="Times New Roman" w:hAnsi="Times New Roman"/>
          <w:noProof/>
          <w:sz w:val="22"/>
          <w:szCs w:val="22"/>
          <w:lang w:val="fr-FR"/>
        </w:rPr>
      </w:pPr>
      <w:r>
        <w:rPr>
          <w:rFonts w:ascii="Times New Roman" w:hAnsi="Times New Roman"/>
          <w:noProof/>
          <w:sz w:val="22"/>
          <w:lang w:val="fr-FR"/>
        </w:rPr>
        <w:t>De plus, des subventions ont été allouées à bon nombre des principales organisations actives dans la promotion d’un espace euro</w:t>
      </w:r>
      <w:r>
        <w:rPr>
          <w:rFonts w:ascii="Times New Roman" w:hAnsi="Times New Roman"/>
          <w:noProof/>
          <w:sz w:val="22"/>
          <w:lang w:val="fr-FR"/>
        </w:rPr>
        <w:t>péen de justice commun, parmi lesquelles, à titre d’exemples, des réseaux européens et des ONG de premier plan impliqués dans la formation (p. ex., REFJ), la probation (Organisation européenne de la probation, CEP), les droits reconnus par la loi (Advice o</w:t>
      </w:r>
      <w:r>
        <w:rPr>
          <w:rFonts w:ascii="Times New Roman" w:hAnsi="Times New Roman"/>
          <w:noProof/>
          <w:sz w:val="22"/>
          <w:lang w:val="fr-FR"/>
        </w:rPr>
        <w:t>n Individual Rights in Europe, AIRE), l’aide aux victimes (Victim Support Europe, VSE), la protection des suspects et des défendeurs (Fair Trials) et la justice réparatrice (Forum européen pour la justice réparatrice, FEJR)</w:t>
      </w:r>
      <w:r>
        <w:rPr>
          <w:rStyle w:val="FootnoteReference"/>
          <w:rFonts w:ascii="Times New Roman" w:hAnsi="Times New Roman"/>
          <w:noProof/>
          <w:sz w:val="22"/>
          <w:lang w:val="fr-FR"/>
        </w:rPr>
        <w:footnoteReference w:id="13"/>
      </w:r>
      <w:r>
        <w:rPr>
          <w:noProof/>
          <w:lang w:val="fr-FR"/>
        </w:rPr>
        <w:t>.</w:t>
      </w:r>
    </w:p>
    <w:p w:rsidR="00FC79B3" w:rsidRDefault="002A6CE7">
      <w:pPr>
        <w:pStyle w:val="BodyTextNoSpace"/>
        <w:spacing w:after="120"/>
        <w:ind w:left="0"/>
        <w:jc w:val="both"/>
        <w:rPr>
          <w:rFonts w:ascii="Times New Roman" w:hAnsi="Times New Roman"/>
          <w:noProof/>
          <w:sz w:val="22"/>
          <w:szCs w:val="22"/>
          <w:lang w:val="fr-FR"/>
        </w:rPr>
      </w:pPr>
      <w:r>
        <w:rPr>
          <w:rFonts w:ascii="Times New Roman" w:hAnsi="Times New Roman"/>
          <w:noProof/>
          <w:sz w:val="22"/>
          <w:lang w:val="fr-FR"/>
        </w:rPr>
        <w:t>Étant donné que le programme J</w:t>
      </w:r>
      <w:r>
        <w:rPr>
          <w:rFonts w:ascii="Times New Roman" w:hAnsi="Times New Roman"/>
          <w:noProof/>
          <w:sz w:val="22"/>
          <w:lang w:val="fr-FR"/>
        </w:rPr>
        <w:t>PEN avait pour finalité d’améliorer la coopération judiciaire et la confiance mutuelle (et de soutenir la création d’un espace judiciaire à l’échelle de l’Union), il était également primordial qu’il implique des partenaires et des bénéficiaires finaux situ</w:t>
      </w:r>
      <w:r>
        <w:rPr>
          <w:rFonts w:ascii="Times New Roman" w:hAnsi="Times New Roman"/>
          <w:noProof/>
          <w:sz w:val="22"/>
          <w:lang w:val="fr-FR"/>
        </w:rPr>
        <w:t xml:space="preserve">és dans les différents États membres de l’Union. Il a aussi accueilli des actions nationales (40 subventions à l’action sur 284, cf. ci-après, </w:t>
      </w:r>
      <w:r>
        <w:rPr>
          <w:rFonts w:ascii="Times New Roman" w:hAnsi="Times New Roman"/>
          <w:noProof/>
          <w:sz w:val="22"/>
          <w:szCs w:val="22"/>
          <w:lang w:val="fr-FR"/>
        </w:rPr>
        <w:t>2.6.2</w:t>
      </w:r>
      <w:r>
        <w:rPr>
          <w:rFonts w:ascii="Times New Roman" w:hAnsi="Times New Roman"/>
          <w:noProof/>
          <w:sz w:val="22"/>
          <w:lang w:val="fr-FR"/>
        </w:rPr>
        <w:t xml:space="preserve">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_Ref455135495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sidRPr="002A6CE7">
        <w:rPr>
          <w:rFonts w:ascii="Times New Roman" w:hAnsi="Times New Roman"/>
          <w:noProof/>
          <w:sz w:val="22"/>
          <w:szCs w:val="22"/>
          <w:lang w:val="fr-FR"/>
        </w:rPr>
        <w:t>Valeur ajoutée pour l’Union européenne et les bénéficiaires de</w:t>
      </w:r>
      <w:r>
        <w:rPr>
          <w:noProof/>
          <w:lang w:val="fr-FR"/>
        </w:rPr>
        <w:t xml:space="preserve"> subventions</w:t>
      </w:r>
      <w:r>
        <w:rPr>
          <w:rFonts w:ascii="Times New Roman" w:hAnsi="Times New Roman"/>
          <w:noProof/>
          <w:sz w:val="22"/>
          <w:szCs w:val="22"/>
          <w:lang w:val="fr-FR"/>
        </w:rPr>
        <w:fldChar w:fldCharType="end"/>
      </w:r>
      <w:r>
        <w:rPr>
          <w:rFonts w:ascii="Times New Roman" w:hAnsi="Times New Roman"/>
          <w:noProof/>
          <w:sz w:val="22"/>
          <w:lang w:val="fr-FR"/>
        </w:rPr>
        <w:t>) qui étaient pertinentes pour le programme.</w:t>
      </w:r>
    </w:p>
    <w:p w:rsidR="00FC79B3" w:rsidRDefault="002A6CE7">
      <w:pPr>
        <w:pStyle w:val="Heading3"/>
        <w:rPr>
          <w:rStyle w:val="Corpsdutexte"/>
          <w:noProof/>
          <w:color w:val="auto"/>
          <w:szCs w:val="24"/>
          <w:lang w:val="fr-FR"/>
        </w:rPr>
      </w:pPr>
      <w:r>
        <w:rPr>
          <w:noProof/>
          <w:color w:val="auto"/>
          <w:lang w:val="fr-FR"/>
        </w:rPr>
        <w:t xml:space="preserve">Priorités fixées dans les appels à propositions et les actions sélectionnées et pertinence de ces priorités pour la politique </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Les </w:t>
      </w:r>
      <w:r>
        <w:rPr>
          <w:rStyle w:val="Corpsdutexte"/>
          <w:rFonts w:ascii="Times New Roman" w:hAnsi="Times New Roman"/>
          <w:noProof/>
          <w:color w:val="000000"/>
          <w:lang w:val="fr-FR"/>
        </w:rPr>
        <w:t>principaux actes législatifs applicables et adoptés pendant la période couverte par le programme ont compris des instruments sur la</w:t>
      </w:r>
      <w:r>
        <w:rPr>
          <w:rFonts w:ascii="Times New Roman" w:hAnsi="Times New Roman"/>
          <w:noProof/>
          <w:sz w:val="22"/>
          <w:lang w:val="fr-FR"/>
        </w:rPr>
        <w:t xml:space="preserve"> </w:t>
      </w:r>
      <w:r>
        <w:rPr>
          <w:rFonts w:ascii="Times New Roman" w:hAnsi="Times New Roman"/>
          <w:i/>
          <w:noProof/>
          <w:sz w:val="22"/>
          <w:lang w:val="fr-FR"/>
        </w:rPr>
        <w:t>reconnaissance mutuelle des décisions judiciaires entre les États membres</w:t>
      </w:r>
      <w:r>
        <w:rPr>
          <w:rFonts w:ascii="Times New Roman" w:hAnsi="Times New Roman"/>
          <w:noProof/>
          <w:sz w:val="22"/>
          <w:lang w:val="fr-FR"/>
        </w:rPr>
        <w:t xml:space="preserve">, sur les </w:t>
      </w:r>
      <w:r>
        <w:rPr>
          <w:rFonts w:ascii="Times New Roman" w:hAnsi="Times New Roman"/>
          <w:i/>
          <w:noProof/>
          <w:sz w:val="22"/>
          <w:lang w:val="fr-FR"/>
        </w:rPr>
        <w:t>solutions pouvant remplacer la détention</w:t>
      </w:r>
      <w:r>
        <w:rPr>
          <w:rFonts w:ascii="Times New Roman" w:hAnsi="Times New Roman"/>
          <w:noProof/>
          <w:sz w:val="22"/>
          <w:lang w:val="fr-FR"/>
        </w:rPr>
        <w:t xml:space="preserve"> </w:t>
      </w:r>
      <w:r>
        <w:rPr>
          <w:rFonts w:ascii="Times New Roman" w:hAnsi="Times New Roman"/>
          <w:noProof/>
          <w:sz w:val="22"/>
          <w:lang w:val="fr-FR"/>
        </w:rPr>
        <w:t xml:space="preserve">ou sur la </w:t>
      </w:r>
      <w:r>
        <w:rPr>
          <w:rFonts w:ascii="Times New Roman" w:hAnsi="Times New Roman"/>
          <w:i/>
          <w:noProof/>
          <w:sz w:val="22"/>
          <w:lang w:val="fr-FR"/>
        </w:rPr>
        <w:t>coopération judiciaire dans la communication de preuves</w:t>
      </w:r>
      <w:r>
        <w:rPr>
          <w:rFonts w:ascii="Times New Roman" w:hAnsi="Times New Roman"/>
          <w:noProof/>
          <w:sz w:val="22"/>
          <w:lang w:val="fr-FR"/>
        </w:rPr>
        <w:t xml:space="preserve"> à un autre État membre. D’autres encore ont établi des dispositions sur les </w:t>
      </w:r>
      <w:r>
        <w:rPr>
          <w:rFonts w:ascii="Times New Roman" w:hAnsi="Times New Roman"/>
          <w:i/>
          <w:noProof/>
          <w:sz w:val="22"/>
          <w:lang w:val="fr-FR"/>
        </w:rPr>
        <w:t>droits procéduraux</w:t>
      </w:r>
      <w:r>
        <w:rPr>
          <w:rFonts w:ascii="Times New Roman" w:hAnsi="Times New Roman"/>
          <w:noProof/>
          <w:sz w:val="22"/>
          <w:lang w:val="fr-FR"/>
        </w:rPr>
        <w:t xml:space="preserve"> ou étaient destinés </w:t>
      </w:r>
      <w:r>
        <w:rPr>
          <w:rFonts w:ascii="Times New Roman" w:hAnsi="Times New Roman"/>
          <w:i/>
          <w:noProof/>
          <w:sz w:val="22"/>
          <w:lang w:val="fr-FR"/>
        </w:rPr>
        <w:t>à aider les victimes et à garantir le respect de leurs droits</w:t>
      </w:r>
      <w:r>
        <w:rPr>
          <w:rFonts w:ascii="Times New Roman" w:hAnsi="Times New Roman"/>
          <w:noProof/>
          <w:sz w:val="22"/>
          <w:lang w:val="fr-FR"/>
        </w:rPr>
        <w:t>.</w:t>
      </w:r>
      <w:r>
        <w:rPr>
          <w:rStyle w:val="Corpsdutexte"/>
          <w:rFonts w:ascii="Times New Roman" w:hAnsi="Times New Roman"/>
          <w:noProof/>
          <w:color w:val="000000"/>
          <w:lang w:val="fr-FR"/>
        </w:rPr>
        <w:t xml:space="preserve"> </w:t>
      </w:r>
    </w:p>
    <w:p w:rsidR="00FC79B3" w:rsidRDefault="002A6CE7">
      <w:pPr>
        <w:pStyle w:val="BodyText"/>
        <w:ind w:left="0"/>
        <w:jc w:val="both"/>
        <w:rPr>
          <w:rFonts w:ascii="Times New Roman" w:hAnsi="Times New Roman"/>
          <w:noProof/>
          <w:sz w:val="22"/>
          <w:szCs w:val="22"/>
          <w:lang w:val="fr-FR"/>
        </w:rPr>
      </w:pPr>
      <w:r>
        <w:rPr>
          <w:rStyle w:val="Corpsdutexte"/>
          <w:rFonts w:ascii="Times New Roman" w:hAnsi="Times New Roman"/>
          <w:noProof/>
          <w:color w:val="000000"/>
          <w:lang w:val="fr-FR"/>
        </w:rPr>
        <w:t>Les priorit</w:t>
      </w:r>
      <w:r>
        <w:rPr>
          <w:rStyle w:val="Corpsdutexte"/>
          <w:rFonts w:ascii="Times New Roman" w:hAnsi="Times New Roman"/>
          <w:noProof/>
          <w:color w:val="000000"/>
          <w:lang w:val="fr-FR"/>
        </w:rPr>
        <w:t>és annuelles du programme JPEN reflètent l’évolution de la politique de l’Union en matière de justice pénale</w:t>
      </w:r>
      <w:r>
        <w:rPr>
          <w:rStyle w:val="FootnoteReference"/>
          <w:rFonts w:ascii="Times New Roman" w:hAnsi="Times New Roman"/>
          <w:noProof/>
          <w:color w:val="000000"/>
          <w:sz w:val="22"/>
          <w:lang w:val="fr-FR"/>
        </w:rPr>
        <w:footnoteReference w:id="14"/>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La Commission a adopté plusieurs outils pratiques à l’appui des principaux instruments législatifs et a fait leur promotion. Elle souhaitait </w:t>
      </w:r>
      <w:r>
        <w:rPr>
          <w:rStyle w:val="Corpsdutexte"/>
          <w:rFonts w:ascii="Times New Roman" w:hAnsi="Times New Roman"/>
          <w:noProof/>
          <w:color w:val="000000"/>
          <w:lang w:val="fr-FR"/>
        </w:rPr>
        <w:t>ainsi améliorer la coopération judiciaire et la reconnaissance mutuelle des décisions et faciliter l’accès des citoyens à la justice. Parmi ces outils, on peut citer les suivants</w:t>
      </w:r>
      <w:r>
        <w:rPr>
          <w:rStyle w:val="FootnoteReference"/>
          <w:rFonts w:ascii="Times New Roman" w:hAnsi="Times New Roman"/>
          <w:noProof/>
          <w:color w:val="000000"/>
          <w:sz w:val="22"/>
          <w:lang w:val="fr-FR"/>
        </w:rPr>
        <w:footnoteReference w:id="15"/>
      </w:r>
      <w:r>
        <w:rPr>
          <w:rStyle w:val="Corpsdutexte"/>
          <w:rFonts w:ascii="Times New Roman" w:hAnsi="Times New Roman"/>
          <w:noProof/>
          <w:color w:val="000000"/>
          <w:lang w:val="fr-FR"/>
        </w:rPr>
        <w:t>:</w:t>
      </w:r>
    </w:p>
    <w:p w:rsidR="00FC79B3" w:rsidRDefault="002A6CE7">
      <w:pPr>
        <w:pStyle w:val="BTBullet1"/>
        <w:numPr>
          <w:ilvl w:val="0"/>
          <w:numId w:val="14"/>
        </w:numPr>
        <w:rPr>
          <w:rStyle w:val="Corpsdutexte"/>
          <w:rFonts w:ascii="Times New Roman" w:eastAsia="Times New Roman" w:hAnsi="Times New Roman"/>
          <w:noProof/>
          <w:color w:val="000000"/>
          <w:lang w:val="fr-FR"/>
        </w:rPr>
      </w:pPr>
      <w:r>
        <w:rPr>
          <w:rStyle w:val="Corpsdutexte"/>
          <w:rFonts w:ascii="Times New Roman" w:hAnsi="Times New Roman"/>
          <w:i/>
          <w:noProof/>
          <w:color w:val="000000"/>
          <w:lang w:val="fr-FR"/>
        </w:rPr>
        <w:t>le portail européen e-Justice</w:t>
      </w:r>
      <w:r>
        <w:rPr>
          <w:rStyle w:val="Corpsdutexte"/>
          <w:rFonts w:ascii="Times New Roman" w:hAnsi="Times New Roman"/>
          <w:noProof/>
          <w:color w:val="000000"/>
          <w:lang w:val="fr-FR"/>
        </w:rPr>
        <w:t>: un site web d’information qui s’adresse au g</w:t>
      </w:r>
      <w:r>
        <w:rPr>
          <w:rStyle w:val="Corpsdutexte"/>
          <w:rFonts w:ascii="Times New Roman" w:hAnsi="Times New Roman"/>
          <w:noProof/>
          <w:color w:val="000000"/>
          <w:lang w:val="fr-FR"/>
        </w:rPr>
        <w:t>rand public, aux entreprises, aux praticiens du droit et aux magistrats et qui rassemble des informations sur les droits, les services disponibles et les outils susceptibles de répondre à leurs besoins;</w:t>
      </w:r>
    </w:p>
    <w:p w:rsidR="00FC79B3" w:rsidRDefault="002A6CE7">
      <w:pPr>
        <w:pStyle w:val="BTBullet1"/>
        <w:numPr>
          <w:ilvl w:val="0"/>
          <w:numId w:val="14"/>
        </w:numPr>
        <w:rPr>
          <w:rStyle w:val="Corpsdutexte"/>
          <w:rFonts w:ascii="Times New Roman" w:eastAsia="Times New Roman" w:hAnsi="Times New Roman"/>
          <w:noProof/>
          <w:color w:val="000000"/>
          <w:lang w:val="fr-FR"/>
        </w:rPr>
      </w:pPr>
      <w:r>
        <w:rPr>
          <w:rStyle w:val="Corpsdutexte"/>
          <w:rFonts w:ascii="Times New Roman" w:hAnsi="Times New Roman"/>
          <w:i/>
          <w:noProof/>
          <w:color w:val="000000"/>
          <w:lang w:val="fr-FR"/>
        </w:rPr>
        <w:t xml:space="preserve">le système européen d’information sur les casiers </w:t>
      </w:r>
      <w:r>
        <w:rPr>
          <w:rStyle w:val="Corpsdutexte"/>
          <w:rFonts w:ascii="Times New Roman" w:hAnsi="Times New Roman"/>
          <w:i/>
          <w:noProof/>
          <w:color w:val="000000"/>
          <w:lang w:val="fr-FR"/>
        </w:rPr>
        <w:t>judiciaires (ECRIS)</w:t>
      </w:r>
      <w:r>
        <w:rPr>
          <w:rStyle w:val="Corpsdutexte"/>
          <w:rFonts w:ascii="Times New Roman" w:hAnsi="Times New Roman"/>
          <w:noProof/>
          <w:color w:val="000000"/>
          <w:lang w:val="fr-FR"/>
        </w:rPr>
        <w:t>: un système informatique conçu pour assurer un échange d’informations efficace entre les États membres de l’Union sur les condamnations pénales;</w:t>
      </w:r>
    </w:p>
    <w:p w:rsidR="00FC79B3" w:rsidRDefault="002A6CE7">
      <w:pPr>
        <w:pStyle w:val="BTBullet1"/>
        <w:numPr>
          <w:ilvl w:val="0"/>
          <w:numId w:val="14"/>
        </w:numPr>
        <w:rPr>
          <w:rStyle w:val="Corpsdutexte"/>
          <w:rFonts w:ascii="Times New Roman" w:eastAsia="Times New Roman" w:hAnsi="Times New Roman"/>
          <w:noProof/>
          <w:color w:val="000000"/>
          <w:lang w:val="fr-FR"/>
        </w:rPr>
      </w:pPr>
      <w:r>
        <w:rPr>
          <w:rStyle w:val="Corpsdutexte"/>
          <w:rFonts w:ascii="Times New Roman" w:hAnsi="Times New Roman"/>
          <w:i/>
          <w:noProof/>
          <w:color w:val="000000"/>
          <w:lang w:val="fr-FR"/>
        </w:rPr>
        <w:t>le Réseau judiciaire européen (RJE)</w:t>
      </w:r>
      <w:r>
        <w:rPr>
          <w:rStyle w:val="Corpsdutexte"/>
          <w:rFonts w:ascii="Times New Roman" w:hAnsi="Times New Roman"/>
          <w:noProof/>
          <w:color w:val="000000"/>
          <w:lang w:val="fr-FR"/>
        </w:rPr>
        <w:t>: un réseau destiné à promouvoir la coopération judiciai</w:t>
      </w:r>
      <w:r>
        <w:rPr>
          <w:rStyle w:val="Corpsdutexte"/>
          <w:rFonts w:ascii="Times New Roman" w:hAnsi="Times New Roman"/>
          <w:noProof/>
          <w:color w:val="000000"/>
          <w:lang w:val="fr-FR"/>
        </w:rPr>
        <w:t>re en matière pénale entre les États membres de l’Union;</w:t>
      </w:r>
    </w:p>
    <w:p w:rsidR="00FC79B3" w:rsidRDefault="002A6CE7">
      <w:pPr>
        <w:pStyle w:val="BTBullet1"/>
        <w:numPr>
          <w:ilvl w:val="0"/>
          <w:numId w:val="14"/>
        </w:numPr>
        <w:rPr>
          <w:noProof/>
          <w:lang w:val="fr-FR"/>
        </w:rPr>
      </w:pPr>
      <w:r>
        <w:rPr>
          <w:rStyle w:val="Corpsdutexte"/>
          <w:rFonts w:ascii="Times New Roman" w:hAnsi="Times New Roman"/>
          <w:i/>
          <w:noProof/>
          <w:color w:val="000000"/>
          <w:lang w:val="fr-FR"/>
        </w:rPr>
        <w:t>une formation judiciaire</w:t>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À partir de 2010, les priorités exposées dans les appels à propositions et les programmes de travail sont devenues «plus SMART» en ce sens qu’elles ont défini plus préciséme</w:t>
      </w:r>
      <w:r>
        <w:rPr>
          <w:rStyle w:val="Corpsdutexte"/>
          <w:rFonts w:ascii="Times New Roman" w:hAnsi="Times New Roman"/>
          <w:noProof/>
          <w:color w:val="000000"/>
          <w:lang w:val="fr-FR"/>
        </w:rPr>
        <w:t>nt la teneur escomptée des projets ciblant chaque priorité. Elles ont en outre pris davantage en considération la politique et la législation. Ces améliorations sont le fruit des modifications institutionnelles apportées à la Commission après l’entrée en v</w:t>
      </w:r>
      <w:r>
        <w:rPr>
          <w:rStyle w:val="Corpsdutexte"/>
          <w:rFonts w:ascii="Times New Roman" w:hAnsi="Times New Roman"/>
          <w:noProof/>
          <w:color w:val="000000"/>
          <w:lang w:val="fr-FR"/>
        </w:rPr>
        <w:t xml:space="preserve">igueur du traité de Lisbonne, lorsque de plus grands pouvoirs ont été conférés à la Commission dans le domaine de la justice et des affaires intérieures. De surcroît, la direction générale de la justice, de la liberté et de la sécurité (JLS) a été scindée </w:t>
      </w:r>
      <w:r>
        <w:rPr>
          <w:rStyle w:val="Corpsdutexte"/>
          <w:rFonts w:ascii="Times New Roman" w:hAnsi="Times New Roman"/>
          <w:noProof/>
          <w:color w:val="000000"/>
          <w:lang w:val="fr-FR"/>
        </w:rPr>
        <w:t>en 2010 entre la DG Affaires intérieures et la DG Justice (le programme JPEN relevant de la nouvelle DG Justice) et les compétences de ces deux directions générales ont été élargies</w:t>
      </w:r>
      <w:r>
        <w:rPr>
          <w:rStyle w:val="FootnoteReference"/>
          <w:rFonts w:ascii="Times New Roman" w:hAnsi="Times New Roman"/>
          <w:noProof/>
          <w:color w:val="000000"/>
          <w:sz w:val="22"/>
          <w:lang w:val="fr-FR"/>
        </w:rPr>
        <w:footnoteReference w:id="16"/>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Les actions financées au moyen de subventions à l’action et de subventio</w:t>
      </w:r>
      <w:r>
        <w:rPr>
          <w:rStyle w:val="Corpsdutexte"/>
          <w:rFonts w:ascii="Times New Roman" w:hAnsi="Times New Roman"/>
          <w:noProof/>
          <w:color w:val="000000"/>
          <w:lang w:val="fr-FR"/>
        </w:rPr>
        <w:t>ns de fonctionnement ont principalement cherché à soutenir la mise en œuvre de la législation existante</w:t>
      </w:r>
      <w:r>
        <w:rPr>
          <w:rStyle w:val="FootnoteReference"/>
          <w:rFonts w:ascii="Times New Roman" w:hAnsi="Times New Roman"/>
          <w:noProof/>
          <w:color w:val="000000"/>
          <w:sz w:val="22"/>
          <w:lang w:val="fr-FR"/>
        </w:rPr>
        <w:footnoteReference w:id="17"/>
      </w:r>
      <w:r>
        <w:rPr>
          <w:noProof/>
          <w:lang w:val="fr-FR"/>
        </w:rPr>
        <w:t>.</w:t>
      </w:r>
      <w:r>
        <w:rPr>
          <w:rStyle w:val="Corpsdutexte"/>
          <w:rFonts w:ascii="Times New Roman" w:hAnsi="Times New Roman"/>
          <w:noProof/>
          <w:color w:val="000000"/>
          <w:lang w:val="fr-FR"/>
        </w:rPr>
        <w:t xml:space="preserve"> Les actions retenues ont également soutenu, de façon indirecte, l’élaboration de nouvelles politiques en ce qu’elles ont facilité l’échange d’idées et</w:t>
      </w:r>
      <w:r>
        <w:rPr>
          <w:rStyle w:val="Corpsdutexte"/>
          <w:rFonts w:ascii="Times New Roman" w:hAnsi="Times New Roman"/>
          <w:noProof/>
          <w:color w:val="000000"/>
          <w:lang w:val="fr-FR"/>
        </w:rPr>
        <w:t xml:space="preserve"> la discussion sur les obstacles à la justice et à la coopération au sein de l’Union européenne entre les ministères de la justice, les membres du pouvoir judiciaire et les professionnels du droit de l’Union. Sur les 334 subventions, 16 ont recensé et form</w:t>
      </w:r>
      <w:r>
        <w:rPr>
          <w:rStyle w:val="Corpsdutexte"/>
          <w:rFonts w:ascii="Times New Roman" w:hAnsi="Times New Roman"/>
          <w:noProof/>
          <w:color w:val="000000"/>
          <w:lang w:val="fr-FR"/>
        </w:rPr>
        <w:t>ulé des recommandations politiques</w:t>
      </w:r>
      <w:r>
        <w:rPr>
          <w:rStyle w:val="FootnoteReference"/>
          <w:rFonts w:ascii="Times New Roman" w:hAnsi="Times New Roman"/>
          <w:noProof/>
          <w:color w:val="000000"/>
          <w:sz w:val="22"/>
          <w:lang w:val="fr-FR"/>
        </w:rPr>
        <w:footnoteReference w:id="18"/>
      </w:r>
      <w:r>
        <w:rPr>
          <w:noProof/>
          <w:lang w:val="fr-FR"/>
        </w:rPr>
        <w:t>.</w:t>
      </w:r>
      <w:r>
        <w:rPr>
          <w:rStyle w:val="Corpsdutexte"/>
          <w:rFonts w:ascii="Times New Roman" w:hAnsi="Times New Roman"/>
          <w:noProof/>
          <w:color w:val="000000"/>
          <w:lang w:val="fr-FR"/>
        </w:rPr>
        <w:t xml:space="preserve"> </w:t>
      </w:r>
    </w:p>
    <w:p w:rsidR="00FC79B3" w:rsidRDefault="002A6CE7">
      <w:pPr>
        <w:pStyle w:val="BodyText"/>
        <w:ind w:left="0"/>
        <w:jc w:val="both"/>
        <w:rPr>
          <w:rStyle w:val="Corpsdutexte"/>
          <w:rFonts w:ascii="Times New Roman" w:eastAsia="Times New Roman" w:hAnsi="Times New Roman"/>
          <w:noProof/>
          <w:color w:val="000000"/>
          <w:lang w:val="fr-FR"/>
        </w:rPr>
      </w:pPr>
      <w:r>
        <w:rPr>
          <w:rFonts w:ascii="Times New Roman" w:hAnsi="Times New Roman"/>
          <w:noProof/>
          <w:color w:val="000000"/>
          <w:sz w:val="22"/>
          <w:lang w:val="fr-FR"/>
        </w:rPr>
        <w:t xml:space="preserve">Dès lors que les domaines prioritaires des appels à propositions ont inclus une description de la teneur escomptée des projets, ils sont devenus plus spécifiques et les demandeurs de subventions ont pu mieux s'assurer </w:t>
      </w:r>
      <w:r>
        <w:rPr>
          <w:rFonts w:ascii="Times New Roman" w:hAnsi="Times New Roman"/>
          <w:noProof/>
          <w:color w:val="000000"/>
          <w:sz w:val="22"/>
          <w:lang w:val="fr-FR"/>
        </w:rPr>
        <w:t>de la pertinence de leurs projets au regard des objectifs européens. De même, étant donné que les domaines prioritaires s’inspiraient fortement des objectifs du programme et des objectifs de politique de l’Union, les actions sélectionnées pouvaient sans di</w:t>
      </w:r>
      <w:r>
        <w:rPr>
          <w:rFonts w:ascii="Times New Roman" w:hAnsi="Times New Roman"/>
          <w:noProof/>
          <w:color w:val="000000"/>
          <w:sz w:val="22"/>
          <w:lang w:val="fr-FR"/>
        </w:rPr>
        <w:t>fficulté cibler également ces objectifs.</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La quasi-totalité des organisations à l’origine de ces résultats étaient d’importantes plates-formes ou ONG européennes jouant un rôle prépondérant dans l’observation d’aspects particuliers de la justice pénale dans</w:t>
      </w:r>
      <w:r>
        <w:rPr>
          <w:rStyle w:val="Corpsdutexte"/>
          <w:rFonts w:ascii="Times New Roman" w:hAnsi="Times New Roman"/>
          <w:noProof/>
          <w:color w:val="000000"/>
          <w:lang w:val="fr-FR"/>
        </w:rPr>
        <w:t xml:space="preserve"> l’Union européenne, à savoir l’Organisation européenne de la probation (CEP); le Conseil des barreaux européens (CCBE); l’Organisation européenne des services pénitentiaires et correctionnels (EuroPris); Fair Trials International (FTI); l’Observatoire int</w:t>
      </w:r>
      <w:r>
        <w:rPr>
          <w:rStyle w:val="Corpsdutexte"/>
          <w:rFonts w:ascii="Times New Roman" w:hAnsi="Times New Roman"/>
          <w:noProof/>
          <w:color w:val="000000"/>
          <w:lang w:val="fr-FR"/>
        </w:rPr>
        <w:t xml:space="preserve">ernational de justice juvénile (OIJJ); VSE; et le Conseil irlandais des libertés civiles. </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S’agissant de réseaux disposant d’une vision d’ensemble de l’Union européenne et de solides compétences dans les domaines concernés, les organismes précités sont bie</w:t>
      </w:r>
      <w:r>
        <w:rPr>
          <w:rStyle w:val="Corpsdutexte"/>
          <w:rFonts w:ascii="Times New Roman" w:hAnsi="Times New Roman"/>
          <w:noProof/>
          <w:color w:val="000000"/>
          <w:lang w:val="fr-FR"/>
        </w:rPr>
        <w:t xml:space="preserve">n placés pour émettre des recommandations politiques. </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Les services acquis à l’aide de fonds du programme JPEN ont également contribué aux objectifs du programme et à ceux, plus larges, de l’Union européenne. La majorité a en effet servi au développement d</w:t>
      </w:r>
      <w:r>
        <w:rPr>
          <w:rStyle w:val="Corpsdutexte"/>
          <w:rFonts w:ascii="Times New Roman" w:hAnsi="Times New Roman"/>
          <w:noProof/>
          <w:color w:val="000000"/>
          <w:lang w:val="fr-FR"/>
        </w:rPr>
        <w:t>u portail e-Justice et de ses modules ou à la réalisation d’analyses d’impact et d’autres études destinées à alimenter les travaux législatifs et politiques sur le déploiement d’un espace européen commun de justice pénale</w:t>
      </w:r>
      <w:r>
        <w:rPr>
          <w:rStyle w:val="FootnoteReference"/>
          <w:rFonts w:ascii="Times New Roman" w:hAnsi="Times New Roman"/>
          <w:noProof/>
          <w:color w:val="000000"/>
          <w:sz w:val="22"/>
          <w:lang w:val="fr-FR"/>
        </w:rPr>
        <w:footnoteReference w:id="19"/>
      </w:r>
      <w:r>
        <w:rPr>
          <w:noProof/>
          <w:lang w:val="fr-FR"/>
        </w:rPr>
        <w:t>.</w:t>
      </w:r>
    </w:p>
    <w:p w:rsidR="00FC79B3" w:rsidRDefault="002A6CE7">
      <w:pPr>
        <w:pStyle w:val="Heading3"/>
        <w:rPr>
          <w:noProof/>
          <w:color w:val="auto"/>
          <w:lang w:val="fr-FR"/>
        </w:rPr>
      </w:pPr>
      <w:r>
        <w:rPr>
          <w:noProof/>
          <w:color w:val="auto"/>
          <w:lang w:val="fr-FR"/>
        </w:rPr>
        <w:t>Pertinence du programme pour les</w:t>
      </w:r>
      <w:r>
        <w:rPr>
          <w:noProof/>
          <w:color w:val="auto"/>
          <w:lang w:val="fr-FR"/>
        </w:rPr>
        <w:t xml:space="preserve"> besoins des groupes cibles</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Sur les 97 répondants à l’enquête en ligne, 70 ont indiqué qu’ils avaient procédé à des analyses des besoins pour soutenir la conception et la mise en place de leurs projets. Un examen approfondi de la documentation accompagnant</w:t>
      </w:r>
      <w:r>
        <w:rPr>
          <w:rStyle w:val="Corpsdutexte"/>
          <w:rFonts w:ascii="Times New Roman" w:hAnsi="Times New Roman"/>
          <w:noProof/>
          <w:color w:val="000000"/>
          <w:lang w:val="fr-FR"/>
        </w:rPr>
        <w:t xml:space="preserve"> seize formulaires de candidature a toutefois révélé que six projets seulement avaient été élaborés à la lumière d’une analyse des besoins.  Il est vrai qu’il n’existait aucune obligation particulière d’exécuter une analyse des besoins et de présenter les </w:t>
      </w:r>
      <w:r>
        <w:rPr>
          <w:rStyle w:val="Corpsdutexte"/>
          <w:rFonts w:ascii="Times New Roman" w:hAnsi="Times New Roman"/>
          <w:noProof/>
          <w:color w:val="000000"/>
          <w:lang w:val="fr-FR"/>
        </w:rPr>
        <w:t>éléments justificatifs recueillis dans ce cadre, mais si les demandeurs de subventions l’avaient fait, ils auraient obtenu une indication beaucoup plus claire sur la pertinence de leurs projets, rehaussé la qualité de leurs études et posé un repère pour év</w:t>
      </w:r>
      <w:r>
        <w:rPr>
          <w:rStyle w:val="Corpsdutexte"/>
          <w:rFonts w:ascii="Times New Roman" w:hAnsi="Times New Roman"/>
          <w:noProof/>
          <w:color w:val="000000"/>
          <w:lang w:val="fr-FR"/>
        </w:rPr>
        <w:t>aluer la réussite de leurs projets à un stade ultérieur. Les projets qui ne reposent pas sur une analyse des besoins peuvent malgré tout être pertinents pour les besoins des groupes cibles, mais en l’absence d’une telle analyse, le risque ne peut être excl</w:t>
      </w:r>
      <w:r>
        <w:rPr>
          <w:rStyle w:val="Corpsdutexte"/>
          <w:rFonts w:ascii="Times New Roman" w:hAnsi="Times New Roman"/>
          <w:noProof/>
          <w:color w:val="000000"/>
          <w:lang w:val="fr-FR"/>
        </w:rPr>
        <w:t>u que des méthodes ou des moyens plus pertinents auraient pu être imaginés pour aider les groupes cibles</w:t>
      </w:r>
      <w:r>
        <w:rPr>
          <w:rStyle w:val="FootnoteReference"/>
          <w:rFonts w:ascii="Times New Roman" w:hAnsi="Times New Roman"/>
          <w:noProof/>
          <w:color w:val="000000"/>
          <w:sz w:val="22"/>
          <w:lang w:val="fr-FR"/>
        </w:rPr>
        <w:footnoteReference w:id="20"/>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Sur les 97 répondants à l’enquête en ligne, 69 (81,2 %) ont déclaré qu’ils avaient reçu des réactions positives de leurs groupes cibles sur la pertin</w:t>
      </w:r>
      <w:r>
        <w:rPr>
          <w:rStyle w:val="Corpsdutexte"/>
          <w:rFonts w:ascii="Times New Roman" w:hAnsi="Times New Roman"/>
          <w:noProof/>
          <w:color w:val="000000"/>
          <w:lang w:val="fr-FR"/>
        </w:rPr>
        <w:t>ence de leurs projets. Le niveau élevé (81 %) de réactions positives parmi les groupes cibles s’explique peut-être, entre autres, par le fait que les acteurs ou types d’acteurs qui ont réalisé les projets étaient les mêmes que les acteurs qui en ont bénéfi</w:t>
      </w:r>
      <w:r>
        <w:rPr>
          <w:rStyle w:val="Corpsdutexte"/>
          <w:rFonts w:ascii="Times New Roman" w:hAnsi="Times New Roman"/>
          <w:noProof/>
          <w:color w:val="000000"/>
          <w:lang w:val="fr-FR"/>
        </w:rPr>
        <w:t>cié. Plus spécialement, il peut être supposé que des membres du pouvoir judiciaire, des professionnels du droit, etc. se sont portés candidats pour former leurs propres collègues, en complément à leurs homologues d’autres États membres, ou pour organiser d</w:t>
      </w:r>
      <w:r>
        <w:rPr>
          <w:rStyle w:val="Corpsdutexte"/>
          <w:rFonts w:ascii="Times New Roman" w:hAnsi="Times New Roman"/>
          <w:noProof/>
          <w:color w:val="000000"/>
          <w:lang w:val="fr-FR"/>
        </w:rPr>
        <w:t xml:space="preserve">es réunions avec la participation de collègues et d’experts d’autres États membres. Dans le même esprit, les autorités nationales ont sollicité des subventions pour se doter de systèmes de casiers judiciaires compatibles avec ECRIS ou d’autres instruments </w:t>
      </w:r>
      <w:r>
        <w:rPr>
          <w:rStyle w:val="Corpsdutexte"/>
          <w:rFonts w:ascii="Times New Roman" w:hAnsi="Times New Roman"/>
          <w:noProof/>
          <w:color w:val="000000"/>
          <w:lang w:val="fr-FR"/>
        </w:rPr>
        <w:t>d’e-justice afin d’harmoniser leurs systèmes judiciaires avec ceux d’autres États membres</w:t>
      </w:r>
      <w:r>
        <w:rPr>
          <w:rStyle w:val="FootnoteReference"/>
          <w:rFonts w:ascii="Times New Roman" w:hAnsi="Times New Roman"/>
          <w:noProof/>
          <w:color w:val="000000"/>
          <w:sz w:val="22"/>
          <w:lang w:val="fr-FR"/>
        </w:rPr>
        <w:footnoteReference w:id="21"/>
      </w:r>
      <w:r>
        <w:rPr>
          <w:noProof/>
          <w:lang w:val="fr-FR"/>
        </w:rPr>
        <w:t>.</w:t>
      </w:r>
    </w:p>
    <w:p w:rsidR="00FC79B3" w:rsidRDefault="002A6CE7">
      <w:pPr>
        <w:pStyle w:val="Heading2"/>
        <w:rPr>
          <w:rStyle w:val="En-tte4"/>
          <w:noProof/>
          <w:color w:val="auto"/>
          <w:sz w:val="26"/>
          <w:szCs w:val="26"/>
          <w:lang w:val="fr-FR"/>
        </w:rPr>
      </w:pPr>
      <w:bookmarkStart w:id="22" w:name="_Toc471909131"/>
      <w:bookmarkStart w:id="23" w:name="bookmark33"/>
      <w:r>
        <w:rPr>
          <w:rStyle w:val="En-tte4"/>
          <w:noProof/>
          <w:color w:val="auto"/>
          <w:sz w:val="26"/>
          <w:lang w:val="fr-FR"/>
        </w:rPr>
        <w:t>COHÉRENCE ET COMPLÉMENTARITÉ</w:t>
      </w:r>
      <w:bookmarkEnd w:id="22"/>
    </w:p>
    <w:p w:rsidR="00FC79B3" w:rsidRDefault="002A6CE7">
      <w:pPr>
        <w:pStyle w:val="Heading3"/>
        <w:rPr>
          <w:rStyle w:val="Corpsdutexte"/>
          <w:rFonts w:ascii="Times New Roman" w:eastAsia="Times New Roman" w:hAnsi="Times New Roman"/>
          <w:noProof/>
          <w:color w:val="000000"/>
          <w:lang w:val="fr-FR"/>
        </w:rPr>
      </w:pPr>
      <w:bookmarkStart w:id="24" w:name="_Ref411266715"/>
      <w:bookmarkStart w:id="25" w:name="_Toc411349866"/>
      <w:bookmarkStart w:id="26" w:name="_Toc423973688"/>
      <w:r>
        <w:rPr>
          <w:rStyle w:val="Corpsdutexte"/>
          <w:rFonts w:ascii="Times New Roman" w:hAnsi="Times New Roman"/>
          <w:noProof/>
          <w:color w:val="000000"/>
          <w:lang w:val="fr-FR"/>
        </w:rPr>
        <w:t>Complémentarité avec les autres programmes de l’Union européenne</w:t>
      </w:r>
      <w:bookmarkEnd w:id="24"/>
      <w:bookmarkEnd w:id="25"/>
      <w:bookmarkEnd w:id="26"/>
    </w:p>
    <w:p w:rsidR="00FC79B3" w:rsidRDefault="002A6CE7">
      <w:pPr>
        <w:pStyle w:val="BodyText"/>
        <w:spacing w:before="0"/>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L’article 12 de la décision 2007/126/JAI du Conseil établissant le </w:t>
      </w:r>
      <w:r>
        <w:rPr>
          <w:rStyle w:val="Corpsdutexte"/>
          <w:rFonts w:ascii="Times New Roman" w:hAnsi="Times New Roman"/>
          <w:noProof/>
          <w:color w:val="000000"/>
          <w:lang w:val="fr-FR"/>
        </w:rPr>
        <w:t>programme JPEN décrit le potentiel de complémentarité et de synergies avec d’autres instruments financiers de l’Union, notamment les programmes spécifiques «Justice civile» (JCIV), «Prévenir et combattre la criminalité» (ISEC) et «Prévention, préparation e</w:t>
      </w:r>
      <w:r>
        <w:rPr>
          <w:rStyle w:val="Corpsdutexte"/>
          <w:rFonts w:ascii="Times New Roman" w:hAnsi="Times New Roman"/>
          <w:noProof/>
          <w:color w:val="000000"/>
          <w:lang w:val="fr-FR"/>
        </w:rPr>
        <w:t>t gestion des conséquences en matière de terrorisme et autres risques liés à la sécurité» (CIPS), le programme général «Solidarité et gestion des flux migratoires» (également appelé «Fonds SOLID») et le programme statistique communautaire.</w:t>
      </w:r>
    </w:p>
    <w:p w:rsidR="00FC79B3" w:rsidRDefault="002A6CE7">
      <w:pPr>
        <w:pStyle w:val="BodyText"/>
        <w:spacing w:before="0"/>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D’autres instrum</w:t>
      </w:r>
      <w:r>
        <w:rPr>
          <w:rStyle w:val="Corpsdutexte"/>
          <w:rFonts w:ascii="Times New Roman" w:hAnsi="Times New Roman"/>
          <w:noProof/>
          <w:color w:val="000000"/>
          <w:lang w:val="fr-FR"/>
        </w:rPr>
        <w:t>ents de l’Union à même d’apporter une complémentarité ou un chevauchement avec le programme JPEN sont en particulier le programme Daphné III, le programme «Droits fondamentaux et citoyenneté» (FRC), le programme «Éducation et formation tout au long de la v</w:t>
      </w:r>
      <w:r>
        <w:rPr>
          <w:rStyle w:val="Corpsdutexte"/>
          <w:rFonts w:ascii="Times New Roman" w:hAnsi="Times New Roman"/>
          <w:noProof/>
          <w:color w:val="000000"/>
          <w:lang w:val="fr-FR"/>
        </w:rPr>
        <w:t>ie» (EFTLV), le septième programme-cadre de recherche et de développement (7</w:t>
      </w:r>
      <w:r>
        <w:rPr>
          <w:rStyle w:val="Corpsdutexte"/>
          <w:rFonts w:ascii="Times New Roman" w:hAnsi="Times New Roman"/>
          <w:noProof/>
          <w:color w:val="000000"/>
          <w:vertAlign w:val="superscript"/>
          <w:lang w:val="fr-FR"/>
        </w:rPr>
        <w:t>e</w:t>
      </w:r>
      <w:r>
        <w:rPr>
          <w:rStyle w:val="Corpsdutexte"/>
          <w:rFonts w:ascii="Times New Roman" w:hAnsi="Times New Roman"/>
          <w:noProof/>
          <w:color w:val="000000"/>
          <w:lang w:val="fr-FR"/>
        </w:rPr>
        <w:t> PC) et Horizon 2020, le nouveau programme de l’Union pour la recherche et l’innovation.</w:t>
      </w:r>
    </w:p>
    <w:p w:rsidR="00FC79B3" w:rsidRDefault="002A6CE7">
      <w:pPr>
        <w:pStyle w:val="BodyText"/>
        <w:spacing w:before="0"/>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 programme JPEN traitait d’objectifs et de sujets similaires aux programmes précités, ma</w:t>
      </w:r>
      <w:r>
        <w:rPr>
          <w:rStyle w:val="Corpsdutexte"/>
          <w:rFonts w:ascii="Times New Roman" w:hAnsi="Times New Roman"/>
          <w:noProof/>
          <w:color w:val="000000"/>
          <w:lang w:val="fr-FR"/>
        </w:rPr>
        <w:t xml:space="preserve">is comme ses objectifs étaient spécifiques, il a finalement été facile de prévenir les doubles emplois avec les autres programmes de la DG Justice, qui se distinguaient du programme JPEN par les aspects suivants: </w:t>
      </w:r>
    </w:p>
    <w:p w:rsidR="00FC79B3" w:rsidRDefault="002A6CE7">
      <w:pPr>
        <w:pStyle w:val="BodyText"/>
        <w:numPr>
          <w:ilvl w:val="0"/>
          <w:numId w:val="28"/>
        </w:numPr>
        <w:spacing w:before="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domaine du droit couvert:</w:t>
      </w:r>
      <w:r>
        <w:rPr>
          <w:noProof/>
          <w:sz w:val="22"/>
          <w:lang w:val="fr-FR"/>
        </w:rPr>
        <w:t xml:space="preserve"> </w:t>
      </w:r>
      <w:r>
        <w:rPr>
          <w:rStyle w:val="Corpsdutexte"/>
          <w:rFonts w:ascii="Times New Roman" w:hAnsi="Times New Roman"/>
          <w:noProof/>
          <w:color w:val="000000"/>
          <w:lang w:val="fr-FR"/>
        </w:rPr>
        <w:t>le programme JPE</w:t>
      </w:r>
      <w:r>
        <w:rPr>
          <w:rStyle w:val="Corpsdutexte"/>
          <w:rFonts w:ascii="Times New Roman" w:hAnsi="Times New Roman"/>
          <w:noProof/>
          <w:color w:val="000000"/>
          <w:lang w:val="fr-FR"/>
        </w:rPr>
        <w:t xml:space="preserve">N couvrait le droit pénal, JCIV le droit civil et FRC les droits fondamentaux; </w:t>
      </w:r>
    </w:p>
    <w:p w:rsidR="00FC79B3" w:rsidRDefault="002A6CE7">
      <w:pPr>
        <w:pStyle w:val="BodyText"/>
        <w:numPr>
          <w:ilvl w:val="0"/>
          <w:numId w:val="28"/>
        </w:numPr>
        <w:spacing w:before="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focalisation:</w:t>
      </w:r>
      <w:r>
        <w:rPr>
          <w:noProof/>
          <w:sz w:val="22"/>
          <w:lang w:val="fr-FR"/>
        </w:rPr>
        <w:t xml:space="preserve"> </w:t>
      </w:r>
      <w:r>
        <w:rPr>
          <w:rStyle w:val="Corpsdutexte"/>
          <w:rFonts w:ascii="Times New Roman" w:hAnsi="Times New Roman"/>
          <w:noProof/>
          <w:color w:val="000000"/>
          <w:lang w:val="fr-FR"/>
        </w:rPr>
        <w:t>les victimes occupent toujours le cœur de l’attention, mais les programmes «Prévenir la consommation de drogue et informer le public» (DPIP) et Daphné III s’intér</w:t>
      </w:r>
      <w:r>
        <w:rPr>
          <w:rStyle w:val="Corpsdutexte"/>
          <w:rFonts w:ascii="Times New Roman" w:hAnsi="Times New Roman"/>
          <w:noProof/>
          <w:color w:val="000000"/>
          <w:lang w:val="fr-FR"/>
        </w:rPr>
        <w:t>essaient à des catégories particulières de victimes et s’attelaient à la prévention d’un préjudice et à l’aide après la survenue d’un préjudice. Les programmes DPIP et Daphné III mettaient en outre davantage l’accent sur le traitement et la prévention, tan</w:t>
      </w:r>
      <w:r>
        <w:rPr>
          <w:rStyle w:val="Corpsdutexte"/>
          <w:rFonts w:ascii="Times New Roman" w:hAnsi="Times New Roman"/>
          <w:noProof/>
          <w:color w:val="000000"/>
          <w:lang w:val="fr-FR"/>
        </w:rPr>
        <w:t xml:space="preserve">dis que le programme JPEN axait son travail sur le parcours des victimes dans les rouages de la justice pénale; </w:t>
      </w:r>
    </w:p>
    <w:p w:rsidR="00FC79B3" w:rsidRDefault="002A6CE7">
      <w:pPr>
        <w:pStyle w:val="BodyText"/>
        <w:numPr>
          <w:ilvl w:val="0"/>
          <w:numId w:val="28"/>
        </w:numPr>
        <w:spacing w:before="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groupes cibles ou résultats:</w:t>
      </w:r>
      <w:r>
        <w:rPr>
          <w:noProof/>
          <w:sz w:val="22"/>
          <w:lang w:val="fr-FR"/>
        </w:rPr>
        <w:t xml:space="preserve"> </w:t>
      </w:r>
      <w:r>
        <w:rPr>
          <w:rStyle w:val="Corpsdutexte"/>
          <w:rFonts w:ascii="Times New Roman" w:hAnsi="Times New Roman"/>
          <w:noProof/>
          <w:color w:val="000000"/>
          <w:lang w:val="fr-FR"/>
        </w:rPr>
        <w:t xml:space="preserve">comme dans le cas des programmes ISEC, Daphné III et DPIP. </w:t>
      </w:r>
    </w:p>
    <w:p w:rsidR="00FC79B3" w:rsidRDefault="002A6CE7">
      <w:pPr>
        <w:pStyle w:val="BodyText"/>
        <w:spacing w:before="0"/>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Du reste, les programmes de la DG Réseaux de communica</w:t>
      </w:r>
      <w:r>
        <w:rPr>
          <w:rStyle w:val="Corpsdutexte"/>
          <w:rFonts w:ascii="Times New Roman" w:hAnsi="Times New Roman"/>
          <w:noProof/>
          <w:color w:val="000000"/>
          <w:lang w:val="fr-FR"/>
        </w:rPr>
        <w:t>tion, contenu et technologies et le 7</w:t>
      </w:r>
      <w:r>
        <w:rPr>
          <w:rStyle w:val="Corpsdutexte"/>
          <w:rFonts w:ascii="Times New Roman" w:hAnsi="Times New Roman"/>
          <w:noProof/>
          <w:color w:val="000000"/>
          <w:vertAlign w:val="superscript"/>
          <w:lang w:val="fr-FR"/>
        </w:rPr>
        <w:t>e</w:t>
      </w:r>
      <w:r>
        <w:rPr>
          <w:rStyle w:val="Corpsdutexte"/>
          <w:rFonts w:ascii="Times New Roman" w:hAnsi="Times New Roman"/>
          <w:noProof/>
          <w:color w:val="000000"/>
          <w:lang w:val="fr-FR"/>
        </w:rPr>
        <w:t> PC poursuivent des objectifs s’inscrivant dans la même logique que le programme JPEN, sans nécessairement les répéter</w:t>
      </w:r>
      <w:r>
        <w:rPr>
          <w:rStyle w:val="FootnoteReference"/>
          <w:rFonts w:ascii="Times New Roman" w:hAnsi="Times New Roman"/>
          <w:noProof/>
          <w:color w:val="000000"/>
          <w:sz w:val="22"/>
          <w:lang w:val="fr-FR"/>
        </w:rPr>
        <w:footnoteReference w:id="22"/>
      </w:r>
      <w:r>
        <w:rPr>
          <w:noProof/>
          <w:lang w:val="fr-FR"/>
        </w:rPr>
        <w:t>.</w:t>
      </w:r>
    </w:p>
    <w:p w:rsidR="00FC79B3" w:rsidRDefault="002A6CE7">
      <w:pPr>
        <w:pStyle w:val="BodyText"/>
        <w:spacing w:before="0"/>
        <w:ind w:left="0"/>
        <w:jc w:val="both"/>
        <w:rPr>
          <w:rFonts w:ascii="Times New Roman" w:hAnsi="Times New Roman"/>
          <w:noProof/>
          <w:sz w:val="22"/>
          <w:szCs w:val="22"/>
          <w:lang w:val="fr-FR"/>
        </w:rPr>
      </w:pPr>
      <w:r>
        <w:rPr>
          <w:rFonts w:ascii="Times New Roman" w:hAnsi="Times New Roman"/>
          <w:noProof/>
          <w:sz w:val="22"/>
          <w:lang w:val="fr-FR"/>
        </w:rPr>
        <w:t>Le programme PROGRESS et le Fonds social européen (FSE) ont également financé des formations pour</w:t>
      </w:r>
      <w:r>
        <w:rPr>
          <w:rFonts w:ascii="Times New Roman" w:hAnsi="Times New Roman"/>
          <w:noProof/>
          <w:sz w:val="22"/>
          <w:lang w:val="fr-FR"/>
        </w:rPr>
        <w:t xml:space="preserve"> les acteurs du monde judiciaire, mais à chaque fois dans un registre complémentaire au programme JPEN: PROGRESS a financé des formations sur l’égalité entre hommes et femmes et sur la lutte contre la discrimination (ce qu’aucun autre programme en matière </w:t>
      </w:r>
      <w:r>
        <w:rPr>
          <w:rFonts w:ascii="Times New Roman" w:hAnsi="Times New Roman"/>
          <w:noProof/>
          <w:sz w:val="22"/>
          <w:lang w:val="fr-FR"/>
        </w:rPr>
        <w:t xml:space="preserve">de justice ne fait) et le FSE a principalement financé des formations nationales. </w:t>
      </w:r>
    </w:p>
    <w:p w:rsidR="00FC79B3" w:rsidRDefault="002A6CE7">
      <w:pPr>
        <w:pStyle w:val="BodyText"/>
        <w:spacing w:before="0"/>
        <w:ind w:left="0"/>
        <w:jc w:val="both"/>
        <w:rPr>
          <w:rFonts w:ascii="Times New Roman" w:hAnsi="Times New Roman"/>
          <w:noProof/>
          <w:sz w:val="22"/>
          <w:szCs w:val="22"/>
          <w:lang w:val="fr-FR"/>
        </w:rPr>
      </w:pPr>
      <w:r>
        <w:rPr>
          <w:rFonts w:ascii="Times New Roman" w:hAnsi="Times New Roman"/>
          <w:noProof/>
          <w:sz w:val="22"/>
          <w:lang w:val="fr-FR"/>
        </w:rPr>
        <w:t>Les formations financées par le programme JPEN ont quant à elles apporté une valeur ajoutée en ce qu’elles ont systématiquement été transnationales (les participants bénéfic</w:t>
      </w:r>
      <w:r>
        <w:rPr>
          <w:rFonts w:ascii="Times New Roman" w:hAnsi="Times New Roman"/>
          <w:noProof/>
          <w:sz w:val="22"/>
          <w:lang w:val="fr-FR"/>
        </w:rPr>
        <w:t>iant d’un apprentissage sur les autres États membres et d’une coopération transnationale renforcée).</w:t>
      </w:r>
    </w:p>
    <w:p w:rsidR="00FC79B3" w:rsidRDefault="002A6CE7">
      <w:pPr>
        <w:pStyle w:val="BodyText"/>
        <w:spacing w:before="0"/>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Le </w:t>
      </w:r>
      <w:r>
        <w:rPr>
          <w:rStyle w:val="Corpsdutexte"/>
          <w:rFonts w:ascii="Times New Roman" w:eastAsia="Times New Roman" w:hAnsi="Times New Roman"/>
          <w:noProof/>
          <w:color w:val="000000"/>
          <w:lang w:val="fr-FR"/>
        </w:rPr>
        <w:fldChar w:fldCharType="begin"/>
      </w:r>
      <w:r>
        <w:rPr>
          <w:rStyle w:val="Corpsdutexte"/>
          <w:rFonts w:ascii="Times New Roman" w:eastAsia="Times New Roman" w:hAnsi="Times New Roman"/>
          <w:noProof/>
          <w:color w:val="000000"/>
          <w:lang w:val="fr-FR"/>
        </w:rPr>
        <w:instrText xml:space="preserve"> REF _Ref456711295 \h  \* MERGEFORMAT </w:instrText>
      </w:r>
      <w:r>
        <w:rPr>
          <w:rStyle w:val="Corpsdutexte"/>
          <w:rFonts w:ascii="Times New Roman" w:eastAsia="Times New Roman" w:hAnsi="Times New Roman"/>
          <w:noProof/>
          <w:color w:val="000000"/>
          <w:lang w:val="fr-FR"/>
        </w:rPr>
      </w:r>
      <w:r>
        <w:rPr>
          <w:rStyle w:val="Corpsdutexte"/>
          <w:rFonts w:ascii="Times New Roman" w:eastAsia="Times New Roman" w:hAnsi="Times New Roman"/>
          <w:noProof/>
          <w:color w:val="000000"/>
          <w:lang w:val="fr-FR"/>
        </w:rPr>
        <w:fldChar w:fldCharType="separate"/>
      </w:r>
      <w:r w:rsidRPr="002A6CE7">
        <w:rPr>
          <w:rFonts w:ascii="Times New Roman" w:hAnsi="Times New Roman"/>
          <w:noProof/>
          <w:sz w:val="22"/>
          <w:szCs w:val="22"/>
          <w:lang w:val="fr-FR"/>
        </w:rPr>
        <w:t>Tableau 2</w:t>
      </w:r>
      <w:r w:rsidRPr="002A6CE7">
        <w:rPr>
          <w:rFonts w:ascii="Times New Roman" w:hAnsi="Times New Roman"/>
          <w:noProof/>
          <w:sz w:val="22"/>
          <w:szCs w:val="22"/>
          <w:lang w:val="fr-FR"/>
        </w:rPr>
        <w:noBreakHyphen/>
        <w:t>1</w:t>
      </w:r>
      <w:r>
        <w:rPr>
          <w:rStyle w:val="Corpsdutexte"/>
          <w:rFonts w:ascii="Times New Roman" w:eastAsia="Times New Roman" w:hAnsi="Times New Roman"/>
          <w:noProof/>
          <w:color w:val="000000"/>
          <w:lang w:val="fr-FR"/>
        </w:rPr>
        <w:fldChar w:fldCharType="end"/>
      </w:r>
      <w:r>
        <w:rPr>
          <w:rStyle w:val="Corpsdutexte"/>
          <w:rFonts w:ascii="Times New Roman" w:hAnsi="Times New Roman"/>
          <w:noProof/>
          <w:color w:val="000000"/>
          <w:lang w:val="fr-FR"/>
        </w:rPr>
        <w:t xml:space="preserve"> ci-après illustre le potentiel de cohérence et de complémentarité entre les objectifs et les domaines thématiques du programme JPEN et une sélection d’instruments de financement de l’Union.</w:t>
      </w:r>
    </w:p>
    <w:p w:rsidR="00FC79B3" w:rsidRDefault="002A6CE7">
      <w:pPr>
        <w:pStyle w:val="Caption"/>
        <w:keepNext/>
        <w:keepLines/>
        <w:rPr>
          <w:noProof/>
          <w:lang w:val="fr-FR"/>
        </w:rPr>
      </w:pPr>
      <w:bookmarkStart w:id="27" w:name="_Ref456711295"/>
      <w:bookmarkStart w:id="28" w:name="_Ref402852464"/>
      <w:r>
        <w:rPr>
          <w:noProof/>
          <w:lang w:val="fr-FR"/>
        </w:rPr>
        <w:t>Tableau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Table \* ARABIC \s 1 </w:instrText>
      </w:r>
      <w:r>
        <w:rPr>
          <w:noProof/>
          <w:lang w:val="fr-FR"/>
        </w:rPr>
        <w:fldChar w:fldCharType="separate"/>
      </w:r>
      <w:r>
        <w:rPr>
          <w:noProof/>
          <w:lang w:val="fr-FR"/>
        </w:rPr>
        <w:t>1</w:t>
      </w:r>
      <w:r>
        <w:rPr>
          <w:noProof/>
          <w:lang w:val="fr-FR"/>
        </w:rPr>
        <w:fldChar w:fldCharType="end"/>
      </w:r>
      <w:bookmarkEnd w:id="27"/>
      <w:r>
        <w:rPr>
          <w:noProof/>
          <w:lang w:val="fr-FR"/>
        </w:rPr>
        <w:t xml:space="preserve"> Potentiel de complémentarité et de chevauchement dans les objectifs du programme JPEN et d’autres programmes de l’Union</w:t>
      </w:r>
      <w:bookmarkEnd w:id="28"/>
    </w:p>
    <w:tbl>
      <w:tblPr>
        <w:tblW w:w="9640"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440"/>
        <w:gridCol w:w="2040"/>
        <w:gridCol w:w="1200"/>
        <w:gridCol w:w="1200"/>
        <w:gridCol w:w="1560"/>
        <w:gridCol w:w="934"/>
      </w:tblGrid>
      <w:tr w:rsidR="00FC79B3">
        <w:trPr>
          <w:trHeight w:val="714"/>
        </w:trPr>
        <w:tc>
          <w:tcPr>
            <w:tcW w:w="1266" w:type="dxa"/>
            <w:shd w:val="clear" w:color="auto" w:fill="D8EEC0"/>
            <w:vAlign w:val="center"/>
          </w:tcPr>
          <w:p w:rsidR="00FC79B3" w:rsidRDefault="002A6CE7">
            <w:pPr>
              <w:pStyle w:val="BodyText"/>
              <w:keepNext/>
              <w:keepLines/>
              <w:spacing w:before="0" w:after="0" w:line="240" w:lineRule="auto"/>
              <w:ind w:left="0"/>
              <w:jc w:val="center"/>
              <w:rPr>
                <w:rFonts w:ascii="Arial Narrow" w:hAnsi="Arial Narrow"/>
                <w:b/>
                <w:noProof/>
                <w:lang w:val="fr-FR"/>
              </w:rPr>
            </w:pPr>
            <w:r>
              <w:rPr>
                <w:rFonts w:ascii="Arial Narrow" w:hAnsi="Arial Narrow"/>
                <w:b/>
                <w:noProof/>
                <w:lang w:val="fr-FR"/>
              </w:rPr>
              <w:t>Coopération judiciaire</w:t>
            </w:r>
          </w:p>
        </w:tc>
        <w:tc>
          <w:tcPr>
            <w:tcW w:w="1440" w:type="dxa"/>
            <w:shd w:val="clear" w:color="auto" w:fill="D8EEC0"/>
            <w:vAlign w:val="center"/>
          </w:tcPr>
          <w:p w:rsidR="00FC79B3" w:rsidRDefault="002A6CE7">
            <w:pPr>
              <w:pStyle w:val="BodyText"/>
              <w:keepNext/>
              <w:keepLines/>
              <w:spacing w:before="0" w:after="0" w:line="240" w:lineRule="auto"/>
              <w:ind w:left="0"/>
              <w:jc w:val="center"/>
              <w:rPr>
                <w:rFonts w:ascii="Arial Narrow" w:hAnsi="Arial Narrow"/>
                <w:b/>
                <w:noProof/>
                <w:lang w:val="fr-FR"/>
              </w:rPr>
            </w:pPr>
            <w:r>
              <w:rPr>
                <w:rFonts w:ascii="Arial Narrow" w:hAnsi="Arial Narrow"/>
                <w:b/>
                <w:noProof/>
                <w:lang w:val="fr-FR"/>
              </w:rPr>
              <w:t>Promotion de la compatibilité entre les législations</w:t>
            </w:r>
          </w:p>
        </w:tc>
        <w:tc>
          <w:tcPr>
            <w:tcW w:w="2040" w:type="dxa"/>
            <w:shd w:val="clear" w:color="auto" w:fill="D8EEC0"/>
            <w:vAlign w:val="center"/>
          </w:tcPr>
          <w:p w:rsidR="00FC79B3" w:rsidRDefault="002A6CE7">
            <w:pPr>
              <w:pStyle w:val="BodyText"/>
              <w:keepNext/>
              <w:keepLines/>
              <w:spacing w:before="0" w:after="0" w:line="240" w:lineRule="auto"/>
              <w:ind w:left="0"/>
              <w:jc w:val="center"/>
              <w:rPr>
                <w:rFonts w:ascii="Arial Narrow" w:hAnsi="Arial Narrow"/>
                <w:b/>
                <w:noProof/>
                <w:lang w:val="fr-FR"/>
              </w:rPr>
            </w:pPr>
            <w:r>
              <w:rPr>
                <w:rFonts w:ascii="Arial Narrow" w:hAnsi="Arial Narrow"/>
                <w:b/>
                <w:noProof/>
                <w:lang w:val="fr-FR"/>
              </w:rPr>
              <w:t>É</w:t>
            </w:r>
            <w:r>
              <w:rPr>
                <w:rFonts w:ascii="Arial Narrow" w:hAnsi="Arial Narrow"/>
                <w:b/>
                <w:noProof/>
                <w:lang w:val="fr-FR"/>
              </w:rPr>
              <w:t>change d’informations et de bonnes pratiques (dans le domaine de la justice pénale)</w:t>
            </w:r>
          </w:p>
        </w:tc>
        <w:tc>
          <w:tcPr>
            <w:tcW w:w="1200" w:type="dxa"/>
            <w:shd w:val="clear" w:color="auto" w:fill="D8EEC0"/>
            <w:vAlign w:val="center"/>
          </w:tcPr>
          <w:p w:rsidR="00FC79B3" w:rsidRDefault="002A6CE7">
            <w:pPr>
              <w:pStyle w:val="BodyText"/>
              <w:keepNext/>
              <w:keepLines/>
              <w:spacing w:before="0" w:after="0" w:line="240" w:lineRule="auto"/>
              <w:ind w:left="0"/>
              <w:jc w:val="center"/>
              <w:rPr>
                <w:rFonts w:ascii="Arial Narrow" w:hAnsi="Arial Narrow"/>
                <w:b/>
                <w:noProof/>
                <w:lang w:val="fr-FR"/>
              </w:rPr>
            </w:pPr>
            <w:r>
              <w:rPr>
                <w:rFonts w:ascii="Arial Narrow" w:hAnsi="Arial Narrow"/>
                <w:b/>
                <w:noProof/>
                <w:lang w:val="fr-FR"/>
              </w:rPr>
              <w:t>Actions dans le domaine de l’e-justice</w:t>
            </w:r>
          </w:p>
        </w:tc>
        <w:tc>
          <w:tcPr>
            <w:tcW w:w="1200" w:type="dxa"/>
            <w:shd w:val="clear" w:color="auto" w:fill="D8EEC0"/>
            <w:vAlign w:val="center"/>
          </w:tcPr>
          <w:p w:rsidR="00FC79B3" w:rsidRDefault="002A6CE7">
            <w:pPr>
              <w:pStyle w:val="BodyText"/>
              <w:keepNext/>
              <w:keepLines/>
              <w:spacing w:before="0" w:after="0" w:line="240" w:lineRule="auto"/>
              <w:ind w:left="0"/>
              <w:jc w:val="center"/>
              <w:rPr>
                <w:rFonts w:ascii="Arial Narrow" w:hAnsi="Arial Narrow"/>
                <w:b/>
                <w:noProof/>
                <w:lang w:val="fr-FR"/>
              </w:rPr>
            </w:pPr>
            <w:r>
              <w:rPr>
                <w:rFonts w:ascii="Arial Narrow" w:hAnsi="Arial Narrow"/>
                <w:b/>
                <w:noProof/>
                <w:lang w:val="fr-FR"/>
              </w:rPr>
              <w:t>Formation d’acteurs du pouvoir judiciaire</w:t>
            </w:r>
          </w:p>
        </w:tc>
        <w:tc>
          <w:tcPr>
            <w:tcW w:w="1560" w:type="dxa"/>
            <w:shd w:val="clear" w:color="auto" w:fill="D8EEC0"/>
            <w:vAlign w:val="center"/>
          </w:tcPr>
          <w:p w:rsidR="00FC79B3" w:rsidRDefault="002A6CE7">
            <w:pPr>
              <w:pStyle w:val="BodyText"/>
              <w:keepNext/>
              <w:keepLines/>
              <w:spacing w:before="0" w:after="0" w:line="240" w:lineRule="auto"/>
              <w:ind w:left="0"/>
              <w:jc w:val="center"/>
              <w:rPr>
                <w:rFonts w:ascii="Arial Narrow" w:hAnsi="Arial Narrow"/>
                <w:b/>
                <w:noProof/>
                <w:lang w:val="fr-FR"/>
              </w:rPr>
            </w:pPr>
            <w:r>
              <w:rPr>
                <w:rFonts w:ascii="Arial Narrow" w:hAnsi="Arial Narrow"/>
                <w:b/>
                <w:noProof/>
                <w:lang w:val="fr-FR"/>
              </w:rPr>
              <w:t>Protection des droits des victimes et des défendeurs</w:t>
            </w:r>
          </w:p>
        </w:tc>
        <w:tc>
          <w:tcPr>
            <w:tcW w:w="934" w:type="dxa"/>
            <w:shd w:val="clear" w:color="auto" w:fill="D8EEC0"/>
            <w:vAlign w:val="center"/>
          </w:tcPr>
          <w:p w:rsidR="00FC79B3" w:rsidRDefault="002A6CE7">
            <w:pPr>
              <w:pStyle w:val="BodyText"/>
              <w:keepNext/>
              <w:keepLines/>
              <w:spacing w:before="0" w:after="0" w:line="240" w:lineRule="auto"/>
              <w:ind w:left="0"/>
              <w:jc w:val="center"/>
              <w:rPr>
                <w:rFonts w:ascii="Arial Narrow" w:hAnsi="Arial Narrow"/>
                <w:b/>
                <w:noProof/>
                <w:lang w:val="fr-FR"/>
              </w:rPr>
            </w:pPr>
            <w:r>
              <w:rPr>
                <w:rFonts w:ascii="Arial Narrow" w:hAnsi="Arial Narrow"/>
                <w:b/>
                <w:noProof/>
                <w:lang w:val="fr-FR"/>
              </w:rPr>
              <w:t>Justice pénale</w:t>
            </w:r>
          </w:p>
        </w:tc>
      </w:tr>
      <w:tr w:rsidR="00FC79B3">
        <w:trPr>
          <w:trHeight w:val="321"/>
        </w:trPr>
        <w:tc>
          <w:tcPr>
            <w:tcW w:w="1266" w:type="dxa"/>
            <w:tcBorders>
              <w:bottom w:val="single" w:sz="4" w:space="0" w:color="auto"/>
            </w:tcBorders>
            <w:shd w:val="clear" w:color="auto" w:fill="8DB3E2"/>
            <w:vAlign w:val="center"/>
          </w:tcPr>
          <w:p w:rsidR="00FC79B3" w:rsidRDefault="002A6CE7">
            <w:pPr>
              <w:pStyle w:val="TableText"/>
              <w:keepNext/>
              <w:keepLines/>
              <w:spacing w:after="0" w:line="240" w:lineRule="auto"/>
              <w:jc w:val="center"/>
              <w:rPr>
                <w:b/>
                <w:noProof/>
                <w:lang w:val="fr-FR"/>
              </w:rPr>
            </w:pPr>
            <w:r>
              <w:rPr>
                <w:b/>
                <w:noProof/>
                <w:lang w:val="fr-FR"/>
              </w:rPr>
              <w:t>JPEN</w:t>
            </w:r>
          </w:p>
        </w:tc>
        <w:tc>
          <w:tcPr>
            <w:tcW w:w="1440" w:type="dxa"/>
            <w:tcBorders>
              <w:bottom w:val="single" w:sz="4" w:space="0" w:color="auto"/>
            </w:tcBorders>
            <w:shd w:val="clear" w:color="auto" w:fill="8DB3E2"/>
            <w:vAlign w:val="center"/>
          </w:tcPr>
          <w:p w:rsidR="00FC79B3" w:rsidRDefault="002A6CE7">
            <w:pPr>
              <w:pStyle w:val="TableText"/>
              <w:keepNext/>
              <w:keepLines/>
              <w:spacing w:after="0" w:line="240" w:lineRule="auto"/>
              <w:jc w:val="center"/>
              <w:rPr>
                <w:rFonts w:ascii="Arial Narrow" w:hAnsi="Arial Narrow"/>
                <w:b/>
                <w:noProof/>
                <w:lang w:val="fr-FR"/>
              </w:rPr>
            </w:pPr>
            <w:r>
              <w:rPr>
                <w:b/>
                <w:noProof/>
                <w:lang w:val="fr-FR"/>
              </w:rPr>
              <w:t>JPEN</w:t>
            </w:r>
          </w:p>
        </w:tc>
        <w:tc>
          <w:tcPr>
            <w:tcW w:w="2040" w:type="dxa"/>
            <w:tcBorders>
              <w:bottom w:val="single" w:sz="4" w:space="0" w:color="auto"/>
            </w:tcBorders>
            <w:shd w:val="clear" w:color="auto" w:fill="8DB3E2"/>
            <w:vAlign w:val="center"/>
          </w:tcPr>
          <w:p w:rsidR="00FC79B3" w:rsidRDefault="002A6CE7">
            <w:pPr>
              <w:pStyle w:val="TableText"/>
              <w:keepNext/>
              <w:keepLines/>
              <w:spacing w:after="0" w:line="240" w:lineRule="auto"/>
              <w:jc w:val="center"/>
              <w:rPr>
                <w:rFonts w:ascii="Arial Narrow" w:hAnsi="Arial Narrow"/>
                <w:b/>
                <w:noProof/>
                <w:szCs w:val="18"/>
                <w:lang w:val="fr-FR"/>
              </w:rPr>
            </w:pPr>
            <w:r>
              <w:rPr>
                <w:b/>
                <w:noProof/>
                <w:lang w:val="fr-FR"/>
              </w:rPr>
              <w:t>JPEN</w:t>
            </w:r>
          </w:p>
        </w:tc>
        <w:tc>
          <w:tcPr>
            <w:tcW w:w="1200" w:type="dxa"/>
            <w:tcBorders>
              <w:bottom w:val="single" w:sz="4" w:space="0" w:color="auto"/>
            </w:tcBorders>
            <w:shd w:val="clear" w:color="auto" w:fill="8DB3E2"/>
            <w:vAlign w:val="center"/>
          </w:tcPr>
          <w:p w:rsidR="00FC79B3" w:rsidRDefault="002A6CE7">
            <w:pPr>
              <w:pStyle w:val="TableText"/>
              <w:keepNext/>
              <w:keepLines/>
              <w:spacing w:after="0" w:line="240" w:lineRule="auto"/>
              <w:jc w:val="center"/>
              <w:rPr>
                <w:b/>
                <w:noProof/>
                <w:lang w:val="fr-FR"/>
              </w:rPr>
            </w:pPr>
            <w:r>
              <w:rPr>
                <w:b/>
                <w:noProof/>
                <w:lang w:val="fr-FR"/>
              </w:rPr>
              <w:t>JPEN</w:t>
            </w:r>
          </w:p>
        </w:tc>
        <w:tc>
          <w:tcPr>
            <w:tcW w:w="1200" w:type="dxa"/>
            <w:tcBorders>
              <w:bottom w:val="single" w:sz="4" w:space="0" w:color="auto"/>
            </w:tcBorders>
            <w:shd w:val="clear" w:color="auto" w:fill="8DB3E2"/>
            <w:vAlign w:val="center"/>
          </w:tcPr>
          <w:p w:rsidR="00FC79B3" w:rsidRDefault="002A6CE7">
            <w:pPr>
              <w:pStyle w:val="TableText"/>
              <w:keepNext/>
              <w:keepLines/>
              <w:spacing w:after="0" w:line="240" w:lineRule="auto"/>
              <w:jc w:val="center"/>
              <w:rPr>
                <w:rFonts w:ascii="Arial Narrow" w:hAnsi="Arial Narrow"/>
                <w:b/>
                <w:noProof/>
                <w:lang w:val="fr-FR"/>
              </w:rPr>
            </w:pPr>
            <w:r>
              <w:rPr>
                <w:b/>
                <w:noProof/>
                <w:lang w:val="fr-FR"/>
              </w:rPr>
              <w:t>JPEN</w:t>
            </w:r>
          </w:p>
        </w:tc>
        <w:tc>
          <w:tcPr>
            <w:tcW w:w="1560" w:type="dxa"/>
            <w:tcBorders>
              <w:bottom w:val="single" w:sz="4" w:space="0" w:color="auto"/>
            </w:tcBorders>
            <w:shd w:val="clear" w:color="auto" w:fill="8DB3E2"/>
            <w:vAlign w:val="center"/>
          </w:tcPr>
          <w:p w:rsidR="00FC79B3" w:rsidRDefault="002A6CE7">
            <w:pPr>
              <w:pStyle w:val="TableText"/>
              <w:keepNext/>
              <w:keepLines/>
              <w:spacing w:after="0" w:line="240" w:lineRule="auto"/>
              <w:jc w:val="center"/>
              <w:rPr>
                <w:rFonts w:ascii="Arial Narrow" w:hAnsi="Arial Narrow"/>
                <w:b/>
                <w:noProof/>
                <w:szCs w:val="18"/>
                <w:lang w:val="fr-FR"/>
              </w:rPr>
            </w:pPr>
            <w:r>
              <w:rPr>
                <w:b/>
                <w:noProof/>
                <w:lang w:val="fr-FR"/>
              </w:rPr>
              <w:t>JPEN</w:t>
            </w:r>
          </w:p>
        </w:tc>
        <w:tc>
          <w:tcPr>
            <w:tcW w:w="934" w:type="dxa"/>
            <w:tcBorders>
              <w:bottom w:val="single" w:sz="4" w:space="0" w:color="auto"/>
            </w:tcBorders>
            <w:shd w:val="clear" w:color="auto" w:fill="8DB3E2"/>
            <w:vAlign w:val="center"/>
          </w:tcPr>
          <w:p w:rsidR="00FC79B3" w:rsidRDefault="002A6CE7">
            <w:pPr>
              <w:pStyle w:val="TableText"/>
              <w:keepNext/>
              <w:keepLines/>
              <w:spacing w:after="0" w:line="240" w:lineRule="auto"/>
              <w:jc w:val="center"/>
              <w:rPr>
                <w:b/>
                <w:noProof/>
                <w:lang w:val="fr-FR"/>
              </w:rPr>
            </w:pPr>
            <w:r>
              <w:rPr>
                <w:b/>
                <w:noProof/>
                <w:lang w:val="fr-FR"/>
              </w:rPr>
              <w:t>JPEN</w:t>
            </w:r>
          </w:p>
        </w:tc>
      </w:tr>
      <w:tr w:rsidR="00FC79B3">
        <w:trPr>
          <w:trHeight w:val="183"/>
        </w:trPr>
        <w:tc>
          <w:tcPr>
            <w:tcW w:w="1266" w:type="dxa"/>
            <w:tcBorders>
              <w:bottom w:val="single" w:sz="4" w:space="0" w:color="auto"/>
            </w:tcBorders>
            <w:shd w:val="clear" w:color="auto" w:fill="FFC000"/>
            <w:vAlign w:val="center"/>
          </w:tcPr>
          <w:p w:rsidR="00FC79B3" w:rsidRDefault="002A6CE7">
            <w:pPr>
              <w:pStyle w:val="TableText"/>
              <w:keepNext/>
              <w:keepLines/>
              <w:spacing w:after="0" w:line="240" w:lineRule="auto"/>
              <w:jc w:val="center"/>
              <w:rPr>
                <w:b/>
                <w:noProof/>
                <w:lang w:val="fr-FR"/>
              </w:rPr>
            </w:pPr>
            <w:r>
              <w:rPr>
                <w:b/>
                <w:noProof/>
                <w:lang w:val="fr-FR"/>
              </w:rPr>
              <w:t>JCIV</w:t>
            </w:r>
          </w:p>
        </w:tc>
        <w:tc>
          <w:tcPr>
            <w:tcW w:w="1440" w:type="dxa"/>
            <w:tcBorders>
              <w:bottom w:val="single" w:sz="4" w:space="0" w:color="auto"/>
            </w:tcBorders>
            <w:shd w:val="clear" w:color="auto" w:fill="FFC000"/>
            <w:vAlign w:val="center"/>
          </w:tcPr>
          <w:p w:rsidR="00FC79B3" w:rsidRDefault="002A6CE7">
            <w:pPr>
              <w:pStyle w:val="TableText"/>
              <w:keepNext/>
              <w:keepLines/>
              <w:spacing w:after="0" w:line="240" w:lineRule="auto"/>
              <w:jc w:val="center"/>
              <w:rPr>
                <w:b/>
                <w:noProof/>
                <w:lang w:val="fr-FR"/>
              </w:rPr>
            </w:pPr>
            <w:r>
              <w:rPr>
                <w:b/>
                <w:noProof/>
                <w:lang w:val="fr-FR"/>
              </w:rPr>
              <w:t>JCIV</w:t>
            </w:r>
          </w:p>
        </w:tc>
        <w:tc>
          <w:tcPr>
            <w:tcW w:w="2040" w:type="dxa"/>
            <w:tcBorders>
              <w:bottom w:val="single" w:sz="4" w:space="0" w:color="auto"/>
            </w:tcBorders>
            <w:shd w:val="thinDiagStripe" w:color="auto" w:fill="FFFFFF"/>
            <w:vAlign w:val="center"/>
          </w:tcPr>
          <w:p w:rsidR="00FC79B3" w:rsidRDefault="00FC79B3">
            <w:pPr>
              <w:pStyle w:val="BodyText"/>
              <w:keepNext/>
              <w:keepLines/>
              <w:spacing w:before="0" w:after="0" w:line="240" w:lineRule="auto"/>
              <w:ind w:left="0"/>
              <w:jc w:val="center"/>
              <w:rPr>
                <w:rFonts w:ascii="Arial Narrow" w:hAnsi="Arial Narrow"/>
                <w:b/>
                <w:noProof/>
                <w:lang w:val="fr-FR"/>
              </w:rPr>
            </w:pPr>
          </w:p>
        </w:tc>
        <w:tc>
          <w:tcPr>
            <w:tcW w:w="1200" w:type="dxa"/>
            <w:tcBorders>
              <w:bottom w:val="single" w:sz="4" w:space="0" w:color="auto"/>
            </w:tcBorders>
            <w:shd w:val="clear" w:color="auto" w:fill="FFC000"/>
            <w:vAlign w:val="center"/>
          </w:tcPr>
          <w:p w:rsidR="00FC79B3" w:rsidRDefault="002A6CE7">
            <w:pPr>
              <w:pStyle w:val="TableText"/>
              <w:keepNext/>
              <w:keepLines/>
              <w:spacing w:after="0" w:line="240" w:lineRule="auto"/>
              <w:jc w:val="center"/>
              <w:rPr>
                <w:b/>
                <w:noProof/>
                <w:lang w:val="fr-FR"/>
              </w:rPr>
            </w:pPr>
            <w:r>
              <w:rPr>
                <w:b/>
                <w:noProof/>
                <w:lang w:val="fr-FR"/>
              </w:rPr>
              <w:t>JCIV</w:t>
            </w:r>
          </w:p>
        </w:tc>
        <w:tc>
          <w:tcPr>
            <w:tcW w:w="1200" w:type="dxa"/>
            <w:tcBorders>
              <w:bottom w:val="single" w:sz="4" w:space="0" w:color="auto"/>
            </w:tcBorders>
            <w:shd w:val="clear" w:color="auto" w:fill="FFC000"/>
            <w:vAlign w:val="center"/>
          </w:tcPr>
          <w:p w:rsidR="00FC79B3" w:rsidRDefault="002A6CE7">
            <w:pPr>
              <w:pStyle w:val="TableText"/>
              <w:keepNext/>
              <w:keepLines/>
              <w:spacing w:after="0" w:line="240" w:lineRule="auto"/>
              <w:jc w:val="center"/>
              <w:rPr>
                <w:rFonts w:ascii="Arial Narrow" w:hAnsi="Arial Narrow"/>
                <w:b/>
                <w:noProof/>
                <w:lang w:val="fr-FR"/>
              </w:rPr>
            </w:pPr>
            <w:r>
              <w:rPr>
                <w:b/>
                <w:noProof/>
                <w:lang w:val="fr-FR"/>
              </w:rPr>
              <w:t>JCIV</w:t>
            </w:r>
          </w:p>
        </w:tc>
        <w:tc>
          <w:tcPr>
            <w:tcW w:w="1560" w:type="dxa"/>
            <w:tcBorders>
              <w:bottom w:val="single" w:sz="4" w:space="0" w:color="auto"/>
            </w:tcBorders>
            <w:shd w:val="thinDiagStripe" w:color="auto" w:fill="FFFFFF"/>
          </w:tcPr>
          <w:p w:rsidR="00FC79B3" w:rsidRDefault="00FC79B3">
            <w:pPr>
              <w:pStyle w:val="BodyText"/>
              <w:keepNext/>
              <w:keepLines/>
              <w:spacing w:before="0" w:after="0" w:line="240" w:lineRule="auto"/>
              <w:ind w:left="0"/>
              <w:jc w:val="center"/>
              <w:rPr>
                <w:rFonts w:ascii="Arial Narrow" w:hAnsi="Arial Narrow"/>
                <w:b/>
                <w:noProof/>
                <w:lang w:val="fr-FR"/>
              </w:rPr>
            </w:pPr>
          </w:p>
        </w:tc>
        <w:tc>
          <w:tcPr>
            <w:tcW w:w="934" w:type="dxa"/>
            <w:tcBorders>
              <w:bottom w:val="single" w:sz="4" w:space="0" w:color="auto"/>
            </w:tcBorders>
            <w:shd w:val="thinDiagStripe" w:color="auto" w:fill="FFFFFF"/>
          </w:tcPr>
          <w:p w:rsidR="00FC79B3" w:rsidRDefault="00FC79B3">
            <w:pPr>
              <w:pStyle w:val="BodyText"/>
              <w:keepNext/>
              <w:keepLines/>
              <w:spacing w:before="0" w:after="0" w:line="240" w:lineRule="auto"/>
              <w:ind w:left="0"/>
              <w:jc w:val="center"/>
              <w:rPr>
                <w:rFonts w:ascii="Arial Narrow" w:hAnsi="Arial Narrow"/>
                <w:b/>
                <w:noProof/>
                <w:lang w:val="fr-FR"/>
              </w:rPr>
            </w:pPr>
          </w:p>
        </w:tc>
      </w:tr>
      <w:tr w:rsidR="00FC79B3">
        <w:trPr>
          <w:trHeight w:val="183"/>
        </w:trPr>
        <w:tc>
          <w:tcPr>
            <w:tcW w:w="1266" w:type="dxa"/>
            <w:tcBorders>
              <w:bottom w:val="single" w:sz="4" w:space="0" w:color="auto"/>
            </w:tcBorders>
            <w:shd w:val="clear" w:color="auto" w:fill="948A54"/>
            <w:vAlign w:val="center"/>
          </w:tcPr>
          <w:p w:rsidR="00FC79B3" w:rsidRDefault="002A6CE7">
            <w:pPr>
              <w:pStyle w:val="TableText"/>
              <w:keepNext/>
              <w:keepLines/>
              <w:spacing w:after="0" w:line="240" w:lineRule="auto"/>
              <w:jc w:val="center"/>
              <w:rPr>
                <w:b/>
                <w:noProof/>
                <w:lang w:val="fr-FR"/>
              </w:rPr>
            </w:pPr>
            <w:r>
              <w:rPr>
                <w:b/>
                <w:noProof/>
                <w:lang w:val="fr-FR"/>
              </w:rPr>
              <w:t>FRC</w:t>
            </w:r>
          </w:p>
        </w:tc>
        <w:tc>
          <w:tcPr>
            <w:tcW w:w="1440" w:type="dxa"/>
            <w:tcBorders>
              <w:bottom w:val="single" w:sz="4" w:space="0" w:color="auto"/>
            </w:tcBorders>
            <w:shd w:val="thinDiagStripe" w:color="auto" w:fill="FFFFFF"/>
            <w:vAlign w:val="center"/>
          </w:tcPr>
          <w:p w:rsidR="00FC79B3" w:rsidRDefault="00FC79B3">
            <w:pPr>
              <w:pStyle w:val="TableText"/>
              <w:keepNext/>
              <w:keepLines/>
              <w:spacing w:after="0" w:line="240" w:lineRule="auto"/>
              <w:jc w:val="center"/>
              <w:rPr>
                <w:b/>
                <w:noProof/>
                <w:lang w:val="fr-FR"/>
              </w:rPr>
            </w:pPr>
          </w:p>
        </w:tc>
        <w:tc>
          <w:tcPr>
            <w:tcW w:w="2040" w:type="dxa"/>
            <w:tcBorders>
              <w:bottom w:val="single" w:sz="4" w:space="0" w:color="auto"/>
            </w:tcBorders>
            <w:shd w:val="thinDiagStripe" w:color="auto" w:fill="FFFFFF"/>
            <w:vAlign w:val="center"/>
          </w:tcPr>
          <w:p w:rsidR="00FC79B3" w:rsidRDefault="00FC79B3">
            <w:pPr>
              <w:pStyle w:val="BodyText"/>
              <w:keepNext/>
              <w:keepLines/>
              <w:spacing w:before="0" w:after="0" w:line="240" w:lineRule="auto"/>
              <w:ind w:left="0"/>
              <w:jc w:val="center"/>
              <w:rPr>
                <w:rFonts w:ascii="Arial Narrow" w:hAnsi="Arial Narrow"/>
                <w:b/>
                <w:noProof/>
                <w:lang w:val="fr-FR"/>
              </w:rPr>
            </w:pPr>
          </w:p>
        </w:tc>
        <w:tc>
          <w:tcPr>
            <w:tcW w:w="1200" w:type="dxa"/>
            <w:tcBorders>
              <w:bottom w:val="single" w:sz="4" w:space="0" w:color="auto"/>
            </w:tcBorders>
            <w:shd w:val="thinDiagStripe" w:color="auto" w:fill="FFFFFF"/>
            <w:vAlign w:val="center"/>
          </w:tcPr>
          <w:p w:rsidR="00FC79B3" w:rsidRDefault="00FC79B3">
            <w:pPr>
              <w:pStyle w:val="BodyText"/>
              <w:keepNext/>
              <w:keepLines/>
              <w:spacing w:before="0" w:after="0" w:line="240" w:lineRule="auto"/>
              <w:ind w:left="0"/>
              <w:jc w:val="center"/>
              <w:rPr>
                <w:rFonts w:ascii="Arial Narrow" w:hAnsi="Arial Narrow"/>
                <w:b/>
                <w:noProof/>
                <w:lang w:val="fr-FR"/>
              </w:rPr>
            </w:pPr>
          </w:p>
        </w:tc>
        <w:tc>
          <w:tcPr>
            <w:tcW w:w="1200" w:type="dxa"/>
            <w:tcBorders>
              <w:bottom w:val="single" w:sz="4" w:space="0" w:color="auto"/>
            </w:tcBorders>
            <w:shd w:val="clear" w:color="auto" w:fill="948A54"/>
            <w:vAlign w:val="center"/>
          </w:tcPr>
          <w:p w:rsidR="00FC79B3" w:rsidRDefault="002A6CE7">
            <w:pPr>
              <w:pStyle w:val="BodyText"/>
              <w:keepNext/>
              <w:keepLines/>
              <w:spacing w:before="0" w:after="0" w:line="240" w:lineRule="auto"/>
              <w:ind w:left="0"/>
              <w:jc w:val="center"/>
              <w:rPr>
                <w:rFonts w:ascii="Arial Narrow" w:hAnsi="Arial Narrow"/>
                <w:b/>
                <w:noProof/>
                <w:lang w:val="fr-FR"/>
              </w:rPr>
            </w:pPr>
            <w:r>
              <w:rPr>
                <w:rFonts w:ascii="Arial Narrow" w:hAnsi="Arial Narrow"/>
                <w:b/>
                <w:noProof/>
                <w:lang w:val="fr-FR"/>
              </w:rPr>
              <w:t>FRC</w:t>
            </w:r>
          </w:p>
        </w:tc>
        <w:tc>
          <w:tcPr>
            <w:tcW w:w="1560" w:type="dxa"/>
            <w:tcBorders>
              <w:bottom w:val="single" w:sz="4" w:space="0" w:color="auto"/>
            </w:tcBorders>
            <w:shd w:val="thinDiagStripe" w:color="auto" w:fill="FFFFFF"/>
          </w:tcPr>
          <w:p w:rsidR="00FC79B3" w:rsidRDefault="00FC79B3">
            <w:pPr>
              <w:pStyle w:val="BodyText"/>
              <w:keepNext/>
              <w:keepLines/>
              <w:spacing w:before="0" w:after="0" w:line="240" w:lineRule="auto"/>
              <w:ind w:left="0"/>
              <w:jc w:val="center"/>
              <w:rPr>
                <w:rFonts w:ascii="Arial Narrow" w:hAnsi="Arial Narrow"/>
                <w:b/>
                <w:noProof/>
                <w:lang w:val="fr-FR"/>
              </w:rPr>
            </w:pPr>
          </w:p>
        </w:tc>
        <w:tc>
          <w:tcPr>
            <w:tcW w:w="934" w:type="dxa"/>
            <w:tcBorders>
              <w:bottom w:val="single" w:sz="4" w:space="0" w:color="auto"/>
            </w:tcBorders>
            <w:shd w:val="thinDiagStripe" w:color="auto" w:fill="FFFFFF"/>
          </w:tcPr>
          <w:p w:rsidR="00FC79B3" w:rsidRDefault="00FC79B3">
            <w:pPr>
              <w:pStyle w:val="BodyText"/>
              <w:keepNext/>
              <w:keepLines/>
              <w:spacing w:before="0" w:after="0" w:line="240" w:lineRule="auto"/>
              <w:ind w:left="0"/>
              <w:jc w:val="center"/>
              <w:rPr>
                <w:rFonts w:ascii="Arial Narrow" w:hAnsi="Arial Narrow"/>
                <w:b/>
                <w:noProof/>
                <w:lang w:val="fr-FR"/>
              </w:rPr>
            </w:pPr>
          </w:p>
        </w:tc>
      </w:tr>
      <w:tr w:rsidR="00FC79B3">
        <w:trPr>
          <w:trHeight w:val="183"/>
        </w:trPr>
        <w:tc>
          <w:tcPr>
            <w:tcW w:w="1266" w:type="dxa"/>
            <w:tcBorders>
              <w:bottom w:val="single" w:sz="4" w:space="0" w:color="auto"/>
            </w:tcBorders>
            <w:shd w:val="thinDiagStripe" w:color="auto" w:fill="auto"/>
            <w:vAlign w:val="center"/>
          </w:tcPr>
          <w:p w:rsidR="00FC79B3" w:rsidRDefault="00FC79B3">
            <w:pPr>
              <w:pStyle w:val="TableText"/>
              <w:keepNext/>
              <w:keepLines/>
              <w:spacing w:after="0" w:line="240" w:lineRule="auto"/>
              <w:jc w:val="center"/>
              <w:rPr>
                <w:noProof/>
                <w:lang w:val="fr-FR"/>
              </w:rPr>
            </w:pPr>
          </w:p>
        </w:tc>
        <w:tc>
          <w:tcPr>
            <w:tcW w:w="1440" w:type="dxa"/>
            <w:tcBorders>
              <w:bottom w:val="single" w:sz="4" w:space="0" w:color="auto"/>
            </w:tcBorders>
            <w:shd w:val="thinDiagStripe" w:color="auto" w:fill="auto"/>
            <w:vAlign w:val="center"/>
          </w:tcPr>
          <w:p w:rsidR="00FC79B3" w:rsidRDefault="00FC79B3">
            <w:pPr>
              <w:pStyle w:val="TableText"/>
              <w:keepNext/>
              <w:keepLines/>
              <w:spacing w:after="0" w:line="240" w:lineRule="auto"/>
              <w:jc w:val="center"/>
              <w:rPr>
                <w:noProof/>
                <w:lang w:val="fr-FR"/>
              </w:rPr>
            </w:pPr>
          </w:p>
        </w:tc>
        <w:tc>
          <w:tcPr>
            <w:tcW w:w="2040" w:type="dxa"/>
            <w:tcBorders>
              <w:bottom w:val="single" w:sz="4" w:space="0" w:color="auto"/>
            </w:tcBorders>
            <w:shd w:val="clear" w:color="auto" w:fill="92D050"/>
            <w:vAlign w:val="center"/>
          </w:tcPr>
          <w:p w:rsidR="00FC79B3" w:rsidRDefault="002A6CE7">
            <w:pPr>
              <w:pStyle w:val="BodyText"/>
              <w:keepNext/>
              <w:keepLines/>
              <w:spacing w:before="0" w:after="0" w:line="240" w:lineRule="auto"/>
              <w:ind w:left="0"/>
              <w:jc w:val="center"/>
              <w:rPr>
                <w:rFonts w:ascii="Arial Narrow" w:hAnsi="Arial Narrow"/>
                <w:b/>
                <w:noProof/>
                <w:lang w:val="fr-FR"/>
              </w:rPr>
            </w:pPr>
            <w:r>
              <w:rPr>
                <w:rFonts w:ascii="Arial Narrow" w:hAnsi="Arial Narrow"/>
                <w:b/>
                <w:noProof/>
                <w:lang w:val="fr-FR"/>
              </w:rPr>
              <w:t>ISEC</w:t>
            </w:r>
          </w:p>
        </w:tc>
        <w:tc>
          <w:tcPr>
            <w:tcW w:w="1200" w:type="dxa"/>
            <w:tcBorders>
              <w:bottom w:val="single" w:sz="4" w:space="0" w:color="auto"/>
            </w:tcBorders>
            <w:shd w:val="thinDiagStripe" w:color="auto" w:fill="auto"/>
            <w:vAlign w:val="center"/>
          </w:tcPr>
          <w:p w:rsidR="00FC79B3" w:rsidRDefault="00FC79B3">
            <w:pPr>
              <w:pStyle w:val="BodyText"/>
              <w:keepNext/>
              <w:keepLines/>
              <w:spacing w:before="0" w:after="0" w:line="240" w:lineRule="auto"/>
              <w:ind w:left="0"/>
              <w:jc w:val="center"/>
              <w:rPr>
                <w:rFonts w:ascii="Arial Narrow" w:hAnsi="Arial Narrow"/>
                <w:b/>
                <w:noProof/>
                <w:lang w:val="fr-FR"/>
              </w:rPr>
            </w:pPr>
          </w:p>
        </w:tc>
        <w:tc>
          <w:tcPr>
            <w:tcW w:w="1200" w:type="dxa"/>
            <w:tcBorders>
              <w:bottom w:val="single" w:sz="4" w:space="0" w:color="auto"/>
            </w:tcBorders>
            <w:shd w:val="thinDiagStripe" w:color="auto" w:fill="auto"/>
            <w:vAlign w:val="center"/>
          </w:tcPr>
          <w:p w:rsidR="00FC79B3" w:rsidRDefault="00FC79B3">
            <w:pPr>
              <w:pStyle w:val="BodyText"/>
              <w:keepNext/>
              <w:keepLines/>
              <w:spacing w:before="0" w:after="0" w:line="240" w:lineRule="auto"/>
              <w:ind w:left="0"/>
              <w:jc w:val="center"/>
              <w:rPr>
                <w:rFonts w:ascii="Arial Narrow" w:hAnsi="Arial Narrow"/>
                <w:b/>
                <w:noProof/>
                <w:lang w:val="fr-FR"/>
              </w:rPr>
            </w:pPr>
          </w:p>
        </w:tc>
        <w:tc>
          <w:tcPr>
            <w:tcW w:w="1560" w:type="dxa"/>
            <w:tcBorders>
              <w:bottom w:val="single" w:sz="4" w:space="0" w:color="auto"/>
            </w:tcBorders>
            <w:shd w:val="clear" w:color="auto" w:fill="92D050"/>
          </w:tcPr>
          <w:p w:rsidR="00FC79B3" w:rsidRDefault="002A6CE7">
            <w:pPr>
              <w:pStyle w:val="BodyText"/>
              <w:keepNext/>
              <w:keepLines/>
              <w:spacing w:before="0" w:after="0" w:line="240" w:lineRule="auto"/>
              <w:ind w:left="0"/>
              <w:jc w:val="center"/>
              <w:rPr>
                <w:rFonts w:ascii="Arial Narrow" w:hAnsi="Arial Narrow"/>
                <w:b/>
                <w:noProof/>
                <w:lang w:val="fr-FR"/>
              </w:rPr>
            </w:pPr>
            <w:r>
              <w:rPr>
                <w:rFonts w:ascii="Arial Narrow" w:hAnsi="Arial Narrow"/>
                <w:b/>
                <w:noProof/>
                <w:lang w:val="fr-FR"/>
              </w:rPr>
              <w:t>ISEC</w:t>
            </w:r>
          </w:p>
        </w:tc>
        <w:tc>
          <w:tcPr>
            <w:tcW w:w="934" w:type="dxa"/>
            <w:tcBorders>
              <w:bottom w:val="single" w:sz="4" w:space="0" w:color="auto"/>
            </w:tcBorders>
            <w:shd w:val="clear" w:color="auto" w:fill="92D050"/>
          </w:tcPr>
          <w:p w:rsidR="00FC79B3" w:rsidRDefault="002A6CE7">
            <w:pPr>
              <w:pStyle w:val="BodyText"/>
              <w:keepNext/>
              <w:keepLines/>
              <w:spacing w:before="0" w:after="0" w:line="240" w:lineRule="auto"/>
              <w:ind w:left="0"/>
              <w:jc w:val="center"/>
              <w:rPr>
                <w:rFonts w:ascii="Arial Narrow" w:hAnsi="Arial Narrow"/>
                <w:b/>
                <w:noProof/>
                <w:lang w:val="fr-FR"/>
              </w:rPr>
            </w:pPr>
            <w:r>
              <w:rPr>
                <w:rFonts w:ascii="Arial Narrow" w:hAnsi="Arial Narrow"/>
                <w:b/>
                <w:noProof/>
                <w:lang w:val="fr-FR"/>
              </w:rPr>
              <w:t>ISEC</w:t>
            </w:r>
          </w:p>
        </w:tc>
      </w:tr>
      <w:tr w:rsidR="00FC79B3">
        <w:trPr>
          <w:trHeight w:val="203"/>
        </w:trPr>
        <w:tc>
          <w:tcPr>
            <w:tcW w:w="1266" w:type="dxa"/>
            <w:tcBorders>
              <w:bottom w:val="single" w:sz="4" w:space="0" w:color="auto"/>
            </w:tcBorders>
            <w:shd w:val="thinDiagStripe" w:color="auto" w:fill="auto"/>
            <w:vAlign w:val="center"/>
          </w:tcPr>
          <w:p w:rsidR="00FC79B3" w:rsidRDefault="00FC79B3">
            <w:pPr>
              <w:pStyle w:val="TableText"/>
              <w:keepNext/>
              <w:keepLines/>
              <w:spacing w:after="0" w:line="240" w:lineRule="auto"/>
              <w:jc w:val="center"/>
              <w:rPr>
                <w:noProof/>
                <w:lang w:val="fr-FR"/>
              </w:rPr>
            </w:pPr>
          </w:p>
        </w:tc>
        <w:tc>
          <w:tcPr>
            <w:tcW w:w="1440" w:type="dxa"/>
            <w:tcBorders>
              <w:bottom w:val="single" w:sz="4" w:space="0" w:color="auto"/>
            </w:tcBorders>
            <w:shd w:val="thinDiagStripe" w:color="auto" w:fill="auto"/>
            <w:vAlign w:val="center"/>
          </w:tcPr>
          <w:p w:rsidR="00FC79B3" w:rsidRDefault="00FC79B3">
            <w:pPr>
              <w:pStyle w:val="TableText"/>
              <w:keepNext/>
              <w:keepLines/>
              <w:spacing w:after="0" w:line="240" w:lineRule="auto"/>
              <w:jc w:val="center"/>
              <w:rPr>
                <w:noProof/>
                <w:lang w:val="fr-FR"/>
              </w:rPr>
            </w:pPr>
          </w:p>
        </w:tc>
        <w:tc>
          <w:tcPr>
            <w:tcW w:w="2040" w:type="dxa"/>
            <w:tcBorders>
              <w:bottom w:val="single" w:sz="4" w:space="0" w:color="auto"/>
            </w:tcBorders>
            <w:shd w:val="thinDiagStripe" w:color="auto" w:fill="FFFFFF"/>
            <w:vAlign w:val="center"/>
          </w:tcPr>
          <w:p w:rsidR="00FC79B3" w:rsidRDefault="00FC79B3">
            <w:pPr>
              <w:pStyle w:val="TableText"/>
              <w:keepNext/>
              <w:keepLines/>
              <w:spacing w:after="0" w:line="240" w:lineRule="auto"/>
              <w:jc w:val="center"/>
              <w:rPr>
                <w:b/>
                <w:noProof/>
                <w:lang w:val="fr-FR"/>
              </w:rPr>
            </w:pPr>
          </w:p>
        </w:tc>
        <w:tc>
          <w:tcPr>
            <w:tcW w:w="1200" w:type="dxa"/>
            <w:tcBorders>
              <w:bottom w:val="single" w:sz="4" w:space="0" w:color="auto"/>
            </w:tcBorders>
            <w:shd w:val="thinDiagStripe" w:color="auto" w:fill="FFFFFF"/>
            <w:vAlign w:val="center"/>
          </w:tcPr>
          <w:p w:rsidR="00FC79B3" w:rsidRDefault="00FC79B3">
            <w:pPr>
              <w:pStyle w:val="TableText"/>
              <w:keepNext/>
              <w:keepLines/>
              <w:spacing w:after="0" w:line="240" w:lineRule="auto"/>
              <w:jc w:val="center"/>
              <w:rPr>
                <w:b/>
                <w:noProof/>
                <w:lang w:val="fr-FR"/>
              </w:rPr>
            </w:pPr>
          </w:p>
        </w:tc>
        <w:tc>
          <w:tcPr>
            <w:tcW w:w="1200" w:type="dxa"/>
            <w:tcBorders>
              <w:bottom w:val="single" w:sz="4" w:space="0" w:color="auto"/>
            </w:tcBorders>
            <w:shd w:val="clear" w:color="auto" w:fill="FFFF99"/>
            <w:vAlign w:val="center"/>
          </w:tcPr>
          <w:p w:rsidR="00FC79B3" w:rsidRDefault="002A6CE7">
            <w:pPr>
              <w:pStyle w:val="TableText"/>
              <w:keepNext/>
              <w:keepLines/>
              <w:spacing w:after="0" w:line="240" w:lineRule="auto"/>
              <w:jc w:val="center"/>
              <w:rPr>
                <w:b/>
                <w:noProof/>
                <w:lang w:val="fr-FR"/>
              </w:rPr>
            </w:pPr>
            <w:r>
              <w:rPr>
                <w:b/>
                <w:noProof/>
                <w:lang w:val="fr-FR"/>
              </w:rPr>
              <w:t>Daphné III</w:t>
            </w:r>
          </w:p>
        </w:tc>
        <w:tc>
          <w:tcPr>
            <w:tcW w:w="1560" w:type="dxa"/>
            <w:tcBorders>
              <w:top w:val="single" w:sz="4" w:space="0" w:color="auto"/>
              <w:bottom w:val="single" w:sz="4" w:space="0" w:color="auto"/>
            </w:tcBorders>
            <w:shd w:val="clear" w:color="auto" w:fill="FFFF99"/>
          </w:tcPr>
          <w:p w:rsidR="00FC79B3" w:rsidRDefault="002A6CE7">
            <w:pPr>
              <w:pStyle w:val="TableText"/>
              <w:keepNext/>
              <w:keepLines/>
              <w:spacing w:after="0" w:line="240" w:lineRule="auto"/>
              <w:jc w:val="center"/>
              <w:rPr>
                <w:b/>
                <w:noProof/>
                <w:lang w:val="fr-FR"/>
              </w:rPr>
            </w:pPr>
            <w:r>
              <w:rPr>
                <w:b/>
                <w:noProof/>
                <w:lang w:val="fr-FR"/>
              </w:rPr>
              <w:t>Daphné III</w:t>
            </w:r>
          </w:p>
        </w:tc>
        <w:tc>
          <w:tcPr>
            <w:tcW w:w="934" w:type="dxa"/>
            <w:tcBorders>
              <w:top w:val="single" w:sz="4" w:space="0" w:color="auto"/>
              <w:bottom w:val="single" w:sz="4" w:space="0" w:color="auto"/>
            </w:tcBorders>
            <w:shd w:val="thinDiagStripe" w:color="auto" w:fill="FFFFFF"/>
          </w:tcPr>
          <w:p w:rsidR="00FC79B3" w:rsidRDefault="00FC79B3">
            <w:pPr>
              <w:pStyle w:val="TableText"/>
              <w:keepNext/>
              <w:keepLines/>
              <w:spacing w:after="0" w:line="240" w:lineRule="auto"/>
              <w:jc w:val="center"/>
              <w:rPr>
                <w:b/>
                <w:noProof/>
                <w:lang w:val="fr-FR"/>
              </w:rPr>
            </w:pPr>
          </w:p>
        </w:tc>
      </w:tr>
      <w:tr w:rsidR="00FC79B3">
        <w:trPr>
          <w:trHeight w:val="239"/>
        </w:trPr>
        <w:tc>
          <w:tcPr>
            <w:tcW w:w="1266" w:type="dxa"/>
            <w:tcBorders>
              <w:bottom w:val="single" w:sz="4" w:space="0" w:color="auto"/>
            </w:tcBorders>
            <w:shd w:val="thinDiagStripe" w:color="auto" w:fill="FFFFFF"/>
            <w:vAlign w:val="center"/>
          </w:tcPr>
          <w:p w:rsidR="00FC79B3" w:rsidRDefault="00FC79B3">
            <w:pPr>
              <w:pStyle w:val="TableText"/>
              <w:keepNext/>
              <w:keepLines/>
              <w:spacing w:after="0" w:line="240" w:lineRule="auto"/>
              <w:jc w:val="center"/>
              <w:rPr>
                <w:noProof/>
                <w:lang w:val="fr-FR"/>
              </w:rPr>
            </w:pPr>
          </w:p>
        </w:tc>
        <w:tc>
          <w:tcPr>
            <w:tcW w:w="1440" w:type="dxa"/>
            <w:tcBorders>
              <w:top w:val="single" w:sz="4" w:space="0" w:color="auto"/>
              <w:bottom w:val="single" w:sz="4" w:space="0" w:color="auto"/>
            </w:tcBorders>
            <w:shd w:val="thinDiagStripe" w:color="auto" w:fill="FFFFFF"/>
            <w:vAlign w:val="center"/>
          </w:tcPr>
          <w:p w:rsidR="00FC79B3" w:rsidRDefault="00FC79B3">
            <w:pPr>
              <w:pStyle w:val="TableText"/>
              <w:keepNext/>
              <w:keepLines/>
              <w:spacing w:after="0" w:line="240" w:lineRule="auto"/>
              <w:jc w:val="center"/>
              <w:rPr>
                <w:rFonts w:ascii="Arial Narrow" w:hAnsi="Arial Narrow"/>
                <w:b/>
                <w:noProof/>
                <w:lang w:val="fr-FR"/>
              </w:rPr>
            </w:pPr>
          </w:p>
        </w:tc>
        <w:tc>
          <w:tcPr>
            <w:tcW w:w="2040" w:type="dxa"/>
            <w:tcBorders>
              <w:top w:val="single" w:sz="4" w:space="0" w:color="auto"/>
              <w:bottom w:val="single" w:sz="4" w:space="0" w:color="auto"/>
            </w:tcBorders>
            <w:shd w:val="thinDiagStripe" w:color="auto" w:fill="FFFFFF"/>
            <w:vAlign w:val="center"/>
          </w:tcPr>
          <w:p w:rsidR="00FC79B3" w:rsidRDefault="00FC79B3">
            <w:pPr>
              <w:pStyle w:val="TableText"/>
              <w:keepNext/>
              <w:keepLines/>
              <w:spacing w:after="0" w:line="240" w:lineRule="auto"/>
              <w:jc w:val="center"/>
              <w:rPr>
                <w:rFonts w:ascii="Arial Narrow" w:hAnsi="Arial Narrow"/>
                <w:b/>
                <w:noProof/>
                <w:lang w:val="fr-FR"/>
              </w:rPr>
            </w:pPr>
          </w:p>
        </w:tc>
        <w:tc>
          <w:tcPr>
            <w:tcW w:w="1200" w:type="dxa"/>
            <w:tcBorders>
              <w:bottom w:val="single" w:sz="4" w:space="0" w:color="auto"/>
            </w:tcBorders>
            <w:shd w:val="clear" w:color="auto" w:fill="00B0F0"/>
            <w:vAlign w:val="center"/>
          </w:tcPr>
          <w:p w:rsidR="00FC79B3" w:rsidRDefault="002A6CE7">
            <w:pPr>
              <w:pStyle w:val="TableText"/>
              <w:keepNext/>
              <w:keepLines/>
              <w:spacing w:after="0" w:line="240" w:lineRule="auto"/>
              <w:jc w:val="center"/>
              <w:rPr>
                <w:rFonts w:ascii="Arial Narrow" w:hAnsi="Arial Narrow"/>
                <w:b/>
                <w:noProof/>
                <w:lang w:val="fr-FR"/>
              </w:rPr>
            </w:pPr>
            <w:r>
              <w:rPr>
                <w:rFonts w:ascii="Arial Narrow" w:hAnsi="Arial Narrow"/>
                <w:b/>
                <w:noProof/>
                <w:lang w:val="fr-FR"/>
              </w:rPr>
              <w:t xml:space="preserve">DG Connect </w:t>
            </w:r>
          </w:p>
        </w:tc>
        <w:tc>
          <w:tcPr>
            <w:tcW w:w="1200" w:type="dxa"/>
            <w:tcBorders>
              <w:bottom w:val="single" w:sz="4" w:space="0" w:color="auto"/>
            </w:tcBorders>
            <w:shd w:val="thinDiagStripe" w:color="auto" w:fill="auto"/>
            <w:vAlign w:val="center"/>
          </w:tcPr>
          <w:p w:rsidR="00FC79B3" w:rsidRDefault="00FC79B3">
            <w:pPr>
              <w:pStyle w:val="TableText"/>
              <w:keepNext/>
              <w:keepLines/>
              <w:spacing w:after="0" w:line="240" w:lineRule="auto"/>
              <w:jc w:val="center"/>
              <w:rPr>
                <w:rFonts w:ascii="Arial Narrow" w:hAnsi="Arial Narrow"/>
                <w:b/>
                <w:noProof/>
                <w:lang w:val="fr-FR"/>
              </w:rPr>
            </w:pPr>
          </w:p>
        </w:tc>
        <w:tc>
          <w:tcPr>
            <w:tcW w:w="1560" w:type="dxa"/>
            <w:tcBorders>
              <w:top w:val="single" w:sz="4" w:space="0" w:color="auto"/>
              <w:bottom w:val="single" w:sz="4" w:space="0" w:color="auto"/>
            </w:tcBorders>
            <w:shd w:val="thinDiagStripe" w:color="auto" w:fill="auto"/>
            <w:vAlign w:val="center"/>
          </w:tcPr>
          <w:p w:rsidR="00FC79B3" w:rsidRDefault="00FC79B3">
            <w:pPr>
              <w:pStyle w:val="TableText"/>
              <w:keepNext/>
              <w:keepLines/>
              <w:spacing w:after="0" w:line="240" w:lineRule="auto"/>
              <w:jc w:val="center"/>
              <w:rPr>
                <w:rFonts w:ascii="Arial Narrow" w:hAnsi="Arial Narrow"/>
                <w:b/>
                <w:noProof/>
                <w:lang w:val="fr-FR"/>
              </w:rPr>
            </w:pPr>
          </w:p>
        </w:tc>
        <w:tc>
          <w:tcPr>
            <w:tcW w:w="934" w:type="dxa"/>
            <w:tcBorders>
              <w:top w:val="single" w:sz="4" w:space="0" w:color="auto"/>
              <w:bottom w:val="single" w:sz="4" w:space="0" w:color="auto"/>
            </w:tcBorders>
            <w:shd w:val="thinDiagStripe" w:color="auto" w:fill="auto"/>
          </w:tcPr>
          <w:p w:rsidR="00FC79B3" w:rsidRDefault="00FC79B3">
            <w:pPr>
              <w:pStyle w:val="TableText"/>
              <w:keepNext/>
              <w:keepLines/>
              <w:spacing w:after="0" w:line="240" w:lineRule="auto"/>
              <w:jc w:val="center"/>
              <w:rPr>
                <w:rFonts w:ascii="Arial Narrow" w:hAnsi="Arial Narrow"/>
                <w:b/>
                <w:noProof/>
                <w:lang w:val="fr-FR"/>
              </w:rPr>
            </w:pPr>
          </w:p>
        </w:tc>
      </w:tr>
      <w:tr w:rsidR="00FC79B3">
        <w:trPr>
          <w:trHeight w:val="143"/>
        </w:trPr>
        <w:tc>
          <w:tcPr>
            <w:tcW w:w="1266" w:type="dxa"/>
            <w:tcBorders>
              <w:top w:val="single" w:sz="4" w:space="0" w:color="auto"/>
              <w:bottom w:val="single" w:sz="4" w:space="0" w:color="auto"/>
            </w:tcBorders>
            <w:shd w:val="thinDiagStripe" w:color="auto" w:fill="auto"/>
            <w:vAlign w:val="center"/>
          </w:tcPr>
          <w:p w:rsidR="00FC79B3" w:rsidRDefault="00FC79B3">
            <w:pPr>
              <w:pStyle w:val="TableText"/>
              <w:keepNext/>
              <w:keepLines/>
              <w:spacing w:after="0" w:line="240" w:lineRule="auto"/>
              <w:jc w:val="center"/>
              <w:rPr>
                <w:rFonts w:ascii="Arial Narrow" w:hAnsi="Arial Narrow"/>
                <w:b/>
                <w:noProof/>
                <w:lang w:val="fr-FR"/>
              </w:rPr>
            </w:pPr>
          </w:p>
        </w:tc>
        <w:tc>
          <w:tcPr>
            <w:tcW w:w="1440" w:type="dxa"/>
            <w:tcBorders>
              <w:bottom w:val="single" w:sz="4" w:space="0" w:color="auto"/>
            </w:tcBorders>
            <w:shd w:val="thinDiagStripe" w:color="auto" w:fill="auto"/>
            <w:vAlign w:val="center"/>
          </w:tcPr>
          <w:p w:rsidR="00FC79B3" w:rsidRDefault="00FC79B3">
            <w:pPr>
              <w:pStyle w:val="TableText"/>
              <w:keepNext/>
              <w:keepLines/>
              <w:spacing w:after="0" w:line="240" w:lineRule="auto"/>
              <w:jc w:val="center"/>
              <w:rPr>
                <w:rFonts w:ascii="Arial Narrow" w:hAnsi="Arial Narrow"/>
                <w:b/>
                <w:noProof/>
                <w:lang w:val="fr-FR"/>
              </w:rPr>
            </w:pPr>
          </w:p>
        </w:tc>
        <w:tc>
          <w:tcPr>
            <w:tcW w:w="2040" w:type="dxa"/>
            <w:tcBorders>
              <w:top w:val="single" w:sz="4" w:space="0" w:color="auto"/>
              <w:bottom w:val="single" w:sz="4" w:space="0" w:color="auto"/>
            </w:tcBorders>
            <w:shd w:val="clear" w:color="auto" w:fill="FF6600"/>
            <w:vAlign w:val="center"/>
          </w:tcPr>
          <w:p w:rsidR="00FC79B3" w:rsidRDefault="002A6CE7">
            <w:pPr>
              <w:pStyle w:val="TableText"/>
              <w:keepNext/>
              <w:keepLines/>
              <w:spacing w:after="0" w:line="240" w:lineRule="auto"/>
              <w:jc w:val="center"/>
              <w:rPr>
                <w:rFonts w:ascii="Arial Narrow" w:hAnsi="Arial Narrow"/>
                <w:b/>
                <w:noProof/>
                <w:lang w:val="fr-FR"/>
              </w:rPr>
            </w:pPr>
            <w:r>
              <w:rPr>
                <w:rFonts w:ascii="Arial Narrow" w:hAnsi="Arial Narrow"/>
                <w:b/>
                <w:noProof/>
                <w:lang w:val="fr-FR"/>
              </w:rPr>
              <w:t>7</w:t>
            </w:r>
            <w:r>
              <w:rPr>
                <w:rFonts w:ascii="Arial Narrow" w:hAnsi="Arial Narrow"/>
                <w:b/>
                <w:noProof/>
                <w:vertAlign w:val="superscript"/>
                <w:lang w:val="fr-FR"/>
              </w:rPr>
              <w:t>e</w:t>
            </w:r>
            <w:r>
              <w:rPr>
                <w:rFonts w:ascii="Arial Narrow" w:hAnsi="Arial Narrow"/>
                <w:b/>
                <w:noProof/>
                <w:lang w:val="fr-FR"/>
              </w:rPr>
              <w:t> PC / Horizon 2020</w:t>
            </w:r>
          </w:p>
        </w:tc>
        <w:tc>
          <w:tcPr>
            <w:tcW w:w="1200" w:type="dxa"/>
            <w:tcBorders>
              <w:top w:val="single" w:sz="4" w:space="0" w:color="auto"/>
              <w:bottom w:val="single" w:sz="4" w:space="0" w:color="auto"/>
            </w:tcBorders>
            <w:shd w:val="thinDiagStripe" w:color="auto" w:fill="auto"/>
            <w:vAlign w:val="center"/>
          </w:tcPr>
          <w:p w:rsidR="00FC79B3" w:rsidRDefault="00FC79B3">
            <w:pPr>
              <w:pStyle w:val="TableText"/>
              <w:keepNext/>
              <w:keepLines/>
              <w:spacing w:after="0" w:line="240" w:lineRule="auto"/>
              <w:jc w:val="center"/>
              <w:rPr>
                <w:b/>
                <w:noProof/>
                <w:lang w:val="fr-FR"/>
              </w:rPr>
            </w:pPr>
          </w:p>
        </w:tc>
        <w:tc>
          <w:tcPr>
            <w:tcW w:w="1200" w:type="dxa"/>
            <w:tcBorders>
              <w:top w:val="single" w:sz="4" w:space="0" w:color="auto"/>
              <w:bottom w:val="single" w:sz="4" w:space="0" w:color="auto"/>
            </w:tcBorders>
            <w:shd w:val="thinDiagStripe" w:color="auto" w:fill="auto"/>
            <w:vAlign w:val="center"/>
          </w:tcPr>
          <w:p w:rsidR="00FC79B3" w:rsidRDefault="00FC79B3">
            <w:pPr>
              <w:pStyle w:val="TableText"/>
              <w:keepNext/>
              <w:keepLines/>
              <w:spacing w:after="0" w:line="240" w:lineRule="auto"/>
              <w:jc w:val="center"/>
              <w:rPr>
                <w:b/>
                <w:noProof/>
                <w:lang w:val="fr-FR"/>
              </w:rPr>
            </w:pPr>
          </w:p>
        </w:tc>
        <w:tc>
          <w:tcPr>
            <w:tcW w:w="1560" w:type="dxa"/>
            <w:tcBorders>
              <w:top w:val="single" w:sz="4" w:space="0" w:color="auto"/>
              <w:bottom w:val="single" w:sz="4" w:space="0" w:color="auto"/>
            </w:tcBorders>
            <w:shd w:val="thinDiagStripe" w:color="auto" w:fill="auto"/>
            <w:vAlign w:val="center"/>
          </w:tcPr>
          <w:p w:rsidR="00FC79B3" w:rsidRDefault="00FC79B3">
            <w:pPr>
              <w:pStyle w:val="TableText"/>
              <w:keepNext/>
              <w:keepLines/>
              <w:spacing w:after="0" w:line="240" w:lineRule="auto"/>
              <w:jc w:val="center"/>
              <w:rPr>
                <w:b/>
                <w:noProof/>
                <w:lang w:val="fr-FR"/>
              </w:rPr>
            </w:pPr>
          </w:p>
        </w:tc>
        <w:tc>
          <w:tcPr>
            <w:tcW w:w="934" w:type="dxa"/>
            <w:tcBorders>
              <w:top w:val="single" w:sz="4" w:space="0" w:color="auto"/>
              <w:bottom w:val="single" w:sz="4" w:space="0" w:color="auto"/>
            </w:tcBorders>
            <w:shd w:val="thinDiagStripe" w:color="auto" w:fill="auto"/>
          </w:tcPr>
          <w:p w:rsidR="00FC79B3" w:rsidRDefault="00FC79B3">
            <w:pPr>
              <w:pStyle w:val="TableText"/>
              <w:keepNext/>
              <w:keepLines/>
              <w:spacing w:after="0" w:line="240" w:lineRule="auto"/>
              <w:jc w:val="center"/>
              <w:rPr>
                <w:b/>
                <w:noProof/>
                <w:lang w:val="fr-FR"/>
              </w:rPr>
            </w:pPr>
          </w:p>
        </w:tc>
      </w:tr>
    </w:tbl>
    <w:p w:rsidR="00FC79B3" w:rsidRDefault="00FC79B3">
      <w:pPr>
        <w:pStyle w:val="En-tte40"/>
        <w:keepNext/>
        <w:keepLines/>
        <w:shd w:val="clear" w:color="auto" w:fill="auto"/>
        <w:tabs>
          <w:tab w:val="left" w:pos="874"/>
        </w:tabs>
        <w:spacing w:after="201" w:line="220" w:lineRule="exact"/>
        <w:ind w:left="20" w:firstLine="0"/>
        <w:rPr>
          <w:rStyle w:val="En-tte4"/>
          <w:b w:val="0"/>
          <w:noProof/>
          <w:lang w:val="fr-FR"/>
        </w:rPr>
      </w:pPr>
    </w:p>
    <w:p w:rsidR="00FC79B3" w:rsidRDefault="002A6CE7">
      <w:pPr>
        <w:pStyle w:val="BodyText"/>
        <w:spacing w:before="0"/>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Lors de la préparation des programmes de travail annuels, la complémentarité et la cohérence entre tous </w:t>
      </w:r>
      <w:r>
        <w:rPr>
          <w:rStyle w:val="Corpsdutexte"/>
          <w:rFonts w:ascii="Times New Roman" w:hAnsi="Times New Roman"/>
          <w:noProof/>
          <w:color w:val="000000"/>
          <w:lang w:val="fr-FR"/>
        </w:rPr>
        <w:t xml:space="preserve">les programmes de la DG Justice ont été favorisées par des consultations et des groupes interservices au sein de la Commission, où la complémentarité et les chevauchements éventuels dans la programmation ont été abordés avec les autres DG. La Commission a </w:t>
      </w:r>
      <w:r>
        <w:rPr>
          <w:rStyle w:val="Corpsdutexte"/>
          <w:rFonts w:ascii="Times New Roman" w:hAnsi="Times New Roman"/>
          <w:noProof/>
          <w:color w:val="000000"/>
          <w:lang w:val="fr-FR"/>
        </w:rPr>
        <w:t>présenté les programmes de travail annuels et ses priorités au comité du programme afin que les États membres puissent repérer tout problème de complémentarité ou de cohérence avec d’autres initiatives européennes ou nationales</w:t>
      </w:r>
      <w:r>
        <w:rPr>
          <w:rStyle w:val="FootnoteReference"/>
          <w:rFonts w:ascii="Times New Roman" w:hAnsi="Times New Roman"/>
          <w:noProof/>
          <w:color w:val="000000"/>
          <w:sz w:val="22"/>
          <w:lang w:val="fr-FR"/>
        </w:rPr>
        <w:footnoteReference w:id="23"/>
      </w:r>
      <w:r>
        <w:rPr>
          <w:noProof/>
          <w:lang w:val="fr-FR"/>
        </w:rPr>
        <w:t>.</w:t>
      </w:r>
    </w:p>
    <w:p w:rsidR="00FC79B3" w:rsidRDefault="002A6CE7">
      <w:pPr>
        <w:pStyle w:val="Heading3"/>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Complémentarité au niveau </w:t>
      </w:r>
      <w:r>
        <w:rPr>
          <w:rStyle w:val="Corpsdutexte"/>
          <w:rFonts w:ascii="Times New Roman" w:hAnsi="Times New Roman"/>
          <w:noProof/>
          <w:color w:val="000000"/>
          <w:lang w:val="fr-FR"/>
        </w:rPr>
        <w:t>des projets</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color w:val="000000"/>
          <w:sz w:val="22"/>
          <w:lang w:val="fr-FR"/>
        </w:rPr>
        <w:t>Au cours du cycle de programmation, la Commission n’a pas fait usage de mécanismes d’augmentation de la complémentarité durant les phases de la sélection, du suivi et de la présentation des rapports sur les projets, excepté pour le partage de r</w:t>
      </w:r>
      <w:r>
        <w:rPr>
          <w:rFonts w:ascii="Times New Roman" w:hAnsi="Times New Roman"/>
          <w:noProof/>
          <w:color w:val="000000"/>
          <w:sz w:val="22"/>
          <w:lang w:val="fr-FR"/>
        </w:rPr>
        <w:t>essources (notamment le portail e-Justice) avec le programme «Justice civile» (JCIV).</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À l’échelon des projets, les bénéficiaires de subventions se sont efforcés de créer des synergies avec des collègues ou d’autres instances exécutant des projets financés par le programme JPEN ou d’autres instruments de l’Union ou avec des projets financés </w:t>
      </w:r>
      <w:r>
        <w:rPr>
          <w:rFonts w:ascii="Times New Roman" w:hAnsi="Times New Roman"/>
          <w:noProof/>
          <w:sz w:val="22"/>
          <w:lang w:val="fr-FR"/>
        </w:rPr>
        <w:t xml:space="preserve">par le biais de mécanismes nationaux et internationaux. </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Près de deux tiers des répondants à l’enquête en ligne ont indiqué qu’une synergie s’était créée, sous une forme ou une autre, avec d’autres projets menés au titre du programme JPEN (29 %), d’autres </w:t>
      </w:r>
      <w:r>
        <w:rPr>
          <w:rFonts w:ascii="Times New Roman" w:hAnsi="Times New Roman"/>
          <w:noProof/>
          <w:sz w:val="22"/>
          <w:lang w:val="fr-FR"/>
        </w:rPr>
        <w:t>instruments de l’Union (20 %), de programmes nationaux (20 %) ou de programmes internationaux (5,5 %)</w:t>
      </w:r>
      <w:r>
        <w:rPr>
          <w:rStyle w:val="FootnoteReference"/>
          <w:rFonts w:ascii="Times New Roman" w:hAnsi="Times New Roman"/>
          <w:noProof/>
          <w:sz w:val="22"/>
          <w:lang w:val="fr-FR"/>
        </w:rPr>
        <w:footnoteReference w:id="24"/>
      </w:r>
      <w:r>
        <w:rPr>
          <w:rFonts w:ascii="Times New Roman" w:hAnsi="Times New Roman"/>
          <w:noProof/>
          <w:sz w:val="22"/>
          <w:lang w:val="fr-FR"/>
        </w:rPr>
        <w:t>. Tous les répondants n’ont toutefois pas cité d’exemples de ces synergies, de sorte que leurs dires n’ont pas toujours pu être corroborés.</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Les bénéficiai</w:t>
      </w:r>
      <w:r>
        <w:rPr>
          <w:rFonts w:ascii="Times New Roman" w:hAnsi="Times New Roman"/>
          <w:noProof/>
          <w:sz w:val="22"/>
          <w:lang w:val="fr-FR"/>
        </w:rPr>
        <w:t>res de subventions ont cherché à accroître l’incidence de leurs projets JPEN en mettant à profit les observations d’autres projets, en élaborant leurs projets à la lumière des bonnes pratiques constatées dans d’autres programmes ou en diffusant leurs résul</w:t>
      </w:r>
      <w:r>
        <w:rPr>
          <w:rFonts w:ascii="Times New Roman" w:hAnsi="Times New Roman"/>
          <w:noProof/>
          <w:sz w:val="22"/>
          <w:lang w:val="fr-FR"/>
        </w:rPr>
        <w:t xml:space="preserve">tats auprès de réseaux constitués dans le sillage d’autres projets. </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L’un des bénéficiaires a déclaré qu’il avait fait connaître les résultats de son projet dans des réunions d’utilisateurs finaux d’un projet financé au titre du 7</w:t>
      </w:r>
      <w:r>
        <w:rPr>
          <w:rFonts w:ascii="Times New Roman" w:hAnsi="Times New Roman"/>
          <w:noProof/>
          <w:sz w:val="22"/>
          <w:vertAlign w:val="superscript"/>
          <w:lang w:val="fr-FR"/>
        </w:rPr>
        <w:t>e</w:t>
      </w:r>
      <w:r>
        <w:rPr>
          <w:rFonts w:ascii="Times New Roman" w:hAnsi="Times New Roman"/>
          <w:noProof/>
          <w:sz w:val="22"/>
          <w:lang w:val="fr-FR"/>
        </w:rPr>
        <w:t> PC de la DG Recherche. U</w:t>
      </w:r>
      <w:r>
        <w:rPr>
          <w:rFonts w:ascii="Times New Roman" w:hAnsi="Times New Roman"/>
          <w:noProof/>
          <w:sz w:val="22"/>
          <w:lang w:val="fr-FR"/>
        </w:rPr>
        <w:t>n autre a expliqué qu’il avait eu recours à certains outils mis au point dans le cadre d’un projet financé par le programme EFTLV. Les résultats des projets JPEN ont également été rendus publics dans des conférences organisées grâce à un financement d’autr</w:t>
      </w:r>
      <w:r>
        <w:rPr>
          <w:rFonts w:ascii="Times New Roman" w:hAnsi="Times New Roman"/>
          <w:noProof/>
          <w:sz w:val="22"/>
          <w:lang w:val="fr-FR"/>
        </w:rPr>
        <w:t>es programmes de l’Union</w:t>
      </w:r>
      <w:r>
        <w:rPr>
          <w:rStyle w:val="FootnoteReference"/>
          <w:rFonts w:ascii="Times New Roman" w:hAnsi="Times New Roman"/>
          <w:noProof/>
          <w:sz w:val="22"/>
          <w:lang w:val="fr-FR"/>
        </w:rPr>
        <w:footnoteReference w:id="25"/>
      </w:r>
      <w:r>
        <w:rPr>
          <w:noProof/>
          <w:lang w:val="fr-FR"/>
        </w:rPr>
        <w:t>.</w:t>
      </w:r>
    </w:p>
    <w:p w:rsidR="00FC79B3" w:rsidRDefault="002A6CE7">
      <w:pPr>
        <w:pStyle w:val="Heading2"/>
        <w:rPr>
          <w:noProof/>
          <w:color w:val="auto"/>
          <w:lang w:val="fr-FR"/>
        </w:rPr>
      </w:pPr>
      <w:bookmarkStart w:id="29" w:name="_Toc471909132"/>
      <w:r>
        <w:rPr>
          <w:rStyle w:val="En-tte4"/>
          <w:noProof/>
          <w:color w:val="auto"/>
          <w:sz w:val="26"/>
          <w:lang w:val="fr-FR"/>
        </w:rPr>
        <w:t>EFFICACITÉ</w:t>
      </w:r>
      <w:bookmarkEnd w:id="29"/>
    </w:p>
    <w:p w:rsidR="00FC79B3" w:rsidRDefault="002A6CE7">
      <w:pPr>
        <w:pStyle w:val="BodyText"/>
        <w:spacing w:before="0"/>
        <w:ind w:left="0"/>
        <w:jc w:val="both"/>
        <w:rPr>
          <w:rStyle w:val="Corpsdutexte"/>
          <w:rFonts w:ascii="Times New Roman" w:eastAsia="Times New Roman" w:hAnsi="Times New Roman"/>
          <w:noProof/>
          <w:color w:val="000000"/>
          <w:lang w:val="fr-FR"/>
        </w:rPr>
      </w:pPr>
      <w:bookmarkStart w:id="30" w:name="bookmark36"/>
      <w:r>
        <w:rPr>
          <w:rStyle w:val="Corpsdutexte"/>
          <w:rFonts w:ascii="Times New Roman" w:hAnsi="Times New Roman"/>
          <w:noProof/>
          <w:color w:val="000000"/>
          <w:lang w:val="fr-FR"/>
        </w:rPr>
        <w:t>Un programme est efficace dans la mesure où il réussit à atteindre ses objectifs. La réussite du programme JPEN peut être évaluée par la mesure dans laquelle ses différents projets sont parvenus à atteindre leurs propr</w:t>
      </w:r>
      <w:r>
        <w:rPr>
          <w:rStyle w:val="Corpsdutexte"/>
          <w:rFonts w:ascii="Times New Roman" w:hAnsi="Times New Roman"/>
          <w:noProof/>
          <w:color w:val="000000"/>
          <w:lang w:val="fr-FR"/>
        </w:rPr>
        <w:t>es objectifs.</w:t>
      </w:r>
    </w:p>
    <w:p w:rsidR="00FC79B3" w:rsidRDefault="002A6CE7">
      <w:pPr>
        <w:pStyle w:val="Heading3"/>
        <w:rPr>
          <w:noProof/>
          <w:color w:val="auto"/>
          <w:lang w:val="fr-FR"/>
        </w:rPr>
      </w:pPr>
      <w:r>
        <w:rPr>
          <w:noProof/>
          <w:color w:val="auto"/>
          <w:lang w:val="fr-FR"/>
        </w:rPr>
        <w:t>Réalisations du programme</w:t>
      </w:r>
    </w:p>
    <w:p w:rsidR="00FC79B3" w:rsidRDefault="002A6CE7">
      <w:pPr>
        <w:pStyle w:val="BodyText"/>
        <w:spacing w:before="0"/>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Dans l’ensemble, les actions mises en œuvre ont réalisé les objectifs du programme, et plus spécialement les objectifs spécifiques de formation des magistrats et de coopération judiciaire. Il est difficile d’évaluer </w:t>
      </w:r>
      <w:r>
        <w:rPr>
          <w:rStyle w:val="Corpsdutexte"/>
          <w:rFonts w:ascii="Times New Roman" w:hAnsi="Times New Roman"/>
          <w:noProof/>
          <w:color w:val="000000"/>
          <w:lang w:val="fr-FR"/>
        </w:rPr>
        <w:t>l’ampleur des produits obtenus par les projets (par rapport aux produits planifiés), car il a seulement été exigé à un stade proche de la fin du programme que les demandeurs de subventions désignent un objectif mesurable pour leurs produits. D’après les ra</w:t>
      </w:r>
      <w:r>
        <w:rPr>
          <w:rStyle w:val="Corpsdutexte"/>
          <w:rFonts w:ascii="Times New Roman" w:hAnsi="Times New Roman"/>
          <w:noProof/>
          <w:color w:val="000000"/>
          <w:lang w:val="fr-FR"/>
        </w:rPr>
        <w:t>pports des bénéficiaires des subventions eux-mêmes, il semble que la majorité des projets (environ 70 %) ont réussi à aboutir aux produits escomptés, tandis que près des deux tiers sont parvenus à atteindre la totalité de leurs produits et résultats</w:t>
      </w:r>
      <w:r>
        <w:rPr>
          <w:rStyle w:val="FootnoteReference"/>
          <w:rFonts w:ascii="Times New Roman" w:hAnsi="Times New Roman"/>
          <w:noProof/>
          <w:color w:val="000000"/>
          <w:sz w:val="22"/>
          <w:lang w:val="fr-FR"/>
        </w:rPr>
        <w:footnoteReference w:id="26"/>
      </w:r>
      <w:r>
        <w:rPr>
          <w:noProof/>
          <w:lang w:val="fr-FR"/>
        </w:rPr>
        <w:t>.</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À l’</w:t>
      </w:r>
      <w:r>
        <w:rPr>
          <w:rFonts w:ascii="Times New Roman" w:hAnsi="Times New Roman"/>
          <w:noProof/>
          <w:sz w:val="22"/>
          <w:lang w:val="fr-FR"/>
        </w:rPr>
        <w:t>aide des subventions à l’action et des subventions de fonctionnement, le programme JPEN a globalement engrangé des produits et des résultats positifs, en particulier sur les points suivants</w:t>
      </w:r>
      <w:r>
        <w:rPr>
          <w:rStyle w:val="FootnoteReference"/>
          <w:rFonts w:ascii="Times New Roman" w:hAnsi="Times New Roman"/>
          <w:noProof/>
          <w:sz w:val="22"/>
          <w:lang w:val="fr-FR"/>
        </w:rPr>
        <w:footnoteReference w:id="27"/>
      </w:r>
      <w:r>
        <w:rPr>
          <w:rFonts w:ascii="Times New Roman" w:hAnsi="Times New Roman"/>
          <w:noProof/>
          <w:sz w:val="22"/>
          <w:lang w:val="fr-FR"/>
        </w:rPr>
        <w:t>:</w:t>
      </w:r>
    </w:p>
    <w:p w:rsidR="00FC79B3" w:rsidRDefault="002A6CE7">
      <w:pPr>
        <w:pStyle w:val="BTBullet1"/>
        <w:numPr>
          <w:ilvl w:val="0"/>
          <w:numId w:val="15"/>
        </w:numPr>
        <w:ind w:left="72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la formation des acteurs du pouvoir judiciaire, qui a contribué </w:t>
      </w:r>
      <w:r>
        <w:rPr>
          <w:rStyle w:val="Corpsdutexte"/>
          <w:rFonts w:ascii="Times New Roman" w:hAnsi="Times New Roman"/>
          <w:noProof/>
          <w:color w:val="000000"/>
          <w:lang w:val="fr-FR"/>
        </w:rPr>
        <w:t>à renforcer la confiance mutuelle, même si sa portée ne peut être chiffrée, et qui a bénéficié à près de 26 000 magistrats, procureurs et autres professionnels dans la quasi-totalité des États membres;</w:t>
      </w:r>
    </w:p>
    <w:p w:rsidR="00FC79B3" w:rsidRDefault="002A6CE7">
      <w:pPr>
        <w:pStyle w:val="BTBullet1"/>
        <w:numPr>
          <w:ilvl w:val="0"/>
          <w:numId w:val="15"/>
        </w:numPr>
        <w:ind w:left="72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l'amélioration de la coopération entre le pouvoir judi</w:t>
      </w:r>
      <w:r>
        <w:rPr>
          <w:rStyle w:val="Corpsdutexte"/>
          <w:rFonts w:ascii="Times New Roman" w:hAnsi="Times New Roman"/>
          <w:noProof/>
          <w:color w:val="000000"/>
          <w:lang w:val="fr-FR"/>
        </w:rPr>
        <w:t xml:space="preserve">ciaire et les ministères de la justice des États membres, avec la création de près d’un millier de partenariats, pour la plupart bilatéraux;  </w:t>
      </w:r>
    </w:p>
    <w:p w:rsidR="00FC79B3" w:rsidRDefault="002A6CE7">
      <w:pPr>
        <w:pStyle w:val="BTBullet1"/>
        <w:numPr>
          <w:ilvl w:val="0"/>
          <w:numId w:val="15"/>
        </w:numPr>
        <w:ind w:left="72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une meilleure compatibilité des règles (ou meilleure compréhension des disparités) grâce à des études, un apprent</w:t>
      </w:r>
      <w:r>
        <w:rPr>
          <w:rStyle w:val="Corpsdutexte"/>
          <w:rFonts w:ascii="Times New Roman" w:hAnsi="Times New Roman"/>
          <w:noProof/>
          <w:color w:val="000000"/>
          <w:lang w:val="fr-FR"/>
        </w:rPr>
        <w:t>issage mutuel et la promotion des bonnes pratiques dans une perspective d’harmonisation. Ces effets ont également favorisé la (meilleure) mise en œuvre du droit de l’Union en enrichissant les connaissances et les compétences des acteurs chargés de son appl</w:t>
      </w:r>
      <w:r>
        <w:rPr>
          <w:rStyle w:val="Corpsdutexte"/>
          <w:rFonts w:ascii="Times New Roman" w:hAnsi="Times New Roman"/>
          <w:noProof/>
          <w:color w:val="000000"/>
          <w:lang w:val="fr-FR"/>
        </w:rPr>
        <w:t>ication à l’échelle nationale;</w:t>
      </w:r>
    </w:p>
    <w:p w:rsidR="00FC79B3" w:rsidRDefault="002A6CE7">
      <w:pPr>
        <w:pStyle w:val="BTBullet1"/>
        <w:numPr>
          <w:ilvl w:val="0"/>
          <w:numId w:val="15"/>
        </w:numPr>
        <w:ind w:left="72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 démantèlement de divers obstacles à la coopération judiciaire par la mise en place de services appropriés, des recherches, un apprentissage mutuel et la constitution de réseaux. Parmi les obstacles abordés figurent le manq</w:t>
      </w:r>
      <w:r>
        <w:rPr>
          <w:rStyle w:val="Corpsdutexte"/>
          <w:rFonts w:ascii="Times New Roman" w:hAnsi="Times New Roman"/>
          <w:noProof/>
          <w:color w:val="000000"/>
          <w:lang w:val="fr-FR"/>
        </w:rPr>
        <w:t>ue de compréhension et de connaissance, les outils de communication et les plates-formes de coopération, les différences linguistiques, etc.;</w:t>
      </w:r>
    </w:p>
    <w:p w:rsidR="00FC79B3" w:rsidRDefault="002A6CE7">
      <w:pPr>
        <w:pStyle w:val="BTBullet1"/>
        <w:numPr>
          <w:ilvl w:val="0"/>
          <w:numId w:val="15"/>
        </w:numPr>
        <w:ind w:left="72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 renforcement des capacités des organisations d’aide aux victimes et aux défendeurs.</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 programme JPEN a sensibl</w:t>
      </w:r>
      <w:r>
        <w:rPr>
          <w:rStyle w:val="Corpsdutexte"/>
          <w:rFonts w:ascii="Times New Roman" w:hAnsi="Times New Roman"/>
          <w:noProof/>
          <w:color w:val="000000"/>
          <w:lang w:val="fr-FR"/>
        </w:rPr>
        <w:t xml:space="preserve">ement amélioré la </w:t>
      </w:r>
      <w:r>
        <w:rPr>
          <w:rStyle w:val="Corpsdutexte"/>
          <w:rFonts w:ascii="Times New Roman" w:hAnsi="Times New Roman"/>
          <w:b/>
          <w:i/>
          <w:noProof/>
          <w:color w:val="000000"/>
          <w:lang w:val="fr-FR"/>
        </w:rPr>
        <w:t>coopération judiciaire</w:t>
      </w:r>
      <w:r>
        <w:rPr>
          <w:rStyle w:val="Corpsdutexte"/>
          <w:rFonts w:ascii="Times New Roman" w:hAnsi="Times New Roman"/>
          <w:noProof/>
          <w:color w:val="000000"/>
          <w:lang w:val="fr-FR"/>
        </w:rPr>
        <w:t xml:space="preserve"> entre le pouvoir judiciaire et les ministères de la justice des États membres, notamment grâce à la multitude de partenariats bilatéraux formés. Au moins 947 partenariats ont en effet été conclus, dont 826 entre Éta</w:t>
      </w:r>
      <w:r>
        <w:rPr>
          <w:rStyle w:val="Corpsdutexte"/>
          <w:rFonts w:ascii="Times New Roman" w:hAnsi="Times New Roman"/>
          <w:noProof/>
          <w:color w:val="000000"/>
          <w:lang w:val="fr-FR"/>
        </w:rPr>
        <w:t>ts membres. Parmi les produits et les résultats des projets transnationaux, on peut citer ce qui suit</w:t>
      </w:r>
      <w:r>
        <w:rPr>
          <w:rStyle w:val="FootnoteReference"/>
          <w:rFonts w:ascii="Times New Roman" w:hAnsi="Times New Roman"/>
          <w:noProof/>
          <w:color w:val="000000"/>
          <w:sz w:val="22"/>
          <w:lang w:val="fr-FR"/>
        </w:rPr>
        <w:footnoteReference w:id="28"/>
      </w:r>
      <w:r>
        <w:rPr>
          <w:rStyle w:val="Corpsdutexte"/>
          <w:rFonts w:ascii="Times New Roman" w:hAnsi="Times New Roman"/>
          <w:noProof/>
          <w:color w:val="000000"/>
          <w:lang w:val="fr-FR"/>
        </w:rPr>
        <w:t>:</w:t>
      </w:r>
    </w:p>
    <w:p w:rsidR="00FC79B3" w:rsidRDefault="002A6CE7">
      <w:pPr>
        <w:pStyle w:val="BTBullet1"/>
        <w:numPr>
          <w:ilvl w:val="0"/>
          <w:numId w:val="19"/>
        </w:numPr>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l'amélioration de la coopération bilatérale entre les procureurs des États membres dans les affaires transfrontalières dans le cadre d’équipes d’enquête</w:t>
      </w:r>
      <w:r>
        <w:rPr>
          <w:rStyle w:val="Corpsdutexte"/>
          <w:rFonts w:ascii="Times New Roman" w:hAnsi="Times New Roman"/>
          <w:noProof/>
          <w:color w:val="000000"/>
          <w:lang w:val="fr-FR"/>
        </w:rPr>
        <w:t xml:space="preserve"> communes;</w:t>
      </w:r>
    </w:p>
    <w:p w:rsidR="00FC79B3" w:rsidRDefault="002A6CE7">
      <w:pPr>
        <w:pStyle w:val="BTBullet1"/>
        <w:numPr>
          <w:ilvl w:val="0"/>
          <w:numId w:val="19"/>
        </w:numPr>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 renforcement des compétences en matière de traitement des ressortissants de l’Union accusés de crimes dans un autre État membre;</w:t>
      </w:r>
    </w:p>
    <w:p w:rsidR="00FC79B3" w:rsidRDefault="002A6CE7">
      <w:pPr>
        <w:pStyle w:val="BTBullet1"/>
        <w:numPr>
          <w:ilvl w:val="0"/>
          <w:numId w:val="19"/>
        </w:numPr>
        <w:rPr>
          <w:noProof/>
          <w:lang w:val="fr-FR"/>
        </w:rPr>
      </w:pPr>
      <w:r>
        <w:rPr>
          <w:rStyle w:val="Corpsdutexte"/>
          <w:rFonts w:ascii="Times New Roman" w:hAnsi="Times New Roman"/>
          <w:noProof/>
          <w:color w:val="000000"/>
          <w:lang w:val="fr-FR"/>
        </w:rPr>
        <w:t>le dialogue sur les problèmes communs, y compris par la fondation de groupes de travail transeuropéens tels que l</w:t>
      </w:r>
      <w:r>
        <w:rPr>
          <w:rStyle w:val="Corpsdutexte"/>
          <w:rFonts w:ascii="Times New Roman" w:hAnsi="Times New Roman"/>
          <w:noProof/>
          <w:color w:val="000000"/>
          <w:lang w:val="fr-FR"/>
        </w:rPr>
        <w:t>e Groupe consultatif d’experts juridiques.</w:t>
      </w:r>
    </w:p>
    <w:p w:rsidR="00FC79B3" w:rsidRDefault="002A6CE7">
      <w:pPr>
        <w:pStyle w:val="BodyText"/>
        <w:ind w:left="0"/>
        <w:jc w:val="both"/>
        <w:rPr>
          <w:noProof/>
          <w:lang w:val="fr-FR"/>
        </w:rPr>
      </w:pPr>
      <w:r>
        <w:rPr>
          <w:rStyle w:val="Corpsdutexte"/>
          <w:rFonts w:ascii="Times New Roman" w:hAnsi="Times New Roman"/>
          <w:noProof/>
          <w:color w:val="000000"/>
          <w:lang w:val="fr-FR"/>
        </w:rPr>
        <w:t xml:space="preserve">Le programme JPEN a sans conteste favorisé la </w:t>
      </w:r>
      <w:r>
        <w:rPr>
          <w:rStyle w:val="Corpsdutexte"/>
          <w:rFonts w:ascii="Times New Roman" w:hAnsi="Times New Roman"/>
          <w:b/>
          <w:i/>
          <w:noProof/>
          <w:color w:val="000000"/>
          <w:lang w:val="fr-FR"/>
        </w:rPr>
        <w:t>coopération judiciaire et la compatibilité</w:t>
      </w:r>
      <w:r>
        <w:rPr>
          <w:rStyle w:val="Corpsdutexte"/>
          <w:rFonts w:ascii="Times New Roman" w:hAnsi="Times New Roman"/>
          <w:noProof/>
          <w:color w:val="000000"/>
          <w:lang w:val="fr-FR"/>
        </w:rPr>
        <w:t xml:space="preserve"> entre les règles des États membres et contribué à l’aplanissement de certains obstacles juridiques.</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Le programme a favorisé </w:t>
      </w:r>
      <w:r>
        <w:rPr>
          <w:rStyle w:val="Corpsdutexte"/>
          <w:rFonts w:ascii="Times New Roman" w:hAnsi="Times New Roman"/>
          <w:noProof/>
          <w:color w:val="000000"/>
          <w:lang w:val="fr-FR"/>
        </w:rPr>
        <w:t>la compatibilité des règles entre les États membres par</w:t>
      </w:r>
      <w:r>
        <w:rPr>
          <w:rStyle w:val="FootnoteReference"/>
          <w:rFonts w:ascii="Times New Roman" w:hAnsi="Times New Roman"/>
          <w:noProof/>
          <w:color w:val="000000"/>
          <w:sz w:val="22"/>
          <w:lang w:val="fr-FR"/>
        </w:rPr>
        <w:footnoteReference w:id="29"/>
      </w:r>
      <w:r>
        <w:rPr>
          <w:rStyle w:val="Corpsdutexte"/>
          <w:rFonts w:ascii="Times New Roman" w:hAnsi="Times New Roman"/>
          <w:noProof/>
          <w:color w:val="000000"/>
          <w:lang w:val="fr-FR"/>
        </w:rPr>
        <w:t>:</w:t>
      </w:r>
    </w:p>
    <w:p w:rsidR="00FC79B3" w:rsidRDefault="002A6CE7">
      <w:pPr>
        <w:pStyle w:val="BTBullet1"/>
        <w:numPr>
          <w:ilvl w:val="0"/>
          <w:numId w:val="16"/>
        </w:numPr>
        <w:ind w:left="72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l’amélioration des connaissances sur les différences entre les législations et les pratiques des États membres et l’élaboration de solutions potentielles pour estomper ces différences;</w:t>
      </w:r>
    </w:p>
    <w:p w:rsidR="00FC79B3" w:rsidRDefault="002A6CE7">
      <w:pPr>
        <w:pStyle w:val="BTBullet1"/>
        <w:numPr>
          <w:ilvl w:val="0"/>
          <w:numId w:val="16"/>
        </w:numPr>
        <w:ind w:left="72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la promotion </w:t>
      </w:r>
      <w:r>
        <w:rPr>
          <w:rStyle w:val="Corpsdutexte"/>
          <w:rFonts w:ascii="Times New Roman" w:hAnsi="Times New Roman"/>
          <w:noProof/>
          <w:color w:val="000000"/>
          <w:lang w:val="fr-FR"/>
        </w:rPr>
        <w:t>des bonnes pratiques et d’une harmonisation accrue;</w:t>
      </w:r>
    </w:p>
    <w:p w:rsidR="00FC79B3" w:rsidRDefault="002A6CE7">
      <w:pPr>
        <w:pStyle w:val="BTBullet1"/>
        <w:numPr>
          <w:ilvl w:val="0"/>
          <w:numId w:val="16"/>
        </w:numPr>
        <w:ind w:left="72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l’intensification du dialogue entre les acteurs chargés de faire appliquer et de modifier les règles de justice pénale, qui a inclus la création de groupes de travail dans lesquels les États membres discu</w:t>
      </w:r>
      <w:r>
        <w:rPr>
          <w:rStyle w:val="Corpsdutexte"/>
          <w:rFonts w:ascii="Times New Roman" w:hAnsi="Times New Roman"/>
          <w:noProof/>
          <w:color w:val="000000"/>
          <w:lang w:val="fr-FR"/>
        </w:rPr>
        <w:t>tent et étudient des solutions aux obstacles rencontrés dans la mise en œuvre du droit de l’Union;</w:t>
      </w:r>
    </w:p>
    <w:p w:rsidR="00FC79B3" w:rsidRDefault="002A6CE7">
      <w:pPr>
        <w:pStyle w:val="BTBullet1"/>
        <w:numPr>
          <w:ilvl w:val="0"/>
          <w:numId w:val="16"/>
        </w:numPr>
        <w:ind w:left="72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la promotion de (l'amélioration de) la mise en œuvre du droit de l’Union en approfondissant la connaissance de ce droit parmi les États membres et leur </w:t>
      </w:r>
      <w:r>
        <w:rPr>
          <w:rStyle w:val="Corpsdutexte"/>
          <w:rFonts w:ascii="Times New Roman" w:hAnsi="Times New Roman"/>
          <w:noProof/>
          <w:color w:val="000000"/>
          <w:lang w:val="fr-FR"/>
        </w:rPr>
        <w:t>capacité à le mettre en œuvre.</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Afin de surmonter les obstacles linguistiques, le programme JPEN a considéré que l’accès à des services d’interprétation était une priorité et alloué des subventions pour la formation linguistique de magistrats et de procureu</w:t>
      </w:r>
      <w:r>
        <w:rPr>
          <w:rStyle w:val="Corpsdutexte"/>
          <w:rFonts w:ascii="Times New Roman" w:hAnsi="Times New Roman"/>
          <w:noProof/>
          <w:color w:val="000000"/>
          <w:lang w:val="fr-FR"/>
        </w:rPr>
        <w:t xml:space="preserve">rs et l’évaluation des services linguistiques dans les États membres. Eu égard à l’échelle modeste de cette formation, il est peu probable qu’elle ait exercé une influence significative sur les obstacles linguistiques. Elle n’en a pas moins enrichi la </w:t>
      </w:r>
      <w:r>
        <w:rPr>
          <w:rStyle w:val="Corpsdutexte"/>
          <w:rFonts w:ascii="Times New Roman" w:hAnsi="Times New Roman"/>
          <w:b/>
          <w:i/>
          <w:noProof/>
          <w:color w:val="000000"/>
          <w:lang w:val="fr-FR"/>
        </w:rPr>
        <w:t>form</w:t>
      </w:r>
      <w:r>
        <w:rPr>
          <w:rStyle w:val="Corpsdutexte"/>
          <w:rFonts w:ascii="Times New Roman" w:hAnsi="Times New Roman"/>
          <w:b/>
          <w:i/>
          <w:noProof/>
          <w:color w:val="000000"/>
          <w:lang w:val="fr-FR"/>
        </w:rPr>
        <w:t>ation des acteurs du pouvoir judiciaire</w:t>
      </w:r>
      <w:r>
        <w:rPr>
          <w:rStyle w:val="Corpsdutexte"/>
          <w:rFonts w:ascii="Times New Roman" w:hAnsi="Times New Roman"/>
          <w:noProof/>
          <w:color w:val="000000"/>
          <w:lang w:val="fr-FR"/>
        </w:rPr>
        <w:t xml:space="preserve"> et favorisé la formation linguistique des professionnels du droit</w:t>
      </w:r>
      <w:r>
        <w:rPr>
          <w:rStyle w:val="FootnoteReference"/>
          <w:rFonts w:ascii="Times New Roman" w:hAnsi="Times New Roman"/>
          <w:noProof/>
          <w:color w:val="000000"/>
          <w:sz w:val="22"/>
          <w:lang w:val="fr-FR"/>
        </w:rPr>
        <w:footnoteReference w:id="30"/>
      </w:r>
      <w:r>
        <w:rPr>
          <w:rStyle w:val="Corpsdutexte"/>
          <w:rFonts w:ascii="Times New Roman" w:hAnsi="Times New Roman"/>
          <w:noProof/>
          <w:color w:val="000000"/>
          <w:lang w:val="fr-FR"/>
        </w:rPr>
        <w:t>, qui constitue une priorité de la Commission</w:t>
      </w:r>
      <w:r>
        <w:rPr>
          <w:rStyle w:val="FootnoteReference"/>
          <w:noProof/>
          <w:lang w:val="fr-FR"/>
        </w:rPr>
        <w:footnoteReference w:id="31"/>
      </w:r>
      <w:r>
        <w:rPr>
          <w:rStyle w:val="Corpsdutexte"/>
          <w:rFonts w:ascii="Times New Roman" w:hAnsi="Times New Roman"/>
          <w:noProof/>
          <w:color w:val="000000"/>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L’un des principaux types d’actions financés (47 subventions à l’action et 10 marchés publics, pour un</w:t>
      </w:r>
      <w:r>
        <w:rPr>
          <w:rStyle w:val="Corpsdutexte"/>
          <w:rFonts w:ascii="Times New Roman" w:hAnsi="Times New Roman"/>
          <w:noProof/>
          <w:color w:val="000000"/>
          <w:lang w:val="fr-FR"/>
        </w:rPr>
        <w:t xml:space="preserve"> total de 4,2 millions d’euros) a consisté à aider les États membres à adapter leurs systèmes de casiers judiciaires pour qu’ils soient compatibles au niveau de l’Union afin de permettre l’échange d’informations au moyen d’ECRIS. Bien que certains partenai</w:t>
      </w:r>
      <w:r>
        <w:rPr>
          <w:rStyle w:val="Corpsdutexte"/>
          <w:rFonts w:ascii="Times New Roman" w:hAnsi="Times New Roman"/>
          <w:noProof/>
          <w:color w:val="000000"/>
          <w:lang w:val="fr-FR"/>
        </w:rPr>
        <w:t>res de projets aient constaté des problèmes au démarrage d’ECRIS dans les États membres, le système a été déployé avec fruit en 2012, de sorte que les actions du programme JPEN à cet égard ont au moins partiellement porté leurs fruits</w:t>
      </w:r>
      <w:r>
        <w:rPr>
          <w:rStyle w:val="FootnoteReference"/>
          <w:rFonts w:ascii="Times New Roman" w:hAnsi="Times New Roman"/>
          <w:noProof/>
          <w:color w:val="000000"/>
          <w:sz w:val="22"/>
          <w:lang w:val="fr-FR"/>
        </w:rPr>
        <w:footnoteReference w:id="32"/>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Dans la mesure où les actions JPEN ont contribué à accroître </w:t>
      </w:r>
      <w:r>
        <w:rPr>
          <w:rStyle w:val="Corpsdutexte"/>
          <w:rFonts w:ascii="Times New Roman" w:hAnsi="Times New Roman"/>
          <w:b/>
          <w:i/>
          <w:noProof/>
          <w:color w:val="000000"/>
          <w:lang w:val="fr-FR"/>
        </w:rPr>
        <w:t>le dialogue et les échanges entre les États membres</w:t>
      </w:r>
      <w:r>
        <w:rPr>
          <w:rStyle w:val="Corpsdutexte"/>
          <w:rFonts w:ascii="Times New Roman" w:hAnsi="Times New Roman"/>
          <w:noProof/>
          <w:color w:val="000000"/>
          <w:lang w:val="fr-FR"/>
        </w:rPr>
        <w:t xml:space="preserve"> et à promouvoir la coopération judiciaire, le programme a amélioré les contacts et l’échange d’informations et de meilleures pratiques entre le</w:t>
      </w:r>
      <w:r>
        <w:rPr>
          <w:rStyle w:val="Corpsdutexte"/>
          <w:rFonts w:ascii="Times New Roman" w:hAnsi="Times New Roman"/>
          <w:noProof/>
          <w:color w:val="000000"/>
          <w:lang w:val="fr-FR"/>
        </w:rPr>
        <w:t>s autorités législatives, judiciaires et administratives. Au moins 187 actions financées (sur 334) ont intégré dans leurs projets l’apprentissage mutuel, l’échange de bonnes pratiques et la coopération. Ces actions ont permis d’intensifier les échanges d’i</w:t>
      </w:r>
      <w:r>
        <w:rPr>
          <w:rStyle w:val="Corpsdutexte"/>
          <w:rFonts w:ascii="Times New Roman" w:hAnsi="Times New Roman"/>
          <w:noProof/>
          <w:color w:val="000000"/>
          <w:lang w:val="fr-FR"/>
        </w:rPr>
        <w:t>nformations et de resserrer les liens entre les acteurs des pouvoirs judiciaires nationaux. Les autorités nationales de 21 États membres</w:t>
      </w:r>
      <w:r>
        <w:rPr>
          <w:rStyle w:val="FootnoteReference"/>
          <w:noProof/>
          <w:lang w:val="fr-FR"/>
        </w:rPr>
        <w:footnoteReference w:id="33"/>
      </w:r>
      <w:r>
        <w:rPr>
          <w:rStyle w:val="Corpsdutexte"/>
          <w:rFonts w:ascii="Times New Roman" w:hAnsi="Times New Roman"/>
          <w:noProof/>
          <w:color w:val="000000"/>
          <w:lang w:val="fr-FR"/>
        </w:rPr>
        <w:t>, parmi lesquelles 15 ministères de la justice, ont géré une ou plusieurs subventions JPEN. Une large part de ces fonds</w:t>
      </w:r>
      <w:r>
        <w:rPr>
          <w:rStyle w:val="Corpsdutexte"/>
          <w:rFonts w:ascii="Times New Roman" w:hAnsi="Times New Roman"/>
          <w:noProof/>
          <w:color w:val="000000"/>
          <w:lang w:val="fr-FR"/>
        </w:rPr>
        <w:t xml:space="preserve"> a servi à modifier les systèmes nationaux de casiers judiciaires pour qu’ils soient compatibles avec le système européen (ECRIS)</w:t>
      </w:r>
      <w:r>
        <w:rPr>
          <w:rStyle w:val="FootnoteReference"/>
          <w:rFonts w:ascii="Times New Roman" w:hAnsi="Times New Roman"/>
          <w:noProof/>
          <w:color w:val="000000"/>
          <w:sz w:val="22"/>
          <w:lang w:val="fr-FR"/>
        </w:rPr>
        <w:footnoteReference w:id="34"/>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Outre les subventions allouées pour la réalisation d’actions, les fonds du programme JPEN ont financé la passation de contra</w:t>
      </w:r>
      <w:r>
        <w:rPr>
          <w:rStyle w:val="Corpsdutexte"/>
          <w:rFonts w:ascii="Times New Roman" w:hAnsi="Times New Roman"/>
          <w:noProof/>
          <w:color w:val="000000"/>
          <w:lang w:val="fr-FR"/>
        </w:rPr>
        <w:t>ts avec des consultants pour la conception et la maintenance du portail e-Justice</w:t>
      </w:r>
      <w:r>
        <w:rPr>
          <w:rStyle w:val="FootnoteReference"/>
          <w:rFonts w:ascii="Times New Roman" w:hAnsi="Times New Roman"/>
          <w:noProof/>
          <w:color w:val="000000"/>
          <w:sz w:val="22"/>
          <w:lang w:val="fr-FR"/>
        </w:rPr>
        <w:footnoteReference w:id="35"/>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Au total, 93 subventions d’un montant cumulé de plus de 44 millions d’euros (26 % du budget total planifié pour la période 2007-2013) ont été spécialement affectées à la fo</w:t>
      </w:r>
      <w:r>
        <w:rPr>
          <w:rStyle w:val="Corpsdutexte"/>
          <w:rFonts w:ascii="Times New Roman" w:hAnsi="Times New Roman"/>
          <w:noProof/>
          <w:color w:val="000000"/>
          <w:lang w:val="fr-FR"/>
        </w:rPr>
        <w:t xml:space="preserve">rmation des acteurs du monde judiciaire et des praticiens du droit. Au cours de la période examinée, 25 863 magistrats, procureurs et autres professionnels ont ainsi suivi une formation, soit une moyenne de 3 695 bénéficiaires par an. La </w:t>
      </w:r>
      <w:r>
        <w:rPr>
          <w:rStyle w:val="Corpsdutexte"/>
          <w:rFonts w:ascii="Times New Roman" w:eastAsia="Times New Roman" w:hAnsi="Times New Roman"/>
          <w:noProof/>
          <w:color w:val="000000"/>
          <w:lang w:val="fr-FR"/>
        </w:rPr>
        <w:fldChar w:fldCharType="begin"/>
      </w:r>
      <w:r>
        <w:rPr>
          <w:rStyle w:val="Corpsdutexte"/>
          <w:rFonts w:ascii="Times New Roman" w:eastAsia="Times New Roman" w:hAnsi="Times New Roman"/>
          <w:noProof/>
          <w:color w:val="000000"/>
          <w:lang w:val="fr-FR"/>
        </w:rPr>
        <w:instrText xml:space="preserve"> REF _Ref456711592</w:instrText>
      </w:r>
      <w:r>
        <w:rPr>
          <w:rStyle w:val="Corpsdutexte"/>
          <w:rFonts w:ascii="Times New Roman" w:eastAsia="Times New Roman" w:hAnsi="Times New Roman"/>
          <w:noProof/>
          <w:color w:val="000000"/>
          <w:lang w:val="fr-FR"/>
        </w:rPr>
        <w:instrText xml:space="preserve"> \h  \* MERGEFORMAT </w:instrText>
      </w:r>
      <w:r>
        <w:rPr>
          <w:rStyle w:val="Corpsdutexte"/>
          <w:rFonts w:ascii="Times New Roman" w:eastAsia="Times New Roman" w:hAnsi="Times New Roman"/>
          <w:noProof/>
          <w:color w:val="000000"/>
          <w:lang w:val="fr-FR"/>
        </w:rPr>
      </w:r>
      <w:r>
        <w:rPr>
          <w:rStyle w:val="Corpsdutexte"/>
          <w:rFonts w:ascii="Times New Roman" w:eastAsia="Times New Roman" w:hAnsi="Times New Roman"/>
          <w:noProof/>
          <w:color w:val="000000"/>
          <w:lang w:val="fr-FR"/>
        </w:rPr>
        <w:fldChar w:fldCharType="separate"/>
      </w:r>
      <w:r w:rsidRPr="002A6CE7">
        <w:rPr>
          <w:rFonts w:ascii="Times New Roman" w:hAnsi="Times New Roman"/>
          <w:noProof/>
          <w:sz w:val="22"/>
          <w:szCs w:val="22"/>
          <w:lang w:val="fr-FR"/>
        </w:rPr>
        <w:t>Figure 2</w:t>
      </w:r>
      <w:r w:rsidRPr="002A6CE7">
        <w:rPr>
          <w:rFonts w:ascii="Times New Roman" w:hAnsi="Times New Roman"/>
          <w:noProof/>
          <w:sz w:val="22"/>
          <w:szCs w:val="22"/>
          <w:lang w:val="fr-FR"/>
        </w:rPr>
        <w:noBreakHyphen/>
        <w:t>1</w:t>
      </w:r>
      <w:r>
        <w:rPr>
          <w:rStyle w:val="Corpsdutexte"/>
          <w:rFonts w:ascii="Times New Roman" w:eastAsia="Times New Roman" w:hAnsi="Times New Roman"/>
          <w:noProof/>
          <w:color w:val="000000"/>
          <w:lang w:val="fr-FR"/>
        </w:rPr>
        <w:fldChar w:fldCharType="end"/>
      </w:r>
      <w:r>
        <w:rPr>
          <w:rStyle w:val="Corpsdutexte"/>
          <w:rFonts w:ascii="Times New Roman" w:hAnsi="Times New Roman"/>
          <w:noProof/>
          <w:color w:val="000000"/>
          <w:lang w:val="fr-FR"/>
        </w:rPr>
        <w:t xml:space="preserve"> illustre le nombre de praticiens du droit qui ont participé chaque année à ces formations, en incluant les cours financés au moyen de subventions à l’action,</w:t>
      </w:r>
      <w:r>
        <w:rPr>
          <w:rStyle w:val="Corpsdutexte"/>
          <w:rFonts w:ascii="Times New Roman" w:hAnsi="Times New Roman"/>
          <w:noProof/>
          <w:color w:val="000000"/>
          <w:lang w:val="fr-FR"/>
        </w:rPr>
        <w:t xml:space="preserve"> de conventions-cadres de partenariat et de subventions de fonctionnement octroyées au REFJ.</w:t>
      </w:r>
    </w:p>
    <w:p w:rsidR="00FC79B3" w:rsidRDefault="002A6CE7">
      <w:pPr>
        <w:pStyle w:val="Caption"/>
        <w:rPr>
          <w:noProof/>
          <w:lang w:val="fr-FR"/>
        </w:rPr>
      </w:pPr>
      <w:bookmarkStart w:id="31" w:name="_Ref456711592"/>
      <w:r>
        <w:rPr>
          <w:noProof/>
          <w:lang w:val="fr-FR"/>
        </w:rPr>
        <w:t>Figure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1</w:t>
      </w:r>
      <w:r>
        <w:rPr>
          <w:noProof/>
          <w:lang w:val="fr-FR"/>
        </w:rPr>
        <w:fldChar w:fldCharType="end"/>
      </w:r>
      <w:bookmarkEnd w:id="31"/>
      <w:r>
        <w:rPr>
          <w:noProof/>
          <w:lang w:val="fr-FR"/>
        </w:rPr>
        <w:t xml:space="preserve"> Nombre de participants ayant suivi une formation au droit de l’Union financée par le programme JPEN de 2</w:t>
      </w:r>
      <w:r>
        <w:rPr>
          <w:noProof/>
          <w:lang w:val="fr-FR"/>
        </w:rPr>
        <w:t>007 à 2013</w:t>
      </w:r>
    </w:p>
    <w:p w:rsidR="00FC79B3" w:rsidRDefault="002A6CE7">
      <w:pPr>
        <w:pStyle w:val="BodyText"/>
        <w:jc w:val="both"/>
        <w:rPr>
          <w:noProof/>
          <w:lang w:val="fr-FR"/>
        </w:rPr>
      </w:pPr>
      <w:r>
        <w:rPr>
          <w:noProof/>
          <w:lang w:eastAsia="en-GB"/>
        </w:rPr>
        <mc:AlternateContent>
          <mc:Choice Requires="wps">
            <w:drawing>
              <wp:anchor distT="0" distB="0" distL="114300" distR="114300" simplePos="0" relativeHeight="251732992" behindDoc="0" locked="0" layoutInCell="1" allowOverlap="1">
                <wp:simplePos x="0" y="0"/>
                <wp:positionH relativeFrom="column">
                  <wp:posOffset>534670</wp:posOffset>
                </wp:positionH>
                <wp:positionV relativeFrom="paragraph">
                  <wp:posOffset>1221740</wp:posOffset>
                </wp:positionV>
                <wp:extent cx="30988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09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96.2pt" to="286.1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ChtQEAAMMDAAAOAAAAZHJzL2Uyb0RvYy54bWysU8GOEzEMvSPxD1HudKaLhMqo0z10BRcE&#10;FQsfkM04nUhJHDmhM/17nLSdRYCEQFw8ceJn+z17tvezd+IElCyGXq5XrRQQNA42HHv59cu7Vxsp&#10;UlZhUA4D9PIMSd7vXr7YTrGDOxzRDUCCk4TUTbGXY86xa5qkR/AqrTBC4EeD5FVml47NQGri7N41&#10;d237ppmQhkioISW+fbg8yl3Nbwzo/MmYBFm4XnJvuVqq9qnYZrdV3ZFUHK2+tqH+oQuvbOCiS6oH&#10;lZX4RvaXVN5qwoQmrzT6Bo2xGioHZrNuf2LzOKoIlQuLk+IiU/p/afXH04GEHXh2UgTleUSPmZQ9&#10;jlnsMQQWEEmsi05TTB2H78OBrl6KByqkZ0O+fJmOmKu250VbmLPQfPm6fbvZtDwCfXtrnoGRUn4P&#10;6EU59NLZUGirTp0+pMzFOPQWwk5p5FK6nvLZQQl24TMYpsLF1hVdlwj2jsRJ8fiV1hBypcL5anSB&#10;GevcAmz/DLzGFyjUBfsb8IKolTHkBextQPpd9TzfWjaX+JsCF95FgiccznUoVRrelKrYdavLKv7o&#10;V/jzv7f7DgAA//8DAFBLAwQUAAYACAAAACEAhm78kt4AAAAKAQAADwAAAGRycy9kb3ducmV2Lnht&#10;bEyP0UrEMBBF3wX/IYzgi7ippdVamy4qLPugIm79gGwztsVmUpq02/XrHUHQxzlzuXOmWC+2FzOO&#10;vnOk4GoVgUCqnemoUfBebS4zED5oMrp3hAqO6GFdnp4UOjfuQG8470IjuIR8rhW0IQy5lL5u0Wq/&#10;cgMS7z7caHXgcWykGfWBy20v4yi6llZ3xBdaPeBji/XnbrIKtpsHfEqPU5OYdFtdzNXzy9drptT5&#10;2XJ/ByLgEv7C8KPP6lCy095NZLzoFWRJzEnmt3ECggPpTcxk/0tkWcj/L5TfAAAA//8DAFBLAQIt&#10;ABQABgAIAAAAIQC2gziS/gAAAOEBAAATAAAAAAAAAAAAAAAAAAAAAABbQ29udGVudF9UeXBlc10u&#10;eG1sUEsBAi0AFAAGAAgAAAAhADj9If/WAAAAlAEAAAsAAAAAAAAAAAAAAAAALwEAAF9yZWxzLy5y&#10;ZWxzUEsBAi0AFAAGAAgAAAAhAOtxwKG1AQAAwwMAAA4AAAAAAAAAAAAAAAAALgIAAGRycy9lMm9E&#10;b2MueG1sUEsBAi0AFAAGAAgAAAAhAIZu/JLeAAAACgEAAA8AAAAAAAAAAAAAAAAADwQAAGRycy9k&#10;b3ducmV2LnhtbFBLBQYAAAAABAAEAPMAAAAaBQAAAAA=&#10;" strokecolor="#4579b8 [3044]"/>
            </w:pict>
          </mc:Fallback>
        </mc:AlternateContent>
      </w:r>
      <w:r>
        <w:rPr>
          <w:noProof/>
          <w:lang w:eastAsia="en-GB"/>
        </w:rPr>
        <w:drawing>
          <wp:inline distT="0" distB="0" distL="0" distR="0">
            <wp:extent cx="3028950" cy="1223963"/>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La Commission a fixé l’objectif de former la moitié des praticiens du droit actifs dans l’Union européenne (estimés à 700 000) d’ici à 2020. À cette fin, au moins 5 % des professionnels du droit de chaque État membre doivent être formés </w:t>
      </w:r>
      <w:r>
        <w:rPr>
          <w:rStyle w:val="Corpsdutexte"/>
          <w:rFonts w:ascii="Times New Roman" w:hAnsi="Times New Roman"/>
          <w:noProof/>
          <w:color w:val="000000"/>
          <w:lang w:val="fr-FR"/>
        </w:rPr>
        <w:t>chaque année jusqu’à cette échéance, que la formation soit dispensée au niveau local, national ou européen et par des acteurs locaux, nationaux ou européens</w:t>
      </w:r>
      <w:r>
        <w:rPr>
          <w:rStyle w:val="FootnoteReference"/>
          <w:noProof/>
          <w:lang w:val="fr-FR"/>
        </w:rPr>
        <w:footnoteReference w:id="36"/>
      </w:r>
      <w:r>
        <w:rPr>
          <w:rStyle w:val="Corpsdutexte"/>
          <w:rFonts w:ascii="Times New Roman" w:hAnsi="Times New Roman"/>
          <w:noProof/>
          <w:color w:val="000000"/>
          <w:lang w:val="fr-FR"/>
        </w:rPr>
        <w:t>.</w:t>
      </w:r>
      <w:r>
        <w:rPr>
          <w:rStyle w:val="Corpsdutexte"/>
          <w:rFonts w:ascii="Times New Roman" w:hAnsi="Times New Roman"/>
          <w:noProof/>
          <w:color w:val="000000"/>
          <w:vertAlign w:val="superscript"/>
          <w:lang w:val="fr-FR"/>
        </w:rPr>
        <w:t xml:space="preserve"> </w:t>
      </w:r>
      <w:r>
        <w:rPr>
          <w:rStyle w:val="Corpsdutexte"/>
          <w:rFonts w:ascii="Times New Roman" w:hAnsi="Times New Roman"/>
          <w:noProof/>
          <w:color w:val="000000"/>
          <w:lang w:val="fr-FR"/>
        </w:rPr>
        <w:t>Un rapport de la Commission de 2014 sur la formation judiciaire européenne a établi que cet objec</w:t>
      </w:r>
      <w:r>
        <w:rPr>
          <w:rStyle w:val="Corpsdutexte"/>
          <w:rFonts w:ascii="Times New Roman" w:hAnsi="Times New Roman"/>
          <w:noProof/>
          <w:color w:val="000000"/>
          <w:lang w:val="fr-FR"/>
        </w:rPr>
        <w:t xml:space="preserve">tif était atteint pour les magistrats en 2013 (cf. graphique du haut de la </w:t>
      </w:r>
      <w:r>
        <w:rPr>
          <w:rStyle w:val="Corpsdutexte"/>
          <w:rFonts w:ascii="Times New Roman" w:eastAsia="Times New Roman" w:hAnsi="Times New Roman"/>
          <w:noProof/>
          <w:color w:val="000000"/>
          <w:lang w:val="fr-FR"/>
        </w:rPr>
        <w:fldChar w:fldCharType="begin"/>
      </w:r>
      <w:r>
        <w:rPr>
          <w:rStyle w:val="Corpsdutexte"/>
          <w:rFonts w:ascii="Times New Roman" w:eastAsia="Times New Roman" w:hAnsi="Times New Roman"/>
          <w:noProof/>
          <w:color w:val="000000"/>
          <w:lang w:val="fr-FR"/>
        </w:rPr>
        <w:instrText xml:space="preserve"> REF _Ref456711661 \h  \* MERGEFORMAT </w:instrText>
      </w:r>
      <w:r>
        <w:rPr>
          <w:rStyle w:val="Corpsdutexte"/>
          <w:rFonts w:ascii="Times New Roman" w:eastAsia="Times New Roman" w:hAnsi="Times New Roman"/>
          <w:noProof/>
          <w:color w:val="000000"/>
          <w:lang w:val="fr-FR"/>
        </w:rPr>
      </w:r>
      <w:r>
        <w:rPr>
          <w:rStyle w:val="Corpsdutexte"/>
          <w:rFonts w:ascii="Times New Roman" w:eastAsia="Times New Roman" w:hAnsi="Times New Roman"/>
          <w:noProof/>
          <w:color w:val="000000"/>
          <w:lang w:val="fr-FR"/>
        </w:rPr>
        <w:fldChar w:fldCharType="separate"/>
      </w:r>
      <w:r w:rsidRPr="002A6CE7">
        <w:rPr>
          <w:rFonts w:ascii="Times New Roman" w:hAnsi="Times New Roman"/>
          <w:noProof/>
          <w:sz w:val="22"/>
          <w:szCs w:val="22"/>
          <w:lang w:val="fr-FR"/>
        </w:rPr>
        <w:t>Figure 2</w:t>
      </w:r>
      <w:r w:rsidRPr="002A6CE7">
        <w:rPr>
          <w:rFonts w:ascii="Times New Roman" w:hAnsi="Times New Roman"/>
          <w:noProof/>
          <w:sz w:val="22"/>
          <w:szCs w:val="22"/>
          <w:lang w:val="fr-FR"/>
        </w:rPr>
        <w:noBreakHyphen/>
        <w:t>2</w:t>
      </w:r>
      <w:r>
        <w:rPr>
          <w:rStyle w:val="Corpsdutexte"/>
          <w:rFonts w:ascii="Times New Roman" w:eastAsia="Times New Roman" w:hAnsi="Times New Roman"/>
          <w:noProof/>
          <w:color w:val="000000"/>
          <w:lang w:val="fr-FR"/>
        </w:rPr>
        <w:fldChar w:fldCharType="end"/>
      </w:r>
      <w:r>
        <w:rPr>
          <w:rStyle w:val="Corpsdutexte"/>
          <w:rFonts w:ascii="Times New Roman" w:hAnsi="Times New Roman"/>
          <w:noProof/>
          <w:color w:val="000000"/>
          <w:lang w:val="fr-FR"/>
        </w:rPr>
        <w:t>), tandis que l’objectif de formation annuelle des procureurs étai</w:t>
      </w:r>
      <w:r>
        <w:rPr>
          <w:rStyle w:val="Corpsdutexte"/>
          <w:rFonts w:ascii="Times New Roman" w:hAnsi="Times New Roman"/>
          <w:noProof/>
          <w:color w:val="000000"/>
          <w:lang w:val="fr-FR"/>
        </w:rPr>
        <w:t>t satisfait dans 19 États membres.</w:t>
      </w:r>
    </w:p>
    <w:p w:rsidR="00FC79B3" w:rsidRDefault="002A6CE7">
      <w:pPr>
        <w:pStyle w:val="Caption"/>
        <w:rPr>
          <w:noProof/>
          <w:lang w:val="fr-FR"/>
        </w:rPr>
      </w:pPr>
      <w:bookmarkStart w:id="32" w:name="_Ref456711661"/>
      <w:r>
        <w:rPr>
          <w:noProof/>
          <w:lang w:val="fr-FR"/>
        </w:rPr>
        <w:t>Figure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2</w:t>
      </w:r>
      <w:r>
        <w:rPr>
          <w:noProof/>
          <w:lang w:val="fr-FR"/>
        </w:rPr>
        <w:fldChar w:fldCharType="end"/>
      </w:r>
      <w:bookmarkEnd w:id="32"/>
      <w:r>
        <w:rPr>
          <w:noProof/>
          <w:lang w:val="fr-FR"/>
        </w:rPr>
        <w:t xml:space="preserve"> Nombre de magistrats et de procureurs ayant participé à une formation continue dans leur État membre et (pour les procureurs) dans un autre pays en 2013</w:t>
      </w:r>
    </w:p>
    <w:p w:rsidR="00FC79B3" w:rsidRDefault="002A6CE7">
      <w:pPr>
        <w:pStyle w:val="BodyText"/>
        <w:jc w:val="both"/>
        <w:rPr>
          <w:noProof/>
          <w:lang w:val="fr-FR"/>
        </w:rPr>
      </w:pP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539750</wp:posOffset>
                </wp:positionH>
                <wp:positionV relativeFrom="paragraph">
                  <wp:posOffset>2197735</wp:posOffset>
                </wp:positionV>
                <wp:extent cx="3742055" cy="0"/>
                <wp:effectExtent l="0" t="0" r="10795" b="19050"/>
                <wp:wrapNone/>
                <wp:docPr id="289" name="Straight Connector 289"/>
                <wp:cNvGraphicFramePr/>
                <a:graphic xmlns:a="http://schemas.openxmlformats.org/drawingml/2006/main">
                  <a:graphicData uri="http://schemas.microsoft.com/office/word/2010/wordprocessingShape">
                    <wps:wsp>
                      <wps:cNvCnPr/>
                      <wps:spPr>
                        <a:xfrm>
                          <a:off x="0" y="0"/>
                          <a:ext cx="3742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73.05pt" to="337.15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irugEAAMcDAAAOAAAAZHJzL2Uyb0RvYy54bWysU8GOEzEMvSPxD1HudKaFhWXU6R66gguC&#10;ioUPyGacTqQkjpzQTv8eJ21nESAhEBdPHPvZfi+e9d3knTgAJYuhl8tFKwUEjYMN+15+/fLuxa0U&#10;KaswKIcBenmCJO82z5+tj7GDFY7oBiDBRULqjrGXY86xa5qkR/AqLTBC4KBB8iqzS/tmIHXk6t41&#10;q7Z93RyRhkioISW+vT8H5abWNwZ0/mRMgixcL3m2XC1V+1hss1mrbk8qjlZfxlD/MIVXNnDTudS9&#10;ykp8I/tLKW81YUKTFxp9g8ZYDZUDs1m2P7F5GFWEyoXFSXGWKf2/svrjYUfCDr1c3b6VIijPj/SQ&#10;Sdn9mMUWQ2AJkUSJslbHmDqGbMOOLl6KOyrEJ0O+fJmSmKq+p1lfmLLQfPnyzatVe3Mjhb7Gmidg&#10;pJTfA3pRDr10NhTqqlOHDylzM069prBTBjm3rqd8clCSXfgMhulws2VF10WCrSNxULwCSmsIeVmo&#10;cL2aXWDGOjcD2z8DL/kFCnXJ/gY8I2pnDHkGexuQftc9T9eRzTn/qsCZd5HgEYdTfZQqDW9LZXjZ&#10;7LKOP/oV/vT/bb4DAAD//wMAUEsDBBQABgAIAAAAIQDhjeD34QAAAAoBAAAPAAAAZHJzL2Rvd25y&#10;ZXYueG1sTI9RS8NAEITfhf6HYwu+iL3UJmmIuZQqlD6oiE1/wDW3JqG5vZC7pKm/3hMEfZydYfab&#10;bDPplo3Y28aQgOUiAIZUGtVQJeBY7O4TYNZJUrI1hAKuaGGTz24ymSpzoQ8cD65ivoRsKgXUznUp&#10;57asUUu7MB2S9z5Nr6Xzsq+46uXFl+uWPwRBzLVsyH+oZYfPNZbnw6AF7HdP+BJdhypU0b64G4vX&#10;t6/3RIjb+bR9BOZwcn9h+MH36JB7ppMZSFnWCkgiP8UJWIXxEpgPxOtwBez0e+F5xv9PyL8BAAD/&#10;/wMAUEsBAi0AFAAGAAgAAAAhALaDOJL+AAAA4QEAABMAAAAAAAAAAAAAAAAAAAAAAFtDb250ZW50&#10;X1R5cGVzXS54bWxQSwECLQAUAAYACAAAACEAOP0h/9YAAACUAQAACwAAAAAAAAAAAAAAAAAvAQAA&#10;X3JlbHMvLnJlbHNQSwECLQAUAAYACAAAACEAAUUoq7oBAADHAwAADgAAAAAAAAAAAAAAAAAuAgAA&#10;ZHJzL2Uyb0RvYy54bWxQSwECLQAUAAYACAAAACEA4Y3g9+EAAAAKAQAADwAAAAAAAAAAAAAAAAAU&#10;BAAAZHJzL2Rvd25yZXYueG1sUEsFBgAAAAAEAAQA8wAAACIFAAAAAA==&#10;" strokecolor="#4579b8 [3044]"/>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660400</wp:posOffset>
                </wp:positionH>
                <wp:positionV relativeFrom="paragraph">
                  <wp:posOffset>2046605</wp:posOffset>
                </wp:positionV>
                <wp:extent cx="3552825" cy="189230"/>
                <wp:effectExtent l="0" t="0" r="9525" b="12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89230"/>
                        </a:xfrm>
                        <a:prstGeom prst="rect">
                          <a:avLst/>
                        </a:prstGeom>
                        <a:solidFill>
                          <a:srgbClr val="FFFFFF"/>
                        </a:solidFill>
                        <a:ln w="9525">
                          <a:noFill/>
                          <a:miter lim="800000"/>
                          <a:headEnd/>
                          <a:tailEnd/>
                        </a:ln>
                      </wps:spPr>
                      <wps:txbx>
                        <w:txbxContent>
                          <w:p w:rsidR="00FC79B3" w:rsidRDefault="002A6CE7">
                            <w:pPr>
                              <w:tabs>
                                <w:tab w:val="left" w:pos="284"/>
                              </w:tabs>
                              <w:ind w:left="284" w:hanging="284"/>
                              <w:rPr>
                                <w:rFonts w:ascii="Times New Roman Bold" w:hAnsi="Times New Roman Bold"/>
                                <w:color w:val="C00000"/>
                                <w:sz w:val="10"/>
                                <w:szCs w:val="16"/>
                                <w:lang w:val="fr-FR"/>
                              </w:rPr>
                            </w:pPr>
                            <w:r>
                              <w:rPr>
                                <w:rFonts w:ascii="Times New Roman Bold" w:hAnsi="Times New Roman Bold"/>
                                <w:b/>
                                <w:color w:val="C00000"/>
                                <w:sz w:val="10"/>
                                <w:lang w:val="fr-FR"/>
                              </w:rPr>
                              <w:t xml:space="preserve">5 % </w:t>
                            </w:r>
                            <w:r>
                              <w:rPr>
                                <w:rFonts w:ascii="Times New Roman Bold" w:hAnsi="Times New Roman Bold"/>
                                <w:b/>
                                <w:color w:val="C00000"/>
                                <w:sz w:val="10"/>
                                <w:lang w:val="fr-FR"/>
                              </w:rPr>
                              <w:t>minimum requis chaque année pour atteindre l'objectif de former d'ici 2020 la moitié des praticiens du droit de l'UE</w:t>
                            </w:r>
                          </w:p>
                          <w:p w:rsidR="00FC79B3" w:rsidRDefault="002A6CE7">
                            <w:pPr>
                              <w:rPr>
                                <w:rFonts w:asciiTheme="minorHAnsi" w:hAnsiTheme="minorHAnsi"/>
                                <w:b/>
                                <w:color w:val="404040" w:themeColor="text1" w:themeTint="BF"/>
                                <w:sz w:val="14"/>
                                <w:szCs w:val="16"/>
                                <w:lang w:val="fr-FR"/>
                              </w:rPr>
                            </w:pPr>
                            <w:r>
                              <w:rPr>
                                <w:rFonts w:asciiTheme="minorHAnsi" w:hAnsiTheme="minorHAnsi"/>
                                <w:b/>
                                <w:color w:val="404040" w:themeColor="text1" w:themeTint="BF"/>
                                <w:sz w:val="14"/>
                                <w:szCs w:val="16"/>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pt;margin-top:161.15pt;width:279.75pt;height:1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WcHwIAABwEAAAOAAAAZHJzL2Uyb0RvYy54bWysU9tuGyEQfa/Uf0C812tv7NZeeR2lTl1V&#10;Si9S0g9ggfWiAkMBezf9+gys41jpW1UeEMPMHM6cGdbXg9HkKH1QYGs6m0wpkZaDUHZf058Pu3dL&#10;SkJkVjANVtb0UQZ6vXn7Zt27SpbQgRbSEwSxoepdTbsYXVUUgXfSsDABJy06W/CGRTT9vhCe9Yhu&#10;dFFOp++LHrxwHrgMAW9vRyfdZPy2lTx+b9sgI9E1RW4x7z7vTdqLzZpVe89cp/iJBvsHFoYpi4+e&#10;oW5ZZOTg1V9QRnEPAdo44WAKaFvFZa4Bq5lNX1Vz3zEncy0oTnBnmcL/g+Xfjj88UaKmZUmJZQZ7&#10;9CCHSD7CQMokT+9ChVH3DuPigNfY5lxqcHfAfwViYdsxu5c33kPfSSaQ3ixlFhepI05IIE3/FQQ+&#10;ww4RMtDQepO0QzUIomObHs+tSVQ4Xl4tFuWyXFDC0Tdbrsqr3LuCVc/Zzof4WYIh6VBTj63P6Ox4&#10;F2Jiw6rnkPRYAK3ETmmdDb9vttqTI8Mx2eWVC3gVpi3pa7paII+UZSHl5wkyKuIYa2VqupymNQ5W&#10;UuOTFTkkMqXHMzLR9iRPUmTUJg7NgIFJswbEIwrlYRxX/F546MD/oaTHUa1p+H1gXlKiv1gUezWb&#10;z9NsZ2O++FCi4S89zaWHWY5QNY2UjMdtzP9hrOgGm9KqrNcLkxNXHMEs4+m7pBm/tHPUy6fePAEA&#10;AP//AwBQSwMEFAAGAAgAAAAhALQdcIHfAAAACwEAAA8AAABkcnMvZG93bnJldi54bWxMj8FOwzAQ&#10;RO9I/IO1SFwQdZo0KU3jVIAE4trSD9jEbhIRr6PYbdK/ZznR48yOZt8Uu9n24mJG3zlSsFxEIAzV&#10;TnfUKDh+fzy/gPABSWPvyCi4Gg+78v6uwFy7ifbmcgiN4BLyOSpoQxhyKX3dGot+4QZDfDu50WJg&#10;OTZSjzhxue1lHEWZtNgRf2hxMO+tqX8OZ6vg9DU9pZup+gzH9X6VvWG3rtxVqceH+XULIpg5/Ifh&#10;D5/RoWSmyp1Je9Gzjla8JShI4jgBwYksS1IQFTtpvARZFvJ2Q/kLAAD//wMAUEsBAi0AFAAGAAgA&#10;AAAhALaDOJL+AAAA4QEAABMAAAAAAAAAAAAAAAAAAAAAAFtDb250ZW50X1R5cGVzXS54bWxQSwEC&#10;LQAUAAYACAAAACEAOP0h/9YAAACUAQAACwAAAAAAAAAAAAAAAAAvAQAAX3JlbHMvLnJlbHNQSwEC&#10;LQAUAAYACAAAACEAt2PVnB8CAAAcBAAADgAAAAAAAAAAAAAAAAAuAgAAZHJzL2Uyb0RvYy54bWxQ&#10;SwECLQAUAAYACAAAACEAtB1wgd8AAAALAQAADwAAAAAAAAAAAAAAAAB5BAAAZHJzL2Rvd25yZXYu&#10;eG1sUEsFBgAAAAAEAAQA8wAAAIUFAAAAAA==&#10;" stroked="f">
                <v:textbox>
                  <w:txbxContent>
                    <w:p>
                      <w:pPr>
                        <w:tabs>
                          <w:tab w:val="left" w:pos="284"/>
                        </w:tabs>
                        <w:ind w:left="284" w:hanging="284"/>
                        <w:rPr>
                          <w:rFonts w:ascii="Times New Roman Bold" w:hAnsi="Times New Roman Bold"/>
                          <w:color w:val="C00000"/>
                          <w:sz w:val="10"/>
                          <w:szCs w:val="16"/>
                          <w:lang w:val="fr-FR"/>
                        </w:rPr>
                      </w:pPr>
                      <w:r>
                        <w:rPr>
                          <w:rFonts w:ascii="Times New Roman Bold" w:hAnsi="Times New Roman Bold"/>
                          <w:b/>
                          <w:color w:val="C00000"/>
                          <w:sz w:val="10"/>
                          <w:lang w:val="fr-FR"/>
                        </w:rPr>
                        <w:t>5 % minimum requis chaque année pour atteindre l'objectif de former d'ici 2020 la moitié des praticiens du droit de l'UE</w:t>
                      </w:r>
                    </w:p>
                    <w:p>
                      <w:pPr>
                        <w:rPr>
                          <w:rFonts w:asciiTheme="minorHAnsi" w:hAnsiTheme="minorHAnsi"/>
                          <w:b/>
                          <w:color w:val="404040" w:themeColor="text1" w:themeTint="BF"/>
                          <w:sz w:val="14"/>
                          <w:szCs w:val="16"/>
                          <w:lang w:val="fr-FR"/>
                        </w:rPr>
                      </w:pPr>
                      <w:r>
                        <w:rPr>
                          <w:rFonts w:asciiTheme="minorHAnsi" w:hAnsiTheme="minorHAnsi"/>
                          <w:b/>
                          <w:color w:val="404040" w:themeColor="text1" w:themeTint="BF"/>
                          <w:sz w:val="14"/>
                          <w:szCs w:val="16"/>
                          <w:lang w:val="fr-FR"/>
                        </w:rPr>
                        <w:t xml:space="preserve">        </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885190</wp:posOffset>
                </wp:positionH>
                <wp:positionV relativeFrom="paragraph">
                  <wp:posOffset>3275965</wp:posOffset>
                </wp:positionV>
                <wp:extent cx="3173730" cy="224155"/>
                <wp:effectExtent l="0" t="0" r="7620" b="444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224155"/>
                        </a:xfrm>
                        <a:prstGeom prst="rect">
                          <a:avLst/>
                        </a:prstGeom>
                        <a:solidFill>
                          <a:srgbClr val="FFFFFF"/>
                        </a:solidFill>
                        <a:ln w="9525">
                          <a:noFill/>
                          <a:miter lim="800000"/>
                          <a:headEnd/>
                          <a:tailEnd/>
                        </a:ln>
                      </wps:spPr>
                      <wps:txbx>
                        <w:txbxContent>
                          <w:p w:rsidR="00FC79B3" w:rsidRDefault="002A6CE7">
                            <w:pPr>
                              <w:tabs>
                                <w:tab w:val="left" w:pos="284"/>
                              </w:tabs>
                              <w:ind w:left="284" w:hanging="284"/>
                              <w:rPr>
                                <w:rFonts w:asciiTheme="minorHAnsi" w:hAnsiTheme="minorHAnsi"/>
                                <w:color w:val="404040" w:themeColor="text1" w:themeTint="BF"/>
                                <w:sz w:val="12"/>
                                <w:szCs w:val="16"/>
                                <w:lang w:val="fr-FR"/>
                              </w:rPr>
                            </w:pPr>
                            <w:r>
                              <w:rPr>
                                <w:b/>
                                <w:sz w:val="12"/>
                                <w:lang w:val="fr-FR"/>
                              </w:rPr>
                              <w:t xml:space="preserve"> </w:t>
                            </w:r>
                            <w:r>
                              <w:rPr>
                                <w:b/>
                                <w:color w:val="C00000"/>
                                <w:sz w:val="12"/>
                                <w:lang w:val="fr-FR"/>
                              </w:rPr>
                              <w:sym w:font="Wingdings 2" w:char="F0A1"/>
                            </w:r>
                            <w:r>
                              <w:rPr>
                                <w:b/>
                                <w:sz w:val="12"/>
                                <w:lang w:val="fr-FR"/>
                              </w:rPr>
                              <w:tab/>
                            </w:r>
                            <w:r>
                              <w:rPr>
                                <w:rFonts w:asciiTheme="minorHAnsi" w:hAnsiTheme="minorHAnsi"/>
                                <w:b/>
                                <w:color w:val="404040" w:themeColor="text1" w:themeTint="BF"/>
                                <w:sz w:val="12"/>
                                <w:szCs w:val="16"/>
                                <w:lang w:val="fr-FR"/>
                              </w:rPr>
                              <w:t>Pourcentage de procureurs ayant participé à une formation continue sur le droit de l'UE</w:t>
                            </w:r>
                          </w:p>
                          <w:p w:rsidR="00FC79B3" w:rsidRDefault="002A6CE7">
                            <w:pPr>
                              <w:rPr>
                                <w:rFonts w:asciiTheme="minorHAnsi" w:hAnsiTheme="minorHAnsi"/>
                                <w:b/>
                                <w:color w:val="404040" w:themeColor="text1" w:themeTint="BF"/>
                                <w:sz w:val="14"/>
                                <w:szCs w:val="16"/>
                                <w:lang w:val="fr-FR"/>
                              </w:rPr>
                            </w:pPr>
                            <w:r>
                              <w:rPr>
                                <w:rFonts w:asciiTheme="minorHAnsi" w:hAnsiTheme="minorHAnsi"/>
                                <w:b/>
                                <w:color w:val="404040" w:themeColor="text1" w:themeTint="BF"/>
                                <w:sz w:val="14"/>
                                <w:szCs w:val="16"/>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9.7pt;margin-top:257.95pt;width:249.9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RsIgIAACMEAAAOAAAAZHJzL2Uyb0RvYy54bWysU9uO2yAQfa/Uf0C8N46dpNlYcVbbbFNV&#10;2l6k3X4AxjhGBYYCiZ1+fQeczabtW1UeEMPMHM6cGda3g1bkKJyXYCqaT6aUCMOhkWZf0W9Puzc3&#10;lPjATMMUGFHRk/D0dvP61bq3pSigA9UIRxDE+LK3Fe1CsGWWed4JzfwErDDobMFpFtB0+6xxrEd0&#10;rbJiOn2b9eAa64AL7/H2fnTSTcJvW8HDl7b1IhBVUeQW0u7SXsc926xZuXfMdpKfabB/YKGZNPjo&#10;BeqeBUYOTv4FpSV34KENEw46g7aVXKQasJp8+kc1jx2zItWC4nh7kcn/P1j++fjVEdlg71aUGKax&#10;R09iCOQdDKSI8vTWlxj1aDEuDHiNoalUbx+Af/fEwLZjZi/unIO+E6xBennMzK5SRxwfQer+EzT4&#10;DDsESEBD63TUDtUgiI5tOl1aE6lwvJzly9lyhi6OvqKY54tFeoKVz9nW+fBBgCbxUFGHrU/o7Pjg&#10;Q2TDyueQ+JgHJZudVCoZbl9vlSNHhmOyS+uM/luYMqSv6GpRLBKygZifJkjLgGOspK7ozTSumM7K&#10;qMZ706RzYFKNZ2SizFmeqMioTRjqYWxEzI3S1dCcUC8H49TiL8NDB+4nJT1ObEX9jwNzghL10aDm&#10;q3w+jyOejPliWaDhrj31tYcZjlAVDZSMx21I3yLSNnCHvWllku2FyZkyTmJS8/xr4qhf2ynq5W9v&#10;fgEAAP//AwBQSwMEFAAGAAgAAAAhAHNIiUDfAAAACwEAAA8AAABkcnMvZG93bnJldi54bWxMj8FO&#10;g0AQhu8mvsNmTLwYu0ALFWRp1ETjtbUPMLBTILK7hN0W+vaOJz3+M1/++abcLWYQF5p876yCeBWB&#10;INs43dtWwfHr/fEJhA9oNQ7OkoIredhVtzclFtrNdk+XQ2gFl1hfoIIuhLGQ0jcdGfQrN5Ll3clN&#10;BgPHqZV6wpnLzSCTKMqkwd7yhQ5Heuuo+T6cjYLT5/yQ5nP9EY7b/SZ7xX5bu6tS93fLyzOIQEv4&#10;g+FXn9WhYqfana32YuC8zjeMKkjjNAfBRLbOExA1T9I4AVmV8v8P1Q8AAAD//wMAUEsBAi0AFAAG&#10;AAgAAAAhALaDOJL+AAAA4QEAABMAAAAAAAAAAAAAAAAAAAAAAFtDb250ZW50X1R5cGVzXS54bWxQ&#10;SwECLQAUAAYACAAAACEAOP0h/9YAAACUAQAACwAAAAAAAAAAAAAAAAAvAQAAX3JlbHMvLnJlbHNQ&#10;SwECLQAUAAYACAAAACEAG3SkbCICAAAjBAAADgAAAAAAAAAAAAAAAAAuAgAAZHJzL2Uyb0RvYy54&#10;bWxQSwECLQAUAAYACAAAACEAc0iJQN8AAAALAQAADwAAAAAAAAAAAAAAAAB8BAAAZHJzL2Rvd25y&#10;ZXYueG1sUEsFBgAAAAAEAAQA8wAAAIgFAAAAAA==&#10;" stroked="f">
                <v:textbox>
                  <w:txbxContent>
                    <w:p>
                      <w:pPr>
                        <w:tabs>
                          <w:tab w:val="left" w:pos="284"/>
                        </w:tabs>
                        <w:ind w:left="284" w:hanging="284"/>
                        <w:rPr>
                          <w:rFonts w:asciiTheme="minorHAnsi" w:hAnsiTheme="minorHAnsi"/>
                          <w:color w:val="404040" w:themeColor="text1" w:themeTint="BF"/>
                          <w:sz w:val="12"/>
                          <w:szCs w:val="16"/>
                          <w:lang w:val="fr-FR"/>
                        </w:rPr>
                      </w:pPr>
                      <w:r>
                        <w:rPr>
                          <w:b/>
                          <w:sz w:val="12"/>
                          <w:lang w:val="fr-FR"/>
                        </w:rPr>
                        <w:t xml:space="preserve"> </w:t>
                      </w:r>
                      <w:r>
                        <w:rPr>
                          <w:b/>
                          <w:color w:val="C00000"/>
                          <w:sz w:val="12"/>
                          <w:lang w:val="fr-FR"/>
                        </w:rPr>
                        <w:sym w:font="Wingdings 2" w:char="F0A1"/>
                      </w:r>
                      <w:r>
                        <w:rPr>
                          <w:b/>
                          <w:sz w:val="12"/>
                          <w:lang w:val="fr-FR"/>
                        </w:rPr>
                        <w:tab/>
                      </w:r>
                      <w:r>
                        <w:rPr>
                          <w:rFonts w:asciiTheme="minorHAnsi" w:hAnsiTheme="minorHAnsi"/>
                          <w:b/>
                          <w:color w:val="404040" w:themeColor="text1" w:themeTint="BF"/>
                          <w:sz w:val="12"/>
                          <w:szCs w:val="16"/>
                          <w:lang w:val="fr-FR"/>
                        </w:rPr>
                        <w:t>Pourcentage de procureurs ayant participé à une formation continue sur le droit de l'UE</w:t>
                      </w:r>
                    </w:p>
                    <w:p>
                      <w:pPr>
                        <w:rPr>
                          <w:rFonts w:asciiTheme="minorHAnsi" w:hAnsiTheme="minorHAnsi"/>
                          <w:b/>
                          <w:color w:val="404040" w:themeColor="text1" w:themeTint="BF"/>
                          <w:sz w:val="14"/>
                          <w:szCs w:val="16"/>
                          <w:lang w:val="fr-FR"/>
                        </w:rPr>
                      </w:pPr>
                      <w:r>
                        <w:rPr>
                          <w:rFonts w:asciiTheme="minorHAnsi" w:hAnsiTheme="minorHAnsi"/>
                          <w:b/>
                          <w:color w:val="404040" w:themeColor="text1" w:themeTint="BF"/>
                          <w:sz w:val="14"/>
                          <w:szCs w:val="16"/>
                          <w:lang w:val="fr-FR"/>
                        </w:rPr>
                        <w:t xml:space="preserve">        </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521335</wp:posOffset>
                </wp:positionH>
                <wp:positionV relativeFrom="paragraph">
                  <wp:posOffset>3422650</wp:posOffset>
                </wp:positionV>
                <wp:extent cx="3760470" cy="0"/>
                <wp:effectExtent l="0" t="0" r="11430" b="19050"/>
                <wp:wrapNone/>
                <wp:docPr id="29" name="Straight Connector 29"/>
                <wp:cNvGraphicFramePr/>
                <a:graphic xmlns:a="http://schemas.openxmlformats.org/drawingml/2006/main">
                  <a:graphicData uri="http://schemas.microsoft.com/office/word/2010/wordprocessingShape">
                    <wps:wsp>
                      <wps:cNvCnPr/>
                      <wps:spPr>
                        <a:xfrm>
                          <a:off x="0" y="0"/>
                          <a:ext cx="3760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5pt,269.5pt" to="337.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oEuQEAAMUDAAAOAAAAZHJzL2Uyb0RvYy54bWysU8GOEzEMvSPxD1HudKYF7cKo0z10BRcE&#10;Fbt8QDbjdCIlceSETvv3OGk7iwAJgbh44tjP9nvxrO+O3okDULIYerlctFJA0DjYsO/l18f3r95K&#10;kbIKg3IYoJcnSPJu8/LFeoodrHBENwAJLhJSN8VejjnHrmmSHsGrtMAIgYMGyavMLu2bgdTE1b1r&#10;Vm1700xIQyTUkBLf3p+DclPrGwM6fzYmQRaulzxbrpaqfSq22axVtycVR6svY6h/mMIrG7jpXOpe&#10;ZSW+kf2llLeaMKHJC42+QWOshsqB2Szbn9g8jCpC5cLipDjLlP5fWf3psCNhh16u3kkRlOc3esik&#10;7H7MYoshsIJIgoOs1BRTx4Bt2NHFS3FHhfbRkC9fJiSOVd3TrC4cs9B8+fr2pn1zy4+gr7HmGRgp&#10;5Q+AXpRDL50Nhbjq1OFjytyMU68p7JRBzq3rKZ8clGQXvoBhMtxsWdF1jWDrSBwUL4DSGkJeFipc&#10;r2YXmLHOzcD2z8BLfoFCXbG/Ac+I2hlDnsHeBqTfdc/H68jmnH9V4My7SPCEw6k+SpWGd6UyvOx1&#10;WcYf/Qp//vs23wEAAP//AwBQSwMEFAAGAAgAAAAhAAJJIrvgAAAACgEAAA8AAABkcnMvZG93bnJl&#10;di54bWxMj91Kw0AQRu8F32EZwRuxm/6kxphNUaH0QkVsfIBtdkyC2dmQ3aSpT+8Igl7OzOGb82Wb&#10;ybZixN43jhTMZxEIpNKZhioF78X2OgHhgyajW0eo4IQeNvn5WaZT4470huM+VIJDyKdaQR1Cl0rp&#10;yxqt9jPXIfHtw/VWBx77SppeHznctnIRRWtpdUP8odYdPtZYfu4Hq2C3fcCn+DRUKxPviquxeH75&#10;ek2UuryY7u9ABJzCHww/+qwOOTsd3EDGi1ZBspgzqSBe3nInBtY3qyWIw+9G5pn8XyH/BgAA//8D&#10;AFBLAQItABQABgAIAAAAIQC2gziS/gAAAOEBAAATAAAAAAAAAAAAAAAAAAAAAABbQ29udGVudF9U&#10;eXBlc10ueG1sUEsBAi0AFAAGAAgAAAAhADj9If/WAAAAlAEAAAsAAAAAAAAAAAAAAAAALwEAAF9y&#10;ZWxzLy5yZWxzUEsBAi0AFAAGAAgAAAAhAJXpmgS5AQAAxQMAAA4AAAAAAAAAAAAAAAAALgIAAGRy&#10;cy9lMm9Eb2MueG1sUEsBAi0AFAAGAAgAAAAhAAJJIrvgAAAACgEAAA8AAAAAAAAAAAAAAAAAEwQA&#10;AGRycy9kb3ducmV2LnhtbFBLBQYAAAAABAAEAPMAAAAgBQAAAAA=&#10;" strokecolor="#4579b8 [3044]"/>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527050</wp:posOffset>
                </wp:positionH>
                <wp:positionV relativeFrom="paragraph">
                  <wp:posOffset>1998980</wp:posOffset>
                </wp:positionV>
                <wp:extent cx="37433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57.4pt" to="336.2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0nuQEAAMUDAAAOAAAAZHJzL2Uyb0RvYy54bWysU02PEzEMvSPxH6Lc6UxbvjTqdA9dwQVB&#10;xcIPyGacTqQkjpzQTv89TtrOIkBCIC6eOPaz/V48m7vJO3EEShZDL5eLVgoIGgcbDr38+uXdi7dS&#10;pKzCoBwG6OUZkrzbPn+2OcUOVjiiG4AEFwmpO8VejjnHrmmSHsGrtMAIgYMGyavMLh2agdSJq3vX&#10;rNr2dXNCGiKhhpT49v4SlNta3xjQ+ZMxCbJwveTZcrVU7WOxzXajugOpOFp9HUP9wxRe2cBN51L3&#10;KivxjewvpbzVhAlNXmj0DRpjNVQOzGbZ/sTmYVQRKhcWJ8VZpvT/yuqPxz0JO/RytZYiKM9v9JBJ&#10;2cOYxQ5DYAWRBAdZqVNMHQN2YU9XL8U9FdqTIV++TEhMVd3zrC5MWWi+XL95uV6vXkmhb7HmCRgp&#10;5feAXpRDL50Nhbjq1PFDytyMU28p7JRBLq3rKZ8dlGQXPoNhMtxsWdF1jWDnSBwVL4DSGkJeFipc&#10;r2YXmLHOzcD2z8BrfoFCXbG/Ac+I2hlDnsHeBqTfdc/TbWRzyb8pcOFdJHjE4VwfpUrDu1IZXve6&#10;LOOPfoU//X3b7wAAAP//AwBQSwMEFAAGAAgAAAAhAPVmHmXgAAAACgEAAA8AAABkcnMvZG93bnJl&#10;di54bWxMj91Kw0AQRu8F32EZwRuxm/6khphNUaH0worY+ADb7JgEs7Mhu0lTn94RBL2cmY9vzsk2&#10;k23FiL1vHCmYzyIQSKUzDVUK3ovtbQLCB01Gt45QwRk9bPLLi0ynxp3oDcdDqASXkE+1gjqELpXS&#10;lzVa7WeuQ+Lbh+utDjz2lTS9PnG5beUiitbS6ob4Q607fKqx/DwMVsFu+4jP8XmoVibeFTdjsX/5&#10;ek2Uur6aHu5BBJzCXxh+8BkdcmY6uoGMF62CZMkqQcFyvmIFDqzvFjGI4+9G5pn8r5B/AwAA//8D&#10;AFBLAQItABQABgAIAAAAIQC2gziS/gAAAOEBAAATAAAAAAAAAAAAAAAAAAAAAABbQ29udGVudF9U&#10;eXBlc10ueG1sUEsBAi0AFAAGAAgAAAAhADj9If/WAAAAlAEAAAsAAAAAAAAAAAAAAAAALwEAAF9y&#10;ZWxzLy5yZWxzUEsBAi0AFAAGAAgAAAAhAPZyPSe5AQAAxQMAAA4AAAAAAAAAAAAAAAAALgIAAGRy&#10;cy9lMm9Eb2MueG1sUEsBAi0AFAAGAAgAAAAhAPVmHmXgAAAACgEAAA8AAAAAAAAAAAAAAAAAEwQA&#10;AGRycy9kb3ducmV2LnhtbFBLBQYAAAAABAAEAPMAAAAgBQAAAAA=&#10;" strokecolor="#4579b8 [3044]"/>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1316559</wp:posOffset>
                </wp:positionH>
                <wp:positionV relativeFrom="paragraph">
                  <wp:posOffset>1610935</wp:posOffset>
                </wp:positionV>
                <wp:extent cx="2769079" cy="4226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079" cy="422694"/>
                        </a:xfrm>
                        <a:prstGeom prst="rect">
                          <a:avLst/>
                        </a:prstGeom>
                        <a:solidFill>
                          <a:srgbClr val="FFFFFF"/>
                        </a:solidFill>
                        <a:ln w="9525">
                          <a:noFill/>
                          <a:miter lim="800000"/>
                          <a:headEnd/>
                          <a:tailEnd/>
                        </a:ln>
                      </wps:spPr>
                      <wps:txbx>
                        <w:txbxContent>
                          <w:p w:rsidR="00FC79B3" w:rsidRDefault="002A6CE7">
                            <w:pPr>
                              <w:tabs>
                                <w:tab w:val="left" w:pos="284"/>
                              </w:tabs>
                              <w:ind w:left="284" w:hanging="284"/>
                              <w:rPr>
                                <w:rFonts w:asciiTheme="minorHAnsi" w:hAnsiTheme="minorHAnsi"/>
                                <w:b/>
                                <w:color w:val="404040" w:themeColor="text1" w:themeTint="BF"/>
                                <w:sz w:val="14"/>
                                <w:szCs w:val="16"/>
                                <w:lang w:val="fr-FR"/>
                              </w:rPr>
                            </w:pPr>
                            <w:r>
                              <w:rPr>
                                <w:b/>
                                <w:sz w:val="14"/>
                                <w:lang w:val="fr-FR"/>
                              </w:rPr>
                              <w:t xml:space="preserve"> </w:t>
                            </w:r>
                            <w:r>
                              <w:rPr>
                                <w:b/>
                                <w:sz w:val="14"/>
                                <w:lang w:val="fr-FR"/>
                              </w:rPr>
                              <w:sym w:font="Wingdings 2" w:char="F0A1"/>
                            </w:r>
                            <w:r>
                              <w:rPr>
                                <w:b/>
                                <w:sz w:val="14"/>
                                <w:lang w:val="fr-FR"/>
                              </w:rPr>
                              <w:tab/>
                            </w:r>
                            <w:r>
                              <w:rPr>
                                <w:rFonts w:asciiTheme="minorHAnsi" w:hAnsiTheme="minorHAnsi"/>
                                <w:b/>
                                <w:color w:val="404040" w:themeColor="text1" w:themeTint="BF"/>
                                <w:sz w:val="14"/>
                                <w:szCs w:val="16"/>
                                <w:lang w:val="fr-FR"/>
                              </w:rPr>
                              <w:t>Pourcentage de magi</w:t>
                            </w:r>
                            <w:r>
                              <w:rPr>
                                <w:rFonts w:asciiTheme="minorHAnsi" w:hAnsiTheme="minorHAnsi"/>
                                <w:b/>
                                <w:color w:val="404040" w:themeColor="text1" w:themeTint="BF"/>
                                <w:sz w:val="14"/>
                                <w:szCs w:val="16"/>
                                <w:lang w:val="fr-FR"/>
                              </w:rPr>
                              <w:t>strats ayant participé à une formation continue sur le droit de l'UE</w:t>
                            </w:r>
                          </w:p>
                          <w:p w:rsidR="00FC79B3" w:rsidRDefault="002A6CE7">
                            <w:pPr>
                              <w:rPr>
                                <w:rFonts w:asciiTheme="minorHAnsi" w:hAnsiTheme="minorHAnsi"/>
                                <w:b/>
                                <w:color w:val="404040" w:themeColor="text1" w:themeTint="BF"/>
                                <w:sz w:val="14"/>
                                <w:szCs w:val="16"/>
                                <w:lang w:val="fr-FR"/>
                              </w:rPr>
                            </w:pPr>
                            <w:r>
                              <w:rPr>
                                <w:rFonts w:asciiTheme="minorHAnsi" w:hAnsiTheme="minorHAnsi"/>
                                <w:b/>
                                <w:color w:val="404040" w:themeColor="text1" w:themeTint="BF"/>
                                <w:sz w:val="14"/>
                                <w:szCs w:val="16"/>
                                <w:lang w:val="fr-FR"/>
                              </w:rPr>
                              <w:t xml:space="preserve">        * FR dont procureurs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3.65pt;margin-top:126.85pt;width:218.05pt;height: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kSJAIAACQEAAAOAAAAZHJzL2Uyb0RvYy54bWysU9uO2yAQfa/Uf0C8N3bcXDZWnNU221SV&#10;thdptx+AMY5RgaFAYqdfvwPOpmn7VpUHxDAzhzNnhvXtoBU5CuclmIpOJzklwnBopNlX9NvT7s0N&#10;JT4w0zAFRlT0JDy93bx+te5tKQroQDXCEQQxvuxtRbsQbJllnndCMz8BKww6W3CaBTTdPmsc6xFd&#10;q6zI80XWg2usAy68x9v70Uk3Cb9tBQ9f2taLQFRFkVtIu0t7Hfdss2bl3jHbSX6mwf6BhWbS4KMX&#10;qHsWGDk4+ReUltyBhzZMOOgM2lZykWrAaqb5H9U8dsyKVAuK4+1FJv//YPnn41dHZFPRt/mSEsM0&#10;NulJDIG8g4EUUZ/e+hLDHi0GhgGvsc+pVm8fgH/3xMC2Y2Yv7pyDvhOsQX7TmJldpY44PoLU/Sdo&#10;8Bl2CJCAhtbpKB7KQRAd+3S69CZS4XhZLBerfLmihKNvVhSL1Sw9wcqXbOt8+CBAk3ioqMPeJ3R2&#10;fPAhsmHlS0h8zIOSzU4qlQy3r7fKkSPDOdmldUb/LUwZ0ld0NS/mCdlAzE8jpGXAOVZSV/Qmjyum&#10;szKq8d406RyYVOMZmShzlicqMmoThnpInbioXkNzQr0cjGOL3wwPHbiflPQ4shX1Pw7MCUrUR4Oa&#10;r6azWZzxZMzmywINd+2prz3McISqaKBkPG5D+heRtoE77E0rk2yxiSOTM2UcxaTm+dvEWb+2U9Sv&#10;z715BgAA//8DAFBLAwQUAAYACAAAACEA9huAIOAAAAALAQAADwAAAGRycy9kb3ducmV2LnhtbEyP&#10;QU7DMBBF90jcwRokNojaxGnShjgVIIHYtvQAk9hNImI7it0mvT3DCnYzmqc/75e7xQ7sYqbQe6fg&#10;aSWAGdd43btWwfHr/XEDLER0GgfvjIKrCbCrbm9KLLSf3d5cDrFlFOJCgQq6GMeC89B0xmJY+dE4&#10;up38ZDHSOrVcTzhTuB14IkTGLfaOPnQ4mrfONN+Hs1Vw+pwf1tu5/ojHfJ9mr9jntb8qdX+3vDwD&#10;i2aJfzD86pM6VORU+7PTgQ0KEpFLQmlYyxwYEVkqU2C1ApkICbwq+f8O1Q8AAAD//wMAUEsBAi0A&#10;FAAGAAgAAAAhALaDOJL+AAAA4QEAABMAAAAAAAAAAAAAAAAAAAAAAFtDb250ZW50X1R5cGVzXS54&#10;bWxQSwECLQAUAAYACAAAACEAOP0h/9YAAACUAQAACwAAAAAAAAAAAAAAAAAvAQAAX3JlbHMvLnJl&#10;bHNQSwECLQAUAAYACAAAACEA2Uz5EiQCAAAkBAAADgAAAAAAAAAAAAAAAAAuAgAAZHJzL2Uyb0Rv&#10;Yy54bWxQSwECLQAUAAYACAAAACEA9huAIOAAAAALAQAADwAAAAAAAAAAAAAAAAB+BAAAZHJzL2Rv&#10;d25yZXYueG1sUEsFBgAAAAAEAAQA8wAAAIsFAAAAAA==&#10;" stroked="f">
                <v:textbox>
                  <w:txbxContent>
                    <w:p>
                      <w:pPr>
                        <w:tabs>
                          <w:tab w:val="left" w:pos="284"/>
                        </w:tabs>
                        <w:ind w:left="284" w:hanging="284"/>
                        <w:rPr>
                          <w:rFonts w:asciiTheme="minorHAnsi" w:hAnsiTheme="minorHAnsi"/>
                          <w:b/>
                          <w:color w:val="404040" w:themeColor="text1" w:themeTint="BF"/>
                          <w:sz w:val="14"/>
                          <w:szCs w:val="16"/>
                          <w:lang w:val="fr-FR"/>
                        </w:rPr>
                      </w:pPr>
                      <w:r>
                        <w:rPr>
                          <w:b/>
                          <w:sz w:val="14"/>
                          <w:lang w:val="fr-FR"/>
                        </w:rPr>
                        <w:t xml:space="preserve"> </w:t>
                      </w:r>
                      <w:r>
                        <w:rPr>
                          <w:b/>
                          <w:sz w:val="14"/>
                          <w:lang w:val="fr-FR"/>
                        </w:rPr>
                        <w:sym w:font="Wingdings 2" w:char="F0A1"/>
                      </w:r>
                      <w:r>
                        <w:rPr>
                          <w:b/>
                          <w:sz w:val="14"/>
                          <w:lang w:val="fr-FR"/>
                        </w:rPr>
                        <w:tab/>
                      </w:r>
                      <w:r>
                        <w:rPr>
                          <w:rFonts w:asciiTheme="minorHAnsi" w:hAnsiTheme="minorHAnsi"/>
                          <w:b/>
                          <w:color w:val="404040" w:themeColor="text1" w:themeTint="BF"/>
                          <w:sz w:val="14"/>
                          <w:szCs w:val="16"/>
                          <w:lang w:val="fr-FR"/>
                        </w:rPr>
                        <w:t>Pourcentage de magistrats ayant participé à une formation continue sur le droit de l'UE</w:t>
                      </w:r>
                    </w:p>
                    <w:p>
                      <w:pPr>
                        <w:rPr>
                          <w:rFonts w:asciiTheme="minorHAnsi" w:hAnsiTheme="minorHAnsi"/>
                          <w:b/>
                          <w:color w:val="404040" w:themeColor="text1" w:themeTint="BF"/>
                          <w:sz w:val="14"/>
                          <w:szCs w:val="16"/>
                          <w:lang w:val="fr-FR"/>
                        </w:rPr>
                      </w:pPr>
                      <w:r>
                        <w:rPr>
                          <w:rFonts w:asciiTheme="minorHAnsi" w:hAnsiTheme="minorHAnsi"/>
                          <w:b/>
                          <w:color w:val="404040" w:themeColor="text1" w:themeTint="BF"/>
                          <w:sz w:val="14"/>
                          <w:szCs w:val="16"/>
                          <w:lang w:val="fr-FR"/>
                        </w:rPr>
                        <w:t xml:space="preserve">        * FR dont procureurs</w:t>
                      </w:r>
                    </w:p>
                  </w:txbxContent>
                </v:textbox>
              </v:shape>
            </w:pict>
          </mc:Fallback>
        </mc:AlternateContent>
      </w:r>
      <w:r>
        <w:rPr>
          <w:noProof/>
          <w:lang w:eastAsia="en-GB"/>
        </w:rPr>
        <w:drawing>
          <wp:inline distT="0" distB="0" distL="0" distR="0">
            <wp:extent cx="3746500" cy="34417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7585" cy="3442697"/>
                    </a:xfrm>
                    <a:prstGeom prst="rect">
                      <a:avLst/>
                    </a:prstGeom>
                    <a:noFill/>
                    <a:ln>
                      <a:noFill/>
                    </a:ln>
                  </pic:spPr>
                </pic:pic>
              </a:graphicData>
            </a:graphic>
          </wp:inline>
        </w:drawing>
      </w:r>
    </w:p>
    <w:p w:rsidR="00FC79B3" w:rsidRDefault="002A6CE7">
      <w:pPr>
        <w:pStyle w:val="BodyText"/>
        <w:spacing w:before="0"/>
        <w:jc w:val="both"/>
        <w:rPr>
          <w:rFonts w:ascii="Times New Roman" w:hAnsi="Times New Roman"/>
          <w:i/>
          <w:noProof/>
          <w:sz w:val="16"/>
          <w:szCs w:val="16"/>
          <w:lang w:val="fr-FR"/>
        </w:rPr>
      </w:pPr>
      <w:r>
        <w:rPr>
          <w:rFonts w:ascii="Times New Roman" w:hAnsi="Times New Roman"/>
          <w:i/>
          <w:noProof/>
          <w:sz w:val="16"/>
          <w:lang w:val="fr-FR"/>
        </w:rPr>
        <w:t>Source</w:t>
      </w:r>
      <w:r>
        <w:rPr>
          <w:rFonts w:ascii="Times New Roman" w:hAnsi="Times New Roman"/>
          <w:noProof/>
          <w:sz w:val="16"/>
          <w:lang w:val="fr-FR"/>
        </w:rPr>
        <w:t xml:space="preserve">: </w:t>
      </w:r>
      <w:r>
        <w:rPr>
          <w:rFonts w:ascii="Times New Roman" w:hAnsi="Times New Roman"/>
          <w:i/>
          <w:noProof/>
          <w:sz w:val="16"/>
          <w:lang w:val="fr-FR"/>
        </w:rPr>
        <w:t xml:space="preserve">Formation judiciaire européenne 2014. Les chiffres incluent également les formations financées par d’autres programmes ou agences de l’Union, comme </w:t>
      </w:r>
      <w:r>
        <w:rPr>
          <w:rFonts w:ascii="Times New Roman" w:hAnsi="Times New Roman"/>
          <w:i/>
          <w:noProof/>
          <w:sz w:val="16"/>
          <w:lang w:val="fr-FR"/>
        </w:rPr>
        <w:t>les programmes PROGRESS, «Justice civile» et «Droits fondamentaux et citoyenneté».</w:t>
      </w:r>
    </w:p>
    <w:p w:rsidR="00FC79B3" w:rsidRDefault="002A6CE7">
      <w:pPr>
        <w:pStyle w:val="BodyText"/>
        <w:spacing w:before="0"/>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Une part non négligeable des subventions JPEN ont profité à des projets traitant directement ou indirectement des droits des victimes et des défendeurs. Le programme JPEN a </w:t>
      </w:r>
      <w:r>
        <w:rPr>
          <w:rStyle w:val="Corpsdutexte"/>
          <w:rFonts w:ascii="Times New Roman" w:hAnsi="Times New Roman"/>
          <w:noProof/>
          <w:color w:val="000000"/>
          <w:lang w:val="fr-FR"/>
        </w:rPr>
        <w:t xml:space="preserve">contribué au renforcement de la confiance mutuelle sur les droits des victimes et des défendeurs dans l’Union européenne, entre autres, en finançant des plates-formes de niveau européen actives dans ces domaines, en particulier: </w:t>
      </w:r>
    </w:p>
    <w:p w:rsidR="00FC79B3" w:rsidRDefault="002A6CE7">
      <w:pPr>
        <w:pStyle w:val="BodyText"/>
        <w:numPr>
          <w:ilvl w:val="0"/>
          <w:numId w:val="29"/>
        </w:numPr>
        <w:spacing w:before="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Fair Trials International,</w:t>
      </w:r>
      <w:r>
        <w:rPr>
          <w:rStyle w:val="Corpsdutexte"/>
          <w:rFonts w:ascii="Times New Roman" w:hAnsi="Times New Roman"/>
          <w:noProof/>
          <w:color w:val="000000"/>
          <w:lang w:val="fr-FR"/>
        </w:rPr>
        <w:t xml:space="preserve"> qui s’efforce, parmi d’autres actions, de «</w:t>
      </w:r>
      <w:r>
        <w:rPr>
          <w:rStyle w:val="Corpsdutexte"/>
          <w:rFonts w:ascii="Times New Roman" w:hAnsi="Times New Roman"/>
          <w:i/>
          <w:noProof/>
          <w:color w:val="000000"/>
          <w:lang w:val="fr-FR"/>
        </w:rPr>
        <w:t>mobiliser et de soutenir un mouvement international [réseau] de défenseurs du droit à un procès équitable [de professionnels des droits de l’homme]</w:t>
      </w:r>
      <w:r>
        <w:rPr>
          <w:rStyle w:val="Corpsdutexte"/>
          <w:rFonts w:ascii="Times New Roman" w:hAnsi="Times New Roman"/>
          <w:noProof/>
          <w:color w:val="000000"/>
          <w:lang w:val="fr-FR"/>
        </w:rPr>
        <w:t xml:space="preserve">»; et </w:t>
      </w:r>
    </w:p>
    <w:p w:rsidR="00FC79B3" w:rsidRDefault="002A6CE7">
      <w:pPr>
        <w:pStyle w:val="BodyText"/>
        <w:numPr>
          <w:ilvl w:val="0"/>
          <w:numId w:val="29"/>
        </w:numPr>
        <w:spacing w:before="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Victim Support Europe (VSE), un réseau d’organisations nat</w:t>
      </w:r>
      <w:r>
        <w:rPr>
          <w:rStyle w:val="Corpsdutexte"/>
          <w:rFonts w:ascii="Times New Roman" w:hAnsi="Times New Roman"/>
          <w:noProof/>
          <w:color w:val="000000"/>
          <w:lang w:val="fr-FR"/>
        </w:rPr>
        <w:t>ionales d’aide aux victimes qui milite pour l’adoption et le développement de droits et de services en faveur des victimes à travers l’Europe</w:t>
      </w:r>
      <w:r>
        <w:rPr>
          <w:rStyle w:val="FootnoteReference"/>
          <w:rFonts w:ascii="Times New Roman" w:hAnsi="Times New Roman"/>
          <w:noProof/>
          <w:color w:val="000000"/>
          <w:sz w:val="22"/>
          <w:lang w:val="fr-FR"/>
        </w:rPr>
        <w:footnoteReference w:id="37"/>
      </w:r>
      <w:r>
        <w:rPr>
          <w:noProof/>
          <w:lang w:val="fr-FR"/>
        </w:rPr>
        <w:t>.</w:t>
      </w:r>
    </w:p>
    <w:bookmarkEnd w:id="30"/>
    <w:p w:rsidR="00FC79B3" w:rsidRDefault="002A6CE7">
      <w:pPr>
        <w:pStyle w:val="Heading3"/>
        <w:rPr>
          <w:noProof/>
          <w:color w:val="auto"/>
          <w:lang w:val="fr-FR"/>
        </w:rPr>
      </w:pPr>
      <w:r>
        <w:rPr>
          <w:noProof/>
          <w:color w:val="auto"/>
          <w:lang w:val="fr-FR"/>
        </w:rPr>
        <w:t>Réalisations des projets</w:t>
      </w:r>
    </w:p>
    <w:p w:rsidR="00FC79B3" w:rsidRDefault="002A6CE7">
      <w:pPr>
        <w:pStyle w:val="BodyText"/>
        <w:spacing w:before="0"/>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La majorité des projets (environ 70 %) sont parvenus à atteindre les produits qu’ils s’</w:t>
      </w:r>
      <w:r>
        <w:rPr>
          <w:rStyle w:val="Corpsdutexte"/>
          <w:rFonts w:ascii="Times New Roman" w:hAnsi="Times New Roman"/>
          <w:noProof/>
          <w:color w:val="000000"/>
          <w:lang w:val="fr-FR"/>
        </w:rPr>
        <w:t xml:space="preserve">étaient assignés et leurs objectifs de projet. Près d’un tiers n’ont par contre pas été aussi efficaces et n’ont pas réalisé tous leurs objectifs (cf. </w:t>
      </w:r>
      <w:r>
        <w:rPr>
          <w:rStyle w:val="Corpsdutexte"/>
          <w:rFonts w:ascii="Times New Roman" w:eastAsia="Times New Roman" w:hAnsi="Times New Roman"/>
          <w:noProof/>
          <w:color w:val="000000"/>
          <w:lang w:val="fr-FR"/>
        </w:rPr>
        <w:fldChar w:fldCharType="begin"/>
      </w:r>
      <w:r>
        <w:rPr>
          <w:rStyle w:val="Corpsdutexte"/>
          <w:rFonts w:ascii="Times New Roman" w:eastAsia="Times New Roman" w:hAnsi="Times New Roman"/>
          <w:noProof/>
          <w:color w:val="000000"/>
          <w:lang w:val="fr-FR"/>
        </w:rPr>
        <w:instrText xml:space="preserve"> REF _Ref456711767 \h  \* MERGEFORMAT </w:instrText>
      </w:r>
      <w:r>
        <w:rPr>
          <w:rStyle w:val="Corpsdutexte"/>
          <w:rFonts w:ascii="Times New Roman" w:eastAsia="Times New Roman" w:hAnsi="Times New Roman"/>
          <w:noProof/>
          <w:color w:val="000000"/>
          <w:lang w:val="fr-FR"/>
        </w:rPr>
      </w:r>
      <w:r>
        <w:rPr>
          <w:rStyle w:val="Corpsdutexte"/>
          <w:rFonts w:ascii="Times New Roman" w:eastAsia="Times New Roman" w:hAnsi="Times New Roman"/>
          <w:noProof/>
          <w:color w:val="000000"/>
          <w:lang w:val="fr-FR"/>
        </w:rPr>
        <w:fldChar w:fldCharType="separate"/>
      </w:r>
      <w:r w:rsidRPr="002A6CE7">
        <w:rPr>
          <w:rFonts w:ascii="Times New Roman" w:hAnsi="Times New Roman"/>
          <w:noProof/>
          <w:sz w:val="22"/>
          <w:szCs w:val="22"/>
          <w:lang w:val="fr-FR"/>
        </w:rPr>
        <w:t>Tableau 2</w:t>
      </w:r>
      <w:r w:rsidRPr="002A6CE7">
        <w:rPr>
          <w:rFonts w:ascii="Times New Roman" w:hAnsi="Times New Roman"/>
          <w:noProof/>
          <w:sz w:val="22"/>
          <w:szCs w:val="22"/>
          <w:lang w:val="fr-FR"/>
        </w:rPr>
        <w:noBreakHyphen/>
        <w:t>2</w:t>
      </w:r>
      <w:r>
        <w:rPr>
          <w:rStyle w:val="Corpsdutexte"/>
          <w:rFonts w:ascii="Times New Roman" w:eastAsia="Times New Roman" w:hAnsi="Times New Roman"/>
          <w:noProof/>
          <w:color w:val="000000"/>
          <w:lang w:val="fr-FR"/>
        </w:rPr>
        <w:fldChar w:fldCharType="end"/>
      </w:r>
      <w:r>
        <w:rPr>
          <w:rStyle w:val="Corpsdutexte"/>
          <w:rFonts w:ascii="Times New Roman" w:hAnsi="Times New Roman"/>
          <w:noProof/>
          <w:color w:val="000000"/>
          <w:lang w:val="fr-FR"/>
        </w:rPr>
        <w:t xml:space="preserve">). La réalisation des objectifs opérationnels des projets n’en a néanmoins été gravement affectée que dans une poignée de cas (environ 5 % du total des projets menés à terme). Certaines difficultés rencontrées étaient imputables à des facteurs </w:t>
      </w:r>
      <w:r>
        <w:rPr>
          <w:rStyle w:val="Corpsdutexte"/>
          <w:rFonts w:ascii="Times New Roman" w:hAnsi="Times New Roman"/>
          <w:noProof/>
          <w:color w:val="000000"/>
          <w:lang w:val="fr-FR"/>
        </w:rPr>
        <w:t>extérieurs imprévus, mais d’autres auraient pu être détectées et atténuées au moyen d’une stratégie d’analyse des risques.</w:t>
      </w:r>
    </w:p>
    <w:p w:rsidR="00FC79B3" w:rsidRDefault="002A6CE7">
      <w:pPr>
        <w:pStyle w:val="Caption"/>
        <w:keepNext/>
        <w:rPr>
          <w:rStyle w:val="Corpsdutexte"/>
          <w:noProof/>
          <w:color w:val="000000"/>
          <w:lang w:val="fr-FR"/>
        </w:rPr>
      </w:pPr>
      <w:bookmarkStart w:id="33" w:name="_Ref456711767"/>
      <w:r>
        <w:rPr>
          <w:noProof/>
          <w:lang w:val="fr-FR"/>
        </w:rPr>
        <w:t>Tableau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Table \* ARABIC \s 1 </w:instrText>
      </w:r>
      <w:r>
        <w:rPr>
          <w:noProof/>
          <w:lang w:val="fr-FR"/>
        </w:rPr>
        <w:fldChar w:fldCharType="separate"/>
      </w:r>
      <w:r>
        <w:rPr>
          <w:noProof/>
          <w:lang w:val="fr-FR"/>
        </w:rPr>
        <w:t>2</w:t>
      </w:r>
      <w:r>
        <w:rPr>
          <w:noProof/>
          <w:lang w:val="fr-FR"/>
        </w:rPr>
        <w:fldChar w:fldCharType="end"/>
      </w:r>
      <w:bookmarkEnd w:id="33"/>
      <w:r>
        <w:rPr>
          <w:noProof/>
          <w:lang w:val="fr-FR"/>
        </w:rPr>
        <w:t xml:space="preserve"> Raisons des problèmes de mise en œuvre rencontrés dans les projets</w:t>
      </w:r>
    </w:p>
    <w:tbl>
      <w:tblPr>
        <w:tblW w:w="0" w:type="auto"/>
        <w:tblInd w:w="851"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6203"/>
        <w:gridCol w:w="2233"/>
      </w:tblGrid>
      <w:tr w:rsidR="00FC79B3">
        <w:tc>
          <w:tcPr>
            <w:tcW w:w="6203" w:type="dxa"/>
            <w:shd w:val="clear" w:color="auto" w:fill="auto"/>
          </w:tcPr>
          <w:p w:rsidR="00FC79B3" w:rsidRDefault="002A6CE7">
            <w:pPr>
              <w:pStyle w:val="TableTitle"/>
              <w:spacing w:before="120"/>
              <w:jc w:val="both"/>
              <w:rPr>
                <w:rFonts w:ascii="Times New Roman" w:hAnsi="Times New Roman"/>
                <w:noProof/>
                <w:sz w:val="22"/>
                <w:szCs w:val="22"/>
                <w:lang w:val="fr-FR"/>
              </w:rPr>
            </w:pPr>
            <w:r>
              <w:rPr>
                <w:rFonts w:ascii="Times New Roman" w:hAnsi="Times New Roman"/>
                <w:noProof/>
                <w:sz w:val="22"/>
                <w:lang w:val="fr-FR"/>
              </w:rPr>
              <w:t xml:space="preserve">Raison </w:t>
            </w:r>
            <w:r>
              <w:rPr>
                <w:rFonts w:ascii="Times New Roman" w:hAnsi="Times New Roman"/>
                <w:noProof/>
                <w:sz w:val="22"/>
                <w:lang w:val="fr-FR"/>
              </w:rPr>
              <w:t>du problème</w:t>
            </w:r>
          </w:p>
        </w:tc>
        <w:tc>
          <w:tcPr>
            <w:tcW w:w="2233" w:type="dxa"/>
            <w:shd w:val="clear" w:color="auto" w:fill="auto"/>
          </w:tcPr>
          <w:p w:rsidR="00FC79B3" w:rsidRDefault="002A6CE7">
            <w:pPr>
              <w:pStyle w:val="BodyText"/>
              <w:spacing w:after="0"/>
              <w:ind w:left="0"/>
              <w:jc w:val="both"/>
              <w:rPr>
                <w:rFonts w:ascii="Times New Roman" w:hAnsi="Times New Roman"/>
                <w:b/>
                <w:noProof/>
                <w:color w:val="0067AC"/>
                <w:sz w:val="22"/>
                <w:szCs w:val="22"/>
                <w:lang w:val="fr-FR"/>
              </w:rPr>
            </w:pPr>
            <w:r>
              <w:rPr>
                <w:rFonts w:ascii="Times New Roman" w:hAnsi="Times New Roman"/>
                <w:b/>
                <w:noProof/>
                <w:color w:val="0067AC"/>
                <w:sz w:val="22"/>
                <w:lang w:val="fr-FR"/>
              </w:rPr>
              <w:t>Nombre de projets touchés</w:t>
            </w:r>
          </w:p>
        </w:tc>
      </w:tr>
      <w:tr w:rsidR="00FC79B3">
        <w:tc>
          <w:tcPr>
            <w:tcW w:w="620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Départ de personnel/personnel insuffisant</w:t>
            </w:r>
          </w:p>
        </w:tc>
        <w:tc>
          <w:tcPr>
            <w:tcW w:w="223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5</w:t>
            </w:r>
          </w:p>
        </w:tc>
      </w:tr>
      <w:tr w:rsidR="00FC79B3">
        <w:tc>
          <w:tcPr>
            <w:tcW w:w="620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Manque de temps</w:t>
            </w:r>
          </w:p>
        </w:tc>
        <w:tc>
          <w:tcPr>
            <w:tcW w:w="223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21</w:t>
            </w:r>
          </w:p>
        </w:tc>
      </w:tr>
      <w:tr w:rsidR="00FC79B3">
        <w:tc>
          <w:tcPr>
            <w:tcW w:w="620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Obstacle (extérieur) imprévu</w:t>
            </w:r>
          </w:p>
        </w:tc>
        <w:tc>
          <w:tcPr>
            <w:tcW w:w="223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17</w:t>
            </w:r>
          </w:p>
        </w:tc>
      </w:tr>
      <w:tr w:rsidR="00FC79B3">
        <w:tc>
          <w:tcPr>
            <w:tcW w:w="620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Problèmes financiers/financement insuffisant</w:t>
            </w:r>
          </w:p>
        </w:tc>
        <w:tc>
          <w:tcPr>
            <w:tcW w:w="223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12</w:t>
            </w:r>
          </w:p>
        </w:tc>
      </w:tr>
      <w:tr w:rsidR="00FC79B3">
        <w:tc>
          <w:tcPr>
            <w:tcW w:w="620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 xml:space="preserve">Raisons techniques (p. ex., problèmes avec les systèmes numériques ou </w:t>
            </w:r>
            <w:r>
              <w:rPr>
                <w:rFonts w:ascii="Times New Roman" w:hAnsi="Times New Roman"/>
                <w:noProof/>
                <w:sz w:val="22"/>
                <w:lang w:val="fr-FR"/>
              </w:rPr>
              <w:t>le fonctionnement du logiciel d’e-justice)</w:t>
            </w:r>
          </w:p>
        </w:tc>
        <w:tc>
          <w:tcPr>
            <w:tcW w:w="223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5</w:t>
            </w:r>
          </w:p>
        </w:tc>
      </w:tr>
      <w:tr w:rsidR="00FC79B3">
        <w:tc>
          <w:tcPr>
            <w:tcW w:w="620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Paramètres qui auraient dû être pris en considération dans le cadre du modèle logique (p. ex., données insuffisantes, adhésion déficiente des bénéficiaires, problèmes de calendrier, cohérence avec l’évolution p</w:t>
            </w:r>
            <w:r>
              <w:rPr>
                <w:rFonts w:ascii="Times New Roman" w:hAnsi="Times New Roman"/>
                <w:noProof/>
                <w:sz w:val="22"/>
                <w:lang w:val="fr-FR"/>
              </w:rPr>
              <w:t>olitique, etc.)</w:t>
            </w:r>
          </w:p>
        </w:tc>
        <w:tc>
          <w:tcPr>
            <w:tcW w:w="223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15</w:t>
            </w:r>
          </w:p>
        </w:tc>
      </w:tr>
      <w:tr w:rsidR="00FC79B3">
        <w:tc>
          <w:tcPr>
            <w:tcW w:w="620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Retards de la Commission européenne</w:t>
            </w:r>
          </w:p>
        </w:tc>
        <w:tc>
          <w:tcPr>
            <w:tcW w:w="223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2</w:t>
            </w:r>
          </w:p>
        </w:tc>
      </w:tr>
      <w:tr w:rsidR="00FC79B3">
        <w:tc>
          <w:tcPr>
            <w:tcW w:w="620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Modifications du modèle logique</w:t>
            </w:r>
          </w:p>
        </w:tc>
        <w:tc>
          <w:tcPr>
            <w:tcW w:w="2233" w:type="dxa"/>
            <w:shd w:val="clear" w:color="auto" w:fill="auto"/>
          </w:tcPr>
          <w:p w:rsidR="00FC79B3" w:rsidRDefault="002A6CE7">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7</w:t>
            </w:r>
          </w:p>
        </w:tc>
      </w:tr>
    </w:tbl>
    <w:p w:rsidR="00FC79B3" w:rsidRDefault="002A6CE7">
      <w:pPr>
        <w:pStyle w:val="BodyText"/>
        <w:spacing w:before="0"/>
        <w:jc w:val="both"/>
        <w:rPr>
          <w:i/>
          <w:noProof/>
          <w:sz w:val="16"/>
          <w:szCs w:val="16"/>
          <w:lang w:val="fr-FR"/>
        </w:rPr>
      </w:pPr>
      <w:r>
        <w:rPr>
          <w:i/>
          <w:noProof/>
          <w:sz w:val="16"/>
          <w:lang w:val="fr-FR"/>
        </w:rPr>
        <w:t>Source: documentation sur les projets compilée par ICF (n = 334)</w:t>
      </w:r>
    </w:p>
    <w:p w:rsidR="00FC79B3" w:rsidRDefault="00FC79B3">
      <w:pPr>
        <w:pStyle w:val="BodyText"/>
        <w:spacing w:before="0"/>
        <w:ind w:left="0"/>
        <w:jc w:val="both"/>
        <w:rPr>
          <w:rStyle w:val="Corpsdutexte"/>
          <w:rFonts w:ascii="Times New Roman" w:eastAsia="Times New Roman" w:hAnsi="Times New Roman"/>
          <w:noProof/>
          <w:color w:val="000000"/>
          <w:lang w:val="fr-FR"/>
        </w:rPr>
      </w:pPr>
    </w:p>
    <w:p w:rsidR="00FC79B3" w:rsidRDefault="002A6CE7">
      <w:pPr>
        <w:pStyle w:val="BodyText"/>
        <w:spacing w:before="0"/>
        <w:ind w:left="0"/>
        <w:jc w:val="both"/>
        <w:rPr>
          <w:noProof/>
          <w:lang w:val="fr-FR"/>
        </w:rPr>
      </w:pPr>
      <w:r>
        <w:rPr>
          <w:rStyle w:val="Corpsdutexte"/>
          <w:rFonts w:ascii="Times New Roman" w:hAnsi="Times New Roman"/>
          <w:noProof/>
          <w:color w:val="000000"/>
          <w:lang w:val="fr-FR"/>
        </w:rPr>
        <w:t xml:space="preserve">Dans plus de deux tiers des projets finalisés, la mise en œuvre s’est déroulée exactement comme </w:t>
      </w:r>
      <w:r>
        <w:rPr>
          <w:rStyle w:val="Corpsdutexte"/>
          <w:rFonts w:ascii="Times New Roman" w:hAnsi="Times New Roman"/>
          <w:noProof/>
          <w:color w:val="000000"/>
          <w:lang w:val="fr-FR"/>
        </w:rPr>
        <w:t>prévu, tandis que dans un tiers des cas, la mise en œuvre des projets ou des programmes de travail a été modifiée au moins dans une certaine mesure par rapport aux plans de départ</w:t>
      </w:r>
      <w:r>
        <w:rPr>
          <w:rStyle w:val="FootnoteReference"/>
          <w:rFonts w:ascii="Times New Roman" w:hAnsi="Times New Roman"/>
          <w:noProof/>
          <w:color w:val="000000"/>
          <w:sz w:val="22"/>
          <w:lang w:val="fr-FR"/>
        </w:rPr>
        <w:footnoteReference w:id="38"/>
      </w:r>
      <w:r>
        <w:rPr>
          <w:noProof/>
          <w:lang w:val="fr-FR"/>
        </w:rPr>
        <w:t>.</w:t>
      </w:r>
    </w:p>
    <w:p w:rsidR="00FC79B3" w:rsidRDefault="002A6CE7">
      <w:pPr>
        <w:pStyle w:val="Heading2"/>
        <w:rPr>
          <w:noProof/>
          <w:color w:val="auto"/>
          <w:lang w:val="fr-FR"/>
        </w:rPr>
      </w:pPr>
      <w:bookmarkStart w:id="34" w:name="_Toc471909133"/>
      <w:bookmarkEnd w:id="23"/>
      <w:r>
        <w:rPr>
          <w:rStyle w:val="En-tte4"/>
          <w:noProof/>
          <w:color w:val="auto"/>
          <w:sz w:val="26"/>
          <w:lang w:val="fr-FR"/>
        </w:rPr>
        <w:t>DURABILITÉ ET POTENTIEL DE TRANSFERT</w:t>
      </w:r>
      <w:bookmarkEnd w:id="34"/>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Les évaluateurs ont examiné si les ré</w:t>
      </w:r>
      <w:r>
        <w:rPr>
          <w:rStyle w:val="Corpsdutexte"/>
          <w:rFonts w:ascii="Times New Roman" w:hAnsi="Times New Roman"/>
          <w:noProof/>
          <w:color w:val="000000"/>
          <w:lang w:val="fr-FR"/>
        </w:rPr>
        <w:t xml:space="preserve">sultats, les aboutissements et les impacts obtenus par les projets étaient durables au-delà de leur période de financement. Ils ont ainsi distingué trois degrés de durabilité: </w:t>
      </w:r>
    </w:p>
    <w:p w:rsidR="00FC79B3" w:rsidRDefault="002A6CE7">
      <w:pPr>
        <w:pStyle w:val="BodyText"/>
        <w:numPr>
          <w:ilvl w:val="0"/>
          <w:numId w:val="30"/>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durabilité à court terme, principalement par la diffusion des résultats des pro</w:t>
      </w:r>
      <w:r>
        <w:rPr>
          <w:rStyle w:val="Corpsdutexte"/>
          <w:rFonts w:ascii="Times New Roman" w:hAnsi="Times New Roman"/>
          <w:noProof/>
          <w:color w:val="000000"/>
          <w:lang w:val="fr-FR"/>
        </w:rPr>
        <w:t xml:space="preserve">jets; </w:t>
      </w:r>
    </w:p>
    <w:p w:rsidR="00FC79B3" w:rsidRDefault="002A6CE7">
      <w:pPr>
        <w:pStyle w:val="BodyText"/>
        <w:numPr>
          <w:ilvl w:val="0"/>
          <w:numId w:val="30"/>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durabilité à moyen terme, impliquant une continuité des résultats des projets ou des partenariats; </w:t>
      </w:r>
    </w:p>
    <w:p w:rsidR="00FC79B3" w:rsidRDefault="002A6CE7">
      <w:pPr>
        <w:pStyle w:val="BodyText"/>
        <w:numPr>
          <w:ilvl w:val="0"/>
          <w:numId w:val="30"/>
        </w:numPr>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durabilité à long terme, principalement par le transfert des résultats des projets dans d’autres contextes, d’autres organisations ou d’autres États </w:t>
      </w:r>
      <w:r>
        <w:rPr>
          <w:rStyle w:val="Corpsdutexte"/>
          <w:rFonts w:ascii="Times New Roman" w:hAnsi="Times New Roman"/>
          <w:noProof/>
          <w:color w:val="000000"/>
          <w:lang w:val="fr-FR"/>
        </w:rPr>
        <w:t>membres sans financement supplémentaire ou avec un faible financement supplémentaire.</w:t>
      </w:r>
    </w:p>
    <w:p w:rsidR="00FC79B3" w:rsidRDefault="002A6CE7">
      <w:pPr>
        <w:pStyle w:val="Heading3"/>
        <w:rPr>
          <w:noProof/>
          <w:color w:val="auto"/>
          <w:lang w:val="fr-FR"/>
        </w:rPr>
      </w:pPr>
      <w:r>
        <w:rPr>
          <w:noProof/>
          <w:color w:val="auto"/>
          <w:lang w:val="fr-FR"/>
        </w:rPr>
        <w:t>Continuité des activités et résultats des projets et diffusion</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Sur les 121 projets terminés dont les rapports finaux ont fait apparaître qu'ils présentaient une certaine </w:t>
      </w:r>
      <w:r>
        <w:rPr>
          <w:rStyle w:val="Corpsdutexte"/>
          <w:rFonts w:ascii="Times New Roman" w:hAnsi="Times New Roman"/>
          <w:noProof/>
          <w:color w:val="000000"/>
          <w:lang w:val="fr-FR"/>
        </w:rPr>
        <w:t>durabilité, il a été indiqué dans les rapports de 39 d'entre eux (32 %) que les activités allaient se poursuivre intégralement parce qu’ un autre financement avait pu être obtenu. Ces 39 projets portaient sur le développement d’outils tels qu’ECRIS, de ser</w:t>
      </w:r>
      <w:r>
        <w:rPr>
          <w:rStyle w:val="Corpsdutexte"/>
          <w:rFonts w:ascii="Times New Roman" w:hAnsi="Times New Roman"/>
          <w:noProof/>
          <w:color w:val="000000"/>
          <w:lang w:val="fr-FR"/>
        </w:rPr>
        <w:t xml:space="preserve">vices d’aide aux victimes et de programmes de justice réparatrice, ou en d’autres termes, ils s’occupaient de systèmes ou de services qui avaient été mis en place et dont la pérennisation nécessitait un prolongement du financement. Cela n'était pas le cas </w:t>
      </w:r>
      <w:r>
        <w:rPr>
          <w:rStyle w:val="Corpsdutexte"/>
          <w:rFonts w:ascii="Times New Roman" w:hAnsi="Times New Roman"/>
          <w:noProof/>
          <w:color w:val="000000"/>
          <w:lang w:val="fr-FR"/>
        </w:rPr>
        <w:t>toutefois pour tous les projets JPEN  et, lorsque les subventions à l’action ou les subventions de fonctionnement étaient destinées à des recherches, ces projets n’avaient pas obligatoirement besoin de fonds supplémentaires pour se poursuivre. De même, les</w:t>
      </w:r>
      <w:r>
        <w:rPr>
          <w:rStyle w:val="Corpsdutexte"/>
          <w:rFonts w:ascii="Times New Roman" w:hAnsi="Times New Roman"/>
          <w:noProof/>
          <w:color w:val="000000"/>
          <w:lang w:val="fr-FR"/>
        </w:rPr>
        <w:t xml:space="preserve"> projets de formation ou d’apprentissage mutuel ne devaient requérir un nouveau financement que si les cours devaient être étendus à de nouveaux participants</w:t>
      </w:r>
      <w:r>
        <w:rPr>
          <w:rStyle w:val="FootnoteReference"/>
          <w:rFonts w:ascii="Times New Roman" w:hAnsi="Times New Roman"/>
          <w:noProof/>
          <w:color w:val="000000"/>
          <w:sz w:val="22"/>
          <w:lang w:val="fr-FR"/>
        </w:rPr>
        <w:footnoteReference w:id="39"/>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Dans  28 autres rapports finaux sur des projets, il a été déclaré  qu’une partie des activités du projet continuerait, par exemple lorsque des modules de formation se prolongent ou que les conclusions tirées servent à concevoir ou alimenter de nouveaux pro</w:t>
      </w:r>
      <w:r>
        <w:rPr>
          <w:rStyle w:val="Corpsdutexte"/>
          <w:rFonts w:ascii="Times New Roman" w:hAnsi="Times New Roman"/>
          <w:noProof/>
          <w:color w:val="000000"/>
          <w:lang w:val="fr-FR"/>
        </w:rPr>
        <w:t>jets. Dans de tels cas, il peut être supposé que le financement requis a été trouvé pour cette poursuite partielle. D’après les résultats de l’enquête en ligne, il semblerait que la plupart des bénéficiaires de subventions (61 répondants sur 86, soit 71 %)</w:t>
      </w:r>
      <w:r>
        <w:rPr>
          <w:rStyle w:val="Corpsdutexte"/>
          <w:rFonts w:ascii="Times New Roman" w:hAnsi="Times New Roman"/>
          <w:noProof/>
          <w:color w:val="000000"/>
          <w:lang w:val="fr-FR"/>
        </w:rPr>
        <w:t xml:space="preserve"> aient besoin d’un financement supplémentaire pour poursuivre les projets ou les activités. Dans les entretiens de suivi, 25 des 33 personnes interrogées ont précisé qu’un financement supplémentaire était nécessaire pour les éléments de suivi des projets t</w:t>
      </w:r>
      <w:r>
        <w:rPr>
          <w:rStyle w:val="Corpsdutexte"/>
          <w:rFonts w:ascii="Times New Roman" w:hAnsi="Times New Roman"/>
          <w:noProof/>
          <w:color w:val="000000"/>
          <w:lang w:val="fr-FR"/>
        </w:rPr>
        <w:t xml:space="preserve">els que la formation et les traductions, l’expérimentation des produits créés et la mise en œuvre de méthodologies. </w:t>
      </w:r>
    </w:p>
    <w:p w:rsidR="00FC79B3" w:rsidRDefault="002A6CE7">
      <w:pPr>
        <w:pStyle w:val="BodyText"/>
        <w:ind w:left="0"/>
        <w:jc w:val="both"/>
        <w:rPr>
          <w:noProof/>
          <w:lang w:val="fr-FR"/>
        </w:rPr>
      </w:pPr>
      <w:r>
        <w:rPr>
          <w:rStyle w:val="Corpsdutexte"/>
          <w:rFonts w:ascii="Times New Roman" w:hAnsi="Times New Roman"/>
          <w:noProof/>
          <w:color w:val="000000"/>
          <w:lang w:val="fr-FR"/>
        </w:rPr>
        <w:t>Par contre, 20 des 33 personnes interrogées ont aussi assuré que les éléments tels que les activités de diffusion et la sensibilisation pou</w:t>
      </w:r>
      <w:r>
        <w:rPr>
          <w:rStyle w:val="Corpsdutexte"/>
          <w:rFonts w:ascii="Times New Roman" w:hAnsi="Times New Roman"/>
          <w:noProof/>
          <w:color w:val="000000"/>
          <w:lang w:val="fr-FR"/>
        </w:rPr>
        <w:t>vaient continuer sans fonds supplémentaires</w:t>
      </w:r>
      <w:r>
        <w:rPr>
          <w:rStyle w:val="FootnoteReference"/>
          <w:rFonts w:ascii="Times New Roman" w:hAnsi="Times New Roman"/>
          <w:noProof/>
          <w:color w:val="000000"/>
          <w:sz w:val="22"/>
          <w:lang w:val="fr-FR"/>
        </w:rPr>
        <w:footnoteReference w:id="40"/>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Dans l’ensemble, la diffusion par la Commission  des résultats des projets a été limitée car elle comptait principalement sur les bénéficiaires pour communiquer directement les résultats à leurs groupes cibles </w:t>
      </w:r>
      <w:r>
        <w:rPr>
          <w:rStyle w:val="Corpsdutexte"/>
          <w:rFonts w:ascii="Times New Roman" w:hAnsi="Times New Roman"/>
          <w:noProof/>
          <w:color w:val="000000"/>
          <w:lang w:val="fr-FR"/>
        </w:rPr>
        <w:t>et elle réservait pour l’essentiel ses propres ressources humaines à la gestion financière. Certains outils de formation ont été publiés et la priorité a été accordée au suivi des budgets et des dépenses des projets plutôt qu’à l’observation des résultats.</w:t>
      </w:r>
      <w:r>
        <w:rPr>
          <w:rStyle w:val="Corpsdutexte"/>
          <w:rFonts w:ascii="Times New Roman" w:hAnsi="Times New Roman"/>
          <w:noProof/>
          <w:color w:val="000000"/>
          <w:lang w:val="fr-FR"/>
        </w:rPr>
        <w:t xml:space="preserve"> Seule une partie des résultats issus de projets de formation a été mise en ligne sur le portail e-Justice. Les outils de formation n’ont été chargés sur ce portail que lorsqu’ils étaient complets et pertinents et qu’ils comblaient une lacune dans la couve</w:t>
      </w:r>
      <w:r>
        <w:rPr>
          <w:rStyle w:val="Corpsdutexte"/>
          <w:rFonts w:ascii="Times New Roman" w:hAnsi="Times New Roman"/>
          <w:noProof/>
          <w:color w:val="000000"/>
          <w:lang w:val="fr-FR"/>
        </w:rPr>
        <w:t>rture [principalement des séminaires de l’Institut européen d’administration publique (IEAP) et des liens vers les sites web du REFJ et du projet «Building Mutual Trust» (Renforcer la confiance mutuelle)</w:t>
      </w:r>
      <w:r>
        <w:rPr>
          <w:rStyle w:val="FootnoteReference"/>
          <w:noProof/>
          <w:lang w:val="fr-FR"/>
        </w:rPr>
        <w:footnoteReference w:id="41"/>
      </w:r>
      <w:r>
        <w:rPr>
          <w:rStyle w:val="Corpsdutexte"/>
          <w:rFonts w:ascii="Times New Roman" w:hAnsi="Times New Roman"/>
          <w:noProof/>
          <w:color w:val="000000"/>
          <w:lang w:val="fr-FR"/>
        </w:rPr>
        <w:t>]</w:t>
      </w:r>
      <w:r>
        <w:rPr>
          <w:rStyle w:val="FootnoteReference"/>
          <w:rFonts w:ascii="Times New Roman" w:hAnsi="Times New Roman"/>
          <w:noProof/>
          <w:color w:val="000000"/>
          <w:sz w:val="22"/>
          <w:lang w:val="fr-FR"/>
        </w:rPr>
        <w:footnoteReference w:id="42"/>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La diffusion était une exigence inscrite dans le</w:t>
      </w:r>
      <w:r>
        <w:rPr>
          <w:rStyle w:val="Corpsdutexte"/>
          <w:rFonts w:ascii="Times New Roman" w:hAnsi="Times New Roman"/>
          <w:noProof/>
          <w:color w:val="000000"/>
          <w:lang w:val="fr-FR"/>
        </w:rPr>
        <w:t>s appels à propositions et la Commission l’a encouragée. Dans les appels relatifs aux subventions à l’action, les demandeurs étaient invités à présenter un plan de diffusion, à la différence des demandeurs de subventions de fonctionnement. Sur les 95 répon</w:t>
      </w:r>
      <w:r>
        <w:rPr>
          <w:rStyle w:val="Corpsdutexte"/>
          <w:rFonts w:ascii="Times New Roman" w:hAnsi="Times New Roman"/>
          <w:noProof/>
          <w:color w:val="000000"/>
          <w:lang w:val="fr-FR"/>
        </w:rPr>
        <w:t>dants à l’enquête en ligne, 92 % (87 répondants) ont déclaré qu’ils disposaient d’un plan clair pour diffuser les résultats de leurs projets ou activités. L’analyse de 12 formulaires de demande de subventions à l’action couvrant tous les domaines prioritai</w:t>
      </w:r>
      <w:r>
        <w:rPr>
          <w:rStyle w:val="Corpsdutexte"/>
          <w:rFonts w:ascii="Times New Roman" w:hAnsi="Times New Roman"/>
          <w:noProof/>
          <w:color w:val="000000"/>
          <w:lang w:val="fr-FR"/>
        </w:rPr>
        <w:t>res et toutes les années du programme révèle néanmoins des disparités dans la qualité des stratégies de diffusion</w:t>
      </w:r>
      <w:r>
        <w:rPr>
          <w:rStyle w:val="FootnoteReference"/>
          <w:rFonts w:ascii="Times New Roman" w:hAnsi="Times New Roman"/>
          <w:noProof/>
          <w:color w:val="000000"/>
          <w:sz w:val="22"/>
          <w:lang w:val="fr-FR"/>
        </w:rPr>
        <w:footnoteReference w:id="43"/>
      </w:r>
      <w:r>
        <w:rPr>
          <w:noProof/>
          <w:lang w:val="fr-FR"/>
        </w:rPr>
        <w:t>.</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L’analyse quantitative de la documentation des 334 subventions JPEN fait apparaître qu’au moins 197 bénéficiaires de subventions (59 %) ont </w:t>
      </w:r>
      <w:r>
        <w:rPr>
          <w:rStyle w:val="Corpsdutexte"/>
          <w:rFonts w:ascii="Times New Roman" w:hAnsi="Times New Roman"/>
          <w:noProof/>
          <w:color w:val="000000"/>
          <w:lang w:val="fr-FR"/>
        </w:rPr>
        <w:t xml:space="preserve">mis en œuvre des activités de sensibilisation ou de diffusion dans le cadre de leurs projets ou programmes de travail. D’après une analyse des résultats des projets (cf. </w:t>
      </w:r>
      <w:r>
        <w:rPr>
          <w:rStyle w:val="Corpsdutexte"/>
          <w:rFonts w:ascii="Times New Roman" w:eastAsia="Times New Roman" w:hAnsi="Times New Roman"/>
          <w:noProof/>
          <w:color w:val="000000"/>
          <w:lang w:val="fr-FR"/>
        </w:rPr>
        <w:fldChar w:fldCharType="begin"/>
      </w:r>
      <w:r>
        <w:rPr>
          <w:rStyle w:val="Corpsdutexte"/>
          <w:rFonts w:ascii="Times New Roman" w:eastAsia="Times New Roman" w:hAnsi="Times New Roman"/>
          <w:noProof/>
          <w:color w:val="000000"/>
          <w:lang w:val="fr-FR"/>
        </w:rPr>
        <w:instrText xml:space="preserve"> REF _Ref456715427 \h  \* MERGEFORMAT </w:instrText>
      </w:r>
      <w:r>
        <w:rPr>
          <w:rStyle w:val="Corpsdutexte"/>
          <w:rFonts w:ascii="Times New Roman" w:eastAsia="Times New Roman" w:hAnsi="Times New Roman"/>
          <w:noProof/>
          <w:color w:val="000000"/>
          <w:lang w:val="fr-FR"/>
        </w:rPr>
      </w:r>
      <w:r>
        <w:rPr>
          <w:rStyle w:val="Corpsdutexte"/>
          <w:rFonts w:ascii="Times New Roman" w:eastAsia="Times New Roman" w:hAnsi="Times New Roman"/>
          <w:noProof/>
          <w:color w:val="000000"/>
          <w:lang w:val="fr-FR"/>
        </w:rPr>
        <w:fldChar w:fldCharType="separate"/>
      </w:r>
      <w:r w:rsidRPr="002A6CE7">
        <w:rPr>
          <w:rFonts w:ascii="Times New Roman" w:hAnsi="Times New Roman"/>
          <w:noProof/>
          <w:sz w:val="22"/>
          <w:szCs w:val="22"/>
          <w:lang w:val="fr-FR"/>
        </w:rPr>
        <w:t>Figure 2</w:t>
      </w:r>
      <w:r w:rsidRPr="002A6CE7">
        <w:rPr>
          <w:rFonts w:ascii="Times New Roman" w:hAnsi="Times New Roman"/>
          <w:noProof/>
          <w:sz w:val="22"/>
          <w:szCs w:val="22"/>
          <w:lang w:val="fr-FR"/>
        </w:rPr>
        <w:noBreakHyphen/>
        <w:t>3</w:t>
      </w:r>
      <w:r>
        <w:rPr>
          <w:rStyle w:val="Corpsdutexte"/>
          <w:rFonts w:ascii="Times New Roman" w:eastAsia="Times New Roman" w:hAnsi="Times New Roman"/>
          <w:noProof/>
          <w:color w:val="000000"/>
          <w:lang w:val="fr-FR"/>
        </w:rPr>
        <w:fldChar w:fldCharType="end"/>
      </w:r>
      <w:r>
        <w:rPr>
          <w:rStyle w:val="Corpsdutexte"/>
          <w:rFonts w:ascii="Times New Roman" w:hAnsi="Times New Roman"/>
          <w:noProof/>
          <w:color w:val="000000"/>
          <w:lang w:val="fr-FR"/>
        </w:rPr>
        <w:t>) cités dans les rapports finaux de ces bénéficiaires, les principaux outils de diffusion ont pris la forme de manifestations, de bulletins d’information ou de brochures et d’autres produits. Certains bénéficiaires ont égaleme</w:t>
      </w:r>
      <w:r>
        <w:rPr>
          <w:rStyle w:val="Corpsdutexte"/>
          <w:rFonts w:ascii="Times New Roman" w:hAnsi="Times New Roman"/>
          <w:noProof/>
          <w:color w:val="000000"/>
          <w:lang w:val="fr-FR"/>
        </w:rPr>
        <w:t>nt créé des sites web pour diffuser des informations sur leurs projets, mais lors de l’évaluation, il a été constaté que ces sites n’étaient pas tous entretenus après l’expiration du financement des projets.</w:t>
      </w:r>
    </w:p>
    <w:p w:rsidR="00FC79B3" w:rsidRDefault="00FC79B3">
      <w:pPr>
        <w:pStyle w:val="Caption"/>
        <w:jc w:val="both"/>
        <w:rPr>
          <w:noProof/>
          <w:lang w:val="fr-FR"/>
        </w:rPr>
      </w:pPr>
    </w:p>
    <w:p w:rsidR="00FC79B3" w:rsidRDefault="00FC79B3">
      <w:pPr>
        <w:pStyle w:val="Caption"/>
        <w:jc w:val="both"/>
        <w:rPr>
          <w:noProof/>
          <w:lang w:val="fr-FR"/>
        </w:rPr>
      </w:pPr>
    </w:p>
    <w:p w:rsidR="00FC79B3" w:rsidRDefault="002A6CE7">
      <w:pPr>
        <w:pStyle w:val="Caption"/>
        <w:jc w:val="both"/>
        <w:rPr>
          <w:noProof/>
          <w:lang w:val="fr-FR"/>
        </w:rPr>
      </w:pPr>
      <w:bookmarkStart w:id="35" w:name="_Ref456715427"/>
      <w:r>
        <w:rPr>
          <w:noProof/>
          <w:lang w:val="fr-FR"/>
        </w:rPr>
        <w:t>Figure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w:instrText>
      </w:r>
      <w:r>
        <w:rPr>
          <w:noProof/>
          <w:lang w:val="fr-FR"/>
        </w:rPr>
        <w:instrText xml:space="preserve">IC \s 1 </w:instrText>
      </w:r>
      <w:r>
        <w:rPr>
          <w:noProof/>
          <w:lang w:val="fr-FR"/>
        </w:rPr>
        <w:fldChar w:fldCharType="separate"/>
      </w:r>
      <w:r>
        <w:rPr>
          <w:noProof/>
          <w:lang w:val="fr-FR"/>
        </w:rPr>
        <w:t>3</w:t>
      </w:r>
      <w:r>
        <w:rPr>
          <w:noProof/>
          <w:lang w:val="fr-FR"/>
        </w:rPr>
        <w:fldChar w:fldCharType="end"/>
      </w:r>
      <w:bookmarkEnd w:id="35"/>
      <w:r>
        <w:rPr>
          <w:noProof/>
          <w:lang w:val="fr-FR"/>
        </w:rPr>
        <w:t xml:space="preserve"> Produits des activités de sensibilisation, d'information et de diffusion (n = 221)</w:t>
      </w:r>
    </w:p>
    <w:tbl>
      <w:tblPr>
        <w:tblW w:w="10936" w:type="dxa"/>
        <w:tblInd w:w="108" w:type="dxa"/>
        <w:tblLook w:val="04A0" w:firstRow="1" w:lastRow="0" w:firstColumn="1" w:lastColumn="0" w:noHBand="0" w:noVBand="1"/>
      </w:tblPr>
      <w:tblGrid>
        <w:gridCol w:w="1176"/>
        <w:gridCol w:w="976"/>
        <w:gridCol w:w="976"/>
        <w:gridCol w:w="976"/>
        <w:gridCol w:w="976"/>
        <w:gridCol w:w="976"/>
        <w:gridCol w:w="976"/>
        <w:gridCol w:w="976"/>
        <w:gridCol w:w="976"/>
        <w:gridCol w:w="976"/>
        <w:gridCol w:w="976"/>
      </w:tblGrid>
      <w:tr w:rsidR="00FC79B3" w:rsidRPr="00AD0641">
        <w:trPr>
          <w:trHeight w:val="300"/>
        </w:trPr>
        <w:tc>
          <w:tcPr>
            <w:tcW w:w="1176" w:type="dxa"/>
            <w:tcBorders>
              <w:top w:val="nil"/>
              <w:left w:val="nil"/>
              <w:bottom w:val="nil"/>
              <w:right w:val="nil"/>
            </w:tcBorders>
            <w:shd w:val="clear" w:color="auto" w:fill="auto"/>
            <w:noWrap/>
            <w:vAlign w:val="bottom"/>
            <w:hideMark/>
          </w:tcPr>
          <w:p w:rsidR="00FC79B3" w:rsidRDefault="002A6CE7">
            <w:pPr>
              <w:widowControl/>
              <w:ind w:right="75"/>
              <w:rPr>
                <w:rFonts w:ascii="Calibri" w:hAnsi="Calibri"/>
                <w:noProof/>
                <w:color w:val="BFBFBF" w:themeColor="background1" w:themeShade="BF"/>
                <w:sz w:val="22"/>
                <w:szCs w:val="22"/>
                <w:lang w:val="fr-FR"/>
              </w:rPr>
            </w:pPr>
            <w:r>
              <w:rPr>
                <w:rFonts w:ascii="Calibri" w:hAnsi="Calibri"/>
                <w:noProof/>
                <w:color w:val="BFBFBF" w:themeColor="background1" w:themeShade="BF"/>
                <w:sz w:val="22"/>
                <w:szCs w:val="22"/>
              </w:rPr>
              <w:drawing>
                <wp:anchor distT="0" distB="0" distL="114300" distR="114300" simplePos="0" relativeHeight="251676672" behindDoc="0" locked="0" layoutInCell="1" allowOverlap="1">
                  <wp:simplePos x="0" y="0"/>
                  <wp:positionH relativeFrom="column">
                    <wp:posOffset>-29210</wp:posOffset>
                  </wp:positionH>
                  <wp:positionV relativeFrom="paragraph">
                    <wp:posOffset>118110</wp:posOffset>
                  </wp:positionV>
                  <wp:extent cx="5718810" cy="2233930"/>
                  <wp:effectExtent l="0" t="0" r="0" b="0"/>
                  <wp:wrapNone/>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FC79B3" w:rsidRPr="00AD0641">
              <w:trPr>
                <w:trHeight w:val="300"/>
                <w:tblCellSpacing w:w="0" w:type="dxa"/>
              </w:trPr>
              <w:tc>
                <w:tcPr>
                  <w:tcW w:w="960"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bl>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r w:rsidR="00FC79B3" w:rsidRPr="00AD0641">
        <w:trPr>
          <w:trHeight w:val="300"/>
        </w:trPr>
        <w:tc>
          <w:tcPr>
            <w:tcW w:w="11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r w:rsidR="00FC79B3" w:rsidRPr="00AD0641">
        <w:trPr>
          <w:trHeight w:val="300"/>
        </w:trPr>
        <w:tc>
          <w:tcPr>
            <w:tcW w:w="11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r w:rsidR="00FC79B3" w:rsidRPr="00AD0641">
        <w:trPr>
          <w:trHeight w:val="300"/>
        </w:trPr>
        <w:tc>
          <w:tcPr>
            <w:tcW w:w="11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r w:rsidR="00FC79B3" w:rsidRPr="00AD0641">
        <w:trPr>
          <w:trHeight w:val="300"/>
        </w:trPr>
        <w:tc>
          <w:tcPr>
            <w:tcW w:w="11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r w:rsidR="00FC79B3" w:rsidRPr="00AD0641">
        <w:trPr>
          <w:trHeight w:val="300"/>
        </w:trPr>
        <w:tc>
          <w:tcPr>
            <w:tcW w:w="11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r w:rsidR="00FC79B3" w:rsidRPr="00AD0641">
        <w:trPr>
          <w:trHeight w:val="300"/>
        </w:trPr>
        <w:tc>
          <w:tcPr>
            <w:tcW w:w="11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r w:rsidR="00FC79B3" w:rsidRPr="00AD0641">
        <w:trPr>
          <w:trHeight w:val="300"/>
        </w:trPr>
        <w:tc>
          <w:tcPr>
            <w:tcW w:w="11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r w:rsidR="00FC79B3" w:rsidRPr="00AD0641">
        <w:trPr>
          <w:trHeight w:val="300"/>
        </w:trPr>
        <w:tc>
          <w:tcPr>
            <w:tcW w:w="11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r w:rsidR="00FC79B3" w:rsidRPr="00AD0641">
        <w:trPr>
          <w:trHeight w:val="300"/>
        </w:trPr>
        <w:tc>
          <w:tcPr>
            <w:tcW w:w="11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r w:rsidR="00FC79B3" w:rsidRPr="00AD0641">
        <w:trPr>
          <w:trHeight w:val="300"/>
        </w:trPr>
        <w:tc>
          <w:tcPr>
            <w:tcW w:w="11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2A6CE7">
            <w:pPr>
              <w:widowControl/>
              <w:rPr>
                <w:rFonts w:ascii="Calibri" w:hAnsi="Calibri"/>
                <w:noProof/>
                <w:sz w:val="22"/>
                <w:szCs w:val="22"/>
                <w:lang w:val="fr-FR"/>
              </w:rPr>
            </w:pPr>
            <w:r>
              <w:rPr>
                <w:rFonts w:ascii="Calibri" w:hAnsi="Calibri"/>
                <w:noProof/>
                <w:color w:val="BFBFBF" w:themeColor="background1" w:themeShade="BF"/>
                <w:sz w:val="22"/>
                <w:szCs w:val="22"/>
              </w:rPr>
              <mc:AlternateContent>
                <mc:Choice Requires="wps">
                  <w:drawing>
                    <wp:anchor distT="0" distB="0" distL="114300" distR="114300" simplePos="0" relativeHeight="251678720" behindDoc="0" locked="0" layoutInCell="1" allowOverlap="1">
                      <wp:simplePos x="0" y="0"/>
                      <wp:positionH relativeFrom="column">
                        <wp:posOffset>421640</wp:posOffset>
                      </wp:positionH>
                      <wp:positionV relativeFrom="paragraph">
                        <wp:posOffset>125095</wp:posOffset>
                      </wp:positionV>
                      <wp:extent cx="2811780" cy="21844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218440"/>
                              </a:xfrm>
                              <a:prstGeom prst="rect">
                                <a:avLst/>
                              </a:prstGeom>
                              <a:noFill/>
                              <a:ln w="9525">
                                <a:noFill/>
                                <a:miter lim="800000"/>
                                <a:headEnd/>
                                <a:tailEnd/>
                              </a:ln>
                            </wps:spPr>
                            <wps:txbx>
                              <w:txbxContent>
                                <w:p w:rsidR="00FC79B3" w:rsidRDefault="002A6CE7">
                                  <w:pPr>
                                    <w:rPr>
                                      <w:rFonts w:ascii="Calibri" w:hAnsi="Calibri"/>
                                      <w:sz w:val="20"/>
                                      <w:szCs w:val="20"/>
                                    </w:rPr>
                                  </w:pPr>
                                  <w:r>
                                    <w:rPr>
                                      <w:rFonts w:ascii="Calibri" w:hAnsi="Calibri"/>
                                      <w:sz w:val="20"/>
                                      <w:szCs w:val="20"/>
                                    </w:rPr>
                                    <w:t xml:space="preserve"> 0       20      40      60       80     100    120   140    160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2pt;margin-top:9.85pt;width:221.4pt;height:1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mDAIAAPoDAAAOAAAAZHJzL2Uyb0RvYy54bWysU8tu2zAQvBfoPxC817JUu3EEy0GaNEWB&#10;9AEk/YA1RVlESS5L0pHSr8+Ssl2jvRXVQSC5u8OZ2eX6ajSaPUkfFNqGl7M5Z9IKbJXdNfz7492b&#10;FWchgm1Bo5UNf5aBX21ev1oPrpYV9qhb6RmB2FAPruF9jK4uiiB6aSDM0ElLwQ69gUhbvytaDwOh&#10;G11U8/m7YkDfOo9ChkCnt1OQbzJ+10kRv3ZdkJHphhO3mP8+/7fpX2zWUO88uF6JAw34BxYGlKVL&#10;T1C3EIHtvfoLyijhMWAXZwJNgV2nhMwaSE05/0PNQw9OZi1kTnAnm8L/gxVfnr55plrqHdljwVCP&#10;HuUY2XscWZXsGVyoKevBUV4c6ZhSs9Tg7lH8CMziTQ92J6+9x6GX0BK9MlUWZ6UTTkgg2+EztnQN&#10;7CNmoLHzJnlHbjBCJx7Pp9YkKoIOq1VZXqwoJChWlavFIveugPpY7XyIHyUalhYN99T6jA5P9yEm&#10;NlAfU9JlFu+U1rn92rKh4ZfLapkLziJGRZpOrUzDV/P0TfOSRH6wbS6OoPS0pgu0PahOQifJcdyO&#10;2d+3RzO32D6TDR6nYaTHQ4se/S/OBhrEhoefe/CSM/3JkpWXZdLKYt4slhcVbfx5ZHseASsIquGR&#10;s2l5E/O0T5KvyfJOZTdSbyYmB8o0YNmkw2NIE3y+z1m/n+zmBQAA//8DAFBLAwQUAAYACAAAACEA&#10;kq17U90AAAAIAQAADwAAAGRycy9kb3ducmV2LnhtbEyPQU/DMAyF70j7D5EncWPJpq7Q0nSahriC&#10;GDBpt6zx2orGqZpsLf8ec4Kb7ff0/L1iM7lOXHEIrScNy4UCgVR521Kt4eP9+e4BRIiGrOk8oYZv&#10;DLApZzeFya0f6Q2v+1gLDqGQGw1NjH0uZagadCYsfI/E2tkPzkReh1rawYwc7jq5UiqVzrTEHxrT&#10;467B6mt/cRo+X87HQ6Je6ye37kc/KUkuk1rfzqftI4iIU/wzwy8+o0PJTCd/IRtEpyFNE3byPbsH&#10;wfpaZSsQJx6SJciykP8LlD8AAAD//wMAUEsBAi0AFAAGAAgAAAAhALaDOJL+AAAA4QEAABMAAAAA&#10;AAAAAAAAAAAAAAAAAFtDb250ZW50X1R5cGVzXS54bWxQSwECLQAUAAYACAAAACEAOP0h/9YAAACU&#10;AQAACwAAAAAAAAAAAAAAAAAvAQAAX3JlbHMvLnJlbHNQSwECLQAUAAYACAAAACEANFPypgwCAAD6&#10;AwAADgAAAAAAAAAAAAAAAAAuAgAAZHJzL2Uyb0RvYy54bWxQSwECLQAUAAYACAAAACEAkq17U90A&#10;AAAIAQAADwAAAAAAAAAAAAAAAABmBAAAZHJzL2Rvd25yZXYueG1sUEsFBgAAAAAEAAQA8wAAAHAF&#10;AAAAAA==&#10;" filled="f" stroked="f">
                      <v:textbox>
                        <w:txbxContent>
                          <w:p>
                            <w:pPr>
                              <w:rPr>
                                <w:rFonts w:ascii="Calibri" w:hAnsi="Calibri"/>
                                <w:sz w:val="20"/>
                                <w:szCs w:val="20"/>
                              </w:rPr>
                            </w:pPr>
                            <w:r>
                              <w:rPr>
                                <w:rFonts w:ascii="Calibri" w:hAnsi="Calibri"/>
                                <w:sz w:val="20"/>
                                <w:szCs w:val="20"/>
                              </w:rPr>
                              <w:t xml:space="preserve"> 0       20      40      60       80     100    120   140    160 </w:t>
                            </w:r>
                          </w:p>
                        </w:txbxContent>
                      </v:textbox>
                    </v:shape>
                  </w:pict>
                </mc:Fallback>
              </mc:AlternateContent>
            </w: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r w:rsidR="00FC79B3" w:rsidRPr="00AD0641">
        <w:trPr>
          <w:trHeight w:val="300"/>
        </w:trPr>
        <w:tc>
          <w:tcPr>
            <w:tcW w:w="1176" w:type="dxa"/>
            <w:tcBorders>
              <w:top w:val="nil"/>
              <w:left w:val="nil"/>
              <w:bottom w:val="nil"/>
              <w:right w:val="nil"/>
            </w:tcBorders>
            <w:shd w:val="clear" w:color="auto" w:fill="auto"/>
            <w:noWrap/>
            <w:vAlign w:val="bottom"/>
          </w:tcPr>
          <w:p w:rsidR="00FC79B3" w:rsidRDefault="002A6CE7">
            <w:pPr>
              <w:widowControl/>
              <w:rPr>
                <w:rFonts w:ascii="Calibri" w:hAnsi="Calibri"/>
                <w:noProof/>
                <w:sz w:val="22"/>
                <w:szCs w:val="22"/>
                <w:lang w:val="fr-FR"/>
              </w:rPr>
            </w:pPr>
            <w:r>
              <w:rPr>
                <w:rFonts w:ascii="Calibri" w:hAnsi="Calibri"/>
                <w:noProof/>
                <w:sz w:val="22"/>
                <w:szCs w:val="22"/>
              </w:rPr>
              <mc:AlternateContent>
                <mc:Choice Requires="wps">
                  <w:drawing>
                    <wp:anchor distT="0" distB="0" distL="114300" distR="114300" simplePos="0" relativeHeight="251734016" behindDoc="0" locked="0" layoutInCell="1" allowOverlap="1">
                      <wp:simplePos x="0" y="0"/>
                      <wp:positionH relativeFrom="column">
                        <wp:posOffset>48260</wp:posOffset>
                      </wp:positionH>
                      <wp:positionV relativeFrom="paragraph">
                        <wp:posOffset>130810</wp:posOffset>
                      </wp:positionV>
                      <wp:extent cx="5640070" cy="0"/>
                      <wp:effectExtent l="0" t="0" r="17780" b="19050"/>
                      <wp:wrapNone/>
                      <wp:docPr id="9" name="Straight Connector 9"/>
                      <wp:cNvGraphicFramePr/>
                      <a:graphic xmlns:a="http://schemas.openxmlformats.org/drawingml/2006/main">
                        <a:graphicData uri="http://schemas.microsoft.com/office/word/2010/wordprocessingShape">
                          <wps:wsp>
                            <wps:cNvCnPr/>
                            <wps:spPr>
                              <a:xfrm>
                                <a:off x="0" y="0"/>
                                <a:ext cx="56400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0.3pt" to="447.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LWuAEAAMMDAAAOAAAAZHJzL2Uyb0RvYy54bWysU8GOEzEMvSPxD1HudKYrWNhRp3voCi4I&#10;Knb5gGzG6URK4sgJnfbvcdJ2FgESYrUXT5z42X7PntXtwTuxB0oWQy+Xi1YKCBoHG3a9/P7w8c0H&#10;KVJWYVAOA/TyCEnerl+/Wk2xgysc0Q1AgpOE1E2xl2POsWuapEfwKi0wQuBHg+RVZpd2zUBq4uze&#10;NVdte91MSEMk1JAS396dHuW65jcGdP5qTIIsXC+5t1wtVftYbLNeqW5HKo5Wn9tQz+jCKxu46Jzq&#10;TmUlfpD9I5W3mjChyQuNvkFjrIbKgdks29/Y3I8qQuXC4qQ4y5ReLq3+st+SsEMvb6QIyvOI7jMp&#10;uxuz2GAILCCSuCk6TTF1HL4JWzp7KW6pkD4Y8uXLdMShanuctYVDFpov312/bdv3PAJ9eWuegJFS&#10;/gToRTn00tlQaKtO7T+nzMU49BLCTmnkVLqe8tFBCXbhGximwsWWFV2XCDaOxF7x+JXWEPKyUOF8&#10;NbrAjHVuBrb/Bp7jCxTqgv0PeEbUyhjyDPY2IP2tej5cWjan+IsCJ95FgkccjnUoVRrelMrwvNVl&#10;FX/1K/zp31v/BAAA//8DAFBLAwQUAAYACAAAACEAtKMGct4AAAAHAQAADwAAAGRycy9kb3ducmV2&#10;LnhtbEyPQUvDQBCF74L/YRmhF7EbS1NjzKbYQulBRWz8AdvsmASzsyG7SVN/vSMe9DTMvMeb72Xr&#10;ybZixN43jhTcziMQSKUzDVUK3ovdTQLCB01Gt45QwRk9rPPLi0ynxp3oDcdDqASHkE+1gjqELpXS&#10;lzVa7eeuQ2Ltw/VWB177SppenzjctnIRRStpdUP8odYdbmssPw+DVbDfbfApPg/V0sT74nosnl++&#10;XhOlZlfT4wOIgFP4M8MPPqNDzkxHN5DxolVwt2KjgkXEk+XkPuYmx9+DzDP5nz//BgAA//8DAFBL&#10;AQItABQABgAIAAAAIQC2gziS/gAAAOEBAAATAAAAAAAAAAAAAAAAAAAAAABbQ29udGVudF9UeXBl&#10;c10ueG1sUEsBAi0AFAAGAAgAAAAhADj9If/WAAAAlAEAAAsAAAAAAAAAAAAAAAAALwEAAF9yZWxz&#10;Ly5yZWxzUEsBAi0AFAAGAAgAAAAhAMaksta4AQAAwwMAAA4AAAAAAAAAAAAAAAAALgIAAGRycy9l&#10;Mm9Eb2MueG1sUEsBAi0AFAAGAAgAAAAhALSjBnLeAAAABwEAAA8AAAAAAAAAAAAAAAAAEgQAAGRy&#10;cy9kb3ducmV2LnhtbFBLBQYAAAAABAAEAPMAAAAdBQAAAAA=&#10;" strokecolor="#4579b8 [3044]"/>
                  </w:pict>
                </mc:Fallback>
              </mc:AlternateContent>
            </w: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c>
          <w:tcPr>
            <w:tcW w:w="976" w:type="dxa"/>
            <w:tcBorders>
              <w:top w:val="nil"/>
              <w:left w:val="nil"/>
              <w:bottom w:val="nil"/>
              <w:right w:val="nil"/>
            </w:tcBorders>
            <w:shd w:val="clear" w:color="auto" w:fill="auto"/>
            <w:noWrap/>
            <w:vAlign w:val="bottom"/>
            <w:hideMark/>
          </w:tcPr>
          <w:p w:rsidR="00FC79B3" w:rsidRDefault="00FC79B3">
            <w:pPr>
              <w:widowControl/>
              <w:rPr>
                <w:rFonts w:ascii="Calibri" w:hAnsi="Calibri"/>
                <w:noProof/>
                <w:sz w:val="22"/>
                <w:szCs w:val="22"/>
                <w:lang w:val="fr-FR"/>
              </w:rPr>
            </w:pPr>
          </w:p>
        </w:tc>
      </w:tr>
    </w:tbl>
    <w:p w:rsidR="00FC79B3" w:rsidRDefault="002A6CE7">
      <w:pPr>
        <w:pStyle w:val="BodyText"/>
        <w:spacing w:before="60" w:after="0" w:line="240" w:lineRule="auto"/>
        <w:ind w:left="0"/>
        <w:jc w:val="both"/>
        <w:rPr>
          <w:i/>
          <w:noProof/>
          <w:sz w:val="16"/>
          <w:szCs w:val="16"/>
          <w:lang w:val="fr-FR"/>
        </w:rPr>
      </w:pPr>
      <w:r>
        <w:rPr>
          <w:i/>
          <w:noProof/>
          <w:sz w:val="16"/>
          <w:lang w:val="fr-FR"/>
        </w:rPr>
        <w:t>Source: analyse de 221 subventions pour lesquelles un rapport final était disponible.</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 xml:space="preserve">Étant donné toutefois que ces activités ont réussi à attirer l’attention de </w:t>
      </w:r>
      <w:r>
        <w:rPr>
          <w:rStyle w:val="Corpsdutexte"/>
          <w:rFonts w:ascii="Times New Roman" w:hAnsi="Times New Roman"/>
          <w:noProof/>
          <w:color w:val="000000"/>
          <w:lang w:val="fr-FR"/>
        </w:rPr>
        <w:t xml:space="preserve">responsables politiques et à multiplier les liens entre les autorités de différents États membres, un certain degré d’efficacité au moins peut être reconnu à la diffusion. Au total, 44 répondants à l’enquête en ligne ont déclaré qu’ils avaient déjà mis en </w:t>
      </w:r>
      <w:r>
        <w:rPr>
          <w:rStyle w:val="Corpsdutexte"/>
          <w:rFonts w:ascii="Times New Roman" w:hAnsi="Times New Roman"/>
          <w:noProof/>
          <w:color w:val="000000"/>
          <w:lang w:val="fr-FR"/>
        </w:rPr>
        <w:t>œuvre des produits de façon fructueuse dans d’autres États membres que leur État d’origine. De plus, 29 ont indiqué que les résultats de leurs projets ou activités avaient contribué à façonner des activités politiques dans un ou plusieurs autres pays</w:t>
      </w:r>
      <w:r>
        <w:rPr>
          <w:rStyle w:val="FootnoteReference"/>
          <w:rFonts w:ascii="Times New Roman" w:hAnsi="Times New Roman"/>
          <w:noProof/>
          <w:color w:val="000000"/>
          <w:sz w:val="22"/>
          <w:lang w:val="fr-FR"/>
        </w:rPr>
        <w:footnoteReference w:id="44"/>
      </w:r>
      <w:r>
        <w:rPr>
          <w:noProof/>
          <w:lang w:val="fr-FR"/>
        </w:rPr>
        <w:t>.</w:t>
      </w:r>
    </w:p>
    <w:p w:rsidR="00FC79B3" w:rsidRDefault="002A6CE7">
      <w:pPr>
        <w:pStyle w:val="Heading3"/>
        <w:rPr>
          <w:noProof/>
          <w:color w:val="auto"/>
          <w:lang w:val="fr-FR"/>
        </w:rPr>
      </w:pPr>
      <w:r>
        <w:rPr>
          <w:noProof/>
          <w:color w:val="auto"/>
          <w:lang w:val="fr-FR"/>
        </w:rPr>
        <w:t>Continuation des partenariats après l’achèvement des projets</w:t>
      </w:r>
    </w:p>
    <w:p w:rsidR="00FC79B3" w:rsidRDefault="002A6CE7">
      <w:pPr>
        <w:pStyle w:val="BodyText"/>
        <w:ind w:left="0"/>
        <w:jc w:val="both"/>
        <w:rPr>
          <w:rStyle w:val="Corpsdutexte"/>
          <w:rFonts w:ascii="Times New Roman" w:eastAsia="Times New Roman" w:hAnsi="Times New Roman"/>
          <w:noProof/>
          <w:color w:val="000000"/>
          <w:lang w:val="fr-FR"/>
        </w:rPr>
      </w:pPr>
      <w:r>
        <w:rPr>
          <w:rStyle w:val="Corpsdutexte"/>
          <w:rFonts w:ascii="Times New Roman" w:hAnsi="Times New Roman"/>
          <w:noProof/>
          <w:color w:val="000000"/>
          <w:lang w:val="fr-FR"/>
        </w:rPr>
        <w:t>D’après les informations des rapports finaux, 17 partenariats formés pour mettre en œuvre des subventions JPEN subsisteraient en tout ou en partie après la clôture du projet. Toutefois, un plus g</w:t>
      </w:r>
      <w:r>
        <w:rPr>
          <w:rStyle w:val="Corpsdutexte"/>
          <w:rFonts w:ascii="Times New Roman" w:hAnsi="Times New Roman"/>
          <w:noProof/>
          <w:color w:val="000000"/>
          <w:lang w:val="fr-FR"/>
        </w:rPr>
        <w:t>rand nombre de partenariats sont sans doute restés en place en réalité puisque 71 des 91 répondants à l’enquête en ligne (78 %) ont déclaré que leur partenariat continuait déjà ou continuerait probablement après l’achèvement du projet. Un autre facteur tie</w:t>
      </w:r>
      <w:r>
        <w:rPr>
          <w:rStyle w:val="Corpsdutexte"/>
          <w:rFonts w:ascii="Times New Roman" w:hAnsi="Times New Roman"/>
          <w:noProof/>
          <w:color w:val="000000"/>
          <w:lang w:val="fr-FR"/>
        </w:rPr>
        <w:t>nt à ce que les bénéficiaires de subventions qui ont été interrogés et ont participé à l’enquête en ligne ont exprimé un avis positif sur les avantages des partenariats constitués dans le cadre du programme JPEN. Les entretiens de suivi menés avec les béné</w:t>
      </w:r>
      <w:r>
        <w:rPr>
          <w:rStyle w:val="Corpsdutexte"/>
          <w:rFonts w:ascii="Times New Roman" w:hAnsi="Times New Roman"/>
          <w:noProof/>
          <w:color w:val="000000"/>
          <w:lang w:val="fr-FR"/>
        </w:rPr>
        <w:t>ficiaires de subventions ont en outre révélé que certains partenariats avaient déjà vu le jour avant le lancement du projet. Cette expérience préalable a facilité le rapprochement et la communication au sein des équipes, ainsi que la résolution des problèm</w:t>
      </w:r>
      <w:r>
        <w:rPr>
          <w:rStyle w:val="Corpsdutexte"/>
          <w:rFonts w:ascii="Times New Roman" w:hAnsi="Times New Roman"/>
          <w:noProof/>
          <w:color w:val="000000"/>
          <w:lang w:val="fr-FR"/>
        </w:rPr>
        <w:t>es, et simplifié la prise de contact initiale dans le cadre des nouveaux projets</w:t>
      </w:r>
      <w:r>
        <w:rPr>
          <w:rStyle w:val="FootnoteReference"/>
          <w:rFonts w:ascii="Times New Roman" w:hAnsi="Times New Roman"/>
          <w:noProof/>
          <w:color w:val="000000"/>
          <w:sz w:val="22"/>
          <w:lang w:val="fr-FR"/>
        </w:rPr>
        <w:footnoteReference w:id="45"/>
      </w:r>
      <w:r>
        <w:rPr>
          <w:noProof/>
          <w:lang w:val="fr-FR"/>
        </w:rPr>
        <w:t>.</w:t>
      </w:r>
      <w:r>
        <w:rPr>
          <w:rStyle w:val="Corpsdutexte"/>
          <w:rFonts w:ascii="Times New Roman" w:hAnsi="Times New Roman"/>
          <w:noProof/>
          <w:color w:val="000000"/>
          <w:lang w:val="fr-FR"/>
        </w:rPr>
        <w:t xml:space="preserve"> Aucune donnée n’a été recueillie sur les raisons de la dissolution des partenariats. </w:t>
      </w:r>
    </w:p>
    <w:p w:rsidR="00FC79B3" w:rsidRDefault="002A6CE7">
      <w:pPr>
        <w:pStyle w:val="Heading3"/>
        <w:rPr>
          <w:noProof/>
          <w:color w:val="auto"/>
          <w:lang w:val="fr-FR"/>
        </w:rPr>
      </w:pPr>
      <w:bookmarkStart w:id="36" w:name="_Ref412127103"/>
      <w:bookmarkStart w:id="37" w:name="_Toc420489564"/>
      <w:r>
        <w:rPr>
          <w:noProof/>
          <w:color w:val="auto"/>
          <w:lang w:val="fr-FR"/>
        </w:rPr>
        <w:t>Potentiel de durabilité et de transfert des produits</w:t>
      </w:r>
      <w:bookmarkEnd w:id="36"/>
      <w:bookmarkEnd w:id="37"/>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Diffuser les produits et les résul</w:t>
      </w:r>
      <w:r>
        <w:rPr>
          <w:rFonts w:ascii="Times New Roman" w:hAnsi="Times New Roman"/>
          <w:noProof/>
          <w:sz w:val="22"/>
          <w:lang w:val="fr-FR"/>
        </w:rPr>
        <w:t>tats auprès d’un large public peut accroître leur durabilité. De nombreux produits ont été conçus d’emblée pour être utilisés au niveau de l’UE (la formation judiciaire du REFJ a par exemple été pensée à l’intention de participants issus de multiples États</w:t>
      </w:r>
      <w:r>
        <w:rPr>
          <w:rFonts w:ascii="Times New Roman" w:hAnsi="Times New Roman"/>
          <w:noProof/>
          <w:sz w:val="22"/>
          <w:lang w:val="fr-FR"/>
        </w:rPr>
        <w:t xml:space="preserve"> membres et le portail e-Justice pour être consulté depuis tous les États membres). Certains produits qui n’étaient initialement pas destinés à une application à travers l’UE intégraient par ailleurs des caractéristiques qui permettaient leur transfert dan</w:t>
      </w:r>
      <w:r>
        <w:rPr>
          <w:rFonts w:ascii="Times New Roman" w:hAnsi="Times New Roman"/>
          <w:noProof/>
          <w:sz w:val="22"/>
          <w:lang w:val="fr-FR"/>
        </w:rPr>
        <w:t xml:space="preserve">s d’autres États membres. </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color w:val="000000"/>
          <w:sz w:val="22"/>
          <w:lang w:val="fr-FR"/>
        </w:rPr>
        <w:t xml:space="preserve">Il a été difficile pour les bénéficiaires de subventions de démontrer la durabilité de leurs projets dans leurs rapports finaux. Deux à trois mois seulement se sont en effet écoulés entre la clôture des projets et la date limite </w:t>
      </w:r>
      <w:r>
        <w:rPr>
          <w:rFonts w:ascii="Times New Roman" w:hAnsi="Times New Roman"/>
          <w:noProof/>
          <w:color w:val="000000"/>
          <w:sz w:val="22"/>
          <w:lang w:val="fr-FR"/>
        </w:rPr>
        <w:t>de présentation des rapports, une période qui ne suffit pas à démontrer la durabilité.</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Bon nombre des partenaires de projets interrogés pour l’évaluation ont indiqué qu’ils avaient imaginé leurs projets sur la base de produits clairs, dont une grande parti</w:t>
      </w:r>
      <w:r>
        <w:rPr>
          <w:rFonts w:ascii="Times New Roman" w:hAnsi="Times New Roman"/>
          <w:noProof/>
          <w:sz w:val="22"/>
          <w:lang w:val="fr-FR"/>
        </w:rPr>
        <w:t>e seraient transférés dans d’autres États membres ou pourraient l’être. Au total, 70 des 89 répondants à l’enquête en ligne ont également affirmé qu’au moins une partie de leurs produits pouvaient être utilisés tels quels dans plusieurs pays et 22 autres o</w:t>
      </w:r>
      <w:r>
        <w:rPr>
          <w:rFonts w:ascii="Times New Roman" w:hAnsi="Times New Roman"/>
          <w:noProof/>
          <w:sz w:val="22"/>
          <w:lang w:val="fr-FR"/>
        </w:rPr>
        <w:t>nt estimé que leurs produits pouvaient être transférés dans d’autres pays moyennant quelques modifications mineures. D’après plus de deux tiers d’entre eux (61 répondants), les résultats de leurs projets ou activités pouvaient en outre contribuer à façonne</w:t>
      </w:r>
      <w:r>
        <w:rPr>
          <w:rFonts w:ascii="Times New Roman" w:hAnsi="Times New Roman"/>
          <w:noProof/>
          <w:sz w:val="22"/>
          <w:lang w:val="fr-FR"/>
        </w:rPr>
        <w:t>r les activités politiques dans un ou plusieurs autres pays.</w:t>
      </w:r>
      <w:r>
        <w:rPr>
          <w:rStyle w:val="FootnoteReference"/>
          <w:rFonts w:ascii="Times New Roman" w:hAnsi="Times New Roman"/>
          <w:noProof/>
          <w:sz w:val="22"/>
          <w:lang w:val="fr-FR"/>
        </w:rPr>
        <w:footnoteReference w:id="46"/>
      </w:r>
      <w:r>
        <w:rPr>
          <w:noProof/>
          <w:lang w:val="fr-FR"/>
        </w:rPr>
        <w:t>.</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Les personnes interrogées ont également désigné les facteurs susceptibles d’entraver le plein potentiel de transfert de leurs résultats. Ils comprennent à leurs yeux l’adaptation au droit inter</w:t>
      </w:r>
      <w:r>
        <w:rPr>
          <w:rFonts w:ascii="Times New Roman" w:hAnsi="Times New Roman"/>
          <w:noProof/>
          <w:sz w:val="22"/>
          <w:lang w:val="fr-FR"/>
        </w:rPr>
        <w:t xml:space="preserve">ne de chaque pays, les exigences de traduction, la maturité des systèmes judiciaires des autres États membres, le degré de priorité accordé à un sujet particulier dans un État membre donné et la nécessité de produits spécifiques du projet (p. ex., méthode </w:t>
      </w:r>
      <w:r>
        <w:rPr>
          <w:rFonts w:ascii="Times New Roman" w:hAnsi="Times New Roman"/>
          <w:noProof/>
          <w:sz w:val="22"/>
          <w:lang w:val="fr-FR"/>
        </w:rPr>
        <w:t>ou outil de formation).</w:t>
      </w:r>
    </w:p>
    <w:p w:rsidR="00FC79B3" w:rsidRDefault="002A6CE7">
      <w:pPr>
        <w:pStyle w:val="Heading2"/>
        <w:rPr>
          <w:rStyle w:val="En-tte4"/>
          <w:noProof/>
          <w:color w:val="auto"/>
          <w:sz w:val="26"/>
          <w:szCs w:val="26"/>
          <w:lang w:val="fr-FR"/>
        </w:rPr>
      </w:pPr>
      <w:bookmarkStart w:id="38" w:name="_Toc471909134"/>
      <w:bookmarkStart w:id="39" w:name="bookmark37"/>
      <w:r>
        <w:rPr>
          <w:rStyle w:val="En-tte4"/>
          <w:noProof/>
          <w:color w:val="auto"/>
          <w:sz w:val="26"/>
          <w:lang w:val="fr-FR"/>
        </w:rPr>
        <w:t>EFFICIENCE ET SIMPLIFICATIONS POTENTIELLES</w:t>
      </w:r>
      <w:bookmarkEnd w:id="38"/>
    </w:p>
    <w:bookmarkEnd w:id="39"/>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La présente section est consacrée à l’efficience du programme en ce qui concerne: </w:t>
      </w:r>
    </w:p>
    <w:p w:rsidR="00FC79B3" w:rsidRDefault="002A6CE7">
      <w:pPr>
        <w:pStyle w:val="BodyText"/>
        <w:numPr>
          <w:ilvl w:val="0"/>
          <w:numId w:val="31"/>
        </w:numPr>
        <w:jc w:val="both"/>
        <w:rPr>
          <w:rFonts w:ascii="Times New Roman" w:hAnsi="Times New Roman"/>
          <w:noProof/>
          <w:sz w:val="22"/>
          <w:szCs w:val="22"/>
          <w:lang w:val="fr-FR"/>
        </w:rPr>
      </w:pPr>
      <w:r>
        <w:rPr>
          <w:rFonts w:ascii="Times New Roman" w:hAnsi="Times New Roman"/>
          <w:noProof/>
          <w:sz w:val="22"/>
          <w:lang w:val="fr-FR"/>
        </w:rPr>
        <w:t xml:space="preserve">la suffisance et l’efficience des ressources financières disponibles; </w:t>
      </w:r>
    </w:p>
    <w:p w:rsidR="00FC79B3" w:rsidRDefault="002A6CE7">
      <w:pPr>
        <w:pStyle w:val="BodyText"/>
        <w:numPr>
          <w:ilvl w:val="0"/>
          <w:numId w:val="31"/>
        </w:numPr>
        <w:jc w:val="both"/>
        <w:rPr>
          <w:rFonts w:ascii="Times New Roman" w:hAnsi="Times New Roman"/>
          <w:noProof/>
          <w:sz w:val="22"/>
          <w:szCs w:val="22"/>
          <w:lang w:val="fr-FR"/>
        </w:rPr>
      </w:pPr>
      <w:r>
        <w:rPr>
          <w:rFonts w:ascii="Times New Roman" w:hAnsi="Times New Roman"/>
          <w:noProof/>
          <w:sz w:val="22"/>
          <w:lang w:val="fr-FR"/>
        </w:rPr>
        <w:t xml:space="preserve">l’adéquation des sommes débloquées au regard des impacts positifs récoltés; </w:t>
      </w:r>
    </w:p>
    <w:p w:rsidR="00FC79B3" w:rsidRDefault="002A6CE7">
      <w:pPr>
        <w:pStyle w:val="BodyText"/>
        <w:numPr>
          <w:ilvl w:val="0"/>
          <w:numId w:val="31"/>
        </w:numPr>
        <w:jc w:val="both"/>
        <w:rPr>
          <w:rFonts w:ascii="Times New Roman" w:hAnsi="Times New Roman"/>
          <w:noProof/>
          <w:sz w:val="22"/>
          <w:szCs w:val="22"/>
          <w:lang w:val="fr-FR"/>
        </w:rPr>
      </w:pPr>
      <w:r>
        <w:rPr>
          <w:rFonts w:ascii="Times New Roman" w:hAnsi="Times New Roman"/>
          <w:noProof/>
          <w:sz w:val="22"/>
          <w:lang w:val="fr-FR"/>
        </w:rPr>
        <w:t xml:space="preserve">la mesure dans laquelle la répartition des fonds entre les différents outils de financement était appropriée et suffisante pour atteindre les objectifs des projets. </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La présente </w:t>
      </w:r>
      <w:r>
        <w:rPr>
          <w:rFonts w:ascii="Times New Roman" w:hAnsi="Times New Roman"/>
          <w:noProof/>
          <w:sz w:val="22"/>
          <w:lang w:val="fr-FR"/>
        </w:rPr>
        <w:t>section examine également si la gestion de la Commission a été efficiente et s’il serait possible de simplifier la gestion du programme.</w:t>
      </w:r>
    </w:p>
    <w:p w:rsidR="00FC79B3" w:rsidRDefault="002A6CE7">
      <w:pPr>
        <w:pStyle w:val="Heading3"/>
        <w:rPr>
          <w:noProof/>
          <w:color w:val="auto"/>
          <w:lang w:val="fr-FR"/>
        </w:rPr>
      </w:pPr>
      <w:r>
        <w:rPr>
          <w:noProof/>
          <w:color w:val="auto"/>
          <w:lang w:val="fr-FR"/>
        </w:rPr>
        <w:t>Suffisance et efficience des ressources financières disponibles</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L’analyse a montré que le budget prévu pour atteindre l</w:t>
      </w:r>
      <w:r>
        <w:rPr>
          <w:rFonts w:ascii="Times New Roman" w:hAnsi="Times New Roman"/>
          <w:noProof/>
          <w:sz w:val="22"/>
          <w:lang w:val="fr-FR"/>
        </w:rPr>
        <w:t>es objectifs était suffisant sachant que les objectifs du programme étaient bien formulés et qu’ils n’étaient pas excessivement ambitieux. Selon les bénéficiaires, les subventions suffisaient généralement elles aussi à leur donner les moyens de réaliser le</w:t>
      </w:r>
      <w:r>
        <w:rPr>
          <w:rFonts w:ascii="Times New Roman" w:hAnsi="Times New Roman"/>
          <w:noProof/>
          <w:sz w:val="22"/>
          <w:lang w:val="fr-FR"/>
        </w:rPr>
        <w:t>urs objectifs et de faire une différence dans leur domaine.</w:t>
      </w:r>
    </w:p>
    <w:p w:rsidR="002A6CE7" w:rsidRPr="002A6CE7" w:rsidRDefault="002A6CE7" w:rsidP="002A6CE7">
      <w:pPr>
        <w:pStyle w:val="BodyText"/>
        <w:jc w:val="both"/>
        <w:rPr>
          <w:rFonts w:ascii="Times New Roman" w:hAnsi="Times New Roman"/>
          <w:noProof/>
          <w:sz w:val="22"/>
          <w:szCs w:val="22"/>
          <w:lang w:val="fr-FR"/>
        </w:rPr>
      </w:pPr>
      <w:r>
        <w:rPr>
          <w:rFonts w:ascii="Times New Roman" w:hAnsi="Times New Roman"/>
          <w:noProof/>
          <w:sz w:val="22"/>
          <w:lang w:val="fr-FR"/>
        </w:rPr>
        <w:t>Il ressort de la comparaison entre les fonds alloués et les fonds (finalement) engagés que la sous-utilisation était courante dans les projets au début du programme: les engagements par appel étai</w:t>
      </w:r>
      <w:r>
        <w:rPr>
          <w:rFonts w:ascii="Times New Roman" w:hAnsi="Times New Roman"/>
          <w:noProof/>
          <w:sz w:val="22"/>
          <w:lang w:val="fr-FR"/>
        </w:rPr>
        <w:t xml:space="preserve">ent systématiquement inférieurs aux dotations initiales, nonobstant certaines améliorations au fil des appels ultérieurs (cf.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_Ref456711894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p>
    <w:p w:rsidR="00FC79B3" w:rsidRDefault="002A6CE7">
      <w:pPr>
        <w:pStyle w:val="BodyText"/>
        <w:ind w:left="0"/>
        <w:jc w:val="both"/>
        <w:rPr>
          <w:rFonts w:ascii="Times New Roman" w:hAnsi="Times New Roman"/>
          <w:noProof/>
          <w:sz w:val="22"/>
          <w:szCs w:val="22"/>
          <w:lang w:val="fr-FR"/>
        </w:rPr>
      </w:pPr>
      <w:r w:rsidRPr="002A6CE7">
        <w:rPr>
          <w:rFonts w:ascii="Times New Roman" w:hAnsi="Times New Roman"/>
          <w:noProof/>
          <w:sz w:val="22"/>
          <w:szCs w:val="22"/>
          <w:lang w:val="fr-FR"/>
        </w:rPr>
        <w:t>Figure 2</w:t>
      </w:r>
      <w:r w:rsidRPr="002A6CE7">
        <w:rPr>
          <w:rFonts w:ascii="Times New Roman" w:hAnsi="Times New Roman"/>
          <w:noProof/>
          <w:sz w:val="22"/>
          <w:szCs w:val="22"/>
          <w:lang w:val="fr-FR"/>
        </w:rPr>
        <w:noBreakHyphen/>
        <w:t>4</w:t>
      </w:r>
      <w:r>
        <w:rPr>
          <w:rFonts w:ascii="Times New Roman" w:hAnsi="Times New Roman"/>
          <w:noProof/>
          <w:sz w:val="22"/>
          <w:szCs w:val="22"/>
          <w:lang w:val="fr-FR"/>
        </w:rPr>
        <w:fldChar w:fldCharType="end"/>
      </w:r>
      <w:r>
        <w:rPr>
          <w:rFonts w:ascii="Times New Roman" w:hAnsi="Times New Roman"/>
          <w:noProof/>
          <w:sz w:val="22"/>
          <w:lang w:val="fr-FR"/>
        </w:rPr>
        <w:t>). Cette disco</w:t>
      </w:r>
      <w:r>
        <w:rPr>
          <w:rFonts w:ascii="Times New Roman" w:hAnsi="Times New Roman"/>
          <w:noProof/>
          <w:sz w:val="22"/>
          <w:lang w:val="fr-FR"/>
        </w:rPr>
        <w:t>rdance initiale s’explique par le fait que JPEN était un nouveau programme, qui s’adressait à un public relativement peu expérimenté dans les candidatures à un financement. Les outils de financement utilisés observaient une logique claire et, dans l’ensemb</w:t>
      </w:r>
      <w:r>
        <w:rPr>
          <w:rFonts w:ascii="Times New Roman" w:hAnsi="Times New Roman"/>
          <w:noProof/>
          <w:sz w:val="22"/>
          <w:lang w:val="fr-FR"/>
        </w:rPr>
        <w:t>le, leur utilisation a été efficiente.</w:t>
      </w:r>
    </w:p>
    <w:p w:rsidR="00FC79B3" w:rsidRDefault="00FC79B3">
      <w:pPr>
        <w:pStyle w:val="Caption"/>
        <w:rPr>
          <w:noProof/>
          <w:lang w:val="fr-FR"/>
        </w:rPr>
      </w:pPr>
      <w:bookmarkStart w:id="40" w:name="_Ref456711894"/>
    </w:p>
    <w:p w:rsidR="00FC79B3" w:rsidRDefault="002A6CE7">
      <w:pPr>
        <w:pStyle w:val="Caption"/>
        <w:rPr>
          <w:noProof/>
          <w:lang w:val="fr-FR"/>
        </w:rPr>
      </w:pPr>
      <w:r>
        <w:rPr>
          <w:noProof/>
          <w:lang w:val="fr-FR"/>
        </w:rPr>
        <w:t>Figure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4</w:t>
      </w:r>
      <w:r>
        <w:rPr>
          <w:noProof/>
          <w:lang w:val="fr-FR"/>
        </w:rPr>
        <w:fldChar w:fldCharType="end"/>
      </w:r>
      <w:bookmarkEnd w:id="40"/>
      <w:r>
        <w:rPr>
          <w:noProof/>
          <w:lang w:val="fr-FR"/>
        </w:rPr>
        <w:t xml:space="preserve"> Total des fonds alloués, engagés et actualisés du programme JPEN et total des surengagements, sous-engagements et sous-utilisations par appel à propositions </w:t>
      </w:r>
      <w:r>
        <w:rPr>
          <w:noProof/>
          <w:lang w:val="fr-FR"/>
        </w:rPr>
        <w:t>(en haut, subventions à l’action; en bas, subventions de fonctionnement)</w:t>
      </w:r>
    </w:p>
    <w:p w:rsidR="00FC79B3" w:rsidRDefault="00FC79B3">
      <w:pPr>
        <w:rPr>
          <w:noProof/>
          <w:lang w:val="fr-FR"/>
        </w:rPr>
      </w:pP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2083435</wp:posOffset>
                </wp:positionH>
                <wp:positionV relativeFrom="paragraph">
                  <wp:posOffset>1963156</wp:posOffset>
                </wp:positionV>
                <wp:extent cx="612140" cy="24955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49555"/>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2"/>
                                <w:lang w:val="fr-FR"/>
                              </w:rPr>
                            </w:pPr>
                            <w:r>
                              <w:rPr>
                                <w:rFonts w:asciiTheme="minorHAnsi" w:hAnsiTheme="minorHAnsi"/>
                                <w:sz w:val="12"/>
                                <w:lang w:val="fr-FR"/>
                              </w:rPr>
                              <w:t>Fonds versés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4.05pt;margin-top:154.6pt;width:48.2pt;height:1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uaIQIAACIEAAAOAAAAZHJzL2Uyb0RvYy54bWysU9uO2yAQfa/Uf0C8N46tON1YcVbbbFNV&#10;2l6k3X4AxjhGBYYCiZ1+fQeczabtW1UeEMPMHM6cGda3o1bkKJyXYGqaz+aUCMOhlWZf029Puzc3&#10;lPjATMsUGFHTk/D0dvP61XqwlSigB9UKRxDE+GqwNe1DsFWWed4LzfwMrDDo7MBpFtB0+6x1bEB0&#10;rbJiPl9mA7jWOuDCe7y9n5x0k/C7TvDwpeu8CETVFLmFtLu0N3HPNmtW7R2zveRnGuwfWGgmDT56&#10;gbpngZGDk39BackdeOjCjIPOoOskF6kGrCaf/1HNY8+sSLWgON5eZPL/D5Z/Pn51RLbYuyUlhmns&#10;0ZMYA3kHIymiPIP1FUY9WowLI15jaCrV2wfg3z0xsO2Z2Ys752DoBWuRXh4zs6vUCcdHkGb4BC0+&#10;ww4BEtDYOR21QzUIomObTpfWRCocL5d5kS/Qw9FVLFZlWaYXWPWcbJ0PHwRoEg81ddj5BM6ODz5E&#10;Mqx6DolveVCy3UmlkuH2zVY5cmQ4Jbu0zui/hSlDhpquyqJMyAZifhogLQNOsZK6pjfzuGI6q6IY&#10;702bzoFJNZ2RiTJndaIgkzRhbMbUh0XMjco10J5QLgfT0OInw0MP7iclAw5sTf2PA3OCEvXRoOSr&#10;fBEFCslYlG8LNNy1p7n2MMMRqqaBkum4DelXRNoG7rA1nUyyvTA5U8ZBTGqeP02c9Gs7Rb187c0v&#10;AAAA//8DAFBLAwQUAAYACAAAACEARvtCG98AAAALAQAADwAAAGRycy9kb3ducmV2LnhtbEyPz06D&#10;QBCH7ya+w2ZMvBi7FKGllKVRE43X1j7AwE6BlN0l7LbQt3c86W3+fPnNN8VuNr240ug7ZxUsFxEI&#10;srXTnW0UHL8/njMQPqDV2DtLCm7kYVfe3xWYazfZPV0PoREcYn2OCtoQhlxKX7dk0C/cQJZ3Jzca&#10;DNyOjdQjThxuehlH0Uoa7CxfaHGg95bq8+FiFJy+pqd0M1Wf4bjeJ6s37NaVuyn1+DC/bkEEmsMf&#10;DL/6rA4lO1XuYrUXvYKXOFsyykW0iUEwkcRJCqLiSZKlIMtC/v+h/AEAAP//AwBQSwECLQAUAAYA&#10;CAAAACEAtoM4kv4AAADhAQAAEwAAAAAAAAAAAAAAAAAAAAAAW0NvbnRlbnRfVHlwZXNdLnhtbFBL&#10;AQItABQABgAIAAAAIQA4/SH/1gAAAJQBAAALAAAAAAAAAAAAAAAAAC8BAABfcmVscy8ucmVsc1BL&#10;AQItABQABgAIAAAAIQAatzuaIQIAACIEAAAOAAAAAAAAAAAAAAAAAC4CAABkcnMvZTJvRG9jLnht&#10;bFBLAQItABQABgAIAAAAIQBG+0Ib3wAAAAsBAAAPAAAAAAAAAAAAAAAAAHsEAABkcnMvZG93bnJl&#10;di54bWxQSwUGAAAAAAQABADzAAAAhwUAAAAA&#10;" stroked="f">
                <v:textbox>
                  <w:txbxContent>
                    <w:p>
                      <w:pPr>
                        <w:rPr>
                          <w:rFonts w:asciiTheme="minorHAnsi" w:hAnsiTheme="minorHAnsi"/>
                          <w:sz w:val="12"/>
                          <w:lang w:val="fr-FR"/>
                        </w:rPr>
                      </w:pPr>
                      <w:r>
                        <w:rPr>
                          <w:rFonts w:asciiTheme="minorHAnsi" w:hAnsiTheme="minorHAnsi"/>
                          <w:sz w:val="12"/>
                          <w:lang w:val="fr-FR"/>
                        </w:rPr>
                        <w:t>Fonds versés</w:t>
                      </w:r>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693056" behindDoc="0" locked="0" layoutInCell="1" allowOverlap="1">
                <wp:simplePos x="0" y="0"/>
                <wp:positionH relativeFrom="column">
                  <wp:posOffset>3826510</wp:posOffset>
                </wp:positionH>
                <wp:positionV relativeFrom="paragraph">
                  <wp:posOffset>1928866</wp:posOffset>
                </wp:positionV>
                <wp:extent cx="1267628" cy="249555"/>
                <wp:effectExtent l="0" t="0" r="889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628" cy="249555"/>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2"/>
                                <w:lang w:val="fr-FR"/>
                              </w:rPr>
                            </w:pPr>
                            <w:r>
                              <w:rPr>
                                <w:rFonts w:asciiTheme="minorHAnsi" w:hAnsiTheme="minorHAnsi"/>
                                <w:sz w:val="12"/>
                                <w:lang w:val="fr-FR"/>
                              </w:rPr>
                              <w:t>Sous/sur-engagement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01.3pt;margin-top:151.9pt;width:99.8pt;height:1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AwIwIAACQEAAAOAAAAZHJzL2Uyb0RvYy54bWysU8Fu2zAMvQ/YPwi6L06MOE2MOEWXLsOA&#10;rhvQ7gNkWY6FSaImKbGzrx8lp2m23Yb5IIgm+fj4SK1vB63IUTgvwVR0NplSIgyHRpp9Rb89794t&#10;KfGBmYYpMKKiJ+Hp7ebtm3VvS5FDB6oRjiCI8WVvK9qFYMss87wTmvkJWGHQ2YLTLKDp9lnjWI/o&#10;WmX5dLrIenCNdcCF9/j3fnTSTcJvW8HDl7b1IhBVUeQW0unSWccz26xZuXfMdpKfabB/YKGZNFj0&#10;AnXPAiMHJ/+C0pI78NCGCQedQdtKLlIP2M1s+kc3Tx2zIvWC4nh7kcn/P1j+ePzqiGwqmi9xVIZp&#10;HNKzGAJ5DwPJoz699SWGPVkMDAP+xjmnXr19AP7dEwPbjpm9uHMO+k6wBvnNYmZ2lTri+AhS95+h&#10;wTLsECABDa3TUTyUgyA6zul0mU2kwmPJfHGzyJEiR18+XxVFkUqw8iXbOh8+CtAkXirqcPYJnR0f&#10;fIhsWPkSEot5ULLZSaWS4fb1VjlyZLgnu/Sd0X8LU4b0FV0VeZGQDcT8tEJaBtxjJXVFl9P4xXRW&#10;RjU+mCbdA5NqvCMTZc7yREVGbcJQD2kSqbEoXQ3NCfVyMK4tPjO8dOB+UtLjylbU/zgwJyhRnwxq&#10;vprN53HHkzEvbnI03LWnvvYwwxGqooGS8boN6V1E2gbucDatTLK9MjlTxlVMap6fTdz1aztFvT7u&#10;zS8AAAD//wMAUEsDBBQABgAIAAAAIQAkKno/3wAAAAsBAAAPAAAAZHJzL2Rvd25yZXYueG1sTI/B&#10;TsMwDIbvSLxDZCQuiCVrRzdK0wmQQLtu7AHcJmsrGqdqsrV7e8wJjrY//f7+Yju7XlzsGDpPGpYL&#10;BcJS7U1HjYbj18fjBkSISAZ7T1bD1QbYlrc3BebGT7S3l0NsBIdQyFFDG+OQSxnq1joMCz9Y4tvJ&#10;jw4jj2MjzYgTh7teJkpl0mFH/KHFwb63tv4+nJ2G0256eHqeqs94XO9X2Rt268pftb6/m19fQEQ7&#10;xz8YfvVZHUp2qvyZTBC9hkwlGaMaUpVyByY2KklAVLxZpUuQZSH/dyh/AAAA//8DAFBLAQItABQA&#10;BgAIAAAAIQC2gziS/gAAAOEBAAATAAAAAAAAAAAAAAAAAAAAAABbQ29udGVudF9UeXBlc10ueG1s&#10;UEsBAi0AFAAGAAgAAAAhADj9If/WAAAAlAEAAAsAAAAAAAAAAAAAAAAALwEAAF9yZWxzLy5yZWxz&#10;UEsBAi0AFAAGAAgAAAAhABWusDAjAgAAJAQAAA4AAAAAAAAAAAAAAAAALgIAAGRycy9lMm9Eb2Mu&#10;eG1sUEsBAi0AFAAGAAgAAAAhACQqej/fAAAACwEAAA8AAAAAAAAAAAAAAAAAfQQAAGRycy9kb3du&#10;cmV2LnhtbFBLBQYAAAAABAAEAPMAAACJBQAAAAA=&#10;" stroked="f">
                <v:textbox>
                  <w:txbxContent>
                    <w:p>
                      <w:pPr>
                        <w:rPr>
                          <w:rFonts w:asciiTheme="minorHAnsi" w:hAnsiTheme="minorHAnsi"/>
                          <w:sz w:val="12"/>
                          <w:lang w:val="fr-FR"/>
                        </w:rPr>
                      </w:pPr>
                      <w:r>
                        <w:rPr>
                          <w:rFonts w:asciiTheme="minorHAnsi" w:hAnsiTheme="minorHAnsi"/>
                          <w:sz w:val="12"/>
                          <w:lang w:val="fr-FR"/>
                        </w:rPr>
                        <w:t>Sous/sur-engagement</w:t>
                      </w:r>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2825115</wp:posOffset>
                </wp:positionH>
                <wp:positionV relativeFrom="paragraph">
                  <wp:posOffset>1919869</wp:posOffset>
                </wp:positionV>
                <wp:extent cx="793630" cy="249555"/>
                <wp:effectExtent l="0" t="0" r="698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30" cy="249555"/>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2"/>
                                <w:lang w:val="fr-FR"/>
                              </w:rPr>
                            </w:pPr>
                            <w:r>
                              <w:rPr>
                                <w:rFonts w:asciiTheme="minorHAnsi" w:hAnsiTheme="minorHAnsi"/>
                                <w:sz w:val="12"/>
                                <w:lang w:val="fr-FR"/>
                              </w:rPr>
                              <w:t>Sous- utilisation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22.45pt;margin-top:151.15pt;width:62.5pt;height:1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gKIgIAACIEAAAOAAAAZHJzL2Uyb0RvYy54bWysU21v2yAQ/j5p/wHxfXHixmljxam6dJkm&#10;dS9Sux+AMY7RgGNAYme/vgdO02z7No0P6ODuHp577ljdDlqRg3BegqnobDKlRBgOjTS7in5/2r67&#10;ocQHZhqmwIiKHoWnt+u3b1a9LUUOHahGOIIgxpe9rWgXgi2zzPNOaOYnYIVBZwtOs4BHt8sax3pE&#10;1yrLp9NF1oNrrAMuvMfb+9FJ1wm/bQUPX9vWi0BURZFbSLtLex33bL1i5c4x20l+osH+gYVm0uCj&#10;Z6h7FhjZO/kXlJbcgYc2TDjoDNpWcpFqwGpm0z+qeeyYFakWFMfbs0z+/8HyL4dvjsimojnKY5jG&#10;Hj2JIZD3MJA8ytNbX2LUo8W4MOA1tjmV6u0D8B+eGNh0zOzEnXPQd4I1SG8WM7OL1BHHR5C6/wwN&#10;PsP2ARLQ0DodtUM1CKIjj+O5NZEKx8vr5dXiCj0cXfl8WRRFeoGVL8nW+fBRgCbRqKjDzidwdnjw&#10;IZJh5UtIfMuDks1WKpUObldvlCMHhlOyTeuE/luYMqSv6LLIi4RsIOanAdIy4BQrqSt6M40rprMy&#10;ivHBNMkOTKrRRibKnNSJgozShKEeUh8WMTcqV0NzRLkcjEOLnwyNDtwvSnoc2Ir6n3vmBCXqk0HJ&#10;l7P5PE54OsyL69hPd+mpLz3McISqaKBkNDch/YpI28AdtqaVSbZXJifKOIhJzdOniZN+eU5Rr197&#10;/QwAAP//AwBQSwMEFAAGAAgAAAAhAJl8pwjfAAAACwEAAA8AAABkcnMvZG93bnJldi54bWxMj8FO&#10;wzAMhu9IvENkJC6IpduyjpamEyCBuG7sAdLGaysap2qytXt7zAmO/v3p9+diN7teXHAMnScNy0UC&#10;Aqn2tqNGw/Hr/fEJRIiGrOk9oYYrBtiVtzeFya2faI+XQ2wEl1DIjYY2xiGXMtQtOhMWfkDi3cmP&#10;zkQex0ba0Uxc7nq5SpJUOtMRX2jNgG8t1t+Hs9Nw+pweNtlUfcTjdq/SV9NtK3/V+v5ufnkGEXGO&#10;fzD86rM6lOxU+TPZIHoNSqmMUQ3rZLUGwcQmzTipOFHLFGRZyP8/lD8AAAD//wMAUEsBAi0AFAAG&#10;AAgAAAAhALaDOJL+AAAA4QEAABMAAAAAAAAAAAAAAAAAAAAAAFtDb250ZW50X1R5cGVzXS54bWxQ&#10;SwECLQAUAAYACAAAACEAOP0h/9YAAACUAQAACwAAAAAAAAAAAAAAAAAvAQAAX3JlbHMvLnJlbHNQ&#10;SwECLQAUAAYACAAAACEA30XYCiICAAAiBAAADgAAAAAAAAAAAAAAAAAuAgAAZHJzL2Uyb0RvYy54&#10;bWxQSwECLQAUAAYACAAAACEAmXynCN8AAAALAQAADwAAAAAAAAAAAAAAAAB8BAAAZHJzL2Rvd25y&#10;ZXYueG1sUEsFBgAAAAAEAAQA8wAAAIgFAAAAAA==&#10;" stroked="f">
                <v:textbox>
                  <w:txbxContent>
                    <w:p>
                      <w:pPr>
                        <w:rPr>
                          <w:rFonts w:asciiTheme="minorHAnsi" w:hAnsiTheme="minorHAnsi"/>
                          <w:sz w:val="12"/>
                          <w:lang w:val="fr-FR"/>
                        </w:rPr>
                      </w:pPr>
                      <w:r>
                        <w:rPr>
                          <w:rFonts w:asciiTheme="minorHAnsi" w:hAnsiTheme="minorHAnsi"/>
                          <w:sz w:val="12"/>
                          <w:lang w:val="fr-FR"/>
                        </w:rPr>
                        <w:t>Sous- utilisation</w:t>
                      </w:r>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686912" behindDoc="0" locked="0" layoutInCell="1" allowOverlap="1">
                <wp:simplePos x="0" y="0"/>
                <wp:positionH relativeFrom="column">
                  <wp:posOffset>1307094</wp:posOffset>
                </wp:positionH>
                <wp:positionV relativeFrom="paragraph">
                  <wp:posOffset>1921510</wp:posOffset>
                </wp:positionV>
                <wp:extent cx="655607" cy="2495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07" cy="249555"/>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2"/>
                                <w:lang w:val="fr-FR"/>
                              </w:rPr>
                            </w:pPr>
                            <w:r>
                              <w:rPr>
                                <w:rFonts w:asciiTheme="minorHAnsi" w:hAnsiTheme="minorHAnsi"/>
                                <w:sz w:val="12"/>
                                <w:lang w:val="fr-FR"/>
                              </w:rPr>
                              <w:t>Fonds engagés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2.9pt;margin-top:151.3pt;width:51.6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hJIgIAACIEAAAOAAAAZHJzL2Uyb0RvYy54bWysU8GO2yAQvVfqPyDujR0rTjZWnNU221SV&#10;tttKu/0AjHGMCgwFEjv9+g4km03bW1UOiGFmHm/eDKvbUStyEM5LMDWdTnJKhOHQSrOr6bfn7bsb&#10;SnxgpmUKjKjpUXh6u377ZjXYShTQg2qFIwhifDXYmvYh2CrLPO+FZn4CVhh0duA0C2i6XdY6NiC6&#10;VlmR5/NsANdaB1x4j7f3JyddJ/yuEzx86TovAlE1RW4h7S7tTdyz9YpVO8dsL/mZBvsHFppJg49e&#10;oO5ZYGTv5F9QWnIHHrow4aAz6DrJRaoBq5nmf1Tz1DMrUi0ojrcXmfz/g+WPh6+OyBZ7N6PEMI09&#10;ehZjIO9hJEWUZ7C+wqgni3FhxGsMTaV6+wD8uycGNj0zO3HnHAy9YC3Sm8bM7Cr1hOMjSDN8hhaf&#10;YfsACWjsnI7aoRoE0bFNx0trIhWOl/OynOcLSji6itmyLMv0Aqtekq3z4aMATeKhpg47n8DZ4cGH&#10;SIZVLyHxLQ9KtlupVDLcrtkoRw4Mp2Sb1hn9tzBlyFDTZVmUCdlAzE8DpGXAKVZS1/QmjyumsyqK&#10;8cG06RyYVKczMlHmrE4U5CRNGJsx9WERc6NyDbRHlMvBaWjxk+GhB/eTkgEHtqb+x545QYn6ZFDy&#10;5XQ2ixOejFm5KNBw157m2sMMR6iaBkpOx01IvyLSNnCHrelkku2VyZkyDmJS8/xp4qRf2ynq9Wuv&#10;fwEAAP//AwBQSwMEFAAGAAgAAAAhALpL1nPgAAAACwEAAA8AAABkcnMvZG93bnJldi54bWxMj8FO&#10;wzAQRO9I/IO1SFwQtZu2KQlxKkACcW3pBzjxNomI11HsNunfs5zgNqsZzb4pdrPrxQXH0HnSsFwo&#10;EEi1tx01Go5f749PIEI0ZE3vCTVcMcCuvL0pTG79RHu8HGIjuIRCbjS0MQ65lKFu0Zmw8AMSeyc/&#10;OhP5HBtpRzNxuetlolQqnemIP7RmwLcW6+/D2Wk4fU4Pm2yqPuJxu1+nr6bbVv6q9f3d/PIMIuIc&#10;/8Lwi8/oUDJT5c9kg+g1JGrD6FHDSiUpCE6sVMbrKhbrZQayLOT/DeUPAAAA//8DAFBLAQItABQA&#10;BgAIAAAAIQC2gziS/gAAAOEBAAATAAAAAAAAAAAAAAAAAAAAAABbQ29udGVudF9UeXBlc10ueG1s&#10;UEsBAi0AFAAGAAgAAAAhADj9If/WAAAAlAEAAAsAAAAAAAAAAAAAAAAALwEAAF9yZWxzLy5yZWxz&#10;UEsBAi0AFAAGAAgAAAAhAC2GCEkiAgAAIgQAAA4AAAAAAAAAAAAAAAAALgIAAGRycy9lMm9Eb2Mu&#10;eG1sUEsBAi0AFAAGAAgAAAAhALpL1nPgAAAACwEAAA8AAAAAAAAAAAAAAAAAfAQAAGRycy9kb3du&#10;cmV2LnhtbFBLBQYAAAAABAAEAPMAAACJBQAAAAA=&#10;" stroked="f">
                <v:textbox>
                  <w:txbxContent>
                    <w:p>
                      <w:pPr>
                        <w:rPr>
                          <w:rFonts w:asciiTheme="minorHAnsi" w:hAnsiTheme="minorHAnsi"/>
                          <w:sz w:val="12"/>
                          <w:lang w:val="fr-FR"/>
                        </w:rPr>
                      </w:pPr>
                      <w:r>
                        <w:rPr>
                          <w:rFonts w:asciiTheme="minorHAnsi" w:hAnsiTheme="minorHAnsi"/>
                          <w:sz w:val="12"/>
                          <w:lang w:val="fr-FR"/>
                        </w:rPr>
                        <w:t>Fonds engagés</w:t>
                      </w:r>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682816" behindDoc="0" locked="0" layoutInCell="1" allowOverlap="1">
                <wp:simplePos x="0" y="0"/>
                <wp:positionH relativeFrom="column">
                  <wp:posOffset>633730</wp:posOffset>
                </wp:positionH>
                <wp:positionV relativeFrom="paragraph">
                  <wp:posOffset>1912991</wp:posOffset>
                </wp:positionV>
                <wp:extent cx="500332" cy="250166"/>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32" cy="250166"/>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2"/>
                                <w:lang w:val="fr-FR"/>
                              </w:rPr>
                            </w:pPr>
                            <w:r>
                              <w:rPr>
                                <w:rFonts w:asciiTheme="minorHAnsi" w:hAnsiTheme="minorHAnsi"/>
                                <w:sz w:val="12"/>
                                <w:lang w:val="fr-FR"/>
                              </w:rPr>
                              <w:t>Dotation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9.9pt;margin-top:150.65pt;width:39.4pt;height:1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UgIgIAACIEAAAOAAAAZHJzL2Uyb0RvYy54bWysU9tu2zAMfR+wfxD0vthxkyw14hRdugwD&#10;ugvQ7gNoWY6FSaInKbG7rx+lpGm2vQ3TgyCK5NHhIbW6GY1mB+m8Qlvx6STnTFqBjbK7in973L5Z&#10;cuYD2AY0WlnxJ+n5zfr1q9XQl7LADnUjHSMQ68uhr3gXQl9mmRedNOAn2EtLzhadgUCm22WNg4HQ&#10;jc6KPF9kA7qmdyik93R7d3TydcJvWynCl7b1MjBdceIW0u7SXsc9W6+g3DnoOyVONOAfWBhQlh49&#10;Q91BALZ36i8oo4RDj22YCDQZtq0SMtVA1UzzP6p56KCXqRYSx/dnmfz/gxWfD18dUw31ruDMgqEe&#10;PcoxsHc4siLKM/S+pKiHnuLCSNcUmkr1/T2K755Z3HRgd/LWORw6CQ3Rm8bM7CL1iOMjSD18woae&#10;gX3ABDS2zkTtSA1G6NSmp3NrIhVBl/M8v7oihoJcxTyfLhbpBSifk3vnwweJhsVDxR11PoHD4d6H&#10;SAbK55D4lketmq3SOhluV2+0YwegKdmmdUL/LUxbNlT8el7ME7LFmJ8GyKhAU6yVqfgyjyumQxnF&#10;eG+bdA6g9PFMTLQ9qRMFOUoTxnpMfVjG3Khcjc0TyeXwOLT0yejQofvJ2UADW3H/Yw9OcqY/WpL8&#10;ejqbxQlPxmz+tiDDXXrqSw9YQVAVD5wdj5uQfkWkbfGWWtOqJNsLkxNlGsSk5unTxEm/tFPUy9de&#10;/wIAAP//AwBQSwMEFAAGAAgAAAAhAMKhFojeAAAACgEAAA8AAABkcnMvZG93bnJldi54bWxMj8FO&#10;wzAQRO9I/IO1SFwQtUtL0oQ4FSCBuLb0AzbxNomI11HsNunf457guLOjmTfFdra9ONPoO8calgsF&#10;grh2puNGw+H743EDwgdkg71j0nAhD9vy9qbA3LiJd3Teh0bEEPY5amhDGHIpfd2SRb9wA3H8Hd1o&#10;McRzbKQZcYrhtpdPSiXSYsexocWB3luqf/Ynq+H4NT08Z1P1GQ7pbp28YZdW7qL1/d38+gIi0Bz+&#10;zHDFj+hQRqbKndh40WvIskgeNKzUcgXiakg3CYgqKmuVgiwL+X9C+QsAAP//AwBQSwECLQAUAAYA&#10;CAAAACEAtoM4kv4AAADhAQAAEwAAAAAAAAAAAAAAAAAAAAAAW0NvbnRlbnRfVHlwZXNdLnhtbFBL&#10;AQItABQABgAIAAAAIQA4/SH/1gAAAJQBAAALAAAAAAAAAAAAAAAAAC8BAABfcmVscy8ucmVsc1BL&#10;AQItABQABgAIAAAAIQDe1UUgIgIAACIEAAAOAAAAAAAAAAAAAAAAAC4CAABkcnMvZTJvRG9jLnht&#10;bFBLAQItABQABgAIAAAAIQDCoRaI3gAAAAoBAAAPAAAAAAAAAAAAAAAAAHwEAABkcnMvZG93bnJl&#10;di54bWxQSwUGAAAAAAQABADzAAAAhwUAAAAA&#10;" stroked="f">
                <v:textbox>
                  <w:txbxContent>
                    <w:p>
                      <w:pPr>
                        <w:rPr>
                          <w:rFonts w:asciiTheme="minorHAnsi" w:hAnsiTheme="minorHAnsi"/>
                          <w:sz w:val="12"/>
                          <w:lang w:val="fr-FR"/>
                        </w:rPr>
                      </w:pPr>
                      <w:r>
                        <w:rPr>
                          <w:rFonts w:asciiTheme="minorHAnsi" w:hAnsiTheme="minorHAnsi"/>
                          <w:sz w:val="12"/>
                          <w:lang w:val="fr-FR"/>
                        </w:rPr>
                        <w:t>Dotation</w:t>
                      </w:r>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680768" behindDoc="0" locked="0" layoutInCell="1" allowOverlap="1">
                <wp:simplePos x="0" y="0"/>
                <wp:positionH relativeFrom="column">
                  <wp:posOffset>453390</wp:posOffset>
                </wp:positionH>
                <wp:positionV relativeFrom="paragraph">
                  <wp:posOffset>1625229</wp:posOffset>
                </wp:positionV>
                <wp:extent cx="4641011" cy="301925"/>
                <wp:effectExtent l="0" t="0" r="7620"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011" cy="301925"/>
                        </a:xfrm>
                        <a:prstGeom prst="rect">
                          <a:avLst/>
                        </a:prstGeom>
                        <a:solidFill>
                          <a:srgbClr val="FFFFFF"/>
                        </a:solidFill>
                        <a:ln w="9525">
                          <a:noFill/>
                          <a:miter lim="800000"/>
                          <a:headEnd/>
                          <a:tailEnd/>
                        </a:ln>
                      </wps:spPr>
                      <wps:txbx>
                        <w:txbxContent>
                          <w:p w:rsidR="00FC79B3" w:rsidRDefault="002A6CE7">
                            <w:pPr>
                              <w:rPr>
                                <w:rFonts w:ascii="Calibri" w:hAnsi="Calibri"/>
                                <w:b/>
                                <w:sz w:val="14"/>
                              </w:rPr>
                            </w:pPr>
                            <w:r>
                              <w:rPr>
                                <w:rFonts w:ascii="Calibri" w:hAnsi="Calibri"/>
                                <w:b/>
                                <w:sz w:val="14"/>
                              </w:rPr>
                              <w:t>2007 SA    2007 SA      2008 SA      2008 SA      2009 SA      2009 SA     2010 SA    2010</w:t>
                            </w:r>
                            <w:r>
                              <w:rPr>
                                <w:rFonts w:ascii="Calibri" w:hAnsi="Calibri"/>
                                <w:b/>
                                <w:sz w:val="14"/>
                              </w:rPr>
                              <w:t xml:space="preserve"> SA   2011-2012   2012 SA      2013 SA*</w:t>
                            </w:r>
                          </w:p>
                          <w:p w:rsidR="00FC79B3" w:rsidRDefault="002A6CE7">
                            <w:pPr>
                              <w:rPr>
                                <w:rFonts w:ascii="Calibri" w:hAnsi="Calibri"/>
                                <w:b/>
                                <w:sz w:val="14"/>
                              </w:rPr>
                            </w:pPr>
                            <w:r>
                              <w:rPr>
                                <w:rFonts w:ascii="Calibri" w:hAnsi="Calibri"/>
                                <w:b/>
                                <w:sz w:val="14"/>
                              </w:rPr>
                              <w:t xml:space="preserve">                        CJ                                      CJ                                    CJ                                  EJ*                SA              FJE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5.7pt;margin-top:127.95pt;width:365.45pt;height:2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aGIQIAACMEAAAOAAAAZHJzL2Uyb0RvYy54bWysU81u2zAMvg/YOwi6L7azpGuMOEWXLsOA&#10;7gdo9wCMLMfCZFGTlNjZ05eS0zTbbsN0EEiR/Eh+pJY3Q6fZQTqv0FS8mOScSSOwVmZX8e+PmzfX&#10;nPkApgaNRlb8KD2/Wb1+textKafYoq6lYwRifNnbirch2DLLvGhlB36CVhoyNug6CKS6XVY76Am9&#10;09k0z6+yHl1tHQrpPb3ejUa+SvhNI0X42jReBqYrTrWFdLt0b+OdrZZQ7hzYVolTGfAPVXSgDCU9&#10;Q91BALZ36i+oTgmHHpswEdhl2DRKyNQDdVPkf3Tz0IKVqRcix9szTf7/wYovh2+OqZpmV3BmoKMZ&#10;PcohsPc4sGmkp7e+JK8HS35hoGdyTa16e4/ih2cG1y2Ynbx1DvtWQk3lFTEyuwgdcXwE2fafsaY0&#10;sA+YgIbGdZE7YoMROo3peB5NLEXQ4+xqVuSxREG2t3mxmM5TCiifo63z4aPEjkWh4o5Gn9DhcO9D&#10;rAbKZ5eYzKNW9UZpnRS32661YwegNdmkc0L/zU0b1ld8MafcMcpgjE8b1KlAa6xVV/HrPJ4YDmVk&#10;44OpkxxA6VGmSrQ50RMZGbkJw3ZIg1jE2EjdFusj8eVw3Fr6ZSS06H5x1tPGVtz/3IOTnOlPhjhf&#10;FLNZXPGkzObvpqS4S8v20gJGEFTFA2ejuA7pW4yN3dJsGpVoe6nkVDJtYmLz9Gviql/qyevlb6+e&#10;AAAA//8DAFBLAwQUAAYACAAAACEAbTvNQuAAAAAKAQAADwAAAGRycy9kb3ducmV2LnhtbEyPy07D&#10;MBBF90j8gzWV2CBqN4+mDXEqQAKxbekHOPE0iRqPo9ht0r/HrOhydI/uPVPsZtOzK46usyRhtRTA&#10;kGqrO2okHH8+XzbAnFekVW8JJdzQwa58fChUru1Ee7wefMNCCblcSWi9H3LOXd2iUW5pB6SQnexo&#10;lA/n2HA9qimUm55HQqy5UR2FhVYN+NFifT5cjITT9/Scbqfqyx+zfbJ+V11W2ZuUT4v57RWYx9n/&#10;w/CnH9ShDE6VvZB2rJeQrZJASojSdAssABsRxcAqCbGIE+Blwe9fKH8BAAD//wMAUEsBAi0AFAAG&#10;AAgAAAAhALaDOJL+AAAA4QEAABMAAAAAAAAAAAAAAAAAAAAAAFtDb250ZW50X1R5cGVzXS54bWxQ&#10;SwECLQAUAAYACAAAACEAOP0h/9YAAACUAQAACwAAAAAAAAAAAAAAAAAvAQAAX3JlbHMvLnJlbHNQ&#10;SwECLQAUAAYACAAAACEAbhz2hiECAAAjBAAADgAAAAAAAAAAAAAAAAAuAgAAZHJzL2Uyb0RvYy54&#10;bWxQSwECLQAUAAYACAAAACEAbTvNQuAAAAAKAQAADwAAAAAAAAAAAAAAAAB7BAAAZHJzL2Rvd25y&#10;ZXYueG1sUEsFBgAAAAAEAAQA8wAAAIgFAAAAAA==&#10;" stroked="f">
                <v:textbox>
                  <w:txbxContent>
                    <w:p>
                      <w:pPr>
                        <w:rPr>
                          <w:rFonts w:ascii="Calibri" w:hAnsi="Calibri"/>
                          <w:b/>
                          <w:sz w:val="14"/>
                        </w:rPr>
                      </w:pPr>
                      <w:r>
                        <w:rPr>
                          <w:rFonts w:ascii="Calibri" w:hAnsi="Calibri"/>
                          <w:b/>
                          <w:sz w:val="14"/>
                        </w:rPr>
                        <w:t>2007 SA    2007 SA      2008 SA      2008 SA      2009 SA      2009 SA     2010 SA    2010 SA   2011-2012   2012 SA      2013 SA*</w:t>
                      </w:r>
                    </w:p>
                    <w:p>
                      <w:pPr>
                        <w:rPr>
                          <w:rFonts w:ascii="Calibri" w:hAnsi="Calibri"/>
                          <w:b/>
                          <w:sz w:val="14"/>
                        </w:rPr>
                      </w:pPr>
                      <w:r>
                        <w:rPr>
                          <w:rFonts w:ascii="Calibri" w:hAnsi="Calibri"/>
                          <w:b/>
                          <w:sz w:val="14"/>
                        </w:rPr>
                        <w:t xml:space="preserve">                        CJ                                      CJ                                    CJ                                  EJ*                SA              FJE</w:t>
                      </w:r>
                    </w:p>
                  </w:txbxContent>
                </v:textbox>
              </v:shape>
            </w:pict>
          </mc:Fallback>
        </mc:AlternateContent>
      </w:r>
      <w:r>
        <w:rPr>
          <w:noProof/>
          <w:lang w:eastAsia="en-GB"/>
        </w:rPr>
        <w:drawing>
          <wp:inline distT="0" distB="0" distL="0" distR="0">
            <wp:extent cx="5047184" cy="2024063"/>
            <wp:effectExtent l="0" t="0" r="127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69870" cy="2033161"/>
                    </a:xfrm>
                    <a:prstGeom prst="rect">
                      <a:avLst/>
                    </a:prstGeom>
                    <a:noFill/>
                  </pic:spPr>
                </pic:pic>
              </a:graphicData>
            </a:graphic>
          </wp:inline>
        </w:drawing>
      </w:r>
    </w:p>
    <w:p w:rsidR="00FC79B3" w:rsidRDefault="00FC79B3">
      <w:pPr>
        <w:pStyle w:val="BodyText"/>
        <w:ind w:left="0"/>
        <w:jc w:val="both"/>
        <w:rPr>
          <w:rFonts w:ascii="Times New Roman" w:hAnsi="Times New Roman"/>
          <w:noProof/>
          <w:sz w:val="22"/>
          <w:szCs w:val="22"/>
          <w:lang w:val="fr-FR"/>
        </w:rPr>
      </w:pP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szCs w:val="22"/>
          <w:lang w:eastAsia="en-GB"/>
        </w:rPr>
        <mc:AlternateContent>
          <mc:Choice Requires="wps">
            <w:drawing>
              <wp:anchor distT="0" distB="0" distL="114300" distR="114300" simplePos="0" relativeHeight="251705344" behindDoc="0" locked="0" layoutInCell="1" allowOverlap="1">
                <wp:simplePos x="0" y="0"/>
                <wp:positionH relativeFrom="column">
                  <wp:posOffset>4022090</wp:posOffset>
                </wp:positionH>
                <wp:positionV relativeFrom="paragraph">
                  <wp:posOffset>1890659</wp:posOffset>
                </wp:positionV>
                <wp:extent cx="1267460" cy="249555"/>
                <wp:effectExtent l="0" t="0" r="889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9555"/>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2"/>
                                <w:lang w:val="fr-FR"/>
                              </w:rPr>
                            </w:pPr>
                            <w:r>
                              <w:rPr>
                                <w:rFonts w:asciiTheme="minorHAnsi" w:hAnsiTheme="minorHAnsi"/>
                                <w:sz w:val="12"/>
                                <w:lang w:val="fr-FR"/>
                              </w:rPr>
                              <w:t>Sous/sur-engagement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16.7pt;margin-top:148.85pt;width:99.8pt;height:1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9JIwIAACUEAAAOAAAAZHJzL2Uyb0RvYy54bWysU8Fu2zAMvQ/YPwi6L06MOG2MOEWXLsOA&#10;rhvQ7gNoWY6FyaImKbG7rx+lpGm23Yb5IIgm+fj4SK1uxl6zg3Reoan4bDLlTBqBjTK7in972r67&#10;5swHMA1oNLLiz9Lzm/XbN6vBljLHDnUjHSMQ48vBVrwLwZZZ5kUne/ATtNKQs0XXQyDT7bLGwUDo&#10;vc7y6XSRDega61BI7+nv3dHJ1wm/baUIX9rWy8B0xYlbSKdLZx3PbL2CcufAdkqcaMA/sOhBGSp6&#10;hrqDAGzv1F9QvRIOPbZhIrDPsG2VkKkH6mY2/aObxw6sTL2QON6eZfL/D1Y8HL46ppqK58uCMwM9&#10;DelJjoG9x5HlUZ/B+pLCHi0FhpF+05xTr97eo/jumcFNB2Ynb53DoZPQEL9ZzMwuUo84PoLUw2ds&#10;qAzsAyagsXV9FI/kYIROc3o+zyZSEbFkvriaL8glyJfPl0VRpBJQvmRb58NHiT2Ll4o7mn1Ch8O9&#10;D5ENlC8hsZhHrZqt0joZbldvtGMHoD3Zpu+E/luYNmyo+LLIi4RsMOanFepVoD3Wqq/49TR+MR3K&#10;qMYH06R7AKWPd2KizUmeqMhRmzDWY5rELCVH7Wpsnkkwh8e9pXdGlw7dT84G2tmK+x97cJIz/cmQ&#10;6MvZfB6XPBnz4ionw1166ksPGEFQFQ+cHa+bkB5G5G3wlobTqqTbK5MTZ9rFJOfp3cRlv7RT1Ovr&#10;Xv8CAAD//wMAUEsDBBQABgAIAAAAIQDTP1Vw3wAAAAsBAAAPAAAAZHJzL2Rvd25yZXYueG1sTI9B&#10;TsMwEEX3SNzBGiQ2iDrUJW5DJhUggbpt6QEmiZtExOModpv09pgVLEfz9P/7+Xa2vbiY0XeOEZ4W&#10;CQjDlas7bhCOXx+PaxA+ENfUOzYIV+NhW9ze5JTVbuK9uRxCI2II+4wQ2hCGTEpftcaSX7jBcPyd&#10;3GgpxHNsZD3SFMNtL5dJkkpLHceGlgbz3prq+3C2CKfd9PC8mcrPcNT7VfpGnS7dFfH+bn59ARHM&#10;HP5g+NWP6lBEp9KdufaiR0iVWkUUYbnRGkQk1krFdSWCUjoBWeTy/4biBwAA//8DAFBLAQItABQA&#10;BgAIAAAAIQC2gziS/gAAAOEBAAATAAAAAAAAAAAAAAAAAAAAAABbQ29udGVudF9UeXBlc10ueG1s&#10;UEsBAi0AFAAGAAgAAAAhADj9If/WAAAAlAEAAAsAAAAAAAAAAAAAAAAALwEAAF9yZWxzLy5yZWxz&#10;UEsBAi0AFAAGAAgAAAAhAK1W/0kjAgAAJQQAAA4AAAAAAAAAAAAAAAAALgIAAGRycy9lMm9Eb2Mu&#10;eG1sUEsBAi0AFAAGAAgAAAAhANM/VXDfAAAACwEAAA8AAAAAAAAAAAAAAAAAfQQAAGRycy9kb3du&#10;cmV2LnhtbFBLBQYAAAAABAAEAPMAAACJBQAAAAA=&#10;" stroked="f">
                <v:textbox>
                  <w:txbxContent>
                    <w:p>
                      <w:pPr>
                        <w:rPr>
                          <w:rFonts w:asciiTheme="minorHAnsi" w:hAnsiTheme="minorHAnsi"/>
                          <w:sz w:val="12"/>
                          <w:lang w:val="fr-FR"/>
                        </w:rPr>
                      </w:pPr>
                      <w:r>
                        <w:rPr>
                          <w:rFonts w:asciiTheme="minorHAnsi" w:hAnsiTheme="minorHAnsi"/>
                          <w:sz w:val="12"/>
                          <w:lang w:val="fr-FR"/>
                        </w:rPr>
                        <w:t>Sous/sur-engagement</w:t>
                      </w:r>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03296" behindDoc="0" locked="0" layoutInCell="1" allowOverlap="1">
                <wp:simplePos x="0" y="0"/>
                <wp:positionH relativeFrom="column">
                  <wp:posOffset>2942219</wp:posOffset>
                </wp:positionH>
                <wp:positionV relativeFrom="paragraph">
                  <wp:posOffset>1873250</wp:posOffset>
                </wp:positionV>
                <wp:extent cx="793115" cy="249555"/>
                <wp:effectExtent l="0" t="0" r="6985"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49555"/>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2"/>
                                <w:lang w:val="fr-FR"/>
                              </w:rPr>
                            </w:pPr>
                            <w:r>
                              <w:rPr>
                                <w:rFonts w:asciiTheme="minorHAnsi" w:hAnsiTheme="minorHAnsi"/>
                                <w:sz w:val="12"/>
                                <w:lang w:val="fr-FR"/>
                              </w:rPr>
                              <w:t>Sous- util</w:t>
                            </w:r>
                            <w:r>
                              <w:rPr>
                                <w:rFonts w:asciiTheme="minorHAnsi" w:hAnsiTheme="minorHAnsi"/>
                                <w:sz w:val="12"/>
                                <w:lang w:val="fr-FR"/>
                              </w:rPr>
                              <w:t>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31.65pt;margin-top:147.5pt;width:62.45pt;height:1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2kJAIAACQEAAAOAAAAZHJzL2Uyb0RvYy54bWysU9uO2yAQfa/Uf0C8N47duLux4qy22aaq&#10;tL1Iu/0AjHGMCgwFEjv9+h1wNpu2b1V5QAwzczhzZljdjFqRg3BegqlpPptTIgyHVppdTb8/bt9c&#10;U+IDMy1TYERNj8LTm/XrV6vBVqKAHlQrHEEQ46vB1rQPwVZZ5nkvNPMzsMKgswOnWUDT7bLWsQHR&#10;tcqK+fxdNoBrrQMuvMfbu8lJ1wm/6wQPX7vOi0BUTZFbSLtLexP3bL1i1c4x20t+osH+gYVm0uCj&#10;Z6g7FhjZO/kXlJbcgYcuzDjoDLpOcpFqwGry+R/VPPTMilQLiuPtWSb//2D5l8M3R2Rb02K5oMQw&#10;jU16FGMg72EkRdRnsL7CsAeLgWHEa+xzqtXbe+A/PDGw6ZnZiVvnYOgFa5FfHjOzi9QJx0eQZvgM&#10;LT7D9gES0Ng5HcVDOQiiY5+O595EKhwvr5Zv87ykhKOrWCzLskwvsOo52TofPgrQJB5q6rD1CZwd&#10;7n2IZFj1HBLf8qBku5VKJcPtmo1y5MBwTLZpndB/C1OGDDVdlkWZkA3E/DRBWgYcYyV1Ta/nccV0&#10;VkUxPpg2nQOTajojE2VO6kRBJmnC2IypEXnSLkrXQHtEvRxMY4vfDA89uF+UDDiyNfU/98wJStQn&#10;g5ov88UizngyFuVVgYa79DSXHmY4QtU0UDIdNyH9i8jbwC32ppNJtxcmJ844iknO07eJs35pp6iX&#10;z71+AgAA//8DAFBLAwQUAAYACAAAACEAacFtFOAAAAALAQAADwAAAGRycy9kb3ducmV2LnhtbEyP&#10;QW6DMBBF95V6B2sqdVM1phgIIQxRW6lVt0lzAIMdQMFjhJ1Abl931S5H8/T/++VuMQO76sn1lhBe&#10;VhEwTY1VPbUIx++P5xyY85KUHCxphJt2sKvu70pZKDvTXl8PvmUhhFwhETrvx4Jz13TaSLeyo6bw&#10;O9nJSB/OqeVqknMINwOPoyjjRvYUGjo56vdON+fDxSCcvuandDPXn/643ifZm+zXtb0hPj4sr1tg&#10;Xi/+D4Zf/aAOVXCq7YWUYwNCkgkRUIR4k4ZRgUjzPAZWIwiRCOBVyf9vqH4AAAD//wMAUEsBAi0A&#10;FAAGAAgAAAAhALaDOJL+AAAA4QEAABMAAAAAAAAAAAAAAAAAAAAAAFtDb250ZW50X1R5cGVzXS54&#10;bWxQSwECLQAUAAYACAAAACEAOP0h/9YAAACUAQAACwAAAAAAAAAAAAAAAAAvAQAAX3JlbHMvLnJl&#10;bHNQSwECLQAUAAYACAAAACEAdaZdpCQCAAAkBAAADgAAAAAAAAAAAAAAAAAuAgAAZHJzL2Uyb0Rv&#10;Yy54bWxQSwECLQAUAAYACAAAACEAacFtFOAAAAALAQAADwAAAAAAAAAAAAAAAAB+BAAAZHJzL2Rv&#10;d25yZXYueG1sUEsFBgAAAAAEAAQA8wAAAIsFAAAAAA==&#10;" stroked="f">
                <v:textbox>
                  <w:txbxContent>
                    <w:p>
                      <w:pPr>
                        <w:rPr>
                          <w:rFonts w:asciiTheme="minorHAnsi" w:hAnsiTheme="minorHAnsi"/>
                          <w:sz w:val="12"/>
                          <w:lang w:val="fr-FR"/>
                        </w:rPr>
                      </w:pPr>
                      <w:r>
                        <w:rPr>
                          <w:rFonts w:asciiTheme="minorHAnsi" w:hAnsiTheme="minorHAnsi"/>
                          <w:sz w:val="12"/>
                          <w:lang w:val="fr-FR"/>
                        </w:rPr>
                        <w:t>Sous- utilisation</w:t>
                      </w:r>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701248" behindDoc="0" locked="0" layoutInCell="1" allowOverlap="1">
                <wp:simplePos x="0" y="0"/>
                <wp:positionH relativeFrom="column">
                  <wp:posOffset>2243084</wp:posOffset>
                </wp:positionH>
                <wp:positionV relativeFrom="paragraph">
                  <wp:posOffset>1881505</wp:posOffset>
                </wp:positionV>
                <wp:extent cx="612140" cy="24955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49555"/>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2"/>
                                <w:lang w:val="fr-FR"/>
                              </w:rPr>
                            </w:pPr>
                            <w:r>
                              <w:rPr>
                                <w:rFonts w:asciiTheme="minorHAnsi" w:hAnsiTheme="minorHAnsi"/>
                                <w:sz w:val="12"/>
                                <w:lang w:val="fr-FR"/>
                              </w:rPr>
                              <w:t>Fonds versés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76.6pt;margin-top:148.15pt;width:48.2pt;height:1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5FwIwIAACQEAAAOAAAAZHJzL2Uyb0RvYy54bWysU9uO0zAQfUfiHyy/0zShXbZR09XSpQhp&#10;uUi7fMDEcRoL2xNst8ny9YydbinwhvCD5fHMHJ85M17fjEazo3Reoa14PptzJq3ARtl9xb8+7l5d&#10;c+YD2AY0WlnxJ+n5zebli/XQl7LADnUjHSMQ68uhr3gXQl9mmRedNOBn2EtLzhadgUCm22eNg4HQ&#10;jc6K+fwqG9A1vUMhvafbu8nJNwm/baUIn9vWy8B0xYlbSLtLex33bLOGcu+g75Q40YB/YGFAWXr0&#10;DHUHAdjBqb+gjBIOPbZhJtBk2LZKyFQDVZPP/6jmoYNeplpIHN+fZfL/D1Z8On5xTDUVL1avObNg&#10;qEmPcgzsLY6siPoMvS8p7KGnwDDSNfU51er7exTfPLO47cDu5a1zOHQSGuKXx8zsInXC8RGkHj5i&#10;Q8/AIWACGltnongkByN06tPTuTeRiqDLq7zIF+QR5CoWq+VymV6A8jm5dz68l2hYPFTcUesTOBzv&#10;fYhkoHwOiW951KrZKa2T4fb1Vjt2BBqTXVon9N/CtGVDxVfLYpmQLcb8NEFGBRpjrUzFr+dxxXQo&#10;oxjvbJPOAZSezsRE25M6UZBJmjDWY2pEfla9xuaJ9HI4jS19Mzp06H5wNtDIVtx/P4CTnOkPljRf&#10;5YuoUEjGYvmmIMNdeupLD1hBUBUPnE3HbUj/IvK2eEu9aVXSLTZxYnLiTKOY5Dx9mzjrl3aK+vW5&#10;Nz8BAAD//wMAUEsDBBQABgAIAAAAIQA+cLrZ4AAAAAsBAAAPAAAAZHJzL2Rvd25yZXYueG1sTI/L&#10;TsMwEEX3SPyDNUhsEHXIwyVpnAqQQGxb+gFOPE2ixuModpv07zEruhzdo3vPlNvFDOyCk+stSXhZ&#10;RcCQGqt7aiUcfj6fX4E5r0irwRJKuKKDbXV/V6pC25l2eNn7loUScoWS0Hk/Fpy7pkOj3MqOSCE7&#10;2skoH86p5XpScyg3A4+jSHCjegoLnRrxo8PmtD8bCcfv+SnL5/rLH9a7VLyrfl3bq5SPD8vbBpjH&#10;xf/D8Kcf1KEKTrU9k3ZskJBkSRxQCXEuEmCBSNNcAKtDlGQCeFXy2x+qXwAAAP//AwBQSwECLQAU&#10;AAYACAAAACEAtoM4kv4AAADhAQAAEwAAAAAAAAAAAAAAAAAAAAAAW0NvbnRlbnRfVHlwZXNdLnht&#10;bFBLAQItABQABgAIAAAAIQA4/SH/1gAAAJQBAAALAAAAAAAAAAAAAAAAAC8BAABfcmVscy8ucmVs&#10;c1BLAQItABQABgAIAAAAIQBD85FwIwIAACQEAAAOAAAAAAAAAAAAAAAAAC4CAABkcnMvZTJvRG9j&#10;LnhtbFBLAQItABQABgAIAAAAIQA+cLrZ4AAAAAsBAAAPAAAAAAAAAAAAAAAAAH0EAABkcnMvZG93&#10;bnJldi54bWxQSwUGAAAAAAQABADzAAAAigUAAAAA&#10;" stroked="f">
                <v:textbox>
                  <w:txbxContent>
                    <w:p>
                      <w:pPr>
                        <w:rPr>
                          <w:rFonts w:asciiTheme="minorHAnsi" w:hAnsiTheme="minorHAnsi"/>
                          <w:sz w:val="12"/>
                          <w:lang w:val="fr-FR"/>
                        </w:rPr>
                      </w:pPr>
                      <w:r>
                        <w:rPr>
                          <w:rFonts w:asciiTheme="minorHAnsi" w:hAnsiTheme="minorHAnsi"/>
                          <w:sz w:val="12"/>
                          <w:lang w:val="fr-FR"/>
                        </w:rPr>
                        <w:t>Fonds versés</w:t>
                      </w:r>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699200" behindDoc="0" locked="0" layoutInCell="1" allowOverlap="1">
                <wp:simplePos x="0" y="0"/>
                <wp:positionH relativeFrom="column">
                  <wp:posOffset>1428750</wp:posOffset>
                </wp:positionH>
                <wp:positionV relativeFrom="paragraph">
                  <wp:posOffset>1873514</wp:posOffset>
                </wp:positionV>
                <wp:extent cx="655320" cy="224155"/>
                <wp:effectExtent l="0" t="0" r="0" b="444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55320" cy="224155"/>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2"/>
                                <w:lang w:val="fr-FR"/>
                              </w:rPr>
                            </w:pPr>
                            <w:r>
                              <w:rPr>
                                <w:rFonts w:asciiTheme="minorHAnsi" w:hAnsiTheme="minorHAnsi"/>
                                <w:sz w:val="12"/>
                                <w:lang w:val="fr-FR"/>
                              </w:rPr>
                              <w:t>Fonds engagés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2.5pt;margin-top:147.5pt;width:51.6pt;height:17.65pt;rotation:18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NbMAIAAD0EAAAOAAAAZHJzL2Uyb0RvYy54bWysU01v2zAMvQ/YfxB0X/zRuGuMOEWXLsOA&#10;7gNot7ssy7EwWdQkJXb760fJbpptt2E6CJJIPZLvkevrsVfkKKyToCuaLVJKhObQSL2v6LeH3Zsr&#10;SpxnumEKtKjoo3D0evP61XowpcihA9UISxBEu3IwFe28N2WSON6JnrkFGKHR2ILtmcer3SeNZQOi&#10;9yrJ0/QyGcA2xgIXzuHr7WSkm4jftoL7L23rhCeqopibj7uNex32ZLNm5d4y00k+p8H+IYueSY1B&#10;T1C3zDNysPIvqF5yCw5av+DQJ9C2kotYA1aTpX9Uc98xI2ItSI4zJ5rc/4Pln49fLZFNRfNVTolm&#10;PYr0IEZP3sFI8sDPYFyJbvcGHf2Iz6hzrNWZO+A/HNGw7ZjeixtrYegEazC/LPxMzr5OOC6A1MMn&#10;aDAMO3iIQGNre2IBxcnSqzQsSlolzffnSMgTwbD4/HgSLeTI8fGyKC5ytHA05fkyK4oYmpUBNUhi&#10;rPMfBPQkHCpqsSdiVHa8cz5k+eIS3B0o2eykUvFi9/VWWXJk2D+7uGb039yUJkNFV0VeRGQN4X9s&#10;rV567G8l+4rOlcXnwNJ73cSzZ1JNZ8xE6Zm2wNTEmR/rMSqUXTzLUUPziERGyrB0nD8srAP7RMmA&#10;vVxR9/PArKBEfdQoxipbLtHNx8uyeBvosueW+tzCNEeoinpKpuPWx4EJfGi4QdFaGXkL6k6ZzDlj&#10;j0Y653kKQ3B+j14vU7/5BQAA//8DAFBLAwQUAAYACAAAACEASP7hgN0AAAALAQAADwAAAGRycy9k&#10;b3ducmV2LnhtbEyPyU7EMBBE70j8g9VIXBDj4AgUQpwRi9iOE/iAnsQkEXY7xM4yf0/PCW6v1KXq&#10;qmK7OitmM4bek4arTQLCUO2bnloNnx/PlxmIEJEatJ6MhoMJsC1PTwrMG7/QzsxVbAWHUMhRQxfj&#10;kEsZ6s44DBs/GOLblx8dRpZjK5sRFw53VqokuZEOe+IPHQ7msTP1dzU5DQ8v1W6x01uIM6rXp4vD&#10;z3vWotbnZ+v9HYho1vhnhmN9rg4ld9r7iZogrAalrnlLZLg9AjtSlSkQe4Y0SUGWhfy/ofwFAAD/&#10;/wMAUEsBAi0AFAAGAAgAAAAhALaDOJL+AAAA4QEAABMAAAAAAAAAAAAAAAAAAAAAAFtDb250ZW50&#10;X1R5cGVzXS54bWxQSwECLQAUAAYACAAAACEAOP0h/9YAAACUAQAACwAAAAAAAAAAAAAAAAAvAQAA&#10;X3JlbHMvLnJlbHNQSwECLQAUAAYACAAAACEArAWzWzACAAA9BAAADgAAAAAAAAAAAAAAAAAuAgAA&#10;ZHJzL2Uyb0RvYy54bWxQSwECLQAUAAYACAAAACEASP7hgN0AAAALAQAADwAAAAAAAAAAAAAAAACK&#10;BAAAZHJzL2Rvd25yZXYueG1sUEsFBgAAAAAEAAQA8wAAAJQFAAAAAA==&#10;" stroked="f">
                <v:textbox>
                  <w:txbxContent>
                    <w:p>
                      <w:pPr>
                        <w:rPr>
                          <w:rFonts w:asciiTheme="minorHAnsi" w:hAnsiTheme="minorHAnsi"/>
                          <w:sz w:val="12"/>
                          <w:lang w:val="fr-FR"/>
                        </w:rPr>
                      </w:pPr>
                      <w:r>
                        <w:rPr>
                          <w:rFonts w:asciiTheme="minorHAnsi" w:hAnsiTheme="minorHAnsi"/>
                          <w:sz w:val="12"/>
                          <w:lang w:val="fr-FR"/>
                        </w:rPr>
                        <w:t>Fonds engagés</w:t>
                      </w:r>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697152" behindDoc="0" locked="0" layoutInCell="1" allowOverlap="1">
                <wp:simplePos x="0" y="0"/>
                <wp:positionH relativeFrom="column">
                  <wp:posOffset>697494</wp:posOffset>
                </wp:positionH>
                <wp:positionV relativeFrom="paragraph">
                  <wp:posOffset>1868805</wp:posOffset>
                </wp:positionV>
                <wp:extent cx="499745" cy="24955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49555"/>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2"/>
                                <w:lang w:val="fr-FR"/>
                              </w:rPr>
                            </w:pPr>
                            <w:r>
                              <w:rPr>
                                <w:rFonts w:asciiTheme="minorHAnsi" w:hAnsiTheme="minorHAnsi"/>
                                <w:sz w:val="12"/>
                                <w:lang w:val="fr-FR"/>
                              </w:rPr>
                              <w:t>Dotation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4.9pt;margin-top:147.15pt;width:39.35pt;height:1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LiJAIAACQEAAAOAAAAZHJzL2Uyb0RvYy54bWysU9uO2yAQfa/Uf0C8N44tu7u24qy22aaq&#10;tL1Iu/0AjHGMCgwFEnv79R1INpu2b1V5QAwzczhzZljdzFqRg3BegmlpvlhSIgyHXppdS789bt9c&#10;U+IDMz1TYERLn4SnN+vXr1aTbUQBI6heOIIgxjeTbekYgm2yzPNRaOYXYIVB5wBOs4Cm22W9YxOi&#10;a5UVy+XbbALXWwdceI+3d0cnXSf8YRA8fBkGLwJRLUVuIe0u7V3cs/WKNTvH7Cj5iQb7BxaaSYOP&#10;nqHuWGBk7+RfUFpyBx6GsOCgMxgGyUWqAavJl39U8zAyK1ItKI63Z5n8/4Plnw9fHZF9S4s6p8Qw&#10;jU16FHMg72AmRdRnsr7BsAeLgWHGa+xzqtXbe+DfPTGwGZnZiVvnYBoF65FfHjOzi9Qjjo8g3fQJ&#10;enyG7QMkoHlwOoqHchBExz49nXsTqXC8LOv6qqwo4egqyrqqqvQCa56TrfPhgwBN4qGlDlufwNnh&#10;3odIhjXPIfEtD0r2W6lUMtyu2yhHDgzHZJvWCf23MGXI1NK6KqqEbCDmpwnSMuAYK6lber2MK6az&#10;Jorx3vTpHJhUxzMyUeakThTkKE2Yuzk1Ii9jcpSug/4J9XJwHFv8ZngYwf2kZMKRban/sWdOUKI+&#10;GtS8zssyzngyyuqqQMNderpLDzMcoVoaKDkeNyH9i8jbwC32ZpBJtxcmJ844iknO07eJs35pp6iX&#10;z73+BQAA//8DAFBLAwQUAAYACAAAACEATrb/lt8AAAALAQAADwAAAGRycy9kb3ducmV2LnhtbEyP&#10;QU+DQBSE7yb+h80z8WLsYmkpIEujJhqvrf0BD/YViOxbwm4L/fduT/Y4mcnMN8V2Nr040+g6ywpe&#10;FhEI4trqjhsFh5/P5xSE88gae8uk4EIOtuX9XYG5thPv6Lz3jQgl7HJU0Ho/5FK6uiWDbmEH4uAd&#10;7WjQBzk2Uo84hXLTy2UUJdJgx2GhxYE+Wqp/9yej4Pg9Pa2zqfryh81ulbxjt6nsRanHh/ntFYSn&#10;2f+H4Yof0KEMTJU9sXaiDzrKArpXsMxWMYhrIk3XICoFcRwnIMtC3n4o/wAAAP//AwBQSwECLQAU&#10;AAYACAAAACEAtoM4kv4AAADhAQAAEwAAAAAAAAAAAAAAAAAAAAAAW0NvbnRlbnRfVHlwZXNdLnht&#10;bFBLAQItABQABgAIAAAAIQA4/SH/1gAAAJQBAAALAAAAAAAAAAAAAAAAAC8BAABfcmVscy8ucmVs&#10;c1BLAQItABQABgAIAAAAIQBBtWLiJAIAACQEAAAOAAAAAAAAAAAAAAAAAC4CAABkcnMvZTJvRG9j&#10;LnhtbFBLAQItABQABgAIAAAAIQBOtv+W3wAAAAsBAAAPAAAAAAAAAAAAAAAAAH4EAABkcnMvZG93&#10;bnJldi54bWxQSwUGAAAAAAQABADzAAAAigUAAAAA&#10;" stroked="f">
                <v:textbox>
                  <w:txbxContent>
                    <w:p>
                      <w:pPr>
                        <w:rPr>
                          <w:rFonts w:asciiTheme="minorHAnsi" w:hAnsiTheme="minorHAnsi"/>
                          <w:sz w:val="12"/>
                          <w:lang w:val="fr-FR"/>
                        </w:rPr>
                      </w:pPr>
                      <w:r>
                        <w:rPr>
                          <w:rFonts w:asciiTheme="minorHAnsi" w:hAnsiTheme="minorHAnsi"/>
                          <w:sz w:val="12"/>
                          <w:lang w:val="fr-FR"/>
                        </w:rPr>
                        <w:t>Dotation</w:t>
                      </w:r>
                    </w:p>
                  </w:txbxContent>
                </v:textbox>
              </v:shape>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695104" behindDoc="0" locked="0" layoutInCell="1" allowOverlap="1">
                <wp:simplePos x="0" y="0"/>
                <wp:positionH relativeFrom="column">
                  <wp:posOffset>650240</wp:posOffset>
                </wp:positionH>
                <wp:positionV relativeFrom="paragraph">
                  <wp:posOffset>1651899</wp:posOffset>
                </wp:positionV>
                <wp:extent cx="4407966" cy="293298"/>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966" cy="293298"/>
                        </a:xfrm>
                        <a:prstGeom prst="rect">
                          <a:avLst/>
                        </a:prstGeom>
                        <a:solidFill>
                          <a:srgbClr val="FFFFFF"/>
                        </a:solidFill>
                        <a:ln w="9525">
                          <a:noFill/>
                          <a:miter lim="800000"/>
                          <a:headEnd/>
                          <a:tailEnd/>
                        </a:ln>
                      </wps:spPr>
                      <wps:txbx>
                        <w:txbxContent>
                          <w:p w:rsidR="00FC79B3" w:rsidRDefault="002A6CE7">
                            <w:pPr>
                              <w:rPr>
                                <w:rFonts w:ascii="Calibri" w:hAnsi="Calibri"/>
                                <w:b/>
                                <w:sz w:val="14"/>
                              </w:rPr>
                            </w:pPr>
                            <w:r>
                              <w:rPr>
                                <w:rFonts w:ascii="Calibri" w:hAnsi="Calibri"/>
                                <w:b/>
                                <w:sz w:val="14"/>
                              </w:rPr>
                              <w:t>2007 SF                          2008 SF                       2009 SF                         2010 SF                   2011-2012 SF                    2013 SF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1.2pt;margin-top:130.05pt;width:347.1pt;height:2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vfJQIAACUEAAAOAAAAZHJzL2Uyb0RvYy54bWysU9uO2yAQfa/Uf0C8N3bcJBtbcVbbbFNV&#10;2l6k3X4AxjhGBYYCiZ1+fQeSzabtW1UeEMPMHM6cGVa3o1bkIJyXYGo6neSUCMOhlWZX029P2zdL&#10;SnxgpmUKjKjpUXh6u379ajXYShTQg2qFIwhifDXYmvYh2CrLPO+FZn4CVhh0duA0C2i6XdY6NiC6&#10;VlmR54tsANdaB1x4j7f3JyddJ/yuEzx86TovAlE1RW4h7S7tTdyz9YpVO8dsL/mZBvsHFppJg49e&#10;oO5ZYGTv5F9QWnIHHrow4aAz6DrJRaoBq5nmf1Tz2DMrUi0ojrcXmfz/g+WfD18dkW1NixL1MUxj&#10;k57EGMg7GEkR9RmsrzDs0WJgGPEa+5xq9fYB+HdPDGx6ZnbizjkYesFa5DeNmdlV6gnHR5Bm+AQt&#10;PsP2ARLQ2DkdxUM5CKIjj+OlN5EKx8vZLL8pFwtKOPqK8m1RLtMTrHrOts6HDwI0iYeaOux9QmeH&#10;Bx8iG1Y9h8THPCjZbqVSyXC7ZqMcOTCck21aZ/TfwpQhQ03LeTFPyAZifhohLQPOsZK6pss8rpjO&#10;qqjGe9Omc2BSnc7IRJmzPFGRkzZhbMbUiek8JkftGmiPKJiD09ziP8NDD+4nJQPObE39jz1zghL1&#10;0aDo5RRVwiFPxmx+U6Dhrj3NtYcZjlA1DZScjpuQPkbkbeAOm9PJpNsLkzNnnMUk5/nfxGG/tlPU&#10;y+9e/wIAAP//AwBQSwMEFAAGAAgAAAAhAEmu3l/fAAAACwEAAA8AAABkcnMvZG93bnJldi54bWxM&#10;j0FOwzAQRfdI3MEaJDaI2k2LQ0OcCpBA3bb0AJPETSLicRS7TXp7hhUsv+bp/zf5dna9uNgxdJ4M&#10;LBcKhKXK1x01Bo5fH4/PIEJEqrH3ZA1cbYBtcXuTY1b7ifb2coiN4BIKGRpoYxwyKUPVWodh4QdL&#10;fDv50WHkODayHnHictfLRCktHXbECy0O9r211ffh7AycdtPD02YqP+Mx3a/1G3Zp6a/G3N/Nry8g&#10;op3jHwy/+qwOBTuV/kx1ED1nlawZNZBotQTBRLrRGkRpYKX0CmSRy/8/FD8AAAD//wMAUEsBAi0A&#10;FAAGAAgAAAAhALaDOJL+AAAA4QEAABMAAAAAAAAAAAAAAAAAAAAAAFtDb250ZW50X1R5cGVzXS54&#10;bWxQSwECLQAUAAYACAAAACEAOP0h/9YAAACUAQAACwAAAAAAAAAAAAAAAAAvAQAAX3JlbHMvLnJl&#10;bHNQSwECLQAUAAYACAAAACEAoTXb3yUCAAAlBAAADgAAAAAAAAAAAAAAAAAuAgAAZHJzL2Uyb0Rv&#10;Yy54bWxQSwECLQAUAAYACAAAACEASa7eX98AAAALAQAADwAAAAAAAAAAAAAAAAB/BAAAZHJzL2Rv&#10;d25yZXYueG1sUEsFBgAAAAAEAAQA8wAAAIsFAAAAAA==&#10;" stroked="f">
                <v:textbox>
                  <w:txbxContent>
                    <w:p>
                      <w:pPr>
                        <w:rPr>
                          <w:rFonts w:ascii="Calibri" w:hAnsi="Calibri"/>
                          <w:b/>
                          <w:sz w:val="14"/>
                        </w:rPr>
                      </w:pPr>
                      <w:r>
                        <w:rPr>
                          <w:rFonts w:ascii="Calibri" w:hAnsi="Calibri"/>
                          <w:b/>
                          <w:sz w:val="14"/>
                        </w:rPr>
                        <w:t>2007 SF                          2008 SF                       2009 SF                         2010 SF                   2011-2012 SF                    2013 SF</w:t>
                      </w:r>
                    </w:p>
                  </w:txbxContent>
                </v:textbox>
              </v:shape>
            </w:pict>
          </mc:Fallback>
        </mc:AlternateContent>
      </w:r>
      <w:r>
        <w:rPr>
          <w:noProof/>
          <w:lang w:eastAsia="en-GB"/>
        </w:rPr>
        <w:drawing>
          <wp:inline distT="0" distB="0" distL="0" distR="0">
            <wp:extent cx="5296619" cy="208675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4630" cy="2085975"/>
                    </a:xfrm>
                    <a:prstGeom prst="rect">
                      <a:avLst/>
                    </a:prstGeom>
                    <a:noFill/>
                  </pic:spPr>
                </pic:pic>
              </a:graphicData>
            </a:graphic>
          </wp:inline>
        </w:drawing>
      </w:r>
    </w:p>
    <w:p w:rsidR="00FC79B3" w:rsidRDefault="002A6CE7">
      <w:pPr>
        <w:pStyle w:val="BodyText"/>
        <w:tabs>
          <w:tab w:val="left" w:pos="3312"/>
        </w:tabs>
        <w:spacing w:before="0" w:after="0"/>
        <w:jc w:val="both"/>
        <w:rPr>
          <w:rFonts w:ascii="Times New Roman" w:hAnsi="Times New Roman"/>
          <w:i/>
          <w:noProof/>
          <w:sz w:val="16"/>
          <w:szCs w:val="16"/>
          <w:lang w:val="fr-FR"/>
        </w:rPr>
      </w:pPr>
      <w:r>
        <w:rPr>
          <w:rFonts w:ascii="Times New Roman" w:hAnsi="Times New Roman"/>
          <w:i/>
          <w:noProof/>
          <w:sz w:val="16"/>
          <w:lang w:val="fr-FR"/>
        </w:rPr>
        <w:t xml:space="preserve">Remarque: les chiffres relatifs au </w:t>
      </w:r>
      <w:r>
        <w:rPr>
          <w:rFonts w:ascii="Times New Roman" w:hAnsi="Times New Roman"/>
          <w:i/>
          <w:noProof/>
          <w:sz w:val="16"/>
          <w:lang w:val="fr-FR"/>
        </w:rPr>
        <w:t>financement par subventions de fonctionnement (SF) incluent également les conventions</w:t>
      </w:r>
      <w:r>
        <w:rPr>
          <w:rFonts w:ascii="Times New Roman" w:hAnsi="Times New Roman"/>
          <w:i/>
          <w:noProof/>
          <w:sz w:val="16"/>
          <w:lang w:val="fr-FR"/>
        </w:rPr>
        <w:noBreakHyphen/>
        <w:t>cadres de partenariat et les subventions octroyées aux monopoles. Les chiffres relatifs aux dotations et aux projets financés en 2011 et 2012 ont été fusionnés. La sous-u</w:t>
      </w:r>
      <w:r>
        <w:rPr>
          <w:rFonts w:ascii="Times New Roman" w:hAnsi="Times New Roman"/>
          <w:i/>
          <w:noProof/>
          <w:sz w:val="16"/>
          <w:lang w:val="fr-FR"/>
        </w:rPr>
        <w:t>tilisation désigne l’écart entre les fonds engagés et les fonds versés pour tous les projets clôturés. * Tous les projets n’ont pas été clôturés (les chiffres concernant les dépenses et la sous-utilisation des fonds se rapportent uniquement aux projets clô</w:t>
      </w:r>
      <w:r>
        <w:rPr>
          <w:rFonts w:ascii="Times New Roman" w:hAnsi="Times New Roman"/>
          <w:i/>
          <w:noProof/>
          <w:sz w:val="16"/>
          <w:lang w:val="fr-FR"/>
        </w:rPr>
        <w:t>turés). CJ: casiers judiciaires; EJ: e-justice; FJE: formation judiciaire européenne.</w:t>
      </w:r>
    </w:p>
    <w:p w:rsidR="00FC79B3" w:rsidRDefault="00FC79B3">
      <w:pPr>
        <w:pStyle w:val="BodyText"/>
        <w:ind w:left="0"/>
        <w:jc w:val="both"/>
        <w:rPr>
          <w:rFonts w:ascii="Times New Roman" w:hAnsi="Times New Roman"/>
          <w:noProof/>
          <w:sz w:val="22"/>
          <w:szCs w:val="22"/>
          <w:lang w:val="fr-FR"/>
        </w:rPr>
      </w:pPr>
    </w:p>
    <w:p w:rsidR="00FC79B3" w:rsidRDefault="002A6CE7">
      <w:pPr>
        <w:pStyle w:val="Heading3"/>
        <w:rPr>
          <w:noProof/>
          <w:color w:val="auto"/>
          <w:lang w:val="fr-FR"/>
        </w:rPr>
      </w:pPr>
      <w:r>
        <w:rPr>
          <w:noProof/>
          <w:color w:val="auto"/>
          <w:lang w:val="fr-FR"/>
        </w:rPr>
        <w:t>Montants utilisés par rapport aux effets obtenus</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Au départ, le programme JPEN a mis à disposition 131 millions d’euros pour financer 334 projets, pour la plupart </w:t>
      </w:r>
      <w:r>
        <w:rPr>
          <w:rFonts w:ascii="Times New Roman" w:hAnsi="Times New Roman"/>
          <w:noProof/>
          <w:sz w:val="22"/>
          <w:lang w:val="fr-FR"/>
        </w:rPr>
        <w:t>transnationaux, qui ont impliqué plus de 1 200 organisations chefs de file et partenaires</w:t>
      </w:r>
      <w:r>
        <w:rPr>
          <w:rStyle w:val="FootnoteReference"/>
          <w:noProof/>
          <w:lang w:val="fr-FR"/>
        </w:rPr>
        <w:footnoteReference w:id="47"/>
      </w:r>
      <w:r>
        <w:rPr>
          <w:rFonts w:ascii="Times New Roman" w:hAnsi="Times New Roman"/>
          <w:noProof/>
          <w:sz w:val="22"/>
          <w:lang w:val="fr-FR"/>
        </w:rPr>
        <w:t>. À terme, il a également financé 174 marchés publics grâce à un supplément de 21 millions d’euros. Ces activités ont également été utiles aux objectifs généraux et s</w:t>
      </w:r>
      <w:r>
        <w:rPr>
          <w:rFonts w:ascii="Times New Roman" w:hAnsi="Times New Roman"/>
          <w:noProof/>
          <w:sz w:val="22"/>
          <w:lang w:val="fr-FR"/>
        </w:rPr>
        <w:t>pécifiques du programme, par exemple, en contribuant à la préparation d’actes législatifs, en réunissant des experts pour discuter de difficultés particulières et en communiquant des messages essentiels</w:t>
      </w:r>
      <w:r>
        <w:rPr>
          <w:rStyle w:val="FootnoteReference"/>
          <w:rFonts w:ascii="Times New Roman" w:hAnsi="Times New Roman"/>
          <w:noProof/>
          <w:sz w:val="22"/>
          <w:lang w:val="fr-FR"/>
        </w:rPr>
        <w:footnoteReference w:id="48"/>
      </w:r>
      <w:r>
        <w:rPr>
          <w:noProof/>
          <w:lang w:val="fr-FR"/>
        </w:rPr>
        <w:t>.</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Le programme JPEN devait avoir pour effet de contri</w:t>
      </w:r>
      <w:r>
        <w:rPr>
          <w:rFonts w:ascii="Times New Roman" w:hAnsi="Times New Roman"/>
          <w:noProof/>
          <w:sz w:val="22"/>
          <w:lang w:val="fr-FR"/>
        </w:rPr>
        <w:t>buer à l’émergence d’un véritable espace européen de justice en matière pénale fondé sur la reconnaissance et la confiance mutuelles. Ses produits escomptés portaient sur le renforcement de la coopération judiciaire, l’aide aux réseaux européens actifs pou</w:t>
      </w:r>
      <w:r>
        <w:rPr>
          <w:rFonts w:ascii="Times New Roman" w:hAnsi="Times New Roman"/>
          <w:noProof/>
          <w:sz w:val="22"/>
          <w:lang w:val="fr-FR"/>
        </w:rPr>
        <w:t>r la promotion de la justice pénale dans l’Union européenne, le développement plus poussé de la formation transfrontalière pour les professionnels et une consolidation de la confiance mutuelle dans le but de protéger les droits des victimes et des défendeu</w:t>
      </w:r>
      <w:r>
        <w:rPr>
          <w:rFonts w:ascii="Times New Roman" w:hAnsi="Times New Roman"/>
          <w:noProof/>
          <w:sz w:val="22"/>
          <w:lang w:val="fr-FR"/>
        </w:rPr>
        <w:t>rs</w:t>
      </w:r>
      <w:r>
        <w:rPr>
          <w:rStyle w:val="FootnoteReference"/>
          <w:rFonts w:ascii="Times New Roman" w:hAnsi="Times New Roman"/>
          <w:noProof/>
          <w:sz w:val="22"/>
          <w:lang w:val="fr-FR"/>
        </w:rPr>
        <w:footnoteReference w:id="49"/>
      </w:r>
      <w:r>
        <w:rPr>
          <w:noProof/>
          <w:lang w:val="fr-FR"/>
        </w:rPr>
        <w:t>.</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Bien que les effets escomptés touchaient certainement à un défi ambitieux, les ressources du programme JPEN ont bel et bien apporté leur écot, certes difficile à évaluer, au grand objectif de l’Union de construire un espace européen de justice, ajouta</w:t>
      </w:r>
      <w:r>
        <w:rPr>
          <w:rFonts w:ascii="Times New Roman" w:hAnsi="Times New Roman"/>
          <w:noProof/>
          <w:sz w:val="22"/>
          <w:lang w:val="fr-FR"/>
        </w:rPr>
        <w:t>nt une source de financement spécifique à la panoplie des autres moyens mis en œuvre (p. ex., législation, politique et agences de l’UE). Le programme a également aidé la Commission à réaliser plusieurs objectifs de l’UE faisant partie de l’espace européen</w:t>
      </w:r>
      <w:r>
        <w:rPr>
          <w:rFonts w:ascii="Times New Roman" w:hAnsi="Times New Roman"/>
          <w:noProof/>
          <w:sz w:val="22"/>
          <w:lang w:val="fr-FR"/>
        </w:rPr>
        <w:t xml:space="preserve"> de justice.</w:t>
      </w:r>
      <w:r>
        <w:rPr>
          <w:rStyle w:val="FootnoteReference"/>
          <w:rFonts w:ascii="Times New Roman" w:hAnsi="Times New Roman"/>
          <w:noProof/>
          <w:sz w:val="22"/>
          <w:lang w:val="fr-FR"/>
        </w:rPr>
        <w:footnoteReference w:id="50"/>
      </w:r>
      <w:r>
        <w:rPr>
          <w:noProof/>
          <w:lang w:val="fr-FR"/>
        </w:rPr>
        <w:t>.</w:t>
      </w:r>
      <w:r>
        <w:rPr>
          <w:rFonts w:ascii="Times New Roman" w:hAnsi="Times New Roman"/>
          <w:noProof/>
          <w:sz w:val="22"/>
          <w:lang w:val="fr-FR"/>
        </w:rPr>
        <w:t xml:space="preserve"> D’après l’analyse des projets finalisés pour lesquels des informations ont été transmises, pas moins de 73 % de ces projets</w:t>
      </w:r>
      <w:r>
        <w:rPr>
          <w:rStyle w:val="FootnoteReference"/>
          <w:noProof/>
          <w:lang w:val="fr-FR"/>
        </w:rPr>
        <w:footnoteReference w:id="51"/>
      </w:r>
      <w:r>
        <w:rPr>
          <w:rFonts w:ascii="Times New Roman" w:hAnsi="Times New Roman"/>
          <w:noProof/>
          <w:sz w:val="22"/>
          <w:lang w:val="fr-FR"/>
        </w:rPr>
        <w:t xml:space="preserve"> ayant bénéficié de subventions à l’action et de subventions de fonctionnement ont obtenu des produits et des effets </w:t>
      </w:r>
      <w:r>
        <w:rPr>
          <w:rFonts w:ascii="Times New Roman" w:hAnsi="Times New Roman"/>
          <w:noProof/>
          <w:sz w:val="22"/>
          <w:lang w:val="fr-FR"/>
        </w:rPr>
        <w:t>avérés, tandis que 16 % seulement n’ont pu en présenter aucune preuve</w:t>
      </w:r>
      <w:r>
        <w:rPr>
          <w:rStyle w:val="FootnoteReference"/>
          <w:noProof/>
          <w:lang w:val="fr-FR"/>
        </w:rPr>
        <w:footnoteReference w:id="52"/>
      </w:r>
      <w:r>
        <w:rPr>
          <w:rFonts w:ascii="Times New Roman" w:hAnsi="Times New Roman"/>
          <w:noProof/>
          <w:sz w:val="22"/>
          <w:lang w:val="fr-FR"/>
        </w:rPr>
        <w:t xml:space="preserve">. </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Bien que les preuves recueillies dans le cadre de l’évaluation restent insuffisantes pour conclure irréfutablement que les ressources mobilisées étaient raisonnables au regard des pro</w:t>
      </w:r>
      <w:r>
        <w:rPr>
          <w:rFonts w:ascii="Times New Roman" w:hAnsi="Times New Roman"/>
          <w:noProof/>
          <w:sz w:val="22"/>
          <w:lang w:val="fr-FR"/>
        </w:rPr>
        <w:t>duits et des effets atteints</w:t>
      </w:r>
      <w:r>
        <w:rPr>
          <w:rStyle w:val="FootnoteReference"/>
          <w:noProof/>
          <w:lang w:val="fr-FR"/>
        </w:rPr>
        <w:footnoteReference w:id="53"/>
      </w:r>
      <w:r>
        <w:rPr>
          <w:rFonts w:ascii="Times New Roman" w:hAnsi="Times New Roman"/>
          <w:noProof/>
          <w:sz w:val="22"/>
          <w:lang w:val="fr-FR"/>
        </w:rPr>
        <w:t>, les produits et les effets constatés donnent plutôt à penser que les dépenses ont été raisonnables compte tenu des réalisations du programme, ainsi que cela a déjà été commenté dans la section relative à l’efficacité</w:t>
      </w:r>
      <w:r>
        <w:rPr>
          <w:rStyle w:val="FootnoteReference"/>
          <w:rFonts w:ascii="Times New Roman" w:hAnsi="Times New Roman"/>
          <w:noProof/>
          <w:sz w:val="22"/>
          <w:lang w:val="fr-FR"/>
        </w:rPr>
        <w:footnoteReference w:id="54"/>
      </w:r>
      <w:r>
        <w:rPr>
          <w:noProof/>
          <w:lang w:val="fr-FR"/>
        </w:rPr>
        <w:t>.</w:t>
      </w:r>
    </w:p>
    <w:p w:rsidR="00FC79B3" w:rsidRDefault="002A6CE7">
      <w:pPr>
        <w:pStyle w:val="Heading3"/>
        <w:rPr>
          <w:rFonts w:eastAsia="Times New Roman"/>
          <w:noProof/>
          <w:color w:val="auto"/>
          <w:lang w:val="fr-FR"/>
        </w:rPr>
      </w:pPr>
      <w:r>
        <w:rPr>
          <w:noProof/>
          <w:color w:val="auto"/>
          <w:lang w:val="fr-FR"/>
        </w:rPr>
        <w:t>Adéqua</w:t>
      </w:r>
      <w:r>
        <w:rPr>
          <w:noProof/>
          <w:color w:val="auto"/>
          <w:lang w:val="fr-FR"/>
        </w:rPr>
        <w:t>tion de la répartition des fonds entre les différents outils de financement</w:t>
      </w:r>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D’après les programmes de travail annuels, le total des crédits budgétaires affectés à la mise en œuvre du programme JPEN s’est élevé à 196 millions d’euros, soit une moyenne de 28</w:t>
      </w:r>
      <w:r>
        <w:rPr>
          <w:rFonts w:ascii="Times New Roman" w:hAnsi="Times New Roman"/>
          <w:noProof/>
          <w:color w:val="000000"/>
          <w:sz w:val="22"/>
          <w:lang w:val="fr-FR"/>
        </w:rPr>
        <w:t> millions d’euros par an. La plus grande part de ces fonds était dédiée aux subventions à l’action (115 millions d’euros, soit 58 % de l’enveloppe totale du programme), puis aux subventions de fonctionnement (50 millions d’euros, soit 25 %). Un crédit de 3</w:t>
      </w:r>
      <w:r>
        <w:rPr>
          <w:rFonts w:ascii="Times New Roman" w:hAnsi="Times New Roman"/>
          <w:noProof/>
          <w:color w:val="000000"/>
          <w:sz w:val="22"/>
          <w:lang w:val="fr-FR"/>
        </w:rPr>
        <w:t xml:space="preserve">2 millions d’euros, soit 16 % du total, était initialement destiné aux marchés publics. Sur la base des montants attribués par le biais des appels à propositions, les subventions à l’action ont toutefois reçu un total de 123 millions d’euros, soit quelque </w:t>
      </w:r>
      <w:r>
        <w:rPr>
          <w:rFonts w:ascii="Times New Roman" w:hAnsi="Times New Roman"/>
          <w:noProof/>
          <w:color w:val="000000"/>
          <w:sz w:val="22"/>
          <w:lang w:val="fr-FR"/>
        </w:rPr>
        <w:t xml:space="preserve">8 millions d’euros de plus que les programmes de travail annuels ne l’avaient prévu dans un premier temps (cf. </w:t>
      </w:r>
      <w:r>
        <w:rPr>
          <w:rFonts w:ascii="Times New Roman" w:eastAsia="Times New Roman" w:hAnsi="Times New Roman"/>
          <w:noProof/>
          <w:color w:val="000000"/>
          <w:sz w:val="22"/>
          <w:szCs w:val="22"/>
          <w:lang w:val="fr-FR"/>
        </w:rPr>
        <w:fldChar w:fldCharType="begin"/>
      </w:r>
      <w:r>
        <w:rPr>
          <w:rFonts w:ascii="Times New Roman" w:eastAsia="Times New Roman" w:hAnsi="Times New Roman"/>
          <w:noProof/>
          <w:color w:val="000000"/>
          <w:sz w:val="22"/>
          <w:szCs w:val="22"/>
          <w:lang w:val="fr-FR"/>
        </w:rPr>
        <w:instrText xml:space="preserve"> REF _Ref456711404 \h  \* MERGEFORMAT </w:instrText>
      </w:r>
      <w:r>
        <w:rPr>
          <w:rFonts w:ascii="Times New Roman" w:eastAsia="Times New Roman" w:hAnsi="Times New Roman"/>
          <w:noProof/>
          <w:color w:val="000000"/>
          <w:sz w:val="22"/>
          <w:szCs w:val="22"/>
          <w:lang w:val="fr-FR"/>
        </w:rPr>
      </w:r>
      <w:r>
        <w:rPr>
          <w:rFonts w:ascii="Times New Roman" w:eastAsia="Times New Roman" w:hAnsi="Times New Roman"/>
          <w:noProof/>
          <w:color w:val="000000"/>
          <w:sz w:val="22"/>
          <w:szCs w:val="22"/>
          <w:lang w:val="fr-FR"/>
        </w:rPr>
        <w:fldChar w:fldCharType="separate"/>
      </w:r>
      <w:r w:rsidRPr="002A6CE7">
        <w:rPr>
          <w:rFonts w:ascii="Times New Roman" w:hAnsi="Times New Roman"/>
          <w:noProof/>
          <w:sz w:val="22"/>
          <w:szCs w:val="22"/>
          <w:lang w:val="fr-FR"/>
        </w:rPr>
        <w:t>Tableau 1</w:t>
      </w:r>
      <w:r w:rsidRPr="002A6CE7">
        <w:rPr>
          <w:rFonts w:ascii="Times New Roman" w:hAnsi="Times New Roman"/>
          <w:noProof/>
          <w:sz w:val="22"/>
          <w:szCs w:val="22"/>
          <w:lang w:val="fr-FR"/>
        </w:rPr>
        <w:noBreakHyphen/>
        <w:t>1</w:t>
      </w:r>
      <w:r>
        <w:rPr>
          <w:rFonts w:ascii="Times New Roman" w:eastAsia="Times New Roman" w:hAnsi="Times New Roman"/>
          <w:noProof/>
          <w:color w:val="000000"/>
          <w:sz w:val="22"/>
          <w:szCs w:val="22"/>
          <w:lang w:val="fr-FR"/>
        </w:rPr>
        <w:fldChar w:fldCharType="end"/>
      </w:r>
      <w:r>
        <w:rPr>
          <w:rFonts w:ascii="Times New Roman" w:hAnsi="Times New Roman"/>
          <w:noProof/>
          <w:color w:val="000000"/>
          <w:sz w:val="22"/>
          <w:lang w:val="fr-FR"/>
        </w:rPr>
        <w:t xml:space="preserve"> et </w:t>
      </w:r>
      <w:r>
        <w:rPr>
          <w:rFonts w:ascii="Times New Roman" w:eastAsia="Times New Roman" w:hAnsi="Times New Roman"/>
          <w:noProof/>
          <w:color w:val="000000"/>
          <w:sz w:val="22"/>
          <w:szCs w:val="22"/>
          <w:lang w:val="fr-FR"/>
        </w:rPr>
        <w:fldChar w:fldCharType="begin"/>
      </w:r>
      <w:r>
        <w:rPr>
          <w:rFonts w:ascii="Times New Roman" w:eastAsia="Times New Roman" w:hAnsi="Times New Roman"/>
          <w:noProof/>
          <w:color w:val="000000"/>
          <w:sz w:val="22"/>
          <w:szCs w:val="22"/>
          <w:lang w:val="fr-FR"/>
        </w:rPr>
        <w:instrText xml:space="preserve"> REF _Ref456711416 \h  \* MERGEFORMAT </w:instrText>
      </w:r>
      <w:r>
        <w:rPr>
          <w:rFonts w:ascii="Times New Roman" w:eastAsia="Times New Roman" w:hAnsi="Times New Roman"/>
          <w:noProof/>
          <w:color w:val="000000"/>
          <w:sz w:val="22"/>
          <w:szCs w:val="22"/>
          <w:lang w:val="fr-FR"/>
        </w:rPr>
        <w:fldChar w:fldCharType="separate"/>
      </w:r>
      <w:r w:rsidRPr="002A6CE7">
        <w:rPr>
          <w:rFonts w:ascii="Times New Roman" w:eastAsia="Times New Roman" w:hAnsi="Times New Roman"/>
          <w:b/>
          <w:bCs/>
          <w:noProof/>
          <w:color w:val="000000"/>
          <w:sz w:val="22"/>
          <w:szCs w:val="22"/>
          <w:lang w:val="fr-BE"/>
        </w:rPr>
        <w:t>Error! Reference source not found.</w:t>
      </w:r>
      <w:r>
        <w:rPr>
          <w:rFonts w:ascii="Times New Roman" w:eastAsia="Times New Roman" w:hAnsi="Times New Roman"/>
          <w:noProof/>
          <w:color w:val="000000"/>
          <w:sz w:val="22"/>
          <w:szCs w:val="22"/>
          <w:lang w:val="fr-FR"/>
        </w:rPr>
        <w:fldChar w:fldCharType="end"/>
      </w:r>
      <w:r>
        <w:rPr>
          <w:rFonts w:ascii="Times New Roman" w:hAnsi="Times New Roman"/>
          <w:noProof/>
          <w:color w:val="000000"/>
          <w:sz w:val="22"/>
          <w:lang w:val="fr-FR"/>
        </w:rPr>
        <w:t>)</w:t>
      </w:r>
      <w:r>
        <w:rPr>
          <w:rStyle w:val="FootnoteReference"/>
          <w:rFonts w:ascii="Times New Roman" w:hAnsi="Times New Roman"/>
          <w:noProof/>
          <w:color w:val="000000"/>
          <w:sz w:val="22"/>
          <w:lang w:val="fr-FR"/>
        </w:rPr>
        <w:footnoteReference w:id="55"/>
      </w:r>
      <w:r>
        <w:rPr>
          <w:noProof/>
          <w:lang w:val="fr-FR"/>
        </w:rPr>
        <w:t>.</w:t>
      </w:r>
      <w:bookmarkStart w:id="41" w:name="_Ref403133047"/>
      <w:r>
        <w:rPr>
          <w:noProof/>
          <w:lang w:val="fr-FR"/>
        </w:rPr>
        <w:t xml:space="preserve">        </w:t>
      </w:r>
      <w:bookmarkEnd w:id="41"/>
    </w:p>
    <w:p w:rsidR="00FC79B3" w:rsidRDefault="002A6CE7">
      <w:pPr>
        <w:pStyle w:val="BodyText"/>
        <w:ind w:left="0"/>
        <w:jc w:val="both"/>
        <w:rPr>
          <w:noProof/>
          <w:lang w:val="fr-FR"/>
        </w:rPr>
      </w:pPr>
      <w:r>
        <w:rPr>
          <w:rFonts w:ascii="Times New Roman" w:hAnsi="Times New Roman"/>
          <w:noProof/>
          <w:color w:val="000000"/>
          <w:sz w:val="22"/>
          <w:lang w:val="fr-FR"/>
        </w:rPr>
        <w:t xml:space="preserve">Les nombres relativement faibles de </w:t>
      </w:r>
      <w:r>
        <w:rPr>
          <w:rFonts w:ascii="Times New Roman" w:hAnsi="Times New Roman"/>
          <w:noProof/>
          <w:color w:val="000000"/>
          <w:sz w:val="22"/>
          <w:lang w:val="fr-FR"/>
        </w:rPr>
        <w:t>demandes par appel et leurs taux d’acceptation élevés, en particulier pour les premiers appels dotés de subventions à l’action [67 % pour les subventions à l’action en 2007, 87 % pour les subventions à l’action concernant les casiers judiciaires (CJ) en 20</w:t>
      </w:r>
      <w:r>
        <w:rPr>
          <w:rFonts w:ascii="Times New Roman" w:hAnsi="Times New Roman"/>
          <w:noProof/>
          <w:color w:val="000000"/>
          <w:sz w:val="22"/>
          <w:lang w:val="fr-FR"/>
        </w:rPr>
        <w:t>07, 48 % pour les subventions à l’action en 2008 et 77 % pour les subventions à l’action concernant les CJ en 2008], sont à nouveau révélateurs de la visibilité relativement médiocre du programme à son démarrage et, le cas échéant, des difficultés à persua</w:t>
      </w:r>
      <w:r>
        <w:rPr>
          <w:rFonts w:ascii="Times New Roman" w:hAnsi="Times New Roman"/>
          <w:noProof/>
          <w:color w:val="000000"/>
          <w:sz w:val="22"/>
          <w:lang w:val="fr-FR"/>
        </w:rPr>
        <w:t xml:space="preserve">der les acteurs concernés d’introduire une demande (cf. </w:t>
      </w:r>
      <w:r>
        <w:rPr>
          <w:rFonts w:ascii="Times New Roman" w:eastAsia="Times New Roman" w:hAnsi="Times New Roman"/>
          <w:noProof/>
          <w:color w:val="000000"/>
          <w:sz w:val="22"/>
          <w:szCs w:val="22"/>
          <w:lang w:val="fr-FR"/>
        </w:rPr>
        <w:fldChar w:fldCharType="begin"/>
      </w:r>
      <w:r>
        <w:rPr>
          <w:rFonts w:ascii="Times New Roman" w:eastAsia="Times New Roman" w:hAnsi="Times New Roman"/>
          <w:noProof/>
          <w:color w:val="000000"/>
          <w:sz w:val="22"/>
          <w:szCs w:val="22"/>
          <w:lang w:val="fr-FR"/>
        </w:rPr>
        <w:instrText xml:space="preserve"> REF _Ref456711944 \h  \* MERGEFORMAT </w:instrText>
      </w:r>
      <w:r>
        <w:rPr>
          <w:rFonts w:ascii="Times New Roman" w:eastAsia="Times New Roman" w:hAnsi="Times New Roman"/>
          <w:noProof/>
          <w:color w:val="000000"/>
          <w:sz w:val="22"/>
          <w:szCs w:val="22"/>
          <w:lang w:val="fr-FR"/>
        </w:rPr>
      </w:r>
      <w:r>
        <w:rPr>
          <w:rFonts w:ascii="Times New Roman" w:eastAsia="Times New Roman" w:hAnsi="Times New Roman"/>
          <w:noProof/>
          <w:color w:val="000000"/>
          <w:sz w:val="22"/>
          <w:szCs w:val="22"/>
          <w:lang w:val="fr-FR"/>
        </w:rPr>
        <w:fldChar w:fldCharType="separate"/>
      </w:r>
      <w:r w:rsidRPr="002A6CE7">
        <w:rPr>
          <w:rFonts w:ascii="Times New Roman" w:hAnsi="Times New Roman"/>
          <w:noProof/>
          <w:sz w:val="22"/>
          <w:szCs w:val="22"/>
          <w:lang w:val="fr-FR"/>
        </w:rPr>
        <w:t>Figure 2</w:t>
      </w:r>
      <w:r w:rsidRPr="002A6CE7">
        <w:rPr>
          <w:rFonts w:ascii="Times New Roman" w:hAnsi="Times New Roman"/>
          <w:noProof/>
          <w:sz w:val="22"/>
          <w:szCs w:val="22"/>
          <w:lang w:val="fr-FR"/>
        </w:rPr>
        <w:noBreakHyphen/>
        <w:t>5</w:t>
      </w:r>
      <w:r>
        <w:rPr>
          <w:rFonts w:ascii="Times New Roman" w:eastAsia="Times New Roman" w:hAnsi="Times New Roman"/>
          <w:noProof/>
          <w:color w:val="000000"/>
          <w:sz w:val="22"/>
          <w:szCs w:val="22"/>
          <w:lang w:val="fr-FR"/>
        </w:rPr>
        <w:fldChar w:fldCharType="end"/>
      </w:r>
      <w:r>
        <w:rPr>
          <w:rFonts w:ascii="Times New Roman" w:hAnsi="Times New Roman"/>
          <w:noProof/>
          <w:color w:val="000000"/>
          <w:sz w:val="22"/>
          <w:lang w:val="fr-FR"/>
        </w:rPr>
        <w:t>).</w:t>
      </w:r>
    </w:p>
    <w:p w:rsidR="00FC79B3" w:rsidRDefault="00FC79B3">
      <w:pPr>
        <w:pStyle w:val="BodyText"/>
        <w:ind w:left="0"/>
        <w:jc w:val="both"/>
        <w:rPr>
          <w:noProof/>
          <w:lang w:val="fr-FR"/>
        </w:rPr>
      </w:pPr>
    </w:p>
    <w:p w:rsidR="00FC79B3" w:rsidRDefault="002A6CE7">
      <w:pPr>
        <w:pStyle w:val="Caption"/>
        <w:rPr>
          <w:noProof/>
          <w:lang w:val="fr-FR"/>
        </w:rPr>
      </w:pPr>
      <w:bookmarkStart w:id="42" w:name="_Ref456711944"/>
      <w:r>
        <w:rPr>
          <w:noProof/>
          <w:lang w:val="fr-FR"/>
        </w:rPr>
        <w:t>Figure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5</w:t>
      </w:r>
      <w:r>
        <w:rPr>
          <w:noProof/>
          <w:lang w:val="fr-FR"/>
        </w:rPr>
        <w:fldChar w:fldCharType="end"/>
      </w:r>
      <w:bookmarkEnd w:id="42"/>
      <w:r>
        <w:rPr>
          <w:noProof/>
          <w:lang w:val="fr-FR"/>
        </w:rPr>
        <w:t xml:space="preserve"> Subventions sélectionnées en pourcentage des candidatures totales par appel </w:t>
      </w: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4416"/>
      </w:tblGrid>
      <w:tr w:rsidR="00FC79B3">
        <w:trPr>
          <w:trHeight w:val="3183"/>
        </w:trPr>
        <w:tc>
          <w:tcPr>
            <w:tcW w:w="6216" w:type="dxa"/>
          </w:tcPr>
          <w:p w:rsidR="00FC79B3" w:rsidRDefault="002A6CE7">
            <w:pPr>
              <w:pStyle w:val="BodyText"/>
              <w:ind w:left="0"/>
              <w:rPr>
                <w:noProof/>
                <w:lang w:val="fr-FR"/>
              </w:rPr>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359122</wp:posOffset>
                      </wp:positionH>
                      <wp:positionV relativeFrom="paragraph">
                        <wp:posOffset>1368819</wp:posOffset>
                      </wp:positionV>
                      <wp:extent cx="3416060" cy="379563"/>
                      <wp:effectExtent l="0" t="0" r="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060" cy="379563"/>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8"/>
                                      <w:szCs w:val="18"/>
                                      <w:lang w:val="fr-FR"/>
                                    </w:rPr>
                                  </w:pPr>
                                  <w:r>
                                    <w:rPr>
                                      <w:rFonts w:asciiTheme="minorHAnsi" w:hAnsiTheme="minorHAnsi"/>
                                      <w:sz w:val="18"/>
                                      <w:szCs w:val="18"/>
                                      <w:lang w:val="fr-FR"/>
                                    </w:rPr>
                                    <w:t>SA    SA CJ     SA    SA CJ     SA    SA CJ     SA     SA EJ     SA      SA        SA</w:t>
                                  </w:r>
                                </w:p>
                                <w:p w:rsidR="00FC79B3" w:rsidRDefault="002A6CE7">
                                  <w:pPr>
                                    <w:tabs>
                                      <w:tab w:val="left" w:pos="4111"/>
                                    </w:tabs>
                                    <w:rPr>
                                      <w:rFonts w:asciiTheme="minorHAnsi" w:hAnsiTheme="minorHAnsi"/>
                                      <w:sz w:val="18"/>
                                      <w:szCs w:val="18"/>
                                      <w:lang w:val="fr-FR"/>
                                    </w:rPr>
                                  </w:pPr>
                                  <w:r>
                                    <w:rPr>
                                      <w:rFonts w:asciiTheme="minorHAnsi" w:hAnsiTheme="minorHAnsi"/>
                                      <w:sz w:val="18"/>
                                      <w:szCs w:val="18"/>
                                      <w:lang w:val="fr-FR"/>
                                    </w:rPr>
                                    <w:tab/>
                                    <w:t xml:space="preserve"> FJE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8.3pt;margin-top:107.8pt;width:269pt;height:2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EqIgIAACMEAAAOAAAAZHJzL2Uyb0RvYy54bWysU9uO2yAQfa/Uf0C8N7Zz28aKs9pmm6rS&#10;9iLt9gMwxjEqMBRI7PTrO+BsNm3fqvKAGGbmcObMsL4dtCJH4bwEU9FiklMiDIdGmn1Fvz3t3ryl&#10;xAdmGqbAiIqehKe3m9ev1r0txRQ6UI1wBEGML3tb0S4EW2aZ553QzE/ACoPOFpxmAU23zxrHekTX&#10;Kpvm+TLrwTXWARfe4+396KSbhN+2gocvbetFIKqiyC2k3aW9jnu2WbNy75jtJD/TYP/AQjNp8NEL&#10;1D0LjByc/AtKS+7AQxsmHHQGbSu5SDVgNUX+RzWPHbMi1YLieHuRyf8/WP75+NUR2VQUG2WYxhY9&#10;iSGQdzCQaVSnt77EoEeLYWHAa+xyqtTbB+DfPTGw7ZjZizvnoO8Ea5BdETOzq9QRx0eQuv8EDT7D&#10;DgES0NA6HaVDMQiiY5dOl85EKhwvZ/NimS/RxdE3u1ktlrP0BCufs63z4YMATeKhog47n9DZ8cGH&#10;yIaVzyHxMQ9KNjupVDLcvt4qR44Mp2SX1hn9tzBlSF/R1WK6SMgGYn4aIC0DTrGSGmXM44rprIxq&#10;vDdNOgcm1XhGJsqc5YmKjNqEoR5SH4plTI7a1dCcUDAH49TiL8NDB+4nJT1ObEX9jwNzghL10aDo&#10;q2I+jyOejPniZoqGu/bU1x5mOEJVNFAyHrchfYvI28AdNqeVSbcXJmfOOIlJzvOviaN+baeol7+9&#10;+QUAAP//AwBQSwMEFAAGAAgAAAAhAGRZXCDeAAAACgEAAA8AAABkcnMvZG93bnJldi54bWxMj8FO&#10;wzAQRO9I/IO1SFwQdVrFCQ1xKkACcW3pB2zibRIR21HsNunfs5zgNrszmn1b7hY7iAtNofdOw3qV&#10;gCDXeNO7VsPx6/3xCUSI6AwO3pGGKwXYVbc3JRbGz25Pl0NsBZe4UKCGLsaxkDI0HVkMKz+SY+/k&#10;J4uRx6mVZsKZy+0gN0mSSYu94wsdjvTWUfN9OFsNp8/5QW3n+iMe832avWKf1/6q9f3d8vIMItIS&#10;/8Lwi8/oUDFT7c/OBDFoUFnGSQ2btWLBAbVNWdS8yVUKsirl/xeqHwAAAP//AwBQSwECLQAUAAYA&#10;CAAAACEAtoM4kv4AAADhAQAAEwAAAAAAAAAAAAAAAAAAAAAAW0NvbnRlbnRfVHlwZXNdLnhtbFBL&#10;AQItABQABgAIAAAAIQA4/SH/1gAAAJQBAAALAAAAAAAAAAAAAAAAAC8BAABfcmVscy8ucmVsc1BL&#10;AQItABQABgAIAAAAIQDUhqEqIgIAACMEAAAOAAAAAAAAAAAAAAAAAC4CAABkcnMvZTJvRG9jLnht&#10;bFBLAQItABQABgAIAAAAIQBkWVwg3gAAAAoBAAAPAAAAAAAAAAAAAAAAAHwEAABkcnMvZG93bnJl&#10;di54bWxQSwUGAAAAAAQABADzAAAAhwUAAAAA&#10;" stroked="f">
                      <v:textbox>
                        <w:txbxContent>
                          <w:p>
                            <w:pPr>
                              <w:rPr>
                                <w:rFonts w:asciiTheme="minorHAnsi" w:hAnsiTheme="minorHAnsi"/>
                                <w:sz w:val="18"/>
                                <w:szCs w:val="18"/>
                                <w:lang w:val="fr-FR"/>
                              </w:rPr>
                            </w:pPr>
                            <w:r>
                              <w:rPr>
                                <w:rFonts w:asciiTheme="minorHAnsi" w:hAnsiTheme="minorHAnsi"/>
                                <w:sz w:val="18"/>
                                <w:szCs w:val="18"/>
                                <w:lang w:val="fr-FR"/>
                              </w:rPr>
                              <w:t>SA    SA CJ     SA    SA CJ     SA    SA CJ     SA     SA EJ     SA      SA        SA</w:t>
                            </w:r>
                          </w:p>
                          <w:p>
                            <w:pPr>
                              <w:tabs>
                                <w:tab w:val="left" w:pos="4111"/>
                              </w:tabs>
                              <w:rPr>
                                <w:rFonts w:asciiTheme="minorHAnsi" w:hAnsiTheme="minorHAnsi"/>
                                <w:sz w:val="18"/>
                                <w:szCs w:val="18"/>
                                <w:lang w:val="fr-FR"/>
                              </w:rPr>
                            </w:pPr>
                            <w:r>
                              <w:rPr>
                                <w:rFonts w:asciiTheme="minorHAnsi" w:hAnsiTheme="minorHAnsi"/>
                                <w:sz w:val="18"/>
                                <w:szCs w:val="18"/>
                                <w:lang w:val="fr-FR"/>
                              </w:rPr>
                              <w:tab/>
                              <w:t xml:space="preserve"> FJE</w:t>
                            </w:r>
                          </w:p>
                        </w:txbxContent>
                      </v:textbox>
                    </v:shape>
                  </w:pict>
                </mc:Fallback>
              </mc:AlternateContent>
            </w:r>
            <w:r>
              <w:rPr>
                <w:noProof/>
                <w:lang w:eastAsia="en-GB"/>
              </w:rPr>
              <w:drawing>
                <wp:inline distT="0" distB="0" distL="0" distR="0">
                  <wp:extent cx="3805881" cy="2372498"/>
                  <wp:effectExtent l="0" t="0" r="4445"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C79B3" w:rsidRDefault="002A6CE7">
            <w:pPr>
              <w:tabs>
                <w:tab w:val="left" w:pos="1995"/>
              </w:tabs>
              <w:rPr>
                <w:i/>
                <w:noProof/>
                <w:sz w:val="18"/>
                <w:szCs w:val="18"/>
                <w:lang w:val="fr-FR"/>
              </w:rPr>
            </w:pPr>
            <w:r>
              <w:rPr>
                <w:noProof/>
                <w:sz w:val="18"/>
                <w:lang w:val="fr-FR"/>
              </w:rPr>
              <w:t xml:space="preserve">              </w:t>
            </w:r>
          </w:p>
        </w:tc>
        <w:tc>
          <w:tcPr>
            <w:tcW w:w="4416" w:type="dxa"/>
          </w:tcPr>
          <w:p w:rsidR="00FC79B3" w:rsidRDefault="002A6CE7">
            <w:pPr>
              <w:pStyle w:val="BodyText"/>
              <w:ind w:left="0"/>
              <w:rPr>
                <w:noProof/>
                <w:lang w:val="fr-FR"/>
              </w:rPr>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903605</wp:posOffset>
                      </wp:positionH>
                      <wp:positionV relativeFrom="paragraph">
                        <wp:posOffset>2212796</wp:posOffset>
                      </wp:positionV>
                      <wp:extent cx="1431925" cy="2324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32410"/>
                              </a:xfrm>
                              <a:prstGeom prst="rect">
                                <a:avLst/>
                              </a:prstGeom>
                              <a:solidFill>
                                <a:srgbClr val="FFFFFF"/>
                              </a:solidFill>
                              <a:ln w="9525">
                                <a:noFill/>
                                <a:miter lim="800000"/>
                                <a:headEnd/>
                                <a:tailEnd/>
                              </a:ln>
                            </wps:spPr>
                            <wps:txbx>
                              <w:txbxContent>
                                <w:p w:rsidR="00FC79B3" w:rsidRDefault="002A6CE7">
                                  <w:pPr>
                                    <w:rPr>
                                      <w:rFonts w:asciiTheme="minorHAnsi" w:hAnsiTheme="minorHAnsi"/>
                                      <w:color w:val="7F7F7F" w:themeColor="text1" w:themeTint="80"/>
                                      <w:sz w:val="18"/>
                                      <w:szCs w:val="18"/>
                                      <w:lang w:val="fr-FR"/>
                                    </w:rPr>
                                  </w:pPr>
                                  <w:r>
                                    <w:rPr>
                                      <w:rFonts w:asciiTheme="minorHAnsi" w:hAnsiTheme="minorHAnsi"/>
                                      <w:color w:val="7F7F7F" w:themeColor="text1" w:themeTint="80"/>
                                      <w:sz w:val="18"/>
                                      <w:szCs w:val="18"/>
                                      <w:lang w:val="fr-FR"/>
                                    </w:rPr>
                                    <w:t>Pourcentage de réussite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71.15pt;margin-top:174.25pt;width:112.75pt;height:18.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rVIwIAACMEAAAOAAAAZHJzL2Uyb0RvYy54bWysU21v2yAQ/j5p/wHxfXHsJm1jxam6dJkm&#10;dS9Sux+AMY7RgGNAYme/fgdOsqj9Vo0PiOPuHp577ljeDVqRvXBegqloPplSIgyHRpptRX8+bz7c&#10;UuIDMw1TYERFD8LTu9X7d8velqKADlQjHEEQ48veVrQLwZZZ5nknNPMTsMKgswWnWUDTbbPGsR7R&#10;tcqK6fQ668E11gEX3uPtw+ikq4TftoKH723rRSCqosgtpN2lvY57tlqycuuY7SQ/0mBvYKGZNPjo&#10;GeqBBUZ2Tr6C0pI78NCGCQedQdtKLlINWE0+fVHNU8esSLWgON6eZfL/D5Z/2/9wRDYVvabEMI0t&#10;ehZDIB9hIEVUp7e+xKAni2FhwGvscqrU20fgvzwxsO6Y2Yp756DvBGuQXR4zs4vUEcdHkLr/Cg0+&#10;w3YBEtDQOh2lQzEIomOXDufORCo8Pjm7yhfFnBKOvuKqmOWpdRkrT9nW+fBZgCbxUFGHnU/obP/o&#10;Q2TDylNIfMyDks1GKpUMt63XypE9wynZpJUKeBGmDOkrupgjj5hlIOanAdIy4BQrqSt6O41rnKuo&#10;xifTpJDApBrPyESZozxRkVGbMNRD6kN+c5K9huaAgjkYpxZ/GR46cH8o6XFiK+p/75gTlKgvBkVf&#10;5LNZHPFkzOY3BRru0lNfepjhCFXRQMl4XIf0LcbK7rE5rUy6xS6OTI6ccRKTnMdfE0f90k5R//72&#10;6i8AAAD//wMAUEsDBBQABgAIAAAAIQAPmUDF3gAAAAsBAAAPAAAAZHJzL2Rvd25yZXYueG1sTI/L&#10;TsMwEEX3SPyDNUhsEHXaPJvGqQAJxLalH+Ak0yQiHkex26R/z7CC3VzN0X0U+8UM4oqT6y0pWK8C&#10;EEi1bXpqFZy+3p8zEM5ravRgCRXc0MG+vL8rdN7YmQ54PfpWsAm5XCvovB9zKV3dodFuZUck/p3t&#10;ZLRnObWymfTM5maQmyBIpNE9cUKnR3zrsP4+XoyC8+f8FG/n6sOf0kOUvOo+rexNqceH5WUHwuPi&#10;/2D4rc/VoeROlb1Q48TAOtqEjCoIoywGwUSYpDym4iOL1yDLQv7fUP4AAAD//wMAUEsBAi0AFAAG&#10;AAgAAAAhALaDOJL+AAAA4QEAABMAAAAAAAAAAAAAAAAAAAAAAFtDb250ZW50X1R5cGVzXS54bWxQ&#10;SwECLQAUAAYACAAAACEAOP0h/9YAAACUAQAACwAAAAAAAAAAAAAAAAAvAQAAX3JlbHMvLnJlbHNQ&#10;SwECLQAUAAYACAAAACEAn36K1SMCAAAjBAAADgAAAAAAAAAAAAAAAAAuAgAAZHJzL2Uyb0RvYy54&#10;bWxQSwECLQAUAAYACAAAACEAD5lAxd4AAAALAQAADwAAAAAAAAAAAAAAAAB9BAAAZHJzL2Rvd25y&#10;ZXYueG1sUEsFBgAAAAAEAAQA8wAAAIgFAAAAAA==&#10;" stroked="f">
                      <v:textbox>
                        <w:txbxContent>
                          <w:p>
                            <w:pPr>
                              <w:rPr>
                                <w:rFonts w:asciiTheme="minorHAnsi" w:hAnsiTheme="minorHAnsi"/>
                                <w:color w:val="7F7F7F" w:themeColor="text1" w:themeTint="80"/>
                                <w:sz w:val="18"/>
                                <w:szCs w:val="18"/>
                                <w:lang w:val="fr-FR"/>
                              </w:rPr>
                            </w:pPr>
                            <w:r>
                              <w:rPr>
                                <w:rFonts w:asciiTheme="minorHAnsi" w:hAnsiTheme="minorHAnsi"/>
                                <w:color w:val="7F7F7F" w:themeColor="text1" w:themeTint="80"/>
                                <w:sz w:val="18"/>
                                <w:szCs w:val="18"/>
                                <w:lang w:val="fr-FR"/>
                              </w:rPr>
                              <w:t>Pourcentage de réussite</w:t>
                            </w:r>
                          </w:p>
                        </w:txbxContent>
                      </v:textbox>
                    </v:shape>
                  </w:pict>
                </mc:Fallback>
              </mc:AlternateContent>
            </w: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173471</wp:posOffset>
                      </wp:positionH>
                      <wp:positionV relativeFrom="paragraph">
                        <wp:posOffset>2034943</wp:posOffset>
                      </wp:positionV>
                      <wp:extent cx="2035774" cy="232410"/>
                      <wp:effectExtent l="0" t="0" r="317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774" cy="232410"/>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8"/>
                                      <w:szCs w:val="18"/>
                                    </w:rPr>
                                  </w:pPr>
                                  <w:r>
                                    <w:rPr>
                                      <w:rFonts w:asciiTheme="minorHAnsi" w:hAnsiTheme="minorHAnsi"/>
                                      <w:sz w:val="18"/>
                                      <w:szCs w:val="18"/>
                                    </w:rPr>
                                    <w:t xml:space="preserve">SF         SF        SF        SF   </w:t>
                                  </w:r>
                                  <w:r>
                                    <w:rPr>
                                      <w:rFonts w:asciiTheme="minorHAnsi" w:hAnsiTheme="minorHAnsi"/>
                                      <w:sz w:val="18"/>
                                      <w:szCs w:val="18"/>
                                    </w:rPr>
                                    <w:t xml:space="preserve">     SF        SF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3.65pt;margin-top:160.25pt;width:160.3pt;height:18.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W8IwIAACQEAAAOAAAAZHJzL2Uyb0RvYy54bWysU9uO2yAQfa/Uf0C8N3acpJu14qy22aaq&#10;tL1Iu/0AjHGMCgwFEjv9+h1wkkbbt6o8IIYZDjNnzqzuBq3IQTgvwVR0OskpEYZDI82uoj+et++W&#10;lPjATMMUGFHRo/D0bv32zaq3pSigA9UIRxDE+LK3Fe1CsGWWed4JzfwErDDobMFpFtB0u6xxrEd0&#10;rbIiz99nPbjGOuDCe7x9GJ10nfDbVvDwrW29CERVFHMLaXdpr+OerVes3DlmO8lPabB/yEIzafDT&#10;C9QDC4zsnfwLSkvuwEMbJhx0Bm0ruUg1YDXT/FU1Tx2zItWC5Hh7ocn/P1j+9fDdEdlg72aUGKax&#10;R89iCOQDDKSI9PTWlxj1ZDEuDHiNoalUbx+B//TEwKZjZifunYO+E6zB9KbxZXb1dMTxEaTuv0CD&#10;37B9gAQ0tE5H7pANgujYpuOlNTEVjpdFPlvc3Mwp4egrZsV8mnqXsfL82jofPgnQJB4q6rD1CZ0d&#10;Hn2I2bDyHBI/86Bks5VKJcPt6o1y5MBQJtu0UgGvwpQhfUVvF8UiIRuI75OCtAwoYyV1RZd5XKOw&#10;IhsfTZNCApNqPGMmypzoiYyM3IShHsZGLM+019AckTAHo2xxzPDQgftNSY+Sraj/tWdOUKI+GyT9&#10;djqfR40nY764KdBw15762sMMR6iKBkrG4yakuYh8GLjH5rQy8Ra7OGZyyhmlmOg8jU3U+rWdov4M&#10;9/oFAAD//wMAUEsDBBQABgAIAAAAIQBte+sq3wAAAAoBAAAPAAAAZHJzL2Rvd25yZXYueG1sTI/B&#10;ToNAEIbvJr7DZky8GLsUSrelLI2aaLy29gEGmAKR3SXsttC3dzzpbSbz5Z/vz/ez6cWVRt85q2G5&#10;iECQrVzd2UbD6ev9eQPCB7Q19s6Shht52Bf3dzlmtZvsga7H0AgOsT5DDW0IQyalr1oy6BduIMu3&#10;sxsNBl7HRtYjThxuehlH0Voa7Cx/aHGgt5aq7+PFaDh/Tk/pdio/wkkdVutX7FTpblo/PswvOxCB&#10;5vAHw68+q0PBTqW72NqLXkOsEiY1JHGUgmAgWaktiJKHVC1BFrn8X6H4AQAA//8DAFBLAQItABQA&#10;BgAIAAAAIQC2gziS/gAAAOEBAAATAAAAAAAAAAAAAAAAAAAAAABbQ29udGVudF9UeXBlc10ueG1s&#10;UEsBAi0AFAAGAAgAAAAhADj9If/WAAAAlAEAAAsAAAAAAAAAAAAAAAAALwEAAF9yZWxzLy5yZWxz&#10;UEsBAi0AFAAGAAgAAAAhADq2xbwjAgAAJAQAAA4AAAAAAAAAAAAAAAAALgIAAGRycy9lMm9Eb2Mu&#10;eG1sUEsBAi0AFAAGAAgAAAAhAG176yrfAAAACgEAAA8AAAAAAAAAAAAAAAAAfQQAAGRycy9kb3du&#10;cmV2LnhtbFBLBQYAAAAABAAEAPMAAACJBQAAAAA=&#10;" stroked="f">
                      <v:textbox>
                        <w:txbxContent>
                          <w:p>
                            <w:pPr>
                              <w:rPr>
                                <w:rFonts w:asciiTheme="minorHAnsi" w:hAnsiTheme="minorHAnsi"/>
                                <w:sz w:val="18"/>
                                <w:szCs w:val="18"/>
                              </w:rPr>
                            </w:pPr>
                            <w:r>
                              <w:rPr>
                                <w:rFonts w:asciiTheme="minorHAnsi" w:hAnsiTheme="minorHAnsi"/>
                                <w:sz w:val="18"/>
                                <w:szCs w:val="18"/>
                              </w:rPr>
                              <w:t>SF         SF        SF        SF        SF        SF</w:t>
                            </w:r>
                          </w:p>
                        </w:txbxContent>
                      </v:textbox>
                    </v:shape>
                  </w:pict>
                </mc:Fallback>
              </mc:AlternateContent>
            </w:r>
            <w:r>
              <w:rPr>
                <w:noProof/>
                <w:lang w:eastAsia="en-GB"/>
              </w:rPr>
              <w:drawing>
                <wp:inline distT="0" distB="0" distL="0" distR="0">
                  <wp:extent cx="2364260" cy="2479589"/>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 xml:space="preserve">À l’examen des taux d’absorption des subventions à l’action et des subventions de fonctionnement (c’est-à-dire les paiements en proportion des engagements), il apparaît que dans l’ensemble, les budgets accordés dépassaient légèrement </w:t>
      </w:r>
      <w:r>
        <w:rPr>
          <w:rFonts w:ascii="Times New Roman" w:hAnsi="Times New Roman"/>
          <w:noProof/>
          <w:color w:val="000000"/>
          <w:sz w:val="22"/>
          <w:lang w:val="fr-FR"/>
        </w:rPr>
        <w:t>le montant que les bénéficiaires pouvaient absorber avec fruit. Le taux d’absorption moyen s’établit à 76 % pour les subventions à l’action et 80 % pour les subventions de fonctionnement. Les subventions de fonctionnement ont par ailleurs engrangé quelques</w:t>
      </w:r>
      <w:r>
        <w:rPr>
          <w:rFonts w:ascii="Times New Roman" w:hAnsi="Times New Roman"/>
          <w:noProof/>
          <w:color w:val="000000"/>
          <w:sz w:val="22"/>
          <w:lang w:val="fr-FR"/>
        </w:rPr>
        <w:t xml:space="preserve"> améliorations et, par conséquent, une réduction des sous-utilisations au fil du temps. Dans le domaine des marchés publics, 21 millions d’euros ont été engagés sur les 32 millions d’euros réservés au départ. Il peut donc être déduit que le financement dis</w:t>
      </w:r>
      <w:r>
        <w:rPr>
          <w:rFonts w:ascii="Times New Roman" w:hAnsi="Times New Roman"/>
          <w:noProof/>
          <w:color w:val="000000"/>
          <w:sz w:val="22"/>
          <w:lang w:val="fr-FR"/>
        </w:rPr>
        <w:t>ponible était globalement suffisant</w:t>
      </w:r>
      <w:r>
        <w:rPr>
          <w:rStyle w:val="FootnoteReference"/>
          <w:rFonts w:ascii="Times New Roman" w:hAnsi="Times New Roman"/>
          <w:noProof/>
          <w:color w:val="000000"/>
          <w:sz w:val="22"/>
          <w:lang w:val="fr-FR"/>
        </w:rPr>
        <w:footnoteReference w:id="56"/>
      </w:r>
      <w:r>
        <w:rPr>
          <w:noProof/>
          <w:lang w:val="fr-FR"/>
        </w:rPr>
        <w:t>.</w:t>
      </w:r>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 xml:space="preserve">De surcroît, eu égard aux spécificités des groupes ciblés, il existe un risque de culminer à leur «capacité d’absorption maximale» pour les financements de ce type, et ce pour deux raisons: </w:t>
      </w:r>
    </w:p>
    <w:p w:rsidR="00FC79B3" w:rsidRDefault="002A6CE7">
      <w:pPr>
        <w:pStyle w:val="BodyText"/>
        <w:numPr>
          <w:ilvl w:val="0"/>
          <w:numId w:val="32"/>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le nombre relativement «lim</w:t>
      </w:r>
      <w:r>
        <w:rPr>
          <w:rFonts w:ascii="Times New Roman" w:hAnsi="Times New Roman"/>
          <w:noProof/>
          <w:color w:val="000000"/>
          <w:sz w:val="22"/>
          <w:lang w:val="fr-FR"/>
        </w:rPr>
        <w:t xml:space="preserve">ité» d’acteurs concernés (par opposition à des programmes comme Daphné III, qui font l’objet d’une demande beaucoup plus forte, car ils s’adressent à une plus grande diversité et de plus grands nombres de parties intéressées potentielles); </w:t>
      </w:r>
    </w:p>
    <w:p w:rsidR="00FC79B3" w:rsidRDefault="002A6CE7">
      <w:pPr>
        <w:pStyle w:val="BodyText"/>
        <w:numPr>
          <w:ilvl w:val="0"/>
          <w:numId w:val="32"/>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dans de nombreu</w:t>
      </w:r>
      <w:r>
        <w:rPr>
          <w:rFonts w:ascii="Times New Roman" w:hAnsi="Times New Roman"/>
          <w:noProof/>
          <w:color w:val="000000"/>
          <w:sz w:val="22"/>
          <w:lang w:val="fr-FR"/>
        </w:rPr>
        <w:t>x cas, la mise en œuvre du projet subventionné s’ajoute aux «tâches quotidiennes».</w:t>
      </w:r>
    </w:p>
    <w:p w:rsidR="00FC79B3" w:rsidRDefault="002A6CE7">
      <w:pPr>
        <w:pStyle w:val="Heading3"/>
        <w:rPr>
          <w:rFonts w:eastAsia="Times New Roman"/>
          <w:noProof/>
          <w:color w:val="auto"/>
          <w:lang w:val="fr-FR"/>
        </w:rPr>
      </w:pPr>
      <w:r>
        <w:rPr>
          <w:noProof/>
          <w:color w:val="auto"/>
          <w:lang w:val="fr-FR"/>
        </w:rPr>
        <w:t>Gestion de la Commission et simplifications possibles</w:t>
      </w:r>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 xml:space="preserve">Selon les résultats de l’enquête en ligne, les exigences imposées aux candidats pour l’accès à un financement JPEN ont </w:t>
      </w:r>
      <w:r>
        <w:rPr>
          <w:rFonts w:ascii="Times New Roman" w:hAnsi="Times New Roman"/>
          <w:noProof/>
          <w:color w:val="000000"/>
          <w:sz w:val="22"/>
          <w:lang w:val="fr-FR"/>
        </w:rPr>
        <w:t xml:space="preserve">dans l’ensemble été jugées appropriées, ainsi que le montre la </w:t>
      </w:r>
      <w:r>
        <w:rPr>
          <w:rFonts w:ascii="Times New Roman" w:eastAsia="Times New Roman" w:hAnsi="Times New Roman"/>
          <w:noProof/>
          <w:color w:val="000000"/>
          <w:sz w:val="22"/>
          <w:szCs w:val="22"/>
          <w:lang w:val="fr-FR"/>
        </w:rPr>
        <w:fldChar w:fldCharType="begin"/>
      </w:r>
      <w:r>
        <w:rPr>
          <w:rFonts w:ascii="Times New Roman" w:eastAsia="Times New Roman" w:hAnsi="Times New Roman"/>
          <w:noProof/>
          <w:color w:val="000000"/>
          <w:sz w:val="22"/>
          <w:szCs w:val="22"/>
          <w:lang w:val="fr-FR"/>
        </w:rPr>
        <w:instrText xml:space="preserve"> REF _Ref456711994 \h  \* MERGEFORMAT </w:instrText>
      </w:r>
      <w:r>
        <w:rPr>
          <w:rFonts w:ascii="Times New Roman" w:eastAsia="Times New Roman" w:hAnsi="Times New Roman"/>
          <w:noProof/>
          <w:color w:val="000000"/>
          <w:sz w:val="22"/>
          <w:szCs w:val="22"/>
          <w:lang w:val="fr-FR"/>
        </w:rPr>
      </w:r>
      <w:r>
        <w:rPr>
          <w:rFonts w:ascii="Times New Roman" w:eastAsia="Times New Roman" w:hAnsi="Times New Roman"/>
          <w:noProof/>
          <w:color w:val="000000"/>
          <w:sz w:val="22"/>
          <w:szCs w:val="22"/>
          <w:lang w:val="fr-FR"/>
        </w:rPr>
        <w:fldChar w:fldCharType="separate"/>
      </w:r>
      <w:r w:rsidRPr="002A6CE7">
        <w:rPr>
          <w:rFonts w:ascii="Times New Roman" w:hAnsi="Times New Roman"/>
          <w:noProof/>
          <w:sz w:val="22"/>
          <w:szCs w:val="22"/>
          <w:lang w:val="fr-FR"/>
        </w:rPr>
        <w:t>Figure 2</w:t>
      </w:r>
      <w:r w:rsidRPr="002A6CE7">
        <w:rPr>
          <w:rFonts w:ascii="Times New Roman" w:hAnsi="Times New Roman"/>
          <w:noProof/>
          <w:sz w:val="22"/>
          <w:szCs w:val="22"/>
          <w:lang w:val="fr-FR"/>
        </w:rPr>
        <w:noBreakHyphen/>
        <w:t>6</w:t>
      </w:r>
      <w:r>
        <w:rPr>
          <w:rFonts w:ascii="Times New Roman" w:eastAsia="Times New Roman" w:hAnsi="Times New Roman"/>
          <w:noProof/>
          <w:color w:val="000000"/>
          <w:sz w:val="22"/>
          <w:szCs w:val="22"/>
          <w:lang w:val="fr-FR"/>
        </w:rPr>
        <w:fldChar w:fldCharType="end"/>
      </w:r>
      <w:r>
        <w:rPr>
          <w:rFonts w:ascii="Times New Roman" w:hAnsi="Times New Roman"/>
          <w:noProof/>
          <w:color w:val="000000"/>
          <w:sz w:val="22"/>
          <w:lang w:val="fr-FR"/>
        </w:rPr>
        <w:t xml:space="preserve"> ci-après.  </w:t>
      </w:r>
    </w:p>
    <w:p w:rsidR="00FC79B3" w:rsidRDefault="002A6CE7">
      <w:pPr>
        <w:pStyle w:val="Caption"/>
        <w:keepNext/>
        <w:keepLines/>
        <w:jc w:val="both"/>
        <w:rPr>
          <w:noProof/>
          <w:lang w:val="fr-FR"/>
        </w:rPr>
      </w:pPr>
      <w:bookmarkStart w:id="43" w:name="_Ref456711994"/>
      <w:r>
        <w:rPr>
          <w:noProof/>
          <w:lang w:val="fr-FR"/>
        </w:rPr>
        <w:t>Figure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6</w:t>
      </w:r>
      <w:r>
        <w:rPr>
          <w:noProof/>
          <w:lang w:val="fr-FR"/>
        </w:rPr>
        <w:fldChar w:fldCharType="end"/>
      </w:r>
      <w:bookmarkEnd w:id="43"/>
      <w:r>
        <w:rPr>
          <w:noProof/>
          <w:color w:val="auto"/>
          <w:lang w:val="fr-FR"/>
        </w:rPr>
        <w:t xml:space="preserve"> </w:t>
      </w:r>
      <w:r>
        <w:rPr>
          <w:noProof/>
          <w:lang w:val="fr-FR"/>
        </w:rPr>
        <w:t>Réponses à l’enquête en ligne sur la perception de l’aide fournie par la Commission dans le processus de candidature</w:t>
      </w:r>
    </w:p>
    <w:p w:rsidR="00FC79B3" w:rsidRDefault="002A6CE7">
      <w:pPr>
        <w:tabs>
          <w:tab w:val="left" w:pos="5580"/>
        </w:tabs>
        <w:ind w:left="851"/>
        <w:jc w:val="both"/>
        <w:rPr>
          <w:b/>
          <w:noProof/>
          <w:lang w:val="fr-FR"/>
        </w:rPr>
      </w:pPr>
      <w:r>
        <w:rPr>
          <w:b/>
          <w:noProof/>
        </w:rPr>
        <mc:AlternateContent>
          <mc:Choice Requires="wps">
            <w:drawing>
              <wp:anchor distT="0" distB="0" distL="114300" distR="114300" simplePos="0" relativeHeight="251719680" behindDoc="0" locked="0" layoutInCell="1" allowOverlap="1">
                <wp:simplePos x="0" y="0"/>
                <wp:positionH relativeFrom="column">
                  <wp:posOffset>4455795</wp:posOffset>
                </wp:positionH>
                <wp:positionV relativeFrom="paragraph">
                  <wp:posOffset>1763024</wp:posOffset>
                </wp:positionV>
                <wp:extent cx="767715" cy="241300"/>
                <wp:effectExtent l="0" t="0" r="0" b="635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41300"/>
                        </a:xfrm>
                        <a:prstGeom prst="rect">
                          <a:avLst/>
                        </a:prstGeom>
                        <a:solidFill>
                          <a:srgbClr val="FFFFFF"/>
                        </a:solidFill>
                        <a:ln w="9525">
                          <a:noFill/>
                          <a:miter lim="800000"/>
                          <a:headEnd/>
                          <a:tailEnd/>
                        </a:ln>
                      </wps:spPr>
                      <wps:txbx>
                        <w:txbxContent>
                          <w:p w:rsidR="00FC79B3" w:rsidRDefault="002A6CE7">
                            <w:pPr>
                              <w:ind w:left="-142" w:right="-75"/>
                              <w:rPr>
                                <w:rFonts w:asciiTheme="minorHAnsi" w:hAnsiTheme="minorHAnsi"/>
                                <w:sz w:val="13"/>
                                <w:lang w:val="fr-FR"/>
                              </w:rPr>
                            </w:pPr>
                            <w:r>
                              <w:rPr>
                                <w:rFonts w:asciiTheme="minorHAnsi" w:hAnsiTheme="minorHAnsi"/>
                                <w:sz w:val="13"/>
                                <w:lang w:val="fr-FR"/>
                              </w:rPr>
                              <w:t xml:space="preserve"> Pas du tout d'accord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50.85pt;margin-top:138.8pt;width:60.45pt;height: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TkJAIAACQEAAAOAAAAZHJzL2Uyb0RvYy54bWysU9tuGyEQfa/Uf0C813upHccrr6PUqatK&#10;6UVK+gGYZb2owFDA3nW/PgNru1b6VpUHxMBwOHPOsLwbtCIH4bwEU9NiklMiDIdGml1Nfzxv3t1S&#10;4gMzDVNgRE2PwtO71ds3y95WooQOVCMcQRDjq97WtAvBVlnmeSc08xOwwuBhC06zgKHbZY1jPaJr&#10;lZV5fpP14BrrgAvvcfdhPKSrhN+2godvbetFIKqmyC2k2aV5G+dstWTVzjHbSX6iwf6BhWbS4KMX&#10;qAcWGNk7+ReUltyBhzZMOOgM2lZykWrAaor8VTVPHbMi1YLieHuRyf8/WP718N0R2dS0XKBVhmk0&#10;6VkMgXyAgZRRn976CtOeLCaGAbfR51Srt4/Af3piYN0xsxP3zkHfCdYgvyLezK6ujjg+gmz7L9Dg&#10;M2wfIAENrdNRPJSDIDr6dLx4E6lw3JzfzOfFjBKOR+W0eJ8n7zJWnS9b58MnAZrERU0dWp/A2eHR&#10;h0iGVeeU+JYHJZuNVCoFbrddK0cODNtkk0bi/ypNGdLXdDErZwnZQLyfOkjLgG2spK7pbR7H2FhR&#10;jI+mSSmBSTWukYkyJ3WiIKM0YdgOyYhicVZ9C80R9XIwti1+M1x04H5T0mPL1tT/2jMnKFGfDWq+&#10;KKbT2OMpmM7mJQbu+mR7fcIMR6iaBkrG5TqkfxH1MHCP3rQy6RZNHJmcOGMrJjlP3yb2+nWcsv58&#10;7tULAAAA//8DAFBLAwQUAAYACAAAACEAeKgW598AAAALAQAADwAAAGRycy9kb3ducmV2LnhtbEyP&#10;wU7DMAyG70i8Q2QkLoilLawZpekESCCuG3sAt/Haiiapmmzt3h5zgpstf/r9/eV2sYM40xR67zSk&#10;qwQEucab3rUaDl/v9xsQIaIzOHhHGi4UYFtdX5VYGD+7HZ33sRUc4kKBGroYx0LK0HRkMaz8SI5v&#10;Rz9ZjLxOrTQTzhxuB5klSS4t9o4/dDjSW0fN9/5kNRw/57v101x/xIPaPeav2KvaX7S+vVlenkFE&#10;WuIfDL/6rA4VO9X+5EwQgwaVpIpRDZlSOQgmNlnGQ63hIV3nIKtS/u9Q/QAAAP//AwBQSwECLQAU&#10;AAYACAAAACEAtoM4kv4AAADhAQAAEwAAAAAAAAAAAAAAAAAAAAAAW0NvbnRlbnRfVHlwZXNdLnht&#10;bFBLAQItABQABgAIAAAAIQA4/SH/1gAAAJQBAAALAAAAAAAAAAAAAAAAAC8BAABfcmVscy8ucmVs&#10;c1BLAQItABQABgAIAAAAIQCw9xTkJAIAACQEAAAOAAAAAAAAAAAAAAAAAC4CAABkcnMvZTJvRG9j&#10;LnhtbFBLAQItABQABgAIAAAAIQB4qBbn3wAAAAsBAAAPAAAAAAAAAAAAAAAAAH4EAABkcnMvZG93&#10;bnJldi54bWxQSwUGAAAAAAQABADzAAAAigUAAAAA&#10;" stroked="f">
                <v:textbox>
                  <w:txbxContent>
                    <w:p>
                      <w:pPr>
                        <w:ind w:left="-142" w:right="-75"/>
                        <w:rPr>
                          <w:rFonts w:asciiTheme="minorHAnsi" w:hAnsiTheme="minorHAnsi"/>
                          <w:sz w:val="13"/>
                          <w:lang w:val="fr-FR"/>
                        </w:rPr>
                      </w:pPr>
                      <w:r>
                        <w:rPr>
                          <w:rFonts w:asciiTheme="minorHAnsi" w:hAnsiTheme="minorHAnsi"/>
                          <w:sz w:val="13"/>
                          <w:lang w:val="fr-FR"/>
                        </w:rPr>
                        <w:t xml:space="preserve"> Pas du tout d'accord</w:t>
                      </w:r>
                    </w:p>
                  </w:txbxContent>
                </v:textbox>
              </v:shape>
            </w:pict>
          </mc:Fallback>
        </mc:AlternateContent>
      </w:r>
      <w:r>
        <w:rPr>
          <w:b/>
          <w:noProof/>
        </w:rPr>
        <mc:AlternateContent>
          <mc:Choice Requires="wps">
            <w:drawing>
              <wp:anchor distT="0" distB="0" distL="114300" distR="114300" simplePos="0" relativeHeight="251717632" behindDoc="0" locked="0" layoutInCell="1" allowOverlap="1">
                <wp:simplePos x="0" y="0"/>
                <wp:positionH relativeFrom="column">
                  <wp:posOffset>3585306</wp:posOffset>
                </wp:positionH>
                <wp:positionV relativeFrom="paragraph">
                  <wp:posOffset>1761670</wp:posOffset>
                </wp:positionV>
                <wp:extent cx="767751" cy="241540"/>
                <wp:effectExtent l="0" t="0" r="0" b="63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51" cy="241540"/>
                        </a:xfrm>
                        <a:prstGeom prst="rect">
                          <a:avLst/>
                        </a:prstGeom>
                        <a:solidFill>
                          <a:srgbClr val="FFFFFF"/>
                        </a:solidFill>
                        <a:ln w="9525">
                          <a:noFill/>
                          <a:miter lim="800000"/>
                          <a:headEnd/>
                          <a:tailEnd/>
                        </a:ln>
                      </wps:spPr>
                      <wps:txbx>
                        <w:txbxContent>
                          <w:p w:rsidR="00FC79B3" w:rsidRDefault="002A6CE7">
                            <w:pPr>
                              <w:ind w:left="-142" w:right="-75"/>
                              <w:rPr>
                                <w:rFonts w:asciiTheme="minorHAnsi" w:hAnsiTheme="minorHAnsi"/>
                                <w:sz w:val="13"/>
                              </w:rPr>
                            </w:pPr>
                            <w:r>
                              <w:rPr>
                                <w:rFonts w:asciiTheme="minorHAnsi" w:hAnsiTheme="minorHAnsi"/>
                                <w:sz w:val="13"/>
                              </w:rPr>
                              <w:t xml:space="preserve"> Plutôt pas d'accord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82.3pt;margin-top:138.7pt;width:60.45pt;height: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VZIgIAACQEAAAOAAAAZHJzL2Uyb0RvYy54bWysU1Fv2yAQfp+0/4B4XxxbSdNYcaouXaZJ&#10;XTep7Q/AGMdowDEgsbNfvwOnadS9TeUBcdzdx3ffHaubQStyEM5LMBXNJ1NKhOHQSLOr6PPT9tM1&#10;JT4w0zAFRlT0KDy9WX/8sOptKQroQDXCEQQxvuxtRbsQbJllnndCMz8BKww6W3CaBTTdLmsc6xFd&#10;q6yYTq+yHlxjHXDhPd7ejU66TvhtK3j40bZeBKIqitxC2l3a67hn6xUrd47ZTvITDfYfLDSTBh89&#10;Q92xwMjeyX+gtOQOPLRhwkFn0LaSi1QDVpNP31Tz2DErUi0ojrdnmfz7wfKHw09HZFPRYrmgxDCN&#10;TXoSQyCfYSBF1Ke3vsSwR4uBYcBr7HOq1dt74L88MbDpmNmJW+eg7wRrkF8eM7OL1BHHR5C6/w4N&#10;PsP2ARLQ0DodxUM5CKJjn47n3kQqHC8XV4vFPKeEo6uY5fNZ6l3Gypdk63z4KkCTeKiow9YncHa4&#10;9yGSYeVLSHzLg5LNViqVDLerN8qRA8Mx2aaV+L8JU4b0FV3Oi3lCNhDz0wRpGXCMldQVvZ7GNQ5W&#10;FOOLaVJIYFKNZ2SizEmdKMgoTRjqYWxESo7S1dAcUS8H49jiN8NDB+4PJT2ObEX97z1zghL1zaDm&#10;y3yGqpCQjNl8UaDhLj31pYcZjlAVDZSMx01I/yLqYeAWe9PKpNsrkxNnHMUk5+nbxFm/tFPU6+de&#10;/wUAAP//AwBQSwMEFAAGAAgAAAAhAJ/tE4jgAAAACwEAAA8AAABkcnMvZG93bnJldi54bWxMj0FO&#10;wzAQRfdI3MEaJDaIOi2xU9JMKkACsW3pAZx4mkSN7Sh2m/T2mBVdjv7T/2+K7Wx6dqHRd84iLBcJ&#10;MLK1051tEA4/n89rYD4oq1XvLCFcycO2vL8rVK7dZHd02YeGxRLrc4XQhjDknPu6JaP8wg1kY3Z0&#10;o1EhnmPD9aimWG56vkoSyY3qbFxo1UAfLdWn/dkgHL+nJ/E6VV/hkO1S+a66rHJXxMeH+W0DLNAc&#10;/mH404/qUEanyp2t9qxHEDKVEUVYZVkKLBJyLQSwCuFlKVLgZcFvfyh/AQAA//8DAFBLAQItABQA&#10;BgAIAAAAIQC2gziS/gAAAOEBAAATAAAAAAAAAAAAAAAAAAAAAABbQ29udGVudF9UeXBlc10ueG1s&#10;UEsBAi0AFAAGAAgAAAAhADj9If/WAAAAlAEAAAsAAAAAAAAAAAAAAAAALwEAAF9yZWxzLy5yZWxz&#10;UEsBAi0AFAAGAAgAAAAhAKU65VkiAgAAJAQAAA4AAAAAAAAAAAAAAAAALgIAAGRycy9lMm9Eb2Mu&#10;eG1sUEsBAi0AFAAGAAgAAAAhAJ/tE4jgAAAACwEAAA8AAAAAAAAAAAAAAAAAfAQAAGRycy9kb3du&#10;cmV2LnhtbFBLBQYAAAAABAAEAPMAAACJBQAAAAA=&#10;" stroked="f">
                <v:textbox>
                  <w:txbxContent>
                    <w:p>
                      <w:pPr>
                        <w:ind w:left="-142" w:right="-75"/>
                        <w:rPr>
                          <w:rFonts w:asciiTheme="minorHAnsi" w:hAnsiTheme="minorHAnsi"/>
                          <w:sz w:val="13"/>
                        </w:rPr>
                      </w:pPr>
                      <w:r>
                        <w:rPr>
                          <w:rFonts w:asciiTheme="minorHAnsi" w:hAnsiTheme="minorHAnsi"/>
                          <w:sz w:val="13"/>
                        </w:rPr>
                        <w:t xml:space="preserve"> Plutôt pas d'accord</w:t>
                      </w:r>
                    </w:p>
                  </w:txbxContent>
                </v:textbox>
              </v:shape>
            </w:pict>
          </mc:Fallback>
        </mc:AlternateContent>
      </w:r>
      <w:r>
        <w:rPr>
          <w:b/>
          <w:i/>
          <w:noProof/>
          <w:sz w:val="16"/>
        </w:rPr>
        <mc:AlternateContent>
          <mc:Choice Requires="wps">
            <w:drawing>
              <wp:anchor distT="0" distB="0" distL="114300" distR="114300" simplePos="0" relativeHeight="251715584" behindDoc="0" locked="0" layoutInCell="1" allowOverlap="1">
                <wp:simplePos x="0" y="0"/>
                <wp:positionH relativeFrom="column">
                  <wp:posOffset>281389</wp:posOffset>
                </wp:positionH>
                <wp:positionV relativeFrom="paragraph">
                  <wp:posOffset>1778923</wp:posOffset>
                </wp:positionV>
                <wp:extent cx="3139931" cy="198120"/>
                <wp:effectExtent l="0" t="0" r="381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931" cy="198120"/>
                        </a:xfrm>
                        <a:prstGeom prst="rect">
                          <a:avLst/>
                        </a:prstGeom>
                        <a:solidFill>
                          <a:srgbClr val="FFFFFF"/>
                        </a:solidFill>
                        <a:ln w="9525">
                          <a:noFill/>
                          <a:miter lim="800000"/>
                          <a:headEnd/>
                          <a:tailEnd/>
                        </a:ln>
                      </wps:spPr>
                      <wps:txbx>
                        <w:txbxContent>
                          <w:p w:rsidR="00FC79B3" w:rsidRDefault="002A6CE7">
                            <w:pPr>
                              <w:rPr>
                                <w:rFonts w:ascii="Calibri" w:hAnsi="Calibri"/>
                                <w:sz w:val="14"/>
                                <w:lang w:val="fr-FR"/>
                              </w:rPr>
                            </w:pPr>
                            <w:r>
                              <w:rPr>
                                <w:rFonts w:ascii="Calibri" w:hAnsi="Calibri"/>
                                <w:color w:val="76923C" w:themeColor="accent3" w:themeShade="BF"/>
                                <w:sz w:val="14"/>
                                <w:highlight w:val="darkBlue"/>
                                <w:lang w:val="fr-FR"/>
                              </w:rPr>
                              <w:sym w:font="Wingdings 2" w:char="F0A1"/>
                            </w:r>
                            <w:r>
                              <w:rPr>
                                <w:rFonts w:ascii="Calibri" w:hAnsi="Calibri"/>
                                <w:sz w:val="14"/>
                                <w:lang w:val="fr-FR"/>
                              </w:rPr>
                              <w:t xml:space="preserve"> Tout à fait d'accord    </w:t>
                            </w:r>
                            <w:r>
                              <w:rPr>
                                <w:rFonts w:ascii="Calibri" w:hAnsi="Calibri"/>
                                <w:color w:val="76923C" w:themeColor="accent3" w:themeShade="BF"/>
                                <w:sz w:val="14"/>
                                <w:lang w:val="fr-FR"/>
                              </w:rPr>
                              <w:sym w:font="Wingdings 2" w:char="F0A1"/>
                            </w:r>
                            <w:r>
                              <w:rPr>
                                <w:rFonts w:ascii="Calibri" w:hAnsi="Calibri"/>
                                <w:color w:val="00B050"/>
                                <w:sz w:val="14"/>
                                <w:lang w:val="fr-FR"/>
                              </w:rPr>
                              <w:t xml:space="preserve"> </w:t>
                            </w:r>
                            <w:r>
                              <w:rPr>
                                <w:rFonts w:ascii="Calibri" w:hAnsi="Calibri"/>
                                <w:color w:val="auto"/>
                                <w:sz w:val="14"/>
                                <w:lang w:val="fr-FR"/>
                              </w:rPr>
                              <w:t>Partiellement d'accord     Ne se prononce pas / sans avis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2.15pt;margin-top:140.05pt;width:247.25pt;height:1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VPIwIAACUEAAAOAAAAZHJzL2Uyb0RvYy54bWysU9uO2yAQfa/Uf0C8N45z2cZWnNU221SV&#10;thdptx+AMY5RgaFAYqdf3wFns9H2rSoPCJjhcObMYX07aEWOwnkJpqL5ZEqJMBwaafYV/fG0e7ei&#10;xAdmGqbAiIqehKe3m7dv1r0txQw6UI1wBEGML3tb0S4EW2aZ553QzE/ACoPBFpxmAbdunzWO9Yiu&#10;VTabTm+yHlxjHXDhPZ7ej0G6SfhtK3j41rZeBKIqitxCml2a6zhnmzUr947ZTvIzDfYPLDSTBh+9&#10;QN2zwMjByb+gtOQOPLRhwkFn0LaSi1QDVpNPX1Xz2DErUi0ojrcXmfz/g+Vfj98dkU1FZ8UNJYZp&#10;bNKTGAL5AAOZRX1660tMe7SYGAY8xj6nWr19AP7TEwPbjpm9uHMO+k6wBvnl8WZ2dXXE8RGk7r9A&#10;g8+wQ4AENLROR/FQDoLo2KfTpTeRCsfDeT4vinlOCcdYXqzyWWpexsrn29b58EmAJnFRUYe9T+js&#10;+OBDZMPK55T4mAclm51UKm3cvt4qR44MfbJLIxXwKk0Z0le0WM6WCdlAvJ8spGVAHyupK7qaxjE6&#10;K6rx0TQpJTCpxjUyUeYsT1Rk1CYM9TB2IokXtauhOaFgDkbf4j/DRQfuNyU9erai/teBOUGJ+mxQ&#10;9CJfLKLJ02axfI8SEXcdqa8jzHCEqmigZFxuQ/oYUQ8Dd9icVibdXpicOaMXk5znfxPNfr1PWS+/&#10;e/MHAAD//wMAUEsDBBQABgAIAAAAIQBo/Ql13wAAAAoBAAAPAAAAZHJzL2Rvd25yZXYueG1sTI/R&#10;ToNAEEXfTfyHzZj4YuxCoS2lLI2aaHxt7QcM7BSI7Cxht4X+veuTPk7m5N5zi/1senGl0XWWFcSL&#10;CARxbXXHjYLT1/tzBsJ5ZI29ZVJwIwf78v6uwFzbiQ90PfpGhBB2OSpovR9yKV3dkkG3sANx+J3t&#10;aNCHc2ykHnEK4aaXyyhaS4Mdh4YWB3prqf4+XoyC8+f0tNpO1Yc/bQ7p+hW7TWVvSj0+zC87EJ5m&#10;/wfDr35QhzI4VfbC2oleQZomgVSwzKIYRABWSRa2VAqSOE5AloX8P6H8AQAA//8DAFBLAQItABQA&#10;BgAIAAAAIQC2gziS/gAAAOEBAAATAAAAAAAAAAAAAAAAAAAAAABbQ29udGVudF9UeXBlc10ueG1s&#10;UEsBAi0AFAAGAAgAAAAhADj9If/WAAAAlAEAAAsAAAAAAAAAAAAAAAAALwEAAF9yZWxzLy5yZWxz&#10;UEsBAi0AFAAGAAgAAAAhADe0JU8jAgAAJQQAAA4AAAAAAAAAAAAAAAAALgIAAGRycy9lMm9Eb2Mu&#10;eG1sUEsBAi0AFAAGAAgAAAAhAGj9CXXfAAAACgEAAA8AAAAAAAAAAAAAAAAAfQQAAGRycy9kb3du&#10;cmV2LnhtbFBLBQYAAAAABAAEAPMAAACJBQAAAAA=&#10;" stroked="f">
                <v:textbox>
                  <w:txbxContent>
                    <w:p>
                      <w:pPr>
                        <w:rPr>
                          <w:rFonts w:ascii="Calibri" w:hAnsi="Calibri"/>
                          <w:sz w:val="14"/>
                          <w:lang w:val="fr-FR"/>
                        </w:rPr>
                      </w:pPr>
                      <w:r>
                        <w:rPr>
                          <w:rFonts w:ascii="Calibri" w:hAnsi="Calibri"/>
                          <w:color w:val="76923C" w:themeColor="accent3" w:themeShade="BF"/>
                          <w:sz w:val="14"/>
                          <w:highlight w:val="darkBlue"/>
                          <w:lang w:val="fr-FR"/>
                        </w:rPr>
                        <w:sym w:font="Wingdings 2" w:char="F0A1"/>
                      </w:r>
                      <w:r>
                        <w:rPr>
                          <w:rFonts w:ascii="Calibri" w:hAnsi="Calibri"/>
                          <w:sz w:val="14"/>
                          <w:lang w:val="fr-FR"/>
                        </w:rPr>
                        <w:t xml:space="preserve"> Tout à fait d'accord    </w:t>
                      </w:r>
                      <w:r>
                        <w:rPr>
                          <w:rFonts w:ascii="Calibri" w:hAnsi="Calibri"/>
                          <w:color w:val="76923C" w:themeColor="accent3" w:themeShade="BF"/>
                          <w:sz w:val="14"/>
                          <w:lang w:val="fr-FR"/>
                        </w:rPr>
                        <w:sym w:font="Wingdings 2" w:char="F0A1"/>
                      </w:r>
                      <w:r>
                        <w:rPr>
                          <w:rFonts w:ascii="Calibri" w:hAnsi="Calibri"/>
                          <w:color w:val="00B050"/>
                          <w:sz w:val="14"/>
                          <w:lang w:val="fr-FR"/>
                        </w:rPr>
                        <w:t xml:space="preserve"> </w:t>
                      </w:r>
                      <w:r>
                        <w:rPr>
                          <w:rFonts w:ascii="Calibri" w:hAnsi="Calibri"/>
                          <w:color w:val="auto"/>
                          <w:sz w:val="14"/>
                          <w:lang w:val="fr-FR"/>
                        </w:rPr>
                        <w:t>Partiellement d'accord     Ne se prononce pas / sans avis</w:t>
                      </w:r>
                    </w:p>
                  </w:txbxContent>
                </v:textbox>
              </v:shape>
            </w:pict>
          </mc:Fallback>
        </mc:AlternateContent>
      </w:r>
      <w:r>
        <w:rPr>
          <w:b/>
          <w:noProof/>
        </w:rPr>
        <mc:AlternateContent>
          <mc:Choice Requires="wps">
            <w:drawing>
              <wp:anchor distT="0" distB="0" distL="114300" distR="114300" simplePos="0" relativeHeight="251713536" behindDoc="0" locked="0" layoutInCell="1" allowOverlap="1">
                <wp:simplePos x="0" y="0"/>
                <wp:positionH relativeFrom="column">
                  <wp:posOffset>471170</wp:posOffset>
                </wp:positionH>
                <wp:positionV relativeFrom="paragraph">
                  <wp:posOffset>103876</wp:posOffset>
                </wp:positionV>
                <wp:extent cx="2260121" cy="1570008"/>
                <wp:effectExtent l="0" t="0" r="698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121" cy="1570008"/>
                        </a:xfrm>
                        <a:prstGeom prst="rect">
                          <a:avLst/>
                        </a:prstGeom>
                        <a:solidFill>
                          <a:srgbClr val="FFFFFF"/>
                        </a:solidFill>
                        <a:ln w="9525">
                          <a:noFill/>
                          <a:miter lim="800000"/>
                          <a:headEnd/>
                          <a:tailEnd/>
                        </a:ln>
                      </wps:spPr>
                      <wps:txbx>
                        <w:txbxContent>
                          <w:p w:rsidR="00FC79B3" w:rsidRDefault="002A6CE7">
                            <w:pPr>
                              <w:jc w:val="center"/>
                              <w:rPr>
                                <w:rFonts w:asciiTheme="minorHAnsi" w:hAnsiTheme="minorHAnsi"/>
                                <w:sz w:val="14"/>
                                <w:lang w:val="fr-FR"/>
                              </w:rPr>
                            </w:pPr>
                            <w:r>
                              <w:rPr>
                                <w:rFonts w:asciiTheme="minorHAnsi" w:hAnsiTheme="minorHAnsi"/>
                                <w:sz w:val="14"/>
                                <w:lang w:val="fr-FR"/>
                              </w:rPr>
                              <w:t>Nous avons reçu un appui satisfaisant de la Commission au cours de la procédure de candidature (N = 86)</w:t>
                            </w:r>
                          </w:p>
                          <w:p w:rsidR="00FC79B3" w:rsidRDefault="00FC79B3">
                            <w:pPr>
                              <w:jc w:val="center"/>
                              <w:rPr>
                                <w:rFonts w:asciiTheme="minorHAnsi" w:hAnsiTheme="minorHAnsi"/>
                                <w:sz w:val="14"/>
                                <w:lang w:val="fr-FR"/>
                              </w:rPr>
                            </w:pPr>
                          </w:p>
                          <w:p w:rsidR="00FC79B3" w:rsidRDefault="002A6CE7">
                            <w:pPr>
                              <w:jc w:val="center"/>
                              <w:rPr>
                                <w:rFonts w:asciiTheme="minorHAnsi" w:hAnsiTheme="minorHAnsi"/>
                                <w:sz w:val="14"/>
                                <w:lang w:val="fr-FR"/>
                              </w:rPr>
                            </w:pPr>
                            <w:r>
                              <w:rPr>
                                <w:rFonts w:asciiTheme="minorHAnsi" w:hAnsiTheme="minorHAnsi"/>
                                <w:sz w:val="14"/>
                                <w:lang w:val="fr-FR"/>
                              </w:rPr>
                              <w:t>Les dispositifs techniques / informatiques fournis par les instruments de la Commission nous ont permis de travailler efficacement (N = 89)</w:t>
                            </w:r>
                          </w:p>
                          <w:p w:rsidR="00FC79B3" w:rsidRDefault="00FC79B3">
                            <w:pPr>
                              <w:jc w:val="center"/>
                              <w:rPr>
                                <w:rFonts w:asciiTheme="minorHAnsi" w:hAnsiTheme="minorHAnsi"/>
                                <w:sz w:val="14"/>
                                <w:lang w:val="fr-FR"/>
                              </w:rPr>
                            </w:pPr>
                          </w:p>
                          <w:p w:rsidR="00FC79B3" w:rsidRDefault="002A6CE7">
                            <w:pPr>
                              <w:jc w:val="center"/>
                              <w:rPr>
                                <w:rFonts w:asciiTheme="minorHAnsi" w:hAnsiTheme="minorHAnsi"/>
                                <w:sz w:val="14"/>
                                <w:lang w:val="fr-FR"/>
                              </w:rPr>
                            </w:pPr>
                            <w:r>
                              <w:rPr>
                                <w:rFonts w:asciiTheme="minorHAnsi" w:hAnsiTheme="minorHAnsi"/>
                                <w:sz w:val="14"/>
                                <w:lang w:val="fr-FR"/>
                              </w:rPr>
                              <w:t>La procé</w:t>
                            </w:r>
                            <w:r>
                              <w:rPr>
                                <w:rFonts w:asciiTheme="minorHAnsi" w:hAnsiTheme="minorHAnsi"/>
                                <w:sz w:val="14"/>
                                <w:lang w:val="fr-FR"/>
                              </w:rPr>
                              <w:t>dure de soumission des candidatures était simple (N = 97)</w:t>
                            </w:r>
                          </w:p>
                          <w:p w:rsidR="00FC79B3" w:rsidRDefault="00FC79B3">
                            <w:pPr>
                              <w:jc w:val="center"/>
                              <w:rPr>
                                <w:rFonts w:asciiTheme="minorHAnsi" w:hAnsiTheme="minorHAnsi"/>
                                <w:sz w:val="14"/>
                                <w:lang w:val="fr-FR"/>
                              </w:rPr>
                            </w:pPr>
                          </w:p>
                          <w:p w:rsidR="00FC79B3" w:rsidRDefault="002A6CE7">
                            <w:pPr>
                              <w:jc w:val="center"/>
                              <w:rPr>
                                <w:rFonts w:asciiTheme="minorHAnsi" w:hAnsiTheme="minorHAnsi"/>
                                <w:sz w:val="14"/>
                                <w:lang w:val="fr-FR"/>
                              </w:rPr>
                            </w:pPr>
                            <w:r>
                              <w:rPr>
                                <w:rFonts w:asciiTheme="minorHAnsi" w:hAnsiTheme="minorHAnsi"/>
                                <w:sz w:val="14"/>
                                <w:lang w:val="fr-FR"/>
                              </w:rPr>
                              <w:t>Les informations figurant dans les appels à propositions étaient claires et faciles à comprendre (N = 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7.1pt;margin-top:8.2pt;width:177.95pt;height:12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qAIwIAACUEAAAOAAAAZHJzL2Uyb0RvYy54bWysU9uO2yAQfa/Uf0C8N74o2WStOKtttqkq&#10;bS/Sbj+AYByjAkOBxE6/vgP2pmn7VtUPFsMMhzNnDuu7QStyEs5LMDUtZjklwnBopDnU9Ovz7s2K&#10;Eh+YaZgCI2p6Fp7ebV6/Wve2EiV0oBrhCIIYX/W2pl0ItsoyzzuhmZ+BFQaTLTjNAobukDWO9Yiu&#10;VVbm+U3Wg2usAy68x92HMUk3Cb9tBQ+f29aLQFRNkVtIf5f++/jPNmtWHRyzneQTDfYPLDSTBi+9&#10;QD2wwMjRyb+gtOQOPLRhxkFn0LaSi9QDdlPkf3Tz1DErUi8ojrcXmfz/g+WfTl8ckQ3ObkmJYRpn&#10;9CyGQN7CQMooT299hVVPFuvCgNtYmlr19hH4N08MbDtmDuLeOeg7wRqkV8ST2dXREcdHkH3/ERq8&#10;hh0DJKChdTpqh2oQRMcxnS+jiVQ4bpblTV6UBSUcc8Vimef5Kt3Bqpfj1vnwXoAmcVFTh7NP8Oz0&#10;6EOkw6qXknibByWbnVQqBe6w3ypHTgx9skvfhP5bmTKkr+ntolwkZAPxfLKQlgF9rKSu6Qq55ZOz&#10;ohzvTJNKApNqXCMTZSZ9oiSjOGHYD2kS5UX3PTRnVMzB6Ft8Z7jowP2gpEfP1tR/PzInKFEfDKp+&#10;W8zn0eQpmC+WJQbuOrO/zjDDEaqmgZJxuQ3pYUQ9DNzjdFqZdItjHJlMnNGLSc7p3USzX8ep6tfr&#10;3vwEAAD//wMAUEsDBBQABgAIAAAAIQA1GMRW3gAAAAkBAAAPAAAAZHJzL2Rvd25yZXYueG1sTI/B&#10;TsMwEETvSPyDtUhcEHWaBgdCnAqQQFxb+gFOvE0i4nUUu0369ywnOM7OaOZtuV3cIM44hd6ThvUq&#10;AYHUeNtTq+Hw9X7/CCJEQ9YMnlDDBQNsq+ur0hTWz7TD8z62gksoFEZDF+NYSBmaDp0JKz8isXf0&#10;kzOR5dRKO5mZy90g0yRR0pmeeKEzI7512HzvT07D8XO+e3ia6494yHeZejV9XvuL1rc3y8sziIhL&#10;/AvDLz6jQ8VMtT+RDWLQkGcpJ/muMhDsZ5tkDaLWkKqNAlmV8v8H1Q8AAAD//wMAUEsBAi0AFAAG&#10;AAgAAAAhALaDOJL+AAAA4QEAABMAAAAAAAAAAAAAAAAAAAAAAFtDb250ZW50X1R5cGVzXS54bWxQ&#10;SwECLQAUAAYACAAAACEAOP0h/9YAAACUAQAACwAAAAAAAAAAAAAAAAAvAQAAX3JlbHMvLnJlbHNQ&#10;SwECLQAUAAYACAAAACEAjAcqgCMCAAAlBAAADgAAAAAAAAAAAAAAAAAuAgAAZHJzL2Uyb0RvYy54&#10;bWxQSwECLQAUAAYACAAAACEANRjEVt4AAAAJAQAADwAAAAAAAAAAAAAAAAB9BAAAZHJzL2Rvd25y&#10;ZXYueG1sUEsFBgAAAAAEAAQA8wAAAIgFAAAAAA==&#10;" stroked="f">
                <v:textbox>
                  <w:txbxContent>
                    <w:p>
                      <w:pPr>
                        <w:jc w:val="center"/>
                        <w:rPr>
                          <w:rFonts w:asciiTheme="minorHAnsi" w:hAnsiTheme="minorHAnsi"/>
                          <w:sz w:val="14"/>
                          <w:lang w:val="fr-FR"/>
                        </w:rPr>
                      </w:pPr>
                      <w:r>
                        <w:rPr>
                          <w:rFonts w:asciiTheme="minorHAnsi" w:hAnsiTheme="minorHAnsi"/>
                          <w:sz w:val="14"/>
                          <w:lang w:val="fr-FR"/>
                        </w:rPr>
                        <w:t>Nous avons reçu un appui satisfaisant de la Commission au cours de la procédure de candidature (N = 86)</w:t>
                      </w:r>
                    </w:p>
                    <w:p>
                      <w:pPr>
                        <w:jc w:val="center"/>
                        <w:rPr>
                          <w:rFonts w:asciiTheme="minorHAnsi" w:hAnsiTheme="minorHAnsi"/>
                          <w:sz w:val="14"/>
                          <w:lang w:val="fr-FR"/>
                        </w:rPr>
                      </w:pPr>
                    </w:p>
                    <w:p>
                      <w:pPr>
                        <w:jc w:val="center"/>
                        <w:rPr>
                          <w:rFonts w:asciiTheme="minorHAnsi" w:hAnsiTheme="minorHAnsi"/>
                          <w:sz w:val="14"/>
                          <w:lang w:val="fr-FR"/>
                        </w:rPr>
                      </w:pPr>
                      <w:r>
                        <w:rPr>
                          <w:rFonts w:asciiTheme="minorHAnsi" w:hAnsiTheme="minorHAnsi"/>
                          <w:sz w:val="14"/>
                          <w:lang w:val="fr-FR"/>
                        </w:rPr>
                        <w:t>Les dispositifs techniques / informatiques fournis par les instruments de la Commission nous ont permis de travailler efficacement (N = 89)</w:t>
                      </w:r>
                    </w:p>
                    <w:p>
                      <w:pPr>
                        <w:jc w:val="center"/>
                        <w:rPr>
                          <w:rFonts w:asciiTheme="minorHAnsi" w:hAnsiTheme="minorHAnsi"/>
                          <w:sz w:val="14"/>
                          <w:lang w:val="fr-FR"/>
                        </w:rPr>
                      </w:pPr>
                    </w:p>
                    <w:p>
                      <w:pPr>
                        <w:jc w:val="center"/>
                        <w:rPr>
                          <w:rFonts w:asciiTheme="minorHAnsi" w:hAnsiTheme="minorHAnsi"/>
                          <w:sz w:val="14"/>
                          <w:lang w:val="fr-FR"/>
                        </w:rPr>
                      </w:pPr>
                      <w:r>
                        <w:rPr>
                          <w:rFonts w:asciiTheme="minorHAnsi" w:hAnsiTheme="minorHAnsi"/>
                          <w:sz w:val="14"/>
                          <w:lang w:val="fr-FR"/>
                        </w:rPr>
                        <w:t>La procédure de soumission des candidatures était simple (N = 97)</w:t>
                      </w:r>
                    </w:p>
                    <w:p>
                      <w:pPr>
                        <w:jc w:val="center"/>
                        <w:rPr>
                          <w:rFonts w:asciiTheme="minorHAnsi" w:hAnsiTheme="minorHAnsi"/>
                          <w:sz w:val="14"/>
                          <w:lang w:val="fr-FR"/>
                        </w:rPr>
                      </w:pPr>
                    </w:p>
                    <w:p>
                      <w:pPr>
                        <w:jc w:val="center"/>
                        <w:rPr>
                          <w:rFonts w:asciiTheme="minorHAnsi" w:hAnsiTheme="minorHAnsi"/>
                          <w:sz w:val="14"/>
                          <w:lang w:val="fr-FR"/>
                        </w:rPr>
                      </w:pPr>
                      <w:r>
                        <w:rPr>
                          <w:rFonts w:asciiTheme="minorHAnsi" w:hAnsiTheme="minorHAnsi"/>
                          <w:sz w:val="14"/>
                          <w:lang w:val="fr-FR"/>
                        </w:rPr>
                        <w:t>Les informations figurant dans les appels à propositions étaient claires et faciles à comprendre (N = 97)</w:t>
                      </w:r>
                    </w:p>
                  </w:txbxContent>
                </v:textbox>
              </v:shape>
            </w:pict>
          </mc:Fallback>
        </mc:AlternateContent>
      </w:r>
      <w:r>
        <w:rPr>
          <w:b/>
          <w:noProof/>
        </w:rPr>
        <w:drawing>
          <wp:inline distT="0" distB="0" distL="0" distR="0">
            <wp:extent cx="4721310" cy="19812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1310" cy="1981200"/>
                    </a:xfrm>
                    <a:prstGeom prst="rect">
                      <a:avLst/>
                    </a:prstGeom>
                    <a:noFill/>
                  </pic:spPr>
                </pic:pic>
              </a:graphicData>
            </a:graphic>
          </wp:inline>
        </w:drawing>
      </w:r>
    </w:p>
    <w:p w:rsidR="00FC79B3" w:rsidRDefault="00FC79B3">
      <w:pPr>
        <w:ind w:left="851"/>
        <w:jc w:val="both"/>
        <w:rPr>
          <w:b/>
          <w:i/>
          <w:noProof/>
          <w:sz w:val="16"/>
          <w:lang w:val="fr-FR"/>
        </w:rPr>
      </w:pPr>
    </w:p>
    <w:p w:rsidR="00FC79B3" w:rsidRDefault="002A6CE7">
      <w:pPr>
        <w:ind w:left="851"/>
        <w:jc w:val="both"/>
        <w:rPr>
          <w:i/>
          <w:noProof/>
          <w:sz w:val="16"/>
          <w:szCs w:val="16"/>
          <w:lang w:val="fr-FR"/>
        </w:rPr>
      </w:pPr>
      <w:r>
        <w:rPr>
          <w:b/>
          <w:i/>
          <w:noProof/>
          <w:sz w:val="16"/>
          <w:lang w:val="fr-FR"/>
        </w:rPr>
        <w:t>Source:</w:t>
      </w:r>
      <w:r>
        <w:rPr>
          <w:noProof/>
          <w:sz w:val="16"/>
          <w:lang w:val="fr-FR"/>
        </w:rPr>
        <w:t xml:space="preserve"> </w:t>
      </w:r>
      <w:r>
        <w:rPr>
          <w:i/>
          <w:noProof/>
          <w:sz w:val="16"/>
          <w:lang w:val="fr-FR"/>
        </w:rPr>
        <w:t xml:space="preserve">étude d’évaluation ex post des cinq programmes de la DG Justice de 2007 à 2013. </w:t>
      </w:r>
      <w:r>
        <w:rPr>
          <w:b/>
          <w:i/>
          <w:noProof/>
          <w:sz w:val="16"/>
          <w:lang w:val="fr-FR"/>
        </w:rPr>
        <w:t>Questions 36:</w:t>
      </w:r>
      <w:r>
        <w:rPr>
          <w:i/>
          <w:noProof/>
          <w:sz w:val="16"/>
          <w:lang w:val="fr-FR"/>
        </w:rPr>
        <w:t xml:space="preserve"> En ce qui concerne la gestion des cinq programmes par la Commission, y compris le suivi et l’évaluation de votre projet/vos activités par la Commission, veuillez donner votre avis sur les affirmations suivantes: [affirmations du graphique]</w:t>
      </w:r>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To</w:t>
      </w:r>
      <w:r>
        <w:rPr>
          <w:rFonts w:ascii="Times New Roman" w:hAnsi="Times New Roman"/>
          <w:noProof/>
          <w:color w:val="000000"/>
          <w:sz w:val="22"/>
          <w:lang w:val="fr-FR"/>
        </w:rPr>
        <w:t>ut au long de la période de financement, les informations fournies dans les appels à propositions ont été épurées dans leur explication des différents aspects inhérents à une candidature. Le document s’est toutefois progressivement allongé, reflétant notam</w:t>
      </w:r>
      <w:r>
        <w:rPr>
          <w:rFonts w:ascii="Times New Roman" w:hAnsi="Times New Roman"/>
          <w:noProof/>
          <w:color w:val="000000"/>
          <w:sz w:val="22"/>
          <w:lang w:val="fr-FR"/>
        </w:rPr>
        <w:t xml:space="preserve">ment les détails supplémentaires exigés dans le formulaire de candidature, le nombre de priorités traitées et l’introduction du système informatique PRIAMOS en 2008. La majorité des répondants à l’enquête en ligne ont estimé les informations énoncées dans </w:t>
      </w:r>
      <w:r>
        <w:rPr>
          <w:rFonts w:ascii="Times New Roman" w:hAnsi="Times New Roman"/>
          <w:noProof/>
          <w:color w:val="000000"/>
          <w:sz w:val="22"/>
          <w:lang w:val="fr-FR"/>
        </w:rPr>
        <w:t xml:space="preserve">les appels claires et facilement compréhensibles (87 % des répondants ont choisi «Tout à fait d’accord» ou «D’accord» pour ces deux affirmations). Pour l’appel de 2013, le Guide à l’intention des candidats avait été adopté, couvrant les cinq programmes de </w:t>
      </w:r>
      <w:r>
        <w:rPr>
          <w:rFonts w:ascii="Times New Roman" w:hAnsi="Times New Roman"/>
          <w:noProof/>
          <w:color w:val="000000"/>
          <w:sz w:val="22"/>
          <w:lang w:val="fr-FR"/>
        </w:rPr>
        <w:t>la DG Justice, ISEC et PROGRESS. Ce guide unique a augmenté la simplification et l’efficience pour les demandeurs qui sont candidats à plusieurs projets</w:t>
      </w:r>
      <w:r>
        <w:rPr>
          <w:rStyle w:val="FootnoteReference"/>
          <w:rFonts w:ascii="Times New Roman" w:hAnsi="Times New Roman"/>
          <w:noProof/>
          <w:color w:val="000000"/>
          <w:sz w:val="22"/>
          <w:lang w:val="fr-FR"/>
        </w:rPr>
        <w:footnoteReference w:id="57"/>
      </w:r>
      <w:r>
        <w:rPr>
          <w:noProof/>
          <w:lang w:val="fr-FR"/>
        </w:rPr>
        <w:t>.</w:t>
      </w:r>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 xml:space="preserve">À tous les stades du programme, le formulaire de candidature appelait les demandeurs à fournir des informations générales sur leur projet et à décrire sa mise en œuvre, sa gestion financière, ses résultats, son évaluation et la diffusion prévue. </w:t>
      </w:r>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Les deman</w:t>
      </w:r>
      <w:r>
        <w:rPr>
          <w:rFonts w:ascii="Times New Roman" w:hAnsi="Times New Roman"/>
          <w:noProof/>
          <w:color w:val="000000"/>
          <w:sz w:val="22"/>
          <w:lang w:val="fr-FR"/>
        </w:rPr>
        <w:t>deurs devaient en outre compléter des formulaires d’estimation budgétaire, une analyse des coûts de personnel et une déclaration de partenariat. À partir de 2010, ils ont également été tenus de proposer des indicateurs permettant d’évaluer les résultats, d</w:t>
      </w:r>
      <w:r>
        <w:rPr>
          <w:rFonts w:ascii="Times New Roman" w:hAnsi="Times New Roman"/>
          <w:noProof/>
          <w:color w:val="000000"/>
          <w:sz w:val="22"/>
          <w:lang w:val="fr-FR"/>
        </w:rPr>
        <w:t xml:space="preserve">e prouver toute expérience antérieure dans le programme et d’inclure davantage de précisions sur leurs partenaires et leurs flux de travail. </w:t>
      </w:r>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 xml:space="preserve">Le potentiel de qualité des projets a ainsi été accru en ce que les demandeurs étaient incités à élaborer un plan </w:t>
      </w:r>
      <w:r>
        <w:rPr>
          <w:rFonts w:ascii="Times New Roman" w:hAnsi="Times New Roman"/>
          <w:noProof/>
          <w:color w:val="000000"/>
          <w:sz w:val="22"/>
          <w:lang w:val="fr-FR"/>
        </w:rPr>
        <w:t xml:space="preserve">et une estimation de coûts plus rigoureux pour chacune de leurs activités. </w:t>
      </w:r>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La grande majorité des répondants se sont apparemment bien débrouillés dans le processus de candidature (c’est-à-dire l’introduction de la demande et le traitement des informations</w:t>
      </w:r>
      <w:r>
        <w:rPr>
          <w:rFonts w:ascii="Times New Roman" w:hAnsi="Times New Roman"/>
          <w:noProof/>
          <w:color w:val="000000"/>
          <w:sz w:val="22"/>
          <w:lang w:val="fr-FR"/>
        </w:rPr>
        <w:t xml:space="preserve"> figurant dans les appels). Lorsqu’il leur a été demandé s’ils avaient sollicité une aide de personnes ayant une expérience et une connaissance particulières de ces procédures, toutefois, seuls 45 % ont donné une réponse totalement ou partiellement négativ</w:t>
      </w:r>
      <w:r>
        <w:rPr>
          <w:rFonts w:ascii="Times New Roman" w:hAnsi="Times New Roman"/>
          <w:noProof/>
          <w:color w:val="000000"/>
          <w:sz w:val="22"/>
          <w:lang w:val="fr-FR"/>
        </w:rPr>
        <w:t>e. 35 % connaissaient des organisations, des projets ou des praticiens qui n’ont pas répondu à un appel à propositions en raison de la complexité ou de la difficulté des exigences, contre à peine 21 % qui ont dit ne pas connaître d’organisations, de projet</w:t>
      </w:r>
      <w:r>
        <w:rPr>
          <w:rFonts w:ascii="Times New Roman" w:hAnsi="Times New Roman"/>
          <w:noProof/>
          <w:color w:val="000000"/>
          <w:sz w:val="22"/>
          <w:lang w:val="fr-FR"/>
        </w:rPr>
        <w:t>s ou de praticiens dans ce cas de figure. Dans l’ensemble, la grande majorité des répondants (81 sur 95, soit 85 %) ont qualifié d’appropriées les exigences relatives à la présentation de rapports (à la fois pour les aspects financiers et non financiers de</w:t>
      </w:r>
      <w:r>
        <w:rPr>
          <w:rFonts w:ascii="Times New Roman" w:hAnsi="Times New Roman"/>
          <w:noProof/>
          <w:color w:val="000000"/>
          <w:sz w:val="22"/>
          <w:lang w:val="fr-FR"/>
        </w:rPr>
        <w:t>s projets)</w:t>
      </w:r>
      <w:r>
        <w:rPr>
          <w:rStyle w:val="FootnoteReference"/>
          <w:rFonts w:ascii="Times New Roman" w:hAnsi="Times New Roman"/>
          <w:noProof/>
          <w:color w:val="000000"/>
          <w:sz w:val="22"/>
          <w:lang w:val="fr-FR"/>
        </w:rPr>
        <w:footnoteReference w:id="58"/>
      </w:r>
      <w:r>
        <w:rPr>
          <w:noProof/>
          <w:lang w:val="fr-FR"/>
        </w:rPr>
        <w:t>.</w:t>
      </w:r>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Environ 79 % des participants à l’enquête en ligne (71 sur 90) ont considéré que les modalités de suivi de la Commission étaient bonnes et utiles pendant la mise en œuvre du projet et des activités, au moins en partie, tandis que 71 % n’étaien</w:t>
      </w:r>
      <w:r>
        <w:rPr>
          <w:rFonts w:ascii="Times New Roman" w:hAnsi="Times New Roman"/>
          <w:noProof/>
          <w:color w:val="000000"/>
          <w:sz w:val="22"/>
          <w:lang w:val="fr-FR"/>
        </w:rPr>
        <w:t xml:space="preserve">t pas pleinement satisfaits (les raisons invoquées sont que les règles financières sont assez complexes, de sorte que l’élaboration de rapports financiers est difficile pour les bénéficiaires, que le suivi est trop bureaucratique et que le personnel de la </w:t>
      </w:r>
      <w:r>
        <w:rPr>
          <w:rFonts w:ascii="Times New Roman" w:hAnsi="Times New Roman"/>
          <w:noProof/>
          <w:color w:val="000000"/>
          <w:sz w:val="22"/>
          <w:lang w:val="fr-FR"/>
        </w:rPr>
        <w:t>Commission a parfois fourni des réponses divergentes pendant la durée d’exécution d’un projet). L’obligation de présenter un rapport d’avancement a été instaurée dans l’appel de 2011-2012 et elle a rehaussé l’efficience de la compilation des rapports. La r</w:t>
      </w:r>
      <w:r>
        <w:rPr>
          <w:rFonts w:ascii="Times New Roman" w:hAnsi="Times New Roman"/>
          <w:noProof/>
          <w:color w:val="000000"/>
          <w:sz w:val="22"/>
          <w:lang w:val="fr-FR"/>
        </w:rPr>
        <w:t>édaction des rapports finaux était relativement simple, se résumant à une description des résultats du projet incluant les problèmes rencontrés et les méthodes employées</w:t>
      </w:r>
      <w:r>
        <w:rPr>
          <w:rStyle w:val="FootnoteReference"/>
          <w:rFonts w:ascii="Times New Roman" w:hAnsi="Times New Roman"/>
          <w:noProof/>
          <w:color w:val="000000"/>
          <w:sz w:val="22"/>
          <w:lang w:val="fr-FR"/>
        </w:rPr>
        <w:footnoteReference w:id="59"/>
      </w:r>
      <w:r>
        <w:rPr>
          <w:noProof/>
          <w:lang w:val="fr-FR"/>
        </w:rPr>
        <w:t>.</w:t>
      </w:r>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D’une manière générale, la gestion de la Commission est devenue de plus en plus effi</w:t>
      </w:r>
      <w:r>
        <w:rPr>
          <w:rFonts w:ascii="Times New Roman" w:hAnsi="Times New Roman"/>
          <w:noProof/>
          <w:color w:val="000000"/>
          <w:sz w:val="22"/>
          <w:lang w:val="fr-FR"/>
        </w:rPr>
        <w:t xml:space="preserve">cace au fil du temps grâce à la création d’une unité unique chargée de la gestion du programme, à la publication d’un manuel pour les fonctionnaires de la Commission et, indirectement, à la distribution d’un guide de la gestion des projets joint à l’appel </w:t>
      </w:r>
      <w:r>
        <w:rPr>
          <w:rFonts w:ascii="Times New Roman" w:hAnsi="Times New Roman"/>
          <w:noProof/>
          <w:color w:val="000000"/>
          <w:sz w:val="22"/>
          <w:lang w:val="fr-FR"/>
        </w:rPr>
        <w:t xml:space="preserve">de 2011. </w:t>
      </w:r>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Sur un plan global, l’expérience qu’ont faite les bénéficiaires de subventions de la coopération avec la Commission a été positive. Les exigences relatives à la demande de subventions s’inscrivaient dans un processus similaire aux autres programm</w:t>
      </w:r>
      <w:r>
        <w:rPr>
          <w:rFonts w:ascii="Times New Roman" w:hAnsi="Times New Roman"/>
          <w:noProof/>
          <w:color w:val="000000"/>
          <w:sz w:val="22"/>
          <w:lang w:val="fr-FR"/>
        </w:rPr>
        <w:t>es soumis à une gestion centralisée de la Commission et des informations plus détaillées ont été réclamées à partir de l’appel de 2010, ce qui a été bénéfique pour la qualité des candidatures et des projets. Les modifications apportées au système des rappo</w:t>
      </w:r>
      <w:r>
        <w:rPr>
          <w:rFonts w:ascii="Times New Roman" w:hAnsi="Times New Roman"/>
          <w:noProof/>
          <w:color w:val="000000"/>
          <w:sz w:val="22"/>
          <w:lang w:val="fr-FR"/>
        </w:rPr>
        <w:t>rts ont par ailleurs abouti à une approche plus équilibrée entre, d’une part, la justification financière et, d’autre part, l’évaluation des résultats effectifs et de l’influence potentielle des projets.</w:t>
      </w:r>
      <w:r>
        <w:rPr>
          <w:rStyle w:val="FootnoteReference"/>
          <w:rFonts w:ascii="Times New Roman" w:hAnsi="Times New Roman"/>
          <w:noProof/>
          <w:color w:val="000000"/>
          <w:sz w:val="22"/>
          <w:lang w:val="fr-FR"/>
        </w:rPr>
        <w:footnoteReference w:id="60"/>
      </w:r>
      <w:r>
        <w:rPr>
          <w:noProof/>
          <w:lang w:val="fr-FR"/>
        </w:rPr>
        <w:t>.</w:t>
      </w:r>
    </w:p>
    <w:p w:rsidR="00FC79B3" w:rsidRDefault="002A6CE7">
      <w:pPr>
        <w:pStyle w:val="Heading2"/>
        <w:rPr>
          <w:noProof/>
          <w:color w:val="auto"/>
          <w:lang w:val="fr-FR"/>
        </w:rPr>
      </w:pPr>
      <w:bookmarkStart w:id="44" w:name="_Toc471909135"/>
      <w:r>
        <w:rPr>
          <w:rStyle w:val="En-tte4"/>
          <w:noProof/>
          <w:color w:val="auto"/>
          <w:sz w:val="26"/>
          <w:lang w:val="fr-FR"/>
        </w:rPr>
        <w:t>VALEUR AJOUTÉE EUROPÉENNE</w:t>
      </w:r>
      <w:bookmarkEnd w:id="44"/>
    </w:p>
    <w:p w:rsidR="00FC79B3" w:rsidRDefault="002A6CE7">
      <w:pPr>
        <w:pStyle w:val="BodyText"/>
        <w:ind w:left="0"/>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La valeur ajoutée de l’Union européenne signifie que, dans une certaine mesure, la nature européenne du programme procure une valeur supplémentaire aux participants et l’Union détient un avantage comparatif par rapport aux acteurs nationaux et internationa</w:t>
      </w:r>
      <w:r>
        <w:rPr>
          <w:rFonts w:ascii="Times New Roman" w:hAnsi="Times New Roman"/>
          <w:noProof/>
          <w:color w:val="000000"/>
          <w:sz w:val="22"/>
          <w:lang w:val="fr-FR"/>
        </w:rPr>
        <w:t>ux qui travaillent dans le même domaine. Nous examinerons tout d’abord la nature européenne du programme et sa couverture géographique. Un point de départ sera ainsi défini pour déterminer une valeur ajoutée européenne. Cette valeur ajoutée européenne sera</w:t>
      </w:r>
      <w:r>
        <w:rPr>
          <w:rFonts w:ascii="Times New Roman" w:hAnsi="Times New Roman"/>
          <w:noProof/>
          <w:color w:val="000000"/>
          <w:sz w:val="22"/>
          <w:lang w:val="fr-FR"/>
        </w:rPr>
        <w:t xml:space="preserve"> ensuite analysée sous l’angle des produits qui ont apporté un intérêt à l’Union et aux bénéficiaires. Il n’a par contre pas encore été possible d’isoler et de quantifier la valeur ajoutée européenne pour ce qui est des effets produits.   </w:t>
      </w:r>
    </w:p>
    <w:p w:rsidR="00FC79B3" w:rsidRDefault="002A6CE7">
      <w:pPr>
        <w:jc w:val="both"/>
        <w:rPr>
          <w:noProof/>
          <w:sz w:val="22"/>
          <w:szCs w:val="22"/>
          <w:lang w:val="fr-FR"/>
        </w:rPr>
      </w:pPr>
      <w:r>
        <w:rPr>
          <w:noProof/>
          <w:sz w:val="22"/>
          <w:lang w:val="fr-FR"/>
        </w:rPr>
        <w:t>Le programme JPE</w:t>
      </w:r>
      <w:r>
        <w:rPr>
          <w:noProof/>
          <w:sz w:val="22"/>
          <w:lang w:val="fr-FR"/>
        </w:rPr>
        <w:t>N possède une dimension transnationale forte, qui est exprimée dans ses objectifs et dans les types d’actions admissibles tels que la décision du Conseil de 2007 les met en exergue. L’article 4 de la décision dispose ainsi que le programme «</w:t>
      </w:r>
      <w:r>
        <w:rPr>
          <w:i/>
          <w:noProof/>
          <w:sz w:val="22"/>
          <w:lang w:val="fr-FR"/>
        </w:rPr>
        <w:t>soutient</w:t>
      </w:r>
      <w:r>
        <w:rPr>
          <w:noProof/>
          <w:sz w:val="22"/>
          <w:lang w:val="fr-FR"/>
        </w:rPr>
        <w:t xml:space="preserve"> [des] </w:t>
      </w:r>
      <w:r>
        <w:rPr>
          <w:i/>
          <w:noProof/>
          <w:sz w:val="22"/>
          <w:lang w:val="fr-FR"/>
        </w:rPr>
        <w:t>projets transnationaux spécifiques présentant un intérêt pour l’Union, soumis par deux États membres au moins ou par au moins un État membre et un autre pays pouvant être soit un pays en voie d’adhésion soit un pays candidat»</w:t>
      </w:r>
      <w:r>
        <w:rPr>
          <w:noProof/>
          <w:sz w:val="22"/>
          <w:lang w:val="fr-FR"/>
        </w:rPr>
        <w:t>. Le programme JPEN a également</w:t>
      </w:r>
      <w:r>
        <w:rPr>
          <w:noProof/>
          <w:sz w:val="22"/>
          <w:lang w:val="fr-FR"/>
        </w:rPr>
        <w:t xml:space="preserve"> fait intervenir un grand nombre de plates-formes européennes, mais les actions admissibles comprenaient aussi des projets nationaux.</w:t>
      </w:r>
    </w:p>
    <w:p w:rsidR="00FC79B3" w:rsidRDefault="002A6CE7">
      <w:pPr>
        <w:pStyle w:val="Heading3"/>
        <w:rPr>
          <w:noProof/>
          <w:color w:val="auto"/>
          <w:lang w:val="fr-FR"/>
        </w:rPr>
      </w:pPr>
      <w:r>
        <w:rPr>
          <w:noProof/>
          <w:color w:val="auto"/>
          <w:lang w:val="fr-FR"/>
        </w:rPr>
        <w:t>Couverture géographique et participation des États membres</w:t>
      </w:r>
    </w:p>
    <w:p w:rsidR="00FC79B3" w:rsidRDefault="002A6CE7">
      <w:pPr>
        <w:jc w:val="both"/>
        <w:rPr>
          <w:noProof/>
          <w:sz w:val="22"/>
          <w:szCs w:val="22"/>
          <w:lang w:val="fr-FR"/>
        </w:rPr>
      </w:pPr>
      <w:r>
        <w:rPr>
          <w:noProof/>
          <w:sz w:val="22"/>
          <w:lang w:val="fr-FR"/>
        </w:rPr>
        <w:t>Tous les États membres ont participé au programme JPEN. D’une m</w:t>
      </w:r>
      <w:r>
        <w:rPr>
          <w:noProof/>
          <w:sz w:val="22"/>
          <w:lang w:val="fr-FR"/>
        </w:rPr>
        <w:t xml:space="preserve">anière générale, la couverture géographique des activités à travers l’Union européenne a été plutôt bonne. Certains États membres ont décroché un plus grand nombre de subventions et participé à un plus grand nombre de partenariats que d’autres. </w:t>
      </w:r>
    </w:p>
    <w:p w:rsidR="00FC79B3" w:rsidRDefault="00FC79B3">
      <w:pPr>
        <w:jc w:val="both"/>
        <w:rPr>
          <w:noProof/>
          <w:sz w:val="22"/>
          <w:szCs w:val="22"/>
          <w:lang w:val="fr-FR"/>
        </w:rPr>
      </w:pPr>
    </w:p>
    <w:p w:rsidR="00FC79B3" w:rsidRDefault="002A6CE7">
      <w:pPr>
        <w:jc w:val="both"/>
        <w:rPr>
          <w:noProof/>
          <w:sz w:val="22"/>
          <w:szCs w:val="22"/>
          <w:lang w:val="fr-FR"/>
        </w:rPr>
      </w:pPr>
      <w:r>
        <w:rPr>
          <w:noProof/>
          <w:lang w:val="fr-FR"/>
        </w:rPr>
        <w:t xml:space="preserve">La </w:t>
      </w:r>
      <w:r>
        <w:rPr>
          <w:noProof/>
          <w:sz w:val="22"/>
          <w:szCs w:val="22"/>
          <w:lang w:val="fr-FR"/>
        </w:rPr>
        <w:fldChar w:fldCharType="begin"/>
      </w:r>
      <w:r>
        <w:rPr>
          <w:noProof/>
          <w:sz w:val="22"/>
          <w:szCs w:val="22"/>
          <w:lang w:val="fr-FR"/>
        </w:rPr>
        <w:instrText xml:space="preserve"> REF _</w:instrText>
      </w:r>
      <w:r>
        <w:rPr>
          <w:noProof/>
          <w:sz w:val="22"/>
          <w:szCs w:val="22"/>
          <w:lang w:val="fr-FR"/>
        </w:rPr>
        <w:instrText xml:space="preserve">Ref456712061 \h  \* MERGEFORMAT </w:instrText>
      </w:r>
      <w:r>
        <w:rPr>
          <w:noProof/>
          <w:sz w:val="22"/>
          <w:szCs w:val="22"/>
          <w:lang w:val="fr-FR"/>
        </w:rPr>
      </w:r>
      <w:r>
        <w:rPr>
          <w:noProof/>
          <w:sz w:val="22"/>
          <w:szCs w:val="22"/>
          <w:lang w:val="fr-FR"/>
        </w:rPr>
        <w:fldChar w:fldCharType="separate"/>
      </w:r>
      <w:r w:rsidRPr="002A6CE7">
        <w:rPr>
          <w:noProof/>
          <w:sz w:val="22"/>
          <w:szCs w:val="22"/>
          <w:lang w:val="fr-FR"/>
        </w:rPr>
        <w:t>Figure 2</w:t>
      </w:r>
      <w:r w:rsidRPr="002A6CE7">
        <w:rPr>
          <w:noProof/>
          <w:sz w:val="22"/>
          <w:szCs w:val="22"/>
          <w:lang w:val="fr-FR"/>
        </w:rPr>
        <w:noBreakHyphen/>
        <w:t>7</w:t>
      </w:r>
      <w:r>
        <w:rPr>
          <w:noProof/>
          <w:sz w:val="22"/>
          <w:szCs w:val="22"/>
          <w:lang w:val="fr-FR"/>
        </w:rPr>
        <w:fldChar w:fldCharType="end"/>
      </w:r>
      <w:r>
        <w:rPr>
          <w:noProof/>
          <w:sz w:val="22"/>
          <w:lang w:val="fr-FR"/>
        </w:rPr>
        <w:t xml:space="preserve"> ci-après montre la localisation géographique des organisations qui ont participé à des projets JPEN dans chaque État membre. Les organisations chefs de file étaient concentrées dans quatre États membres, à savoir l’Italie, la Belgique, le Royaume-Uni et l</w:t>
      </w:r>
      <w:r>
        <w:rPr>
          <w:noProof/>
          <w:sz w:val="22"/>
          <w:lang w:val="fr-FR"/>
        </w:rPr>
        <w:t>’Allemagne, qui, cumulés, ont dirigé 48 % (161) du total des projets. Un grand nombre de réseaux et de plates-formes sont installés en Belgique. Aucun projet n’a été dirigé par une organisation implantée en Croatie. S’agissant des organisations partenaires</w:t>
      </w:r>
      <w:r>
        <w:rPr>
          <w:noProof/>
          <w:sz w:val="22"/>
          <w:lang w:val="fr-FR"/>
        </w:rPr>
        <w:t>, la répartition entre les États membres est plus uniforme: 15 États membres ont participé, pour plus de 25 organisations partenaires.</w:t>
      </w:r>
    </w:p>
    <w:p w:rsidR="00FC79B3" w:rsidRDefault="00FC79B3">
      <w:pPr>
        <w:jc w:val="both"/>
        <w:rPr>
          <w:noProof/>
          <w:sz w:val="22"/>
          <w:szCs w:val="22"/>
          <w:lang w:val="fr-FR"/>
        </w:rPr>
      </w:pPr>
    </w:p>
    <w:p w:rsidR="00FC79B3" w:rsidRDefault="002A6CE7">
      <w:pPr>
        <w:pStyle w:val="Caption"/>
        <w:rPr>
          <w:b w:val="0"/>
          <w:noProof/>
          <w:color w:val="auto"/>
          <w:sz w:val="22"/>
          <w:szCs w:val="22"/>
          <w:lang w:val="fr-FR"/>
        </w:rPr>
      </w:pPr>
      <w:bookmarkStart w:id="45" w:name="_Ref456712061"/>
      <w:r>
        <w:rPr>
          <w:noProof/>
          <w:lang w:val="fr-FR"/>
        </w:rPr>
        <w:t>Figure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7</w:t>
      </w:r>
      <w:r>
        <w:rPr>
          <w:noProof/>
          <w:lang w:val="fr-FR"/>
        </w:rPr>
        <w:fldChar w:fldCharType="end"/>
      </w:r>
      <w:bookmarkEnd w:id="45"/>
      <w:r>
        <w:rPr>
          <w:noProof/>
          <w:lang w:val="fr-FR"/>
        </w:rPr>
        <w:t xml:space="preserve"> Nombre total d’organisations partenaires ayant participé au p</w:t>
      </w:r>
      <w:r>
        <w:rPr>
          <w:noProof/>
          <w:lang w:val="fr-FR"/>
        </w:rPr>
        <w:t>rogramme JPEN dans chaque État membre, y compris les organisations chefs de file (à gauche) et partenaires (à droite)</w:t>
      </w:r>
    </w:p>
    <w:tbl>
      <w:tblPr>
        <w:tblW w:w="8646" w:type="dxa"/>
        <w:tblLook w:val="04A0" w:firstRow="1" w:lastRow="0" w:firstColumn="1" w:lastColumn="0" w:noHBand="0" w:noVBand="1"/>
      </w:tblPr>
      <w:tblGrid>
        <w:gridCol w:w="4356"/>
        <w:gridCol w:w="4346"/>
      </w:tblGrid>
      <w:tr w:rsidR="00FC79B3">
        <w:trPr>
          <w:trHeight w:val="4896"/>
        </w:trPr>
        <w:tc>
          <w:tcPr>
            <w:tcW w:w="4253" w:type="dxa"/>
            <w:shd w:val="clear" w:color="auto" w:fill="auto"/>
          </w:tcPr>
          <w:p w:rsidR="00FC79B3" w:rsidRDefault="002A6CE7">
            <w:pPr>
              <w:jc w:val="both"/>
              <w:rPr>
                <w:noProof/>
                <w:sz w:val="22"/>
                <w:szCs w:val="22"/>
                <w:lang w:val="fr-FR"/>
              </w:rPr>
            </w:pPr>
            <w:r>
              <w:rPr>
                <w:noProof/>
                <w:sz w:val="22"/>
                <w:szCs w:val="22"/>
              </w:rPr>
              <mc:AlternateContent>
                <mc:Choice Requires="wps">
                  <w:drawing>
                    <wp:anchor distT="0" distB="0" distL="114300" distR="114300" simplePos="0" relativeHeight="251721728" behindDoc="0" locked="0" layoutInCell="1" allowOverlap="1">
                      <wp:simplePos x="0" y="0"/>
                      <wp:positionH relativeFrom="column">
                        <wp:posOffset>48476</wp:posOffset>
                      </wp:positionH>
                      <wp:positionV relativeFrom="paragraph">
                        <wp:posOffset>2831345</wp:posOffset>
                      </wp:positionV>
                      <wp:extent cx="1276182" cy="198408"/>
                      <wp:effectExtent l="0" t="0" r="635"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182" cy="198408"/>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4"/>
                                      <w:szCs w:val="16"/>
                                    </w:rPr>
                                  </w:pPr>
                                  <w:r>
                                    <w:rPr>
                                      <w:rFonts w:asciiTheme="minorHAnsi" w:hAnsiTheme="minorHAnsi"/>
                                      <w:sz w:val="14"/>
                                      <w:szCs w:val="16"/>
                                    </w:rPr>
                                    <w:t>Malte             Chypre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8pt;margin-top:222.95pt;width:100.5pt;height:15.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VzJQIAACUEAAAOAAAAZHJzL2Uyb0RvYy54bWysU9tu2zAMfR+wfxD0vviypE2MOEWXLsOA&#10;7gK0+wBZlmNhkqhJSuzu60fJaZptb8P8IIgmeXh4SK1vRq3IUTgvwdS0mOWUCMOhlWZf02+PuzdL&#10;SnxgpmUKjKjpk/D0ZvP61XqwlSihB9UKRxDE+GqwNe1DsFWWed4LzfwMrDDo7MBpFtB0+6x1bEB0&#10;rbIyz6+yAVxrHXDhPf69m5x0k/C7TvDwpeu8CETVFLmFdLp0NvHMNmtW7R2zveQnGuwfWGgmDRY9&#10;Q92xwMjByb+gtOQOPHRhxkFn0HWSi9QDdlPkf3Tz0DMrUi8ojrdnmfz/g+Wfj18dkW1Ny9WKEsM0&#10;DulRjIG8g5GUUZ/B+grDHiwGhhF/45xTr97eA//uiYFtz8xe3DoHQy9Yi/yKmJldpE44PoI0wydo&#10;sQw7BEhAY+d0FA/lIIiOc3o6zyZS4bFkeX1VLEtKOPqK1XKeL1MJVj1nW+fDBwGaxEtNHc4+obPj&#10;vQ+RDaueQ2IxD0q2O6lUMty+2SpHjgz3ZJe+E/pvYcqQoaarRblIyAZiflohLQPusZK6pss8fjGd&#10;VVGN96ZN98Ckmu7IRJmTPFGRSZswNuM0ibcxOWrXQPuEgjmY9hbfGV56cD8pGXBna+p/HJgTlKiP&#10;BkVfFfN5XPJkzBfXJRru0tNcepjhCFXTQMl03Yb0MCJvA7c4nE4m3V6YnDjjLiY5T+8mLvulnaJe&#10;XvfmFwAAAP//AwBQSwMEFAAGAAgAAAAhAFCEblrdAAAACQEAAA8AAABkcnMvZG93bnJldi54bWxM&#10;j81OwzAQhO9IvIO1SFwQdVqlcRviVIAE4tqfB9jEbhIRr6PYbdK3ZznBcWdGs98Uu9n14mrH0HnS&#10;sFwkICzV3nTUaDgdP543IEJEMth7shpuNsCuvL8rMDd+or29HmIjuIRCjhraGIdcylC31mFY+MES&#10;e2c/Oox8jo00I05c7nq5SpJMOuyIP7Q42PfW1t+Hi9Nw/pqe1tup+owntU+zN+xU5W9aPz7Mry8g&#10;op3jXxh+8RkdSmaq/IVMEL0GlXFQQ5qutyDYXyUbVipWlFqCLAv5f0H5AwAA//8DAFBLAQItABQA&#10;BgAIAAAAIQC2gziS/gAAAOEBAAATAAAAAAAAAAAAAAAAAAAAAABbQ29udGVudF9UeXBlc10ueG1s&#10;UEsBAi0AFAAGAAgAAAAhADj9If/WAAAAlAEAAAsAAAAAAAAAAAAAAAAALwEAAF9yZWxzLy5yZWxz&#10;UEsBAi0AFAAGAAgAAAAhAICRhXMlAgAAJQQAAA4AAAAAAAAAAAAAAAAALgIAAGRycy9lMm9Eb2Mu&#10;eG1sUEsBAi0AFAAGAAgAAAAhAFCEblrdAAAACQEAAA8AAAAAAAAAAAAAAAAAfwQAAGRycy9kb3du&#10;cmV2LnhtbFBLBQYAAAAABAAEAPMAAACJBQAAAAA=&#10;" stroked="f">
                      <v:textbox>
                        <w:txbxContent>
                          <w:p>
                            <w:pPr>
                              <w:rPr>
                                <w:rFonts w:asciiTheme="minorHAnsi" w:hAnsiTheme="minorHAnsi"/>
                                <w:sz w:val="14"/>
                                <w:szCs w:val="16"/>
                              </w:rPr>
                            </w:pPr>
                            <w:r>
                              <w:rPr>
                                <w:rFonts w:asciiTheme="minorHAnsi" w:hAnsiTheme="minorHAnsi"/>
                                <w:sz w:val="14"/>
                                <w:szCs w:val="16"/>
                              </w:rPr>
                              <w:t>Malte             Chypre</w:t>
                            </w:r>
                          </w:p>
                        </w:txbxContent>
                      </v:textbox>
                    </v:shape>
                  </w:pict>
                </mc:Fallback>
              </mc:AlternateContent>
            </w:r>
            <w:r>
              <w:rPr>
                <w:noProof/>
                <w:sz w:val="22"/>
                <w:szCs w:val="22"/>
              </w:rPr>
              <w:drawing>
                <wp:inline distT="0" distB="0" distL="0" distR="0">
                  <wp:extent cx="2627870" cy="3296843"/>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31918" cy="3301922"/>
                          </a:xfrm>
                          <a:prstGeom prst="rect">
                            <a:avLst/>
                          </a:prstGeom>
                          <a:noFill/>
                          <a:ln>
                            <a:noFill/>
                          </a:ln>
                        </pic:spPr>
                      </pic:pic>
                    </a:graphicData>
                  </a:graphic>
                </wp:inline>
              </w:drawing>
            </w:r>
          </w:p>
        </w:tc>
        <w:tc>
          <w:tcPr>
            <w:tcW w:w="4393" w:type="dxa"/>
            <w:shd w:val="clear" w:color="auto" w:fill="auto"/>
          </w:tcPr>
          <w:p w:rsidR="00FC79B3" w:rsidRDefault="002A6CE7">
            <w:pPr>
              <w:ind w:left="-250"/>
              <w:jc w:val="both"/>
              <w:rPr>
                <w:noProof/>
                <w:sz w:val="22"/>
                <w:szCs w:val="22"/>
                <w:lang w:val="fr-FR"/>
              </w:rPr>
            </w:pPr>
            <w:r>
              <w:rPr>
                <w:noProof/>
                <w:sz w:val="22"/>
                <w:szCs w:val="22"/>
              </w:rPr>
              <mc:AlternateContent>
                <mc:Choice Requires="wps">
                  <w:drawing>
                    <wp:anchor distT="0" distB="0" distL="114300" distR="114300" simplePos="0" relativeHeight="251723776" behindDoc="0" locked="0" layoutInCell="1" allowOverlap="1">
                      <wp:simplePos x="0" y="0"/>
                      <wp:positionH relativeFrom="column">
                        <wp:posOffset>-71120</wp:posOffset>
                      </wp:positionH>
                      <wp:positionV relativeFrom="paragraph">
                        <wp:posOffset>2799344</wp:posOffset>
                      </wp:positionV>
                      <wp:extent cx="1163955" cy="207010"/>
                      <wp:effectExtent l="0" t="0" r="0" b="254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07010"/>
                              </a:xfrm>
                              <a:prstGeom prst="rect">
                                <a:avLst/>
                              </a:prstGeom>
                              <a:solidFill>
                                <a:srgbClr val="FFFFFF"/>
                              </a:solidFill>
                              <a:ln w="9525">
                                <a:noFill/>
                                <a:miter lim="800000"/>
                                <a:headEnd/>
                                <a:tailEnd/>
                              </a:ln>
                            </wps:spPr>
                            <wps:txbx>
                              <w:txbxContent>
                                <w:p w:rsidR="00FC79B3" w:rsidRDefault="002A6CE7">
                                  <w:pPr>
                                    <w:rPr>
                                      <w:rFonts w:asciiTheme="minorHAnsi" w:hAnsiTheme="minorHAnsi"/>
                                      <w:sz w:val="14"/>
                                      <w:szCs w:val="16"/>
                                    </w:rPr>
                                  </w:pPr>
                                  <w:r>
                                    <w:rPr>
                                      <w:rFonts w:asciiTheme="minorHAnsi" w:hAnsiTheme="minorHAnsi"/>
                                      <w:sz w:val="14"/>
                                      <w:szCs w:val="16"/>
                                    </w:rPr>
                                    <w:t>Malte             Chypre</w:t>
                                  </w:r>
                                </w:p>
                                <w:p w:rsidR="00FC79B3" w:rsidRDefault="00FC79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6pt;margin-top:220.4pt;width:91.65pt;height:1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k8JQIAACUEAAAOAAAAZHJzL2Uyb0RvYy54bWysU9tu2zAMfR+wfxD0vvjSpG2MOEWXLsOA&#10;7gK0+wBZlmNhkqhJSuzu60vJaZptb8P8IIgmeXh4SK1uRq3IQTgvwdS0mOWUCMOhlWZX0++P23fX&#10;lPjATMsUGFHTJ+Hpzfrtm9VgK1FCD6oVjiCI8dVga9qHYKss87wXmvkZWGHQ2YHTLKDpdlnr2IDo&#10;WmVlnl9mA7jWOuDCe/x7NznpOuF3neDha9d5EYiqKXIL6XTpbOKZrVes2jlme8mPNNg/sNBMGix6&#10;grpjgZG9k39BackdeOjCjIPOoOskF6kH7KbI/+jmoWdWpF5QHG9PMvn/B8u/HL45ItuaXuQFJYZp&#10;HNKjGAN5DyMpoz6D9RWGPVgMDCP+xjmnXr29B/7DEwObnpmduHUOhl6wFvkVMTM7S51wfARphs/Q&#10;Yhm2D5CAxs7pKB7KQRAd5/R0mk2kwmPJ4vJiuVhQwtFX5leoVirBqpds63z4KECTeKmpw9kndHa4&#10;9yGyYdVLSCzmQcl2K5VKhts1G+XIgeGebNN3RP8tTBky1HS5KBcJ2UDMTyukZcA9VlLX9DqPX0xn&#10;VVTjg2nTPTCppjsyUeYoT1Rk0iaMzZgmUc5jctSugfYJBXMw7S2+M7z04H5RMuDO1tT/3DMnKFGf&#10;DIq+LObzuOTJmC+uSjTcuac59zDDEaqmgZLpugnpYUTeBm5xOJ1Mur0yOXLGXUxyHt9NXPZzO0W9&#10;vu71MwAAAP//AwBQSwMEFAAGAAgAAAAhAMefP1bfAAAACwEAAA8AAABkcnMvZG93bnJldi54bWxM&#10;j8FOg0AQhu8mvsNmTLyYdgGxKGVp1ETTa2sfYGCnQMrOEnZb6Nu7PelxZr788/3FZja9uNDoOssK&#10;4mUEgri2uuNGweHna/EKwnlkjb1lUnAlB5vy/q7AXNuJd3TZ+0aEEHY5Kmi9H3IpXd2SQbe0A3G4&#10;He1o0IdxbKQecQrhppdJFK2kwY7DhxYH+mypPu3PRsFxOz29vE3Vtz9ku3T1gV1W2atSjw/z+xqE&#10;p9n/wXDTD+pQBqfKnlk70StYxHESUAVpGoUONyJLYhBV2GTPKciykP87lL8AAAD//wMAUEsBAi0A&#10;FAAGAAgAAAAhALaDOJL+AAAA4QEAABMAAAAAAAAAAAAAAAAAAAAAAFtDb250ZW50X1R5cGVzXS54&#10;bWxQSwECLQAUAAYACAAAACEAOP0h/9YAAACUAQAACwAAAAAAAAAAAAAAAAAvAQAAX3JlbHMvLnJl&#10;bHNQSwECLQAUAAYACAAAACEA25ZZPCUCAAAlBAAADgAAAAAAAAAAAAAAAAAuAgAAZHJzL2Uyb0Rv&#10;Yy54bWxQSwECLQAUAAYACAAAACEAx58/Vt8AAAALAQAADwAAAAAAAAAAAAAAAAB/BAAAZHJzL2Rv&#10;d25yZXYueG1sUEsFBgAAAAAEAAQA8wAAAIsFAAAAAA==&#10;" stroked="f">
                      <v:textbox>
                        <w:txbxContent>
                          <w:p>
                            <w:pPr>
                              <w:rPr>
                                <w:rFonts w:asciiTheme="minorHAnsi" w:hAnsiTheme="minorHAnsi"/>
                                <w:sz w:val="14"/>
                                <w:szCs w:val="16"/>
                              </w:rPr>
                            </w:pPr>
                            <w:r>
                              <w:rPr>
                                <w:rFonts w:asciiTheme="minorHAnsi" w:hAnsiTheme="minorHAnsi"/>
                                <w:sz w:val="14"/>
                                <w:szCs w:val="16"/>
                              </w:rPr>
                              <w:t>Malte             Chypre</w:t>
                            </w:r>
                          </w:p>
                          <w:p/>
                        </w:txbxContent>
                      </v:textbox>
                    </v:shape>
                  </w:pict>
                </mc:Fallback>
              </mc:AlternateContent>
            </w:r>
            <w:r>
              <w:rPr>
                <w:noProof/>
                <w:sz w:val="22"/>
                <w:szCs w:val="22"/>
              </w:rPr>
              <w:drawing>
                <wp:inline distT="0" distB="0" distL="0" distR="0">
                  <wp:extent cx="2776151" cy="3295015"/>
                  <wp:effectExtent l="0" t="0" r="571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501" cy="3301365"/>
                          </a:xfrm>
                          <a:prstGeom prst="rect">
                            <a:avLst/>
                          </a:prstGeom>
                          <a:noFill/>
                          <a:ln>
                            <a:noFill/>
                          </a:ln>
                        </pic:spPr>
                      </pic:pic>
                    </a:graphicData>
                  </a:graphic>
                </wp:inline>
              </w:drawing>
            </w:r>
          </w:p>
        </w:tc>
      </w:tr>
    </w:tbl>
    <w:p w:rsidR="00FC79B3" w:rsidRDefault="00FC79B3">
      <w:pPr>
        <w:ind w:left="1440" w:hanging="1440"/>
        <w:jc w:val="both"/>
        <w:rPr>
          <w:noProof/>
          <w:sz w:val="22"/>
          <w:szCs w:val="22"/>
          <w:lang w:val="fr-FR"/>
        </w:rPr>
      </w:pP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De plus, même si les organisations chefs de file ont en moyenne constitué </w:t>
      </w:r>
      <w:r>
        <w:rPr>
          <w:rFonts w:ascii="Times New Roman" w:hAnsi="Times New Roman"/>
          <w:noProof/>
          <w:sz w:val="22"/>
          <w:lang w:val="fr-FR"/>
        </w:rPr>
        <w:t>davantage de partenariats avec des organisations du même pays qu’avec des organisations d’autres États membres</w:t>
      </w:r>
      <w:r>
        <w:rPr>
          <w:rStyle w:val="FootnoteReference"/>
          <w:rFonts w:ascii="Times New Roman" w:hAnsi="Times New Roman"/>
          <w:noProof/>
          <w:sz w:val="22"/>
          <w:lang w:val="fr-FR"/>
        </w:rPr>
        <w:footnoteReference w:id="61"/>
      </w:r>
      <w:r>
        <w:rPr>
          <w:rFonts w:ascii="Times New Roman" w:hAnsi="Times New Roman"/>
          <w:noProof/>
          <w:sz w:val="22"/>
          <w:lang w:val="fr-FR"/>
        </w:rPr>
        <w:t>, le programme a donné naissance à un total de 826 partenariats transnationaux</w:t>
      </w:r>
      <w:r>
        <w:rPr>
          <w:rStyle w:val="FootnoteReference"/>
          <w:rFonts w:ascii="Times New Roman" w:hAnsi="Times New Roman"/>
          <w:noProof/>
          <w:sz w:val="22"/>
          <w:lang w:val="fr-FR"/>
        </w:rPr>
        <w:footnoteReference w:id="62"/>
      </w:r>
      <w:r>
        <w:rPr>
          <w:rFonts w:ascii="Times New Roman" w:hAnsi="Times New Roman"/>
          <w:noProof/>
          <w:sz w:val="22"/>
          <w:lang w:val="fr-FR"/>
        </w:rPr>
        <w:t>. Le nombre moyen de partenariats transnationaux par État membre é</w:t>
      </w:r>
      <w:r>
        <w:rPr>
          <w:rFonts w:ascii="Times New Roman" w:hAnsi="Times New Roman"/>
          <w:noProof/>
          <w:sz w:val="22"/>
          <w:lang w:val="fr-FR"/>
        </w:rPr>
        <w:t xml:space="preserve">tait légèrement inférieur à 32, les organisations ayant leur siège en Belgique, en Allemagne, en Italie, en Espagne et au Royaume-Uni s’étant chacune associées à plus de 100 organisations d’autres États membres de l’Union. </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En ce qui concerne la structure </w:t>
      </w:r>
      <w:r>
        <w:rPr>
          <w:rFonts w:ascii="Times New Roman" w:hAnsi="Times New Roman"/>
          <w:noProof/>
          <w:sz w:val="22"/>
          <w:lang w:val="fr-FR"/>
        </w:rPr>
        <w:t>des partenariats, l’Allemagne, l’Espagne, le Royaume-Uni, la Belgique et l’Italie sont les États membres dont les organisations se sont associées à des organisations situées dans le plus grand nombre d’États membres différents, avec dans chaque pays des or</w:t>
      </w:r>
      <w:r>
        <w:rPr>
          <w:rFonts w:ascii="Times New Roman" w:hAnsi="Times New Roman"/>
          <w:noProof/>
          <w:sz w:val="22"/>
          <w:lang w:val="fr-FR"/>
        </w:rPr>
        <w:t>ganisations qui ont trouvé des partenaires dans 21 à 26 États différents</w:t>
      </w:r>
      <w:r>
        <w:rPr>
          <w:rStyle w:val="FootnoteReference"/>
          <w:rFonts w:ascii="Times New Roman" w:hAnsi="Times New Roman"/>
          <w:noProof/>
          <w:sz w:val="22"/>
          <w:lang w:val="fr-FR"/>
        </w:rPr>
        <w:footnoteReference w:id="63"/>
      </w:r>
      <w:r>
        <w:rPr>
          <w:noProof/>
          <w:lang w:val="fr-FR"/>
        </w:rPr>
        <w:t>.</w:t>
      </w:r>
      <w:r>
        <w:rPr>
          <w:rFonts w:ascii="Times New Roman" w:hAnsi="Times New Roman"/>
          <w:noProof/>
          <w:sz w:val="22"/>
          <w:lang w:val="fr-FR"/>
        </w:rPr>
        <w:t xml:space="preserve"> </w:t>
      </w:r>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La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_Ref456712110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sidRPr="002A6CE7">
        <w:rPr>
          <w:rFonts w:ascii="Times New Roman" w:hAnsi="Times New Roman"/>
          <w:noProof/>
          <w:sz w:val="22"/>
          <w:szCs w:val="22"/>
          <w:lang w:val="fr-FR"/>
        </w:rPr>
        <w:t>Figure 2</w:t>
      </w:r>
      <w:r w:rsidRPr="002A6CE7">
        <w:rPr>
          <w:rFonts w:ascii="Times New Roman" w:hAnsi="Times New Roman"/>
          <w:noProof/>
          <w:sz w:val="22"/>
          <w:szCs w:val="22"/>
          <w:lang w:val="fr-FR"/>
        </w:rPr>
        <w:noBreakHyphen/>
        <w:t>8</w:t>
      </w:r>
      <w:r>
        <w:rPr>
          <w:rFonts w:ascii="Times New Roman" w:hAnsi="Times New Roman"/>
          <w:noProof/>
          <w:sz w:val="22"/>
          <w:szCs w:val="22"/>
          <w:lang w:val="fr-FR"/>
        </w:rPr>
        <w:fldChar w:fldCharType="end"/>
      </w:r>
      <w:r>
        <w:rPr>
          <w:rFonts w:ascii="Times New Roman" w:hAnsi="Times New Roman"/>
          <w:noProof/>
          <w:sz w:val="22"/>
          <w:lang w:val="fr-FR"/>
        </w:rPr>
        <w:t xml:space="preserve"> ci-après illustre la structure des partenariats des projets dirigés par l’Allemagne, l’Italie et le Royaume-Uni, qui sont les trois États membres comptant le plus grand nombre d’organisations</w:t>
      </w:r>
      <w:r>
        <w:rPr>
          <w:rFonts w:ascii="Times New Roman" w:hAnsi="Times New Roman"/>
          <w:noProof/>
          <w:sz w:val="22"/>
          <w:lang w:val="fr-FR"/>
        </w:rPr>
        <w:t xml:space="preserve"> chefs de file. Les organisations chefs de file allemandes ont formé des partenariats dans 26 États membres différents (autres que l’Allemagne), tandis que les organisations britanniques se sont associées dans 23 autres États membres et les organisations i</w:t>
      </w:r>
      <w:r>
        <w:rPr>
          <w:rFonts w:ascii="Times New Roman" w:hAnsi="Times New Roman"/>
          <w:noProof/>
          <w:sz w:val="22"/>
          <w:lang w:val="fr-FR"/>
        </w:rPr>
        <w:t xml:space="preserve">taliennes dans 21 autres pays.    </w:t>
      </w:r>
    </w:p>
    <w:p w:rsidR="00FC79B3" w:rsidRDefault="00FC79B3">
      <w:pPr>
        <w:pStyle w:val="Caption"/>
        <w:rPr>
          <w:noProof/>
          <w:lang w:val="fr-FR"/>
        </w:rPr>
      </w:pPr>
    </w:p>
    <w:p w:rsidR="00FC79B3" w:rsidRDefault="002A6CE7">
      <w:pPr>
        <w:pStyle w:val="Caption"/>
        <w:keepNext/>
        <w:keepLines/>
        <w:rPr>
          <w:noProof/>
          <w:lang w:val="fr-FR"/>
        </w:rPr>
      </w:pPr>
      <w:bookmarkStart w:id="46" w:name="_Ref456712110"/>
      <w:r>
        <w:rPr>
          <w:noProof/>
          <w:lang w:val="fr-FR"/>
        </w:rPr>
        <w:t>Figure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8</w:t>
      </w:r>
      <w:r>
        <w:rPr>
          <w:noProof/>
          <w:lang w:val="fr-FR"/>
        </w:rPr>
        <w:fldChar w:fldCharType="end"/>
      </w:r>
      <w:bookmarkEnd w:id="46"/>
      <w:r>
        <w:rPr>
          <w:noProof/>
          <w:lang w:val="fr-FR"/>
        </w:rPr>
        <w:t xml:space="preserve"> Structure des partenariats dans les trois principaux États membres pour les organisations chefs de file</w:t>
      </w:r>
    </w:p>
    <w:tbl>
      <w:tblPr>
        <w:tblW w:w="9150" w:type="dxa"/>
        <w:tblInd w:w="959" w:type="dxa"/>
        <w:tblLook w:val="04A0" w:firstRow="1" w:lastRow="0" w:firstColumn="1" w:lastColumn="0" w:noHBand="0" w:noVBand="1"/>
      </w:tblPr>
      <w:tblGrid>
        <w:gridCol w:w="4666"/>
        <w:gridCol w:w="4484"/>
      </w:tblGrid>
      <w:tr w:rsidR="00FC79B3">
        <w:tc>
          <w:tcPr>
            <w:tcW w:w="4666" w:type="dxa"/>
            <w:shd w:val="clear" w:color="auto" w:fill="auto"/>
          </w:tcPr>
          <w:p w:rsidR="00FC79B3" w:rsidRDefault="002A6CE7">
            <w:pPr>
              <w:keepNext/>
              <w:keepLines/>
              <w:rPr>
                <w:noProof/>
                <w:sz w:val="22"/>
                <w:szCs w:val="22"/>
                <w:lang w:val="fr-FR"/>
              </w:rPr>
            </w:pPr>
            <w:r>
              <w:rPr>
                <w:noProof/>
                <w:sz w:val="22"/>
                <w:szCs w:val="22"/>
              </w:rPr>
              <mc:AlternateContent>
                <mc:Choice Requires="wps">
                  <w:drawing>
                    <wp:anchor distT="0" distB="0" distL="114300" distR="114300" simplePos="0" relativeHeight="251725824" behindDoc="0" locked="0" layoutInCell="1" allowOverlap="1">
                      <wp:simplePos x="0" y="0"/>
                      <wp:positionH relativeFrom="column">
                        <wp:posOffset>1819539</wp:posOffset>
                      </wp:positionH>
                      <wp:positionV relativeFrom="paragraph">
                        <wp:posOffset>1804670</wp:posOffset>
                      </wp:positionV>
                      <wp:extent cx="724475" cy="224287"/>
                      <wp:effectExtent l="0" t="0" r="0" b="444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475" cy="224287"/>
                              </a:xfrm>
                              <a:prstGeom prst="rect">
                                <a:avLst/>
                              </a:prstGeom>
                              <a:solidFill>
                                <a:srgbClr val="FFFFFF"/>
                              </a:solidFill>
                              <a:ln w="9525">
                                <a:noFill/>
                                <a:miter lim="800000"/>
                                <a:headEnd/>
                                <a:tailEnd/>
                              </a:ln>
                            </wps:spPr>
                            <wps:txbx>
                              <w:txbxContent>
                                <w:p w:rsidR="00FC79B3" w:rsidRDefault="002A6CE7">
                                  <w:pPr>
                                    <w:ind w:hanging="142"/>
                                    <w:rPr>
                                      <w:rFonts w:ascii="Calibri" w:hAnsi="Calibri"/>
                                      <w:sz w:val="12"/>
                                    </w:rPr>
                                  </w:pPr>
                                  <w:r>
                                    <w:rPr>
                                      <w:rFonts w:ascii="Calibri" w:hAnsi="Calibri"/>
                                      <w:sz w:val="12"/>
                                    </w:rPr>
                                    <w:t>Royaume-Uni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43.25pt;margin-top:142.1pt;width:57.05pt;height:17.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CqJAIAACQEAAAOAAAAZHJzL2Uyb0RvYy54bWysU9uO2yAQfa/Uf0C8N3Zcp8la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9G1eUGKY&#10;xiY9iDGQ9zCSIuozWF9h2L3FwDDiNfY51ertHfAfnhjY9szsxY1zMPSCtchvHjOzi9QJx0eQZvgM&#10;LT7DDgES0Ng5HcVDOQiiY58ez72JVDheLouyXC4o4egqirJYLdMLrHpOts6HjwI0iYeaOmx9AmfH&#10;Ox8iGVY9h8S3PCjZ7qRSyXD7ZqscOTIck11aJ/TfwpQhQ02vFsUiIRuI+WmCtAw4xkrqmq7yuGI6&#10;q6IYH0ybzoFJNZ2RiTIndaIgkzRhbMbUCETHhChdA+0j6uVgGlv8Znjowf2iZMCRran/eWBOUKI+&#10;GdT8al6WccaTUS6WBRru0tNcepjhCFXTQMl03Ib0LyJvAzfYm04m3V6YnDjjKCY5T98mzvqlnaJe&#10;PvfmCQAA//8DAFBLAwQUAAYACAAAACEAgk9uvt8AAAALAQAADwAAAGRycy9kb3ducmV2LnhtbEyP&#10;wU6DQBCG7ya+w2ZMvBi7FIG2yNKoicZrax9gYLdAZGcJuy307Z2e7G0m8+X/vym2s+3F2Yy+c6Rg&#10;uYhAGKqd7qhRcPj5fF6D8AFJY+/IKLgYD9vy/q7AXLuJdua8D43gEPI5KmhDGHIpfd0ai37hBkN8&#10;O7rRYuB1bKQeceJw28s4ijJpsSNuaHEwH62pf/cnq+D4PT2lm6n6CofVLsnesVtV7qLU48P89goi&#10;mDn8w3DVZ3Uo2alyJ9Je9AridZYyeh2SGAQTCfeBqBS8LDcpyLKQtz+UfwAAAP//AwBQSwECLQAU&#10;AAYACAAAACEAtoM4kv4AAADhAQAAEwAAAAAAAAAAAAAAAAAAAAAAW0NvbnRlbnRfVHlwZXNdLnht&#10;bFBLAQItABQABgAIAAAAIQA4/SH/1gAAAJQBAAALAAAAAAAAAAAAAAAAAC8BAABfcmVscy8ucmVs&#10;c1BLAQItABQABgAIAAAAIQCMz9CqJAIAACQEAAAOAAAAAAAAAAAAAAAAAC4CAABkcnMvZTJvRG9j&#10;LnhtbFBLAQItABQABgAIAAAAIQCCT26+3wAAAAsBAAAPAAAAAAAAAAAAAAAAAH4EAABkcnMvZG93&#10;bnJldi54bWxQSwUGAAAAAAQABADzAAAAigUAAAAA&#10;" stroked="f">
                      <v:textbox>
                        <w:txbxContent>
                          <w:p>
                            <w:pPr>
                              <w:ind w:hanging="142"/>
                              <w:rPr>
                                <w:rFonts w:ascii="Calibri" w:hAnsi="Calibri"/>
                                <w:sz w:val="12"/>
                              </w:rPr>
                            </w:pPr>
                            <w:r>
                              <w:rPr>
                                <w:rFonts w:ascii="Calibri" w:hAnsi="Calibri"/>
                                <w:sz w:val="12"/>
                              </w:rPr>
                              <w:t>Royaume-Uni</w:t>
                            </w:r>
                          </w:p>
                        </w:txbxContent>
                      </v:textbox>
                    </v:shape>
                  </w:pict>
                </mc:Fallback>
              </mc:AlternateContent>
            </w:r>
            <w:r>
              <w:rPr>
                <w:noProof/>
                <w:sz w:val="22"/>
                <w:szCs w:val="22"/>
              </w:rPr>
              <w:drawing>
                <wp:inline distT="0" distB="0" distL="0" distR="0">
                  <wp:extent cx="2600696" cy="2072849"/>
                  <wp:effectExtent l="0" t="0" r="952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02502" cy="2074289"/>
                          </a:xfrm>
                          <a:prstGeom prst="rect">
                            <a:avLst/>
                          </a:prstGeom>
                          <a:noFill/>
                          <a:ln>
                            <a:noFill/>
                          </a:ln>
                        </pic:spPr>
                      </pic:pic>
                    </a:graphicData>
                  </a:graphic>
                </wp:inline>
              </w:drawing>
            </w:r>
          </w:p>
        </w:tc>
        <w:tc>
          <w:tcPr>
            <w:tcW w:w="4484" w:type="dxa"/>
            <w:shd w:val="clear" w:color="auto" w:fill="auto"/>
          </w:tcPr>
          <w:p w:rsidR="00FC79B3" w:rsidRDefault="002A6CE7">
            <w:pPr>
              <w:keepNext/>
              <w:keepLines/>
              <w:rPr>
                <w:noProof/>
                <w:sz w:val="22"/>
                <w:szCs w:val="22"/>
                <w:lang w:val="fr-FR"/>
              </w:rPr>
            </w:pPr>
            <w:r>
              <w:rPr>
                <w:noProof/>
                <w:sz w:val="22"/>
                <w:szCs w:val="22"/>
              </w:rPr>
              <mc:AlternateContent>
                <mc:Choice Requires="wps">
                  <w:drawing>
                    <wp:anchor distT="0" distB="0" distL="114300" distR="114300" simplePos="0" relativeHeight="251727872" behindDoc="0" locked="0" layoutInCell="1" allowOverlap="1">
                      <wp:simplePos x="0" y="0"/>
                      <wp:positionH relativeFrom="column">
                        <wp:posOffset>1943999</wp:posOffset>
                      </wp:positionH>
                      <wp:positionV relativeFrom="paragraph">
                        <wp:posOffset>1830070</wp:posOffset>
                      </wp:positionV>
                      <wp:extent cx="396240" cy="215265"/>
                      <wp:effectExtent l="0" t="0" r="381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15265"/>
                              </a:xfrm>
                              <a:prstGeom prst="rect">
                                <a:avLst/>
                              </a:prstGeom>
                              <a:solidFill>
                                <a:srgbClr val="FFFFFF"/>
                              </a:solidFill>
                              <a:ln w="9525">
                                <a:noFill/>
                                <a:miter lim="800000"/>
                                <a:headEnd/>
                                <a:tailEnd/>
                              </a:ln>
                            </wps:spPr>
                            <wps:txbx>
                              <w:txbxContent>
                                <w:p w:rsidR="00FC79B3" w:rsidRDefault="002A6CE7">
                                  <w:pPr>
                                    <w:ind w:hanging="142"/>
                                    <w:rPr>
                                      <w:rFonts w:ascii="Calibri" w:hAnsi="Calibri"/>
                                      <w:sz w:val="12"/>
                                    </w:rPr>
                                  </w:pPr>
                                  <w:r>
                                    <w:rPr>
                                      <w:rFonts w:ascii="Calibri" w:hAnsi="Calibri"/>
                                      <w:sz w:val="12"/>
                                    </w:rPr>
                                    <w:t>Italie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53.05pt;margin-top:144.1pt;width:31.2pt;height:16.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tIIwIAACQEAAAOAAAAZHJzL2Uyb0RvYy54bWysU9uO2yAQfa/Uf0C8N3acSzdWnNU221SV&#10;thdptx+AMY5RgaFAYqdf3wFns2n7VpUHxDAzhzNnhvXtoBU5CuclmIpOJzklwnBopNlX9NvT7s0N&#10;JT4w0zAFRlT0JDy93bx+te5tKQroQDXCEQQxvuxtRbsQbJllnndCMz8BKww6W3CaBTTdPmsc6xFd&#10;q6zI82XWg2usAy68x9v70Uk3Cb9tBQ9f2taLQFRFkVtIu0t7Hfdss2bl3jHbSX6mwf6BhWbS4KMX&#10;qHsWGDk4+ReUltyBhzZMOOgM2lZykWrAaqb5H9U8dsyKVAuK4+1FJv//YPnn41dHZFPRWT6jxDCN&#10;TXoSQyDvYCBF1Ke3vsSwR4uBYcBr7HOq1dsH4N89MbDtmNmLO+eg7wRrkN80ZmZXqSOOjyB1/wka&#10;fIYdAiSgoXU6iodyEETHPp0uvYlUOF7OVstijh6OrmK6KJaL9AIrn5Ot8+GDAE3ioaIOW5/A2fHB&#10;h0iGlc8h8S0PSjY7qVQy3L7eKkeODMdkl9YZ/bcwZUhf0dWiWCRkAzE/TZCWAcdYSV3RmzyumM7K&#10;KMZ706RzYFKNZ2SizFmdKMgoTRjqITWiWMbkKF0NzQn1cjCOLX4zPHTgflLS48hW1P84MCcoUR8N&#10;ar6azqNCIRnzxdsCDXftqa89zHCEqmigZDxuQ/oXkbeBO+xNK5NuL0zOnHEUk5znbxNn/dpOUS+f&#10;e/MLAAD//wMAUEsDBBQABgAIAAAAIQAbab1i4AAAAAsBAAAPAAAAZHJzL2Rvd25yZXYueG1sTI/B&#10;ToNAEIbvJr7DZky8GLtALUXK0qiJxmtrH2Bgp0DKzhJ2W+jbu57sbSbz5Z/vL7az6cWFRtdZVhAv&#10;IhDEtdUdNwoOP5/PGQjnkTX2lknBlRxsy/u7AnNtJ97RZe8bEULY5aig9X7IpXR1Swbdwg7E4Xa0&#10;o0Ef1rGResQphJteJlGUSoMdhw8tDvTRUn3an42C4/f0tHqdqi9/WO9e0nfs1pW9KvX4ML9tQHia&#10;/T8Mf/pBHcrgVNkzayd6BcsojQOqIMmyBEQglmm2AlGFIUlikGUhbzuUvwAAAP//AwBQSwECLQAU&#10;AAYACAAAACEAtoM4kv4AAADhAQAAEwAAAAAAAAAAAAAAAAAAAAAAW0NvbnRlbnRfVHlwZXNdLnht&#10;bFBLAQItABQABgAIAAAAIQA4/SH/1gAAAJQBAAALAAAAAAAAAAAAAAAAAC8BAABfcmVscy8ucmVs&#10;c1BLAQItABQABgAIAAAAIQBVBCtIIwIAACQEAAAOAAAAAAAAAAAAAAAAAC4CAABkcnMvZTJvRG9j&#10;LnhtbFBLAQItABQABgAIAAAAIQAbab1i4AAAAAsBAAAPAAAAAAAAAAAAAAAAAH0EAABkcnMvZG93&#10;bnJldi54bWxQSwUGAAAAAAQABADzAAAAigUAAAAA&#10;" stroked="f">
                      <v:textbox>
                        <w:txbxContent>
                          <w:p>
                            <w:pPr>
                              <w:ind w:hanging="142"/>
                              <w:rPr>
                                <w:rFonts w:ascii="Calibri" w:hAnsi="Calibri"/>
                                <w:sz w:val="12"/>
                              </w:rPr>
                            </w:pPr>
                            <w:r>
                              <w:rPr>
                                <w:rFonts w:ascii="Calibri" w:hAnsi="Calibri"/>
                                <w:sz w:val="12"/>
                              </w:rPr>
                              <w:t>Italie</w:t>
                            </w:r>
                          </w:p>
                        </w:txbxContent>
                      </v:textbox>
                    </v:shape>
                  </w:pict>
                </mc:Fallback>
              </mc:AlternateContent>
            </w:r>
            <w:r>
              <w:rPr>
                <w:noProof/>
                <w:sz w:val="22"/>
                <w:szCs w:val="22"/>
              </w:rPr>
              <w:drawing>
                <wp:inline distT="0" distB="0" distL="0" distR="0">
                  <wp:extent cx="2617337" cy="20781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18150" cy="2078827"/>
                          </a:xfrm>
                          <a:prstGeom prst="rect">
                            <a:avLst/>
                          </a:prstGeom>
                          <a:noFill/>
                          <a:ln>
                            <a:noFill/>
                          </a:ln>
                        </pic:spPr>
                      </pic:pic>
                    </a:graphicData>
                  </a:graphic>
                </wp:inline>
              </w:drawing>
            </w:r>
          </w:p>
        </w:tc>
      </w:tr>
      <w:tr w:rsidR="00FC79B3">
        <w:tc>
          <w:tcPr>
            <w:tcW w:w="4666" w:type="dxa"/>
            <w:shd w:val="clear" w:color="auto" w:fill="auto"/>
          </w:tcPr>
          <w:p w:rsidR="00FC79B3" w:rsidRDefault="002A6CE7">
            <w:pPr>
              <w:rPr>
                <w:noProof/>
                <w:sz w:val="22"/>
                <w:szCs w:val="22"/>
                <w:lang w:val="fr-FR"/>
              </w:rPr>
            </w:pPr>
            <w:r>
              <w:rPr>
                <w:noProof/>
              </w:rPr>
              <mc:AlternateContent>
                <mc:Choice Requires="wps">
                  <w:drawing>
                    <wp:anchor distT="0" distB="0" distL="114300" distR="114300" simplePos="0" relativeHeight="251729920" behindDoc="0" locked="0" layoutInCell="1" allowOverlap="1">
                      <wp:simplePos x="0" y="0"/>
                      <wp:positionH relativeFrom="column">
                        <wp:posOffset>1850126</wp:posOffset>
                      </wp:positionH>
                      <wp:positionV relativeFrom="paragraph">
                        <wp:posOffset>1753870</wp:posOffset>
                      </wp:positionV>
                      <wp:extent cx="672405" cy="284672"/>
                      <wp:effectExtent l="0" t="0" r="0" b="127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5" cy="284672"/>
                              </a:xfrm>
                              <a:prstGeom prst="rect">
                                <a:avLst/>
                              </a:prstGeom>
                              <a:solidFill>
                                <a:srgbClr val="FFFFFF"/>
                              </a:solidFill>
                              <a:ln w="9525">
                                <a:noFill/>
                                <a:miter lim="800000"/>
                                <a:headEnd/>
                                <a:tailEnd/>
                              </a:ln>
                            </wps:spPr>
                            <wps:txbx>
                              <w:txbxContent>
                                <w:p w:rsidR="00FC79B3" w:rsidRDefault="002A6CE7">
                                  <w:pPr>
                                    <w:ind w:hanging="142"/>
                                    <w:rPr>
                                      <w:rFonts w:ascii="Calibri" w:hAnsi="Calibri"/>
                                      <w:sz w:val="12"/>
                                    </w:rPr>
                                  </w:pPr>
                                  <w:r>
                                    <w:rPr>
                                      <w:rFonts w:ascii="Calibri" w:hAnsi="Calibri"/>
                                      <w:sz w:val="12"/>
                                    </w:rPr>
                                    <w:t>Allemagne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45.7pt;margin-top:138.1pt;width:52.95pt;height:2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SpJAIAACQEAAAOAAAAZHJzL2Uyb0RvYy54bWysU9uO2yAQfa/Uf0C8N3ZcZzdrxVlts01V&#10;aXuRdvsBGOMYFRgKJHb69R1wNpu2b1V5QAwzczhzZljdjlqRg3BegqnpfJZTIgyHVppdTb89bd8s&#10;KfGBmZYpMKKmR+Hp7fr1q9VgK1FAD6oVjiCI8dVga9qHYKss87wXmvkZWGHQ2YHTLKDpdlnr2IDo&#10;WmVFnl9lA7jWOuDCe7y9n5x0nfC7TvDwpeu8CETVFLmFtLu0N3HP1itW7RyzveQnGuwfWGgmDT56&#10;hrpngZG9k39BackdeOjCjIPOoOskF6kGrGae/1HNY8+sSLWgON6eZfL/D5Z/Pnx1RLY1fZuXlBim&#10;sUlPYgzkHYykiPoM1lcY9mgxMIx4jX1OtXr7APy7JwY2PTM7ceccDL1gLfKbx8zsInXC8RGkGT5B&#10;i8+wfYAENHZOR/FQDoLo2KfjuTeRCsfLq+uizBeUcHQVyxLN9AKrnpOt8+GDAE3ioaYOW5/A2eHB&#10;h0iGVc8h8S0PSrZbqVQy3K7ZKEcODMdkm9YJ/bcwZchQ05tFsUjIBmJ+miAtA46xkrqmyzyumM6q&#10;KMZ706ZzYFJNZ2SizEmdKMgkTRibMTWiuI7JUboG2iPq5WAaW/xmeOjB/aRkwJGtqf+xZ05Qoj4a&#10;1PxmXpZxxpNRLq4LNNylp7n0MMMRqqaBkum4CelfRN4G7rA3nUy6vTA5ccZRTHKevk2c9Us7Rb18&#10;7vUvAAAA//8DAFBLAwQUAAYACAAAACEApi6X098AAAALAQAADwAAAGRycy9kb3ducmV2LnhtbEyP&#10;wU6DQBCG7ya+w2ZMvBi7QCsIsjRqoum1tQ8wsFsgsrOE3Rb69o4nvf2T+fLPN+V2sYO4mMn3jhTE&#10;qwiEocbpnloFx6+Px2cQPiBpHBwZBVfjYVvd3pRYaDfT3lwOoRVcQr5ABV0IYyGlbzpj0a/caIh3&#10;JzdZDDxOrdQTzlxuB5lEUSot9sQXOhzNe2ea78PZKjjt5oenfK4/wzHbb9I37LPaXZW6v1teX0AE&#10;s4Q/GH71WR0qdqrdmbQXg4IkjzeMcsjSBAQT6zxbg6g5JHEEsirl/x+qHwAAAP//AwBQSwECLQAU&#10;AAYACAAAACEAtoM4kv4AAADhAQAAEwAAAAAAAAAAAAAAAAAAAAAAW0NvbnRlbnRfVHlwZXNdLnht&#10;bFBLAQItABQABgAIAAAAIQA4/SH/1gAAAJQBAAALAAAAAAAAAAAAAAAAAC8BAABfcmVscy8ucmVs&#10;c1BLAQItABQABgAIAAAAIQBILjSpJAIAACQEAAAOAAAAAAAAAAAAAAAAAC4CAABkcnMvZTJvRG9j&#10;LnhtbFBLAQItABQABgAIAAAAIQCmLpfT3wAAAAsBAAAPAAAAAAAAAAAAAAAAAH4EAABkcnMvZG93&#10;bnJldi54bWxQSwUGAAAAAAQABADzAAAAigUAAAAA&#10;" stroked="f">
                      <v:textbox>
                        <w:txbxContent>
                          <w:p>
                            <w:pPr>
                              <w:ind w:hanging="142"/>
                              <w:rPr>
                                <w:rFonts w:ascii="Calibri" w:hAnsi="Calibri"/>
                                <w:sz w:val="12"/>
                              </w:rPr>
                            </w:pPr>
                            <w:r>
                              <w:rPr>
                                <w:rFonts w:ascii="Calibri" w:hAnsi="Calibri"/>
                                <w:sz w:val="12"/>
                              </w:rPr>
                              <w:t>Allemagne</w:t>
                            </w:r>
                          </w:p>
                        </w:txbxContent>
                      </v:textbox>
                    </v:shape>
                  </w:pict>
                </mc:Fallback>
              </mc:AlternateContent>
            </w:r>
            <w:r>
              <w:rPr>
                <w:noProof/>
                <w:sz w:val="22"/>
                <w:szCs w:val="22"/>
              </w:rPr>
              <w:drawing>
                <wp:inline distT="0" distB="0" distL="0" distR="0">
                  <wp:extent cx="2560364" cy="20425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63856" cy="2045342"/>
                          </a:xfrm>
                          <a:prstGeom prst="rect">
                            <a:avLst/>
                          </a:prstGeom>
                          <a:noFill/>
                          <a:ln>
                            <a:noFill/>
                          </a:ln>
                        </pic:spPr>
                      </pic:pic>
                    </a:graphicData>
                  </a:graphic>
                </wp:inline>
              </w:drawing>
            </w:r>
          </w:p>
        </w:tc>
        <w:tc>
          <w:tcPr>
            <w:tcW w:w="4484" w:type="dxa"/>
            <w:shd w:val="clear" w:color="auto" w:fill="auto"/>
          </w:tcPr>
          <w:p w:rsidR="00FC79B3" w:rsidRDefault="00FC79B3">
            <w:pPr>
              <w:rPr>
                <w:noProof/>
                <w:sz w:val="22"/>
                <w:szCs w:val="22"/>
                <w:lang w:val="fr-FR"/>
              </w:rPr>
            </w:pPr>
          </w:p>
        </w:tc>
      </w:tr>
    </w:tbl>
    <w:p w:rsidR="00FC79B3" w:rsidRDefault="00FC79B3">
      <w:pPr>
        <w:jc w:val="both"/>
        <w:rPr>
          <w:noProof/>
          <w:sz w:val="22"/>
          <w:szCs w:val="22"/>
          <w:lang w:val="fr-FR"/>
        </w:rPr>
      </w:pPr>
    </w:p>
    <w:p w:rsidR="00FC79B3" w:rsidRDefault="00FC79B3">
      <w:pPr>
        <w:pStyle w:val="BodyText"/>
        <w:rPr>
          <w:noProof/>
          <w:lang w:val="fr-FR"/>
        </w:rPr>
      </w:pPr>
    </w:p>
    <w:p w:rsidR="00FC79B3" w:rsidRDefault="002A6CE7">
      <w:pPr>
        <w:pStyle w:val="Heading3"/>
        <w:rPr>
          <w:noProof/>
          <w:color w:val="auto"/>
          <w:lang w:val="fr-FR"/>
        </w:rPr>
      </w:pPr>
      <w:bookmarkStart w:id="47" w:name="_Ref455135495"/>
      <w:r>
        <w:rPr>
          <w:noProof/>
          <w:color w:val="auto"/>
          <w:lang w:val="fr-FR"/>
        </w:rPr>
        <w:t xml:space="preserve">Valeur </w:t>
      </w:r>
      <w:r>
        <w:rPr>
          <w:noProof/>
          <w:color w:val="auto"/>
          <w:lang w:val="fr-FR"/>
        </w:rPr>
        <w:t>ajoutée pour l’Union européenne et les bénéficiaires de subventions</w:t>
      </w:r>
      <w:bookmarkEnd w:id="47"/>
    </w:p>
    <w:p w:rsidR="00FC79B3" w:rsidRDefault="002A6CE7">
      <w:pPr>
        <w:pStyle w:val="BodyText"/>
        <w:ind w:left="0"/>
        <w:jc w:val="both"/>
        <w:rPr>
          <w:rFonts w:ascii="Times New Roman" w:hAnsi="Times New Roman"/>
          <w:noProof/>
          <w:sz w:val="22"/>
          <w:szCs w:val="22"/>
          <w:lang w:val="fr-FR"/>
        </w:rPr>
      </w:pPr>
      <w:r>
        <w:rPr>
          <w:rFonts w:ascii="Times New Roman" w:hAnsi="Times New Roman"/>
          <w:noProof/>
          <w:sz w:val="22"/>
          <w:lang w:val="fr-FR"/>
        </w:rPr>
        <w:t>La valeur ajoutée européenne du programme pour les bénéficiaires de subventions résidait dans l’accès qui leur était offert à un financement pour s’acquitter plus facilement de leurs oblig</w:t>
      </w:r>
      <w:r>
        <w:rPr>
          <w:rFonts w:ascii="Times New Roman" w:hAnsi="Times New Roman"/>
          <w:noProof/>
          <w:sz w:val="22"/>
          <w:lang w:val="fr-FR"/>
        </w:rPr>
        <w:t>ations inscrites dans le droit de l’Union, par exemple, grâce à une formation, des outils et des recherches pour comprendre comment les obstacles à la mise en œuvre du droit de l’Union pouvaient être réduits, mais aussi pour acquérir les connaissances néce</w:t>
      </w:r>
      <w:r>
        <w:rPr>
          <w:rFonts w:ascii="Times New Roman" w:hAnsi="Times New Roman"/>
          <w:noProof/>
          <w:sz w:val="22"/>
          <w:lang w:val="fr-FR"/>
        </w:rPr>
        <w:t>ssaires sur les bonnes pratiques afin d’aider leurs bénéficiaires sur le terrain. Le programme a également facilité la coopération judiciaire, qui est utile pour les autorités nationales et les acteurs du pouvoir judiciaire qui peuvent être amenés à travai</w:t>
      </w:r>
      <w:r>
        <w:rPr>
          <w:rFonts w:ascii="Times New Roman" w:hAnsi="Times New Roman"/>
          <w:noProof/>
          <w:sz w:val="22"/>
          <w:lang w:val="fr-FR"/>
        </w:rPr>
        <w:t>ller sur des affaires transnationales ou des affaires impliquant le droit pénal de l’Union européenne. Le programme a également soutenu l’apprentissage mutuel entre les États membres</w:t>
      </w:r>
      <w:r>
        <w:rPr>
          <w:rStyle w:val="FootnoteReference"/>
          <w:rFonts w:ascii="Times New Roman" w:hAnsi="Times New Roman"/>
          <w:noProof/>
          <w:sz w:val="22"/>
          <w:lang w:val="fr-FR"/>
        </w:rPr>
        <w:footnoteReference w:id="64"/>
      </w:r>
      <w:r>
        <w:rPr>
          <w:noProof/>
          <w:lang w:val="fr-FR"/>
        </w:rPr>
        <w:t>.</w:t>
      </w:r>
    </w:p>
    <w:p w:rsidR="00FC79B3" w:rsidRDefault="002A6CE7">
      <w:pPr>
        <w:tabs>
          <w:tab w:val="left" w:pos="5580"/>
        </w:tabs>
        <w:jc w:val="both"/>
        <w:rPr>
          <w:noProof/>
          <w:sz w:val="22"/>
          <w:szCs w:val="22"/>
          <w:lang w:val="fr-FR"/>
        </w:rPr>
      </w:pPr>
      <w:r>
        <w:rPr>
          <w:noProof/>
          <w:sz w:val="22"/>
          <w:lang w:val="fr-FR"/>
        </w:rPr>
        <w:t xml:space="preserve">La </w:t>
      </w:r>
      <w:r>
        <w:rPr>
          <w:noProof/>
          <w:sz w:val="22"/>
          <w:szCs w:val="22"/>
          <w:lang w:val="fr-FR"/>
        </w:rPr>
        <w:fldChar w:fldCharType="begin"/>
      </w:r>
      <w:r>
        <w:rPr>
          <w:noProof/>
          <w:sz w:val="22"/>
          <w:szCs w:val="22"/>
          <w:lang w:val="fr-FR"/>
        </w:rPr>
        <w:instrText xml:space="preserve"> REF _Ref456712169 \h  \* MERGEFORMAT </w:instrText>
      </w:r>
      <w:r>
        <w:rPr>
          <w:noProof/>
          <w:sz w:val="22"/>
          <w:szCs w:val="22"/>
          <w:lang w:val="fr-FR"/>
        </w:rPr>
      </w:r>
      <w:r>
        <w:rPr>
          <w:noProof/>
          <w:sz w:val="22"/>
          <w:szCs w:val="22"/>
          <w:lang w:val="fr-FR"/>
        </w:rPr>
        <w:fldChar w:fldCharType="separate"/>
      </w:r>
      <w:r w:rsidRPr="002A6CE7">
        <w:rPr>
          <w:noProof/>
          <w:sz w:val="22"/>
          <w:szCs w:val="22"/>
          <w:lang w:val="fr-FR"/>
        </w:rPr>
        <w:t>Figure 2</w:t>
      </w:r>
      <w:r w:rsidRPr="002A6CE7">
        <w:rPr>
          <w:noProof/>
          <w:sz w:val="22"/>
          <w:szCs w:val="22"/>
          <w:lang w:val="fr-FR"/>
        </w:rPr>
        <w:noBreakHyphen/>
        <w:t>9</w:t>
      </w:r>
      <w:r>
        <w:rPr>
          <w:noProof/>
          <w:sz w:val="22"/>
          <w:szCs w:val="22"/>
          <w:lang w:val="fr-FR"/>
        </w:rPr>
        <w:fldChar w:fldCharType="end"/>
      </w:r>
      <w:r>
        <w:rPr>
          <w:noProof/>
          <w:sz w:val="22"/>
          <w:lang w:val="fr-FR"/>
        </w:rPr>
        <w:t xml:space="preserve"> illustre les résultats de l’enquête en ligne qui a recueilli les avis des bénéficiaires de subventions sur les avantages des partenariats transnationaux dans le programme JPEN.</w:t>
      </w:r>
    </w:p>
    <w:p w:rsidR="00FC79B3" w:rsidRDefault="00FC79B3">
      <w:pPr>
        <w:pStyle w:val="Caption"/>
        <w:rPr>
          <w:noProof/>
          <w:lang w:val="fr-FR"/>
        </w:rPr>
      </w:pPr>
    </w:p>
    <w:p w:rsidR="00FC79B3" w:rsidRDefault="002A6CE7">
      <w:pPr>
        <w:pStyle w:val="Caption"/>
        <w:keepNext/>
        <w:keepLines/>
        <w:rPr>
          <w:b w:val="0"/>
          <w:noProof/>
          <w:color w:val="auto"/>
          <w:lang w:val="fr-FR"/>
        </w:rPr>
      </w:pPr>
      <w:bookmarkStart w:id="48" w:name="_Ref456712169"/>
      <w:r>
        <w:rPr>
          <w:noProof/>
          <w:lang w:val="fr-FR"/>
        </w:rPr>
        <w:t>Figure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9</w:t>
      </w:r>
      <w:r>
        <w:rPr>
          <w:noProof/>
          <w:lang w:val="fr-FR"/>
        </w:rPr>
        <w:fldChar w:fldCharType="end"/>
      </w:r>
      <w:bookmarkEnd w:id="48"/>
      <w:r>
        <w:rPr>
          <w:noProof/>
          <w:lang w:val="fr-FR"/>
        </w:rPr>
        <w:t xml:space="preserve"> Éléments apportés par le partenariat transnational aux organisations qui ont mis en œuvre des projets JPEN</w:t>
      </w:r>
    </w:p>
    <w:p w:rsidR="00FC79B3" w:rsidRDefault="002A6CE7">
      <w:pPr>
        <w:keepNext/>
        <w:keepLines/>
        <w:tabs>
          <w:tab w:val="left" w:pos="5580"/>
        </w:tabs>
        <w:ind w:left="851"/>
        <w:jc w:val="both"/>
        <w:rPr>
          <w:b/>
          <w:i/>
          <w:noProof/>
          <w:sz w:val="16"/>
          <w:szCs w:val="16"/>
          <w:lang w:val="fr-FR"/>
        </w:rPr>
      </w:pPr>
      <w:r>
        <w:rPr>
          <w:b/>
          <w:i/>
          <w:noProof/>
          <w:sz w:val="16"/>
        </w:rPr>
        <mc:AlternateContent>
          <mc:Choice Requires="wps">
            <w:drawing>
              <wp:anchor distT="0" distB="0" distL="114300" distR="114300" simplePos="0" relativeHeight="251731968" behindDoc="0" locked="0" layoutInCell="1" allowOverlap="1">
                <wp:simplePos x="0" y="0"/>
                <wp:positionH relativeFrom="column">
                  <wp:posOffset>219446</wp:posOffset>
                </wp:positionH>
                <wp:positionV relativeFrom="paragraph">
                  <wp:posOffset>-48260</wp:posOffset>
                </wp:positionV>
                <wp:extent cx="1966823" cy="1785668"/>
                <wp:effectExtent l="0" t="0" r="0" b="508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823" cy="1785668"/>
                        </a:xfrm>
                        <a:prstGeom prst="rect">
                          <a:avLst/>
                        </a:prstGeom>
                        <a:solidFill>
                          <a:srgbClr val="FFFFFF"/>
                        </a:solidFill>
                        <a:ln w="9525">
                          <a:noFill/>
                          <a:miter lim="800000"/>
                          <a:headEnd/>
                          <a:tailEnd/>
                        </a:ln>
                      </wps:spPr>
                      <wps:txbx>
                        <w:txbxContent>
                          <w:p w:rsidR="00FC79B3" w:rsidRDefault="002A6CE7">
                            <w:pPr>
                              <w:jc w:val="center"/>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Un réseau composé de (plus de) partenaires internationaux</w:t>
                            </w:r>
                          </w:p>
                          <w:p w:rsidR="00FC79B3" w:rsidRDefault="002A6CE7">
                            <w:pPr>
                              <w:jc w:val="center"/>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Une plus grande connaissance / expertise dans le domaine</w:t>
                            </w:r>
                            <w:r>
                              <w:rPr>
                                <w:rFonts w:asciiTheme="minorHAnsi" w:hAnsiTheme="minorHAnsi"/>
                                <w:b/>
                                <w:color w:val="7F7F7F" w:themeColor="text1" w:themeTint="80"/>
                                <w:sz w:val="18"/>
                                <w:szCs w:val="18"/>
                                <w:lang w:val="fr-FR"/>
                              </w:rPr>
                              <w:t xml:space="preserve"> considéré</w:t>
                            </w:r>
                          </w:p>
                          <w:p w:rsidR="00FC79B3" w:rsidRDefault="002A6CE7">
                            <w:pPr>
                              <w:jc w:val="center"/>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Une plus grande connaissance de la législation de l'UE concernée</w:t>
                            </w:r>
                          </w:p>
                          <w:p w:rsidR="00FC79B3" w:rsidRDefault="002A6CE7">
                            <w:pPr>
                              <w:jc w:val="center"/>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Une plus grande connaissance des politiques de l'UE concernées</w:t>
                            </w:r>
                          </w:p>
                          <w:p w:rsidR="00FC79B3" w:rsidRDefault="002A6CE7">
                            <w:pPr>
                              <w:jc w:val="center"/>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Une plus grande connaissance des politiques et des pratiques des autres pays</w:t>
                            </w:r>
                          </w:p>
                          <w:p w:rsidR="00FC79B3" w:rsidRDefault="002A6CE7">
                            <w:pPr>
                              <w:jc w:val="right"/>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Autre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7.3pt;margin-top:-3.8pt;width:154.85pt;height:140.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12JQIAACYEAAAOAAAAZHJzL2Uyb0RvYy54bWysU9tu2zAMfR+wfxD0vthxkzQx4hRdugwD&#10;ugvQ7gNkWY6FSaImKbG7ry8lp2m2vQ3zgyCa5OHhIbW+GbQiR+G8BFPR6SSnRBgOjTT7in5/3L1b&#10;UuIDMw1TYERFn4SnN5u3b9a9LUUBHahGOIIgxpe9rWgXgi2zzPNOaOYnYIVBZwtOs4Cm22eNYz2i&#10;a5UVeb7IenCNdcCF9/j3bnTSTcJvW8HD17b1IhBVUeQW0unSWccz26xZuXfMdpKfaLB/YKGZNFj0&#10;DHXHAiMHJ/+C0pI78NCGCQedQdtKLlIP2M00/6Obh45ZkXpBcbw9y+T/Hyz/cvzmiGwqepXPKTFM&#10;45AexRDIexhIEfXprS8x7MFiYBjwN8459ertPfAfnhjYdszsxa1z0HeCNchvGjOzi9QRx0eQuv8M&#10;DZZhhwAJaGidjuKhHATRcU5P59lEKjyWXC0Wy+KKEo6+6fVyjmaqwcqXdOt8+ChAk3ipqMPhJ3h2&#10;vPch0mHlS0is5kHJZieVSobb11vlyJHhouzSd0L/LUwZ0ld0NS/mCdlAzE87pGXARVZSV3SZxy+m&#10;szLK8cE06R6YVOMdmShz0idKMooThnpIoyhSZ1G8GponVMzBuLj40PDSgftFSY9LW1H/88CcoER9&#10;Mqj6ajqbxS1Pxmx+XaDhLj31pYcZjlAVDZSM121ILyPyNnCL02ll0u2VyYkzLmOS8/Rw4rZf2inq&#10;9XlvngEAAP//AwBQSwMEFAAGAAgAAAAhAIy18QHeAAAACQEAAA8AAABkcnMvZG93bnJldi54bWxM&#10;j0FPg0AQhe8m/ofNmHgx7WJBUGRo1ETjtbU/YIAtENlZwm4L/feOJz29TN7Le98U28UO6mwm3ztG&#10;uF9HoAzXrum5RTh8va8eQflA3NDg2CBcjIdteX1VUN64mXfmvA+tkhL2OSF0IYy51r7ujCW/dqNh&#10;8Y5ushTknFrdTDRLuR30JopSbalnWehoNG+dqb/3J4tw/JzvHp7m6iMcsl2SvlKfVe6CeHuzvDyD&#10;CmYJf2H4xRd0KIWpciduvBoQ4iSVJMIqExU/TpIYVIWwyeIUdFno/x+UPwAAAP//AwBQSwECLQAU&#10;AAYACAAAACEAtoM4kv4AAADhAQAAEwAAAAAAAAAAAAAAAAAAAAAAW0NvbnRlbnRfVHlwZXNdLnht&#10;bFBLAQItABQABgAIAAAAIQA4/SH/1gAAAJQBAAALAAAAAAAAAAAAAAAAAC8BAABfcmVscy8ucmVs&#10;c1BLAQItABQABgAIAAAAIQAVD412JQIAACYEAAAOAAAAAAAAAAAAAAAAAC4CAABkcnMvZTJvRG9j&#10;LnhtbFBLAQItABQABgAIAAAAIQCMtfEB3gAAAAkBAAAPAAAAAAAAAAAAAAAAAH8EAABkcnMvZG93&#10;bnJldi54bWxQSwUGAAAAAAQABADzAAAAigUAAAAA&#10;" stroked="f">
                <v:textbox>
                  <w:txbxContent>
                    <w:p>
                      <w:pPr>
                        <w:jc w:val="center"/>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Un réseau composé de (plus de) partenaires internationaux</w:t>
                      </w:r>
                    </w:p>
                    <w:p>
                      <w:pPr>
                        <w:jc w:val="center"/>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Une plus grande connaissance / expertise dans le domaine considéré</w:t>
                      </w:r>
                    </w:p>
                    <w:p>
                      <w:pPr>
                        <w:jc w:val="center"/>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Une plus grande connaissance de la législation de l'UE concernée</w:t>
                      </w:r>
                    </w:p>
                    <w:p>
                      <w:pPr>
                        <w:jc w:val="center"/>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Une plus grande connaissance des politiques de l'UE concernées</w:t>
                      </w:r>
                    </w:p>
                    <w:p>
                      <w:pPr>
                        <w:jc w:val="center"/>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Une plus grande connaissance des politiques et des pratiques des autres pays</w:t>
                      </w:r>
                    </w:p>
                    <w:p>
                      <w:pPr>
                        <w:jc w:val="right"/>
                        <w:rPr>
                          <w:rFonts w:asciiTheme="minorHAnsi" w:hAnsiTheme="minorHAnsi"/>
                          <w:b/>
                          <w:color w:val="7F7F7F" w:themeColor="text1" w:themeTint="80"/>
                          <w:sz w:val="18"/>
                          <w:szCs w:val="18"/>
                          <w:lang w:val="fr-FR"/>
                        </w:rPr>
                      </w:pPr>
                      <w:r>
                        <w:rPr>
                          <w:rFonts w:asciiTheme="minorHAnsi" w:hAnsiTheme="minorHAnsi"/>
                          <w:b/>
                          <w:color w:val="7F7F7F" w:themeColor="text1" w:themeTint="80"/>
                          <w:sz w:val="18"/>
                          <w:szCs w:val="18"/>
                          <w:lang w:val="fr-FR"/>
                        </w:rPr>
                        <w:t>Autre</w:t>
                      </w:r>
                    </w:p>
                  </w:txbxContent>
                </v:textbox>
              </v:shape>
            </w:pict>
          </mc:Fallback>
        </mc:AlternateContent>
      </w:r>
      <w:r>
        <w:rPr>
          <w:noProof/>
        </w:rPr>
        <w:drawing>
          <wp:inline distT="0" distB="0" distL="0" distR="0">
            <wp:extent cx="4997450" cy="1967230"/>
            <wp:effectExtent l="0" t="0" r="0" b="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C79B3" w:rsidRDefault="002A6CE7">
      <w:pPr>
        <w:ind w:left="851"/>
        <w:jc w:val="both"/>
        <w:rPr>
          <w:b/>
          <w:i/>
          <w:noProof/>
          <w:sz w:val="16"/>
          <w:lang w:val="fr-FR"/>
        </w:rPr>
      </w:pPr>
      <w:r>
        <w:rPr>
          <w:noProof/>
        </w:rPr>
        <mc:AlternateContent>
          <mc:Choice Requires="wps">
            <w:drawing>
              <wp:anchor distT="0" distB="0" distL="114300" distR="114300" simplePos="0" relativeHeight="251735040" behindDoc="0" locked="0" layoutInCell="1" allowOverlap="1">
                <wp:simplePos x="0" y="0"/>
                <wp:positionH relativeFrom="column">
                  <wp:posOffset>227786</wp:posOffset>
                </wp:positionH>
                <wp:positionV relativeFrom="paragraph">
                  <wp:posOffset>29845</wp:posOffset>
                </wp:positionV>
                <wp:extent cx="5421630" cy="0"/>
                <wp:effectExtent l="0" t="0" r="26670" b="19050"/>
                <wp:wrapNone/>
                <wp:docPr id="300" name="Straight Connector 300"/>
                <wp:cNvGraphicFramePr/>
                <a:graphic xmlns:a="http://schemas.openxmlformats.org/drawingml/2006/main">
                  <a:graphicData uri="http://schemas.microsoft.com/office/word/2010/wordprocessingShape">
                    <wps:wsp>
                      <wps:cNvCnPr/>
                      <wps:spPr>
                        <a:xfrm>
                          <a:off x="0" y="0"/>
                          <a:ext cx="5421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2.35pt" to="444.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uQEAAMcDAAAOAAAAZHJzL2Uyb0RvYy54bWysU8GOEzEMvSPxD1HudKZdWKFRp3voarkg&#10;qFj4gGzG6URK4sgJnfbvcdJ2FgESAu3FE8d+tt+LZ3139E4cgJLF0MvlopUCgsbBhn0vv319ePNe&#10;ipRVGJTDAL08QZJ3m9ev1lPsYIUjugFIcJGQuin2csw5dk2T9AhepQVGCBw0SF5ldmnfDKQmru5d&#10;s2rb22ZCGiKhhpT49v4clJta3xjQ+bMxCbJwveTZcrVU7VOxzWatuj2pOFp9GUP9xxRe2cBN51L3&#10;KivxnexvpbzVhAlNXmj0DRpjNVQOzGbZ/sLmcVQRKhcWJ8VZpvRyZfWnw46EHXp507I+QXl+pMdM&#10;yu7HLLYYAkuIJEqUtZpi6hiyDTu6eCnuqBA/GvLly5TEsep7mvWFYxaaL9+9XS1vb7iNvsaaZ2Ck&#10;lD8AelEOvXQ2FOqqU4ePKXMzTr2msFMGObeup3xyUJJd+AKG6XCzZUXXRYKtI3FQvAJKawh5Wahw&#10;vZpdYMY6NwPbvwMv+QUKdcn+BTwjamcMeQZ7G5D+1D0fryObc/5VgTPvIsETDqf6KFUa3pbK8LLZ&#10;ZR1/9iv8+f/b/AAAAP//AwBQSwMEFAAGAAgAAAAhAHo3ORfdAAAABgEAAA8AAABkcnMvZG93bnJl&#10;di54bWxMjsFOwzAQRO9I/IO1SFxQ6wBNSUOcCpCqHgpCNHyAGy9JRLyOYidN+XoWLnCb0YxmXrae&#10;bCtG7H3jSMH1PAKBVDrTUKXgvdjMEhA+aDK6dYQKTuhhnZ+fZTo17khvOO5DJXiEfKoV1CF0qZS+&#10;rNFqP3cdEmcfrrc6sO0raXp95HHbypsoWkqrG+KHWnf4VGP5uR+sgu3mEXfxaagWJt4WV2Px/PL1&#10;mih1eTE93IMIOIW/MvzgMzrkzHRwAxkvWgW38YqbChZ3IDhOkhWLw6+XeSb/4+ffAAAA//8DAFBL&#10;AQItABQABgAIAAAAIQC2gziS/gAAAOEBAAATAAAAAAAAAAAAAAAAAAAAAABbQ29udGVudF9UeXBl&#10;c10ueG1sUEsBAi0AFAAGAAgAAAAhADj9If/WAAAAlAEAAAsAAAAAAAAAAAAAAAAALwEAAF9yZWxz&#10;Ly5yZWxzUEsBAi0AFAAGAAgAAAAhAFkT/965AQAAxwMAAA4AAAAAAAAAAAAAAAAALgIAAGRycy9l&#10;Mm9Eb2MueG1sUEsBAi0AFAAGAAgAAAAhAHo3ORfdAAAABgEAAA8AAAAAAAAAAAAAAAAAEwQAAGRy&#10;cy9kb3ducmV2LnhtbFBLBQYAAAAABAAEAPMAAAAdBQAAAAA=&#10;" strokecolor="#4579b8 [3044]"/>
            </w:pict>
          </mc:Fallback>
        </mc:AlternateContent>
      </w:r>
    </w:p>
    <w:p w:rsidR="00FC79B3" w:rsidRDefault="002A6CE7">
      <w:pPr>
        <w:ind w:left="851"/>
        <w:jc w:val="both"/>
        <w:rPr>
          <w:b/>
          <w:i/>
          <w:noProof/>
          <w:sz w:val="16"/>
          <w:szCs w:val="16"/>
          <w:lang w:val="fr-FR"/>
        </w:rPr>
      </w:pPr>
      <w:r>
        <w:rPr>
          <w:b/>
          <w:i/>
          <w:noProof/>
          <w:sz w:val="16"/>
          <w:lang w:val="fr-FR"/>
        </w:rPr>
        <w:t xml:space="preserve">Source: </w:t>
      </w:r>
      <w:r>
        <w:rPr>
          <w:i/>
          <w:noProof/>
          <w:sz w:val="16"/>
          <w:lang w:val="fr-FR"/>
        </w:rPr>
        <w:t xml:space="preserve">étude d’évaluation ex </w:t>
      </w:r>
      <w:r>
        <w:rPr>
          <w:i/>
          <w:noProof/>
          <w:sz w:val="16"/>
          <w:lang w:val="fr-FR"/>
        </w:rPr>
        <w:t xml:space="preserve">post des cinq programmes de la DG Justice de 2007 à 2013. N = 59. </w:t>
      </w:r>
      <w:r>
        <w:rPr>
          <w:b/>
          <w:i/>
          <w:noProof/>
          <w:sz w:val="16"/>
          <w:lang w:val="fr-FR"/>
        </w:rPr>
        <w:t xml:space="preserve">Question 29c: </w:t>
      </w:r>
      <w:r>
        <w:rPr>
          <w:i/>
          <w:noProof/>
          <w:sz w:val="16"/>
          <w:lang w:val="fr-FR"/>
        </w:rPr>
        <w:t>Qu’a apporté le partenariat transnational à votre organisation? (Veuillez sélectionner toutes les réponses applicables.)</w:t>
      </w:r>
    </w:p>
    <w:p w:rsidR="00FC79B3" w:rsidRDefault="00FC79B3">
      <w:pPr>
        <w:tabs>
          <w:tab w:val="left" w:pos="5580"/>
        </w:tabs>
        <w:jc w:val="both"/>
        <w:rPr>
          <w:noProof/>
          <w:lang w:val="fr-FR"/>
        </w:rPr>
      </w:pPr>
    </w:p>
    <w:p w:rsidR="00FC79B3" w:rsidRDefault="00FC79B3">
      <w:pPr>
        <w:tabs>
          <w:tab w:val="left" w:pos="5580"/>
        </w:tabs>
        <w:jc w:val="both"/>
        <w:rPr>
          <w:noProof/>
          <w:sz w:val="22"/>
          <w:szCs w:val="22"/>
          <w:lang w:val="fr-FR"/>
        </w:rPr>
      </w:pPr>
    </w:p>
    <w:p w:rsidR="00FC79B3" w:rsidRDefault="002A6CE7">
      <w:pPr>
        <w:tabs>
          <w:tab w:val="left" w:pos="5580"/>
        </w:tabs>
        <w:jc w:val="both"/>
        <w:rPr>
          <w:noProof/>
          <w:sz w:val="22"/>
          <w:szCs w:val="22"/>
          <w:lang w:val="fr-FR"/>
        </w:rPr>
      </w:pPr>
      <w:r>
        <w:rPr>
          <w:noProof/>
          <w:sz w:val="22"/>
          <w:lang w:val="fr-FR"/>
        </w:rPr>
        <w:t xml:space="preserve">La dimension transnationale du programme JPEN était </w:t>
      </w:r>
      <w:r>
        <w:rPr>
          <w:noProof/>
          <w:sz w:val="22"/>
          <w:lang w:val="fr-FR"/>
        </w:rPr>
        <w:t>également liée dans une certaine mesure aux bonnes relations de travail nouées au sein des partenariats. La consultation a fait apparaître que les partenaires ont été globalement satisfaits du partenariat formé dans le cadre des projets JPEN. En particulie</w:t>
      </w:r>
      <w:r>
        <w:rPr>
          <w:noProof/>
          <w:sz w:val="22"/>
          <w:lang w:val="fr-FR"/>
        </w:rPr>
        <w:t>r, les répondants ont exprimé leur satisfaction sur la répartition des tâches entre les partenaires, le nombre d’organisations impliquées dans la mise en œuvre des projets, l’échange d’expériences et d’enseignements et la communication sur un plan général.</w:t>
      </w:r>
      <w:r>
        <w:rPr>
          <w:noProof/>
          <w:lang w:val="fr-FR"/>
        </w:rPr>
        <w:t xml:space="preserve"> </w:t>
      </w:r>
      <w:r>
        <w:rPr>
          <w:noProof/>
          <w:sz w:val="22"/>
          <w:lang w:val="fr-FR"/>
        </w:rPr>
        <w:t>Plus de la moitié d’entre eux (62 %) ont même déclaré qu’il aurait été utile d’inclure davantage d’organisations d’autres États membres – ce qui aurait effectivement pu multiplier les répercussions bénéfiques.</w:t>
      </w:r>
    </w:p>
    <w:p w:rsidR="00FC79B3" w:rsidRDefault="00FC79B3">
      <w:pPr>
        <w:tabs>
          <w:tab w:val="left" w:pos="5580"/>
        </w:tabs>
        <w:jc w:val="both"/>
        <w:rPr>
          <w:noProof/>
          <w:sz w:val="22"/>
          <w:szCs w:val="22"/>
          <w:lang w:val="fr-FR"/>
        </w:rPr>
      </w:pPr>
    </w:p>
    <w:p w:rsidR="00FC79B3" w:rsidRDefault="002A6CE7">
      <w:pPr>
        <w:tabs>
          <w:tab w:val="left" w:pos="5580"/>
        </w:tabs>
        <w:jc w:val="both"/>
        <w:rPr>
          <w:noProof/>
          <w:sz w:val="22"/>
          <w:szCs w:val="22"/>
          <w:lang w:val="fr-FR"/>
        </w:rPr>
      </w:pPr>
      <w:r>
        <w:rPr>
          <w:noProof/>
          <w:sz w:val="22"/>
          <w:lang w:val="fr-FR"/>
        </w:rPr>
        <w:t>Sur les 282 subventions à l’action, 40 étaie</w:t>
      </w:r>
      <w:r>
        <w:rPr>
          <w:noProof/>
          <w:sz w:val="22"/>
          <w:lang w:val="fr-FR"/>
        </w:rPr>
        <w:t>nt nationales et, parmi celles-ci, 33 étaient consacrées à la création de casiers judiciaires compatibles avec ECRIS. Trois projets étaient destinés à définir des techniques novatrices pour travailler sur les affaires ayant trait à l’UE (structure permanen</w:t>
      </w:r>
      <w:r>
        <w:rPr>
          <w:noProof/>
          <w:sz w:val="22"/>
          <w:lang w:val="fr-FR"/>
        </w:rPr>
        <w:t>te d’aide aux juges utilisant les mandats d’arrêt européens, nouvelles méthodes d’interprétation des condamnations et des délits de l’UE et système de prévention du suicide dans les prisons) et quatre étaient des études qui ont cartographié l’application d</w:t>
      </w:r>
      <w:r>
        <w:rPr>
          <w:noProof/>
          <w:sz w:val="22"/>
          <w:lang w:val="fr-FR"/>
        </w:rPr>
        <w:t>u droit de l’Union ou la formation. Les résultats ont été diffusés dans toute l’Union européenne et présentaient un intérêt incontestable pour l’Union</w:t>
      </w:r>
      <w:r>
        <w:rPr>
          <w:rStyle w:val="FootnoteReference"/>
          <w:noProof/>
          <w:sz w:val="22"/>
          <w:lang w:val="fr-FR"/>
        </w:rPr>
        <w:footnoteReference w:id="65"/>
      </w:r>
      <w:r>
        <w:rPr>
          <w:noProof/>
          <w:lang w:val="fr-FR"/>
        </w:rPr>
        <w:t>.</w:t>
      </w:r>
    </w:p>
    <w:p w:rsidR="00FC79B3" w:rsidRDefault="00FC79B3">
      <w:pPr>
        <w:pStyle w:val="Corpsdutexte0"/>
        <w:shd w:val="clear" w:color="auto" w:fill="auto"/>
        <w:spacing w:after="0" w:line="274" w:lineRule="exact"/>
        <w:ind w:left="23" w:right="23" w:firstLine="0"/>
        <w:jc w:val="both"/>
        <w:rPr>
          <w:noProof/>
          <w:lang w:val="fr-FR"/>
        </w:rPr>
      </w:pPr>
    </w:p>
    <w:p w:rsidR="00FC79B3" w:rsidRDefault="002A6CE7">
      <w:pPr>
        <w:pStyle w:val="Corpsdutexte0"/>
        <w:shd w:val="clear" w:color="auto" w:fill="auto"/>
        <w:spacing w:after="787" w:line="274" w:lineRule="exact"/>
        <w:ind w:left="20" w:right="20" w:firstLine="0"/>
        <w:jc w:val="both"/>
        <w:rPr>
          <w:noProof/>
          <w:lang w:val="fr-FR"/>
        </w:rPr>
      </w:pPr>
      <w:r>
        <w:rPr>
          <w:noProof/>
          <w:lang w:val="fr-FR"/>
        </w:rPr>
        <w:t>Enfin, il peut être supposé qu’une part substantielle des activités créées dans le cadre de JPEN ne l’</w:t>
      </w:r>
      <w:r>
        <w:rPr>
          <w:noProof/>
          <w:lang w:val="fr-FR"/>
        </w:rPr>
        <w:t>auraient pas été en l’absence du programme, car JPEN a engendré une demande de nouvelles activités. Les organisations impliquées peinaient à accéder à des fonds nationaux pour poursuivre leurs activités, surtout après la dernière crise économique et financ</w:t>
      </w:r>
      <w:r>
        <w:rPr>
          <w:noProof/>
          <w:lang w:val="fr-FR"/>
        </w:rPr>
        <w:t xml:space="preserve">ière, ou pour mener d’autres projets dans le domaine de la justice. La plupart des projets et activités n’ont pas reçu de financement complémentaire d’autres instruments. De plus, 77 % des participants à l’enquête en ligne ont déclaré que leurs projets ou </w:t>
      </w:r>
      <w:r>
        <w:rPr>
          <w:noProof/>
          <w:lang w:val="fr-FR"/>
        </w:rPr>
        <w:t>activités n’auraient pas été réalisés sans financement européen et six répondants seulement (6 %) ont indiqué qu’ils se seraient tenus indépendamment de l’obtention de fonds de l’Union européenne</w:t>
      </w:r>
      <w:r>
        <w:rPr>
          <w:rStyle w:val="FootnoteReference"/>
          <w:noProof/>
          <w:lang w:val="fr-FR"/>
        </w:rPr>
        <w:footnoteReference w:id="66"/>
      </w:r>
      <w:r>
        <w:rPr>
          <w:noProof/>
          <w:lang w:val="fr-FR"/>
        </w:rPr>
        <w:t>.</w:t>
      </w:r>
    </w:p>
    <w:p w:rsidR="00FC79B3" w:rsidRDefault="002A6CE7">
      <w:pPr>
        <w:pStyle w:val="Heading1"/>
        <w:rPr>
          <w:rStyle w:val="En-tte3"/>
          <w:noProof/>
          <w:sz w:val="32"/>
          <w:szCs w:val="28"/>
          <w:lang w:val="fr-FR"/>
        </w:rPr>
      </w:pPr>
      <w:bookmarkStart w:id="49" w:name="_Toc420489571"/>
      <w:bookmarkStart w:id="50" w:name="_Toc471909136"/>
      <w:r>
        <w:rPr>
          <w:rStyle w:val="En-tte3"/>
          <w:noProof/>
          <w:sz w:val="32"/>
          <w:lang w:val="fr-FR"/>
        </w:rPr>
        <w:t>CONCLUSIONS</w:t>
      </w:r>
      <w:bookmarkEnd w:id="49"/>
      <w:bookmarkEnd w:id="50"/>
    </w:p>
    <w:p w:rsidR="00FC79B3" w:rsidRDefault="002A6CE7">
      <w:pPr>
        <w:pStyle w:val="Heading4"/>
        <w:numPr>
          <w:ilvl w:val="0"/>
          <w:numId w:val="0"/>
        </w:numPr>
        <w:spacing w:after="120"/>
        <w:ind w:left="851" w:hanging="851"/>
        <w:jc w:val="both"/>
        <w:rPr>
          <w:noProof/>
          <w:color w:val="auto"/>
          <w:lang w:val="fr-FR"/>
        </w:rPr>
      </w:pPr>
      <w:r>
        <w:rPr>
          <w:noProof/>
          <w:color w:val="auto"/>
          <w:lang w:val="fr-FR"/>
        </w:rPr>
        <w:t>Pertinence du programme</w:t>
      </w:r>
      <w:r>
        <w:rPr>
          <w:rStyle w:val="FootnoteReference"/>
          <w:noProof/>
          <w:color w:val="auto"/>
          <w:lang w:val="fr-FR"/>
        </w:rPr>
        <w:footnoteReference w:id="67"/>
      </w:r>
    </w:p>
    <w:p w:rsidR="00FC79B3" w:rsidRDefault="002A6CE7">
      <w:pPr>
        <w:pStyle w:val="BTBullet1"/>
        <w:numPr>
          <w:ilvl w:val="0"/>
          <w:numId w:val="21"/>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 xml:space="preserve">Les objectifs et </w:t>
      </w:r>
      <w:r>
        <w:rPr>
          <w:rFonts w:ascii="Times New Roman" w:hAnsi="Times New Roman"/>
          <w:noProof/>
          <w:color w:val="000000"/>
          <w:sz w:val="22"/>
          <w:lang w:val="fr-FR"/>
        </w:rPr>
        <w:t>priorités spécifiques du programme étaient dans une large mesure spécifiques, atteignables et réalistes, mais n’étaient pas toujours mesurables ou circonscrits dans le temps.</w:t>
      </w:r>
    </w:p>
    <w:p w:rsidR="00FC79B3" w:rsidRDefault="002A6CE7">
      <w:pPr>
        <w:pStyle w:val="BTBullet1"/>
        <w:numPr>
          <w:ilvl w:val="0"/>
          <w:numId w:val="21"/>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Dès lors que les domaines prioritaires des appels à propositions ont inclus une d</w:t>
      </w:r>
      <w:r>
        <w:rPr>
          <w:rFonts w:ascii="Times New Roman" w:hAnsi="Times New Roman"/>
          <w:noProof/>
          <w:color w:val="000000"/>
          <w:sz w:val="22"/>
          <w:lang w:val="fr-FR"/>
        </w:rPr>
        <w:t>escription de la teneur escomptée des projets, ils sont devenus plus spécifiques et les demandeurs de subventions ont pu mieux s'assurer de la pertinence de leurs projets au regard des objectifs européens. De même, étant donné que les domaines prioritaires</w:t>
      </w:r>
      <w:r>
        <w:rPr>
          <w:rFonts w:ascii="Times New Roman" w:hAnsi="Times New Roman"/>
          <w:noProof/>
          <w:color w:val="000000"/>
          <w:sz w:val="22"/>
          <w:lang w:val="fr-FR"/>
        </w:rPr>
        <w:t xml:space="preserve"> s’inspiraient fortement des objectifs du programme et des objectifs stratégiques de l’Union, les actions sélectionnées pouvaient sans difficulté cibler également ces objectifs.</w:t>
      </w:r>
    </w:p>
    <w:p w:rsidR="00FC79B3" w:rsidRDefault="002A6CE7">
      <w:pPr>
        <w:pStyle w:val="BTBullet1"/>
        <w:numPr>
          <w:ilvl w:val="0"/>
          <w:numId w:val="21"/>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Les services acquis à l’aide de fonds du programme JPEN ont aussi été extrêmem</w:t>
      </w:r>
      <w:r>
        <w:rPr>
          <w:rFonts w:ascii="Times New Roman" w:hAnsi="Times New Roman"/>
          <w:noProof/>
          <w:color w:val="000000"/>
          <w:sz w:val="22"/>
          <w:lang w:val="fr-FR"/>
        </w:rPr>
        <w:t xml:space="preserve">ent pertinents pour les objectifs du programme et ceux, plus larges, de l’Union européenne en ce qu’ils ont en majorité servi à l’élaboration d’outils d’e-justice (spécialement le portail e-Justice et ses modules) ou à des recherches destinées à alimenter </w:t>
      </w:r>
      <w:r>
        <w:rPr>
          <w:rFonts w:ascii="Times New Roman" w:hAnsi="Times New Roman"/>
          <w:noProof/>
          <w:color w:val="000000"/>
          <w:sz w:val="22"/>
          <w:lang w:val="fr-FR"/>
        </w:rPr>
        <w:t>les travaux législatifs et politiques.</w:t>
      </w:r>
    </w:p>
    <w:p w:rsidR="00FC79B3" w:rsidRDefault="002A6CE7">
      <w:pPr>
        <w:pStyle w:val="BTBullet1"/>
        <w:numPr>
          <w:ilvl w:val="0"/>
          <w:numId w:val="21"/>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L’analyse des formulaires de demande de subventions et des informations recueillies dans le cadre d’une consultation avec les bénéficiaires de subventions révèle que de nombreux bénéficiaires soit n’ont  pas élaboré l</w:t>
      </w:r>
      <w:r>
        <w:rPr>
          <w:rFonts w:ascii="Times New Roman" w:hAnsi="Times New Roman"/>
          <w:noProof/>
          <w:color w:val="000000"/>
          <w:sz w:val="22"/>
          <w:lang w:val="fr-FR"/>
        </w:rPr>
        <w:t>eurs projets sur la base d’une évaluation des besoins, soit n'ont pas  fourni de preuves suffisantes pour étayer l’évaluation des besoins présentée dans leur formulaire de demande. Il en résulte un risque que des approches plus pertinentes ou plus utiles n</w:t>
      </w:r>
      <w:r>
        <w:rPr>
          <w:rFonts w:ascii="Times New Roman" w:hAnsi="Times New Roman"/>
          <w:noProof/>
          <w:color w:val="000000"/>
          <w:sz w:val="22"/>
          <w:lang w:val="fr-FR"/>
        </w:rPr>
        <w:t>’aient pas été utilisées pour atteindre les objectifs des projets.</w:t>
      </w:r>
    </w:p>
    <w:p w:rsidR="00FC79B3" w:rsidRDefault="002A6CE7">
      <w:pPr>
        <w:pStyle w:val="BTBullet1"/>
        <w:numPr>
          <w:ilvl w:val="0"/>
          <w:numId w:val="21"/>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Les rapports présentés par les bénéficiaires de subventions indiquent malgré tout que les bénéficiaires finaux ont réagi positivement aux projets, donnant à penser qu’ils ont jugé les actio</w:t>
      </w:r>
      <w:r>
        <w:rPr>
          <w:rFonts w:ascii="Times New Roman" w:hAnsi="Times New Roman"/>
          <w:noProof/>
          <w:color w:val="000000"/>
          <w:sz w:val="22"/>
          <w:lang w:val="fr-FR"/>
        </w:rPr>
        <w:t>ns pertinentes. Cette conclusion ne peut néanmoins être corroborée sans recueillir les avis indépendants de bénéficiaires finaux.</w:t>
      </w:r>
    </w:p>
    <w:p w:rsidR="00FC79B3" w:rsidRDefault="002A6CE7">
      <w:pPr>
        <w:pStyle w:val="Heading4"/>
        <w:numPr>
          <w:ilvl w:val="0"/>
          <w:numId w:val="0"/>
        </w:numPr>
        <w:spacing w:after="120"/>
        <w:ind w:left="851" w:hanging="851"/>
        <w:jc w:val="both"/>
        <w:rPr>
          <w:noProof/>
          <w:color w:val="auto"/>
          <w:lang w:val="fr-FR"/>
        </w:rPr>
      </w:pPr>
      <w:r>
        <w:rPr>
          <w:noProof/>
          <w:color w:val="auto"/>
          <w:lang w:val="fr-FR"/>
        </w:rPr>
        <w:t>Cohérence et complémentarité</w:t>
      </w:r>
    </w:p>
    <w:p w:rsidR="00FC79B3" w:rsidRDefault="002A6CE7">
      <w:pPr>
        <w:pStyle w:val="BTBullet1"/>
        <w:numPr>
          <w:ilvl w:val="0"/>
          <w:numId w:val="22"/>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La complémentarité entre JPEN et d’autres programmes et interventions de l’Union européenne a été</w:t>
      </w:r>
      <w:r>
        <w:rPr>
          <w:rFonts w:ascii="Times New Roman" w:hAnsi="Times New Roman"/>
          <w:noProof/>
          <w:color w:val="000000"/>
          <w:sz w:val="22"/>
          <w:lang w:val="fr-FR"/>
        </w:rPr>
        <w:t xml:space="preserve"> pour ainsi dire parfaite, même si quelques projets présentaient véritablement un risque de double emploi avec les activités d’autres mesures européennes.</w:t>
      </w:r>
    </w:p>
    <w:p w:rsidR="00FC79B3" w:rsidRDefault="002A6CE7">
      <w:pPr>
        <w:pStyle w:val="BTBullet1"/>
        <w:numPr>
          <w:ilvl w:val="0"/>
          <w:numId w:val="22"/>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 xml:space="preserve">La complémentarité a été assurée au moyen de mécanismes que la Commission a mis en place au stade de </w:t>
      </w:r>
      <w:r>
        <w:rPr>
          <w:rFonts w:ascii="Times New Roman" w:hAnsi="Times New Roman"/>
          <w:noProof/>
          <w:color w:val="000000"/>
          <w:sz w:val="22"/>
          <w:lang w:val="fr-FR"/>
        </w:rPr>
        <w:t>la conception du programme et au stade de la rédaction des appels à propositions.</w:t>
      </w:r>
    </w:p>
    <w:p w:rsidR="00FC79B3" w:rsidRDefault="002A6CE7">
      <w:pPr>
        <w:pStyle w:val="BTBullet1"/>
        <w:numPr>
          <w:ilvl w:val="0"/>
          <w:numId w:val="22"/>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Au cours du cycle de programmation, la Commission n’a pas fait usage de mécanismes d’augmentation de la complémentarité durant les phases de  sélection, de suivi et de présen</w:t>
      </w:r>
      <w:r>
        <w:rPr>
          <w:rFonts w:ascii="Times New Roman" w:hAnsi="Times New Roman"/>
          <w:noProof/>
          <w:color w:val="000000"/>
          <w:sz w:val="22"/>
          <w:lang w:val="fr-FR"/>
        </w:rPr>
        <w:t>tation des rapports sur les projets, excepté pour le partage de ressources (notamment le portail e-Justice) avec le programme «Justice civile» (JCIV).</w:t>
      </w:r>
    </w:p>
    <w:p w:rsidR="00FC79B3" w:rsidRDefault="002A6CE7">
      <w:pPr>
        <w:pStyle w:val="Heading4"/>
        <w:numPr>
          <w:ilvl w:val="0"/>
          <w:numId w:val="0"/>
        </w:numPr>
        <w:spacing w:after="120"/>
        <w:ind w:left="851" w:hanging="851"/>
        <w:jc w:val="both"/>
        <w:rPr>
          <w:noProof/>
          <w:color w:val="auto"/>
          <w:lang w:val="fr-FR"/>
        </w:rPr>
      </w:pPr>
      <w:r>
        <w:rPr>
          <w:noProof/>
          <w:color w:val="auto"/>
          <w:lang w:val="fr-FR"/>
        </w:rPr>
        <w:t>Efficacité</w:t>
      </w:r>
    </w:p>
    <w:p w:rsidR="00FC79B3" w:rsidRDefault="002A6CE7">
      <w:pPr>
        <w:pStyle w:val="BTBullet1"/>
        <w:numPr>
          <w:ilvl w:val="0"/>
          <w:numId w:val="23"/>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Dans l’ensemble, les actions mises en œuvre ont réalisé les objectifs du programme, en particu</w:t>
      </w:r>
      <w:r>
        <w:rPr>
          <w:rFonts w:ascii="Times New Roman" w:hAnsi="Times New Roman"/>
          <w:noProof/>
          <w:color w:val="000000"/>
          <w:sz w:val="22"/>
          <w:lang w:val="fr-FR"/>
        </w:rPr>
        <w:t xml:space="preserve">lier les objectifs spécifiques relatifs à la formation des magistrats et à la coopération judiciaire. </w:t>
      </w:r>
    </w:p>
    <w:p w:rsidR="00FC79B3" w:rsidRDefault="002A6CE7">
      <w:pPr>
        <w:pStyle w:val="BTBullet1"/>
        <w:numPr>
          <w:ilvl w:val="0"/>
          <w:numId w:val="23"/>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 xml:space="preserve">Les projets qui ont fait intervenir des décideurs politiques, sous la forme d’une consultation au stade de la conception, de séances d’information ou de </w:t>
      </w:r>
      <w:r>
        <w:rPr>
          <w:rFonts w:ascii="Times New Roman" w:hAnsi="Times New Roman"/>
          <w:noProof/>
          <w:color w:val="000000"/>
          <w:sz w:val="22"/>
          <w:lang w:val="fr-FR"/>
        </w:rPr>
        <w:t>réunions ou en leur accordant un siège dans leur comité de pilotage, ont contribué à atteindre l’aboutissement souhaité, à savoir  que les décideurs utilisent les résultats des projets pour façonner de nouvelles politiques ou législations ou les adapter.</w:t>
      </w:r>
    </w:p>
    <w:p w:rsidR="00FC79B3" w:rsidRDefault="002A6CE7">
      <w:pPr>
        <w:pStyle w:val="BTBullet1"/>
        <w:numPr>
          <w:ilvl w:val="0"/>
          <w:numId w:val="23"/>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I</w:t>
      </w:r>
      <w:r>
        <w:rPr>
          <w:rFonts w:ascii="Times New Roman" w:hAnsi="Times New Roman"/>
          <w:noProof/>
          <w:color w:val="000000"/>
          <w:sz w:val="22"/>
          <w:lang w:val="fr-FR"/>
        </w:rPr>
        <w:t>l est difficile d’évaluer dans quelle mesure les résultats des projets ont été atteints (par rapport aux prévisions), car la Commission a seulement exigé à un stade proche de la fin du programme que les demandeurs de subventions désignent un objectif mesur</w:t>
      </w:r>
      <w:r>
        <w:rPr>
          <w:rFonts w:ascii="Times New Roman" w:hAnsi="Times New Roman"/>
          <w:noProof/>
          <w:color w:val="000000"/>
          <w:sz w:val="22"/>
          <w:lang w:val="fr-FR"/>
        </w:rPr>
        <w:t>able pour leurs produits et les rapports finaux sur ces projets n’ont pas encore été publiés.</w:t>
      </w:r>
    </w:p>
    <w:p w:rsidR="00FC79B3" w:rsidRDefault="002A6CE7">
      <w:pPr>
        <w:pStyle w:val="BTBullet1"/>
        <w:numPr>
          <w:ilvl w:val="0"/>
          <w:numId w:val="23"/>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D’après les renseignements fournis par les bénéficiaires des subventions eux-mêmes (dans les rapports finaux et les consultations menées aux fins de la présente é</w:t>
      </w:r>
      <w:r>
        <w:rPr>
          <w:rFonts w:ascii="Times New Roman" w:hAnsi="Times New Roman"/>
          <w:noProof/>
          <w:color w:val="000000"/>
          <w:sz w:val="22"/>
          <w:lang w:val="fr-FR"/>
        </w:rPr>
        <w:t>valuation), il semble toutefois que la majorité des projets (environ 70 %) ont réussi à obtenir les résultats escomptés, mais que près d’un tiers n’ont pas eu une telle efficacité et n’ont pas atteint tous leurs objectifs.</w:t>
      </w:r>
    </w:p>
    <w:p w:rsidR="00FC79B3" w:rsidRDefault="00FC79B3">
      <w:pPr>
        <w:pStyle w:val="BTBullet1"/>
        <w:ind w:left="720"/>
        <w:jc w:val="both"/>
        <w:rPr>
          <w:rFonts w:ascii="Times New Roman" w:eastAsia="Times New Roman" w:hAnsi="Times New Roman"/>
          <w:noProof/>
          <w:color w:val="000000"/>
          <w:sz w:val="22"/>
          <w:szCs w:val="22"/>
          <w:lang w:val="fr-FR"/>
        </w:rPr>
      </w:pPr>
    </w:p>
    <w:p w:rsidR="00FC79B3" w:rsidRDefault="002A6CE7">
      <w:pPr>
        <w:pStyle w:val="Heading4"/>
        <w:numPr>
          <w:ilvl w:val="0"/>
          <w:numId w:val="0"/>
        </w:numPr>
        <w:spacing w:after="120"/>
        <w:ind w:left="851" w:hanging="851"/>
        <w:jc w:val="both"/>
        <w:rPr>
          <w:noProof/>
          <w:color w:val="auto"/>
          <w:lang w:val="fr-FR"/>
        </w:rPr>
      </w:pPr>
      <w:r>
        <w:rPr>
          <w:noProof/>
          <w:color w:val="auto"/>
          <w:lang w:val="fr-FR"/>
        </w:rPr>
        <w:t>Durabilité</w:t>
      </w:r>
    </w:p>
    <w:p w:rsidR="00FC79B3" w:rsidRDefault="002A6CE7">
      <w:pPr>
        <w:pStyle w:val="BTBullet1"/>
        <w:numPr>
          <w:ilvl w:val="0"/>
          <w:numId w:val="23"/>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Dans l’ensemble, la C</w:t>
      </w:r>
      <w:r>
        <w:rPr>
          <w:rFonts w:ascii="Times New Roman" w:hAnsi="Times New Roman"/>
          <w:noProof/>
          <w:color w:val="000000"/>
          <w:sz w:val="22"/>
          <w:lang w:val="fr-FR"/>
        </w:rPr>
        <w:t>ommission n’a déployé que peu d’efforts pour diffuser les résultats des projets, excepté les outils de formation, dont une partie ont été publiés sur le site web e-Justice. Elle</w:t>
      </w:r>
      <w:r>
        <w:rPr>
          <w:noProof/>
          <w:lang w:val="fr-FR"/>
        </w:rPr>
        <w:t xml:space="preserve"> </w:t>
      </w:r>
      <w:r>
        <w:rPr>
          <w:rStyle w:val="Corpsdutexte"/>
          <w:rFonts w:ascii="Times New Roman" w:hAnsi="Times New Roman"/>
          <w:noProof/>
          <w:color w:val="000000"/>
          <w:lang w:val="fr-FR"/>
        </w:rPr>
        <w:t>a compté principalement sur les bénéficiaires pour communiquer directement les</w:t>
      </w:r>
      <w:r>
        <w:rPr>
          <w:rStyle w:val="Corpsdutexte"/>
          <w:rFonts w:ascii="Times New Roman" w:hAnsi="Times New Roman"/>
          <w:noProof/>
          <w:color w:val="000000"/>
          <w:lang w:val="fr-FR"/>
        </w:rPr>
        <w:t xml:space="preserve"> produits à leurs groupes cibles et elle a réservé pour l’essentiel ses propres ressources humaines à la gestion financière.</w:t>
      </w:r>
    </w:p>
    <w:p w:rsidR="00FC79B3" w:rsidRDefault="002A6CE7">
      <w:pPr>
        <w:pStyle w:val="BTBullet1"/>
        <w:numPr>
          <w:ilvl w:val="0"/>
          <w:numId w:val="23"/>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Il est difficile d’évaluer correctement l’efficacité des activités de diffusion des bénéficiaires de subventions sans consulter les</w:t>
      </w:r>
      <w:r>
        <w:rPr>
          <w:rFonts w:ascii="Times New Roman" w:hAnsi="Times New Roman"/>
          <w:noProof/>
          <w:color w:val="000000"/>
          <w:sz w:val="22"/>
          <w:lang w:val="fr-FR"/>
        </w:rPr>
        <w:t xml:space="preserve"> groupes cibles: les informations des rapports finaux sur le nombre d’utilisateurs et les groupes cibles atteints ne sont pas complètes, car leur compilation ne figurait pas parmi les exigences du programme. Le fait que les activités ont réussi à attirer l</w:t>
      </w:r>
      <w:r>
        <w:rPr>
          <w:rFonts w:ascii="Times New Roman" w:hAnsi="Times New Roman"/>
          <w:noProof/>
          <w:color w:val="000000"/>
          <w:sz w:val="22"/>
          <w:lang w:val="fr-FR"/>
        </w:rPr>
        <w:t>’attention de responsables politiques et à multiplier les liens entre les autorités de différents États membres permet néanmoins d’affirmer que la diffusion a au moins atteint un certain degré d’efficacité.</w:t>
      </w:r>
    </w:p>
    <w:p w:rsidR="00FC79B3" w:rsidRDefault="002A6CE7">
      <w:pPr>
        <w:pStyle w:val="BTBullet1"/>
        <w:numPr>
          <w:ilvl w:val="0"/>
          <w:numId w:val="23"/>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Sur les 219 subventions à l’action et subventions</w:t>
      </w:r>
      <w:r>
        <w:rPr>
          <w:rFonts w:ascii="Times New Roman" w:hAnsi="Times New Roman"/>
          <w:noProof/>
          <w:color w:val="000000"/>
          <w:sz w:val="22"/>
          <w:lang w:val="fr-FR"/>
        </w:rPr>
        <w:t xml:space="preserve"> de fonctionnement recensées pour lesquelles un rapport final a été publié, 121 (55 %) ont démontré une certaine durabilité en ce qu’un financement supplémentaire a été obtenu pour le projet, il est prévu que certaines activités se poursuivent ou que le pa</w:t>
      </w:r>
      <w:r>
        <w:rPr>
          <w:rFonts w:ascii="Times New Roman" w:hAnsi="Times New Roman"/>
          <w:noProof/>
          <w:color w:val="000000"/>
          <w:sz w:val="22"/>
          <w:lang w:val="fr-FR"/>
        </w:rPr>
        <w:t xml:space="preserve">rtenariat se poursuive (en tout ou en partie) ou les produits et les résultats du projet doivent continuer d’être utilisés. </w:t>
      </w:r>
    </w:p>
    <w:p w:rsidR="00FC79B3" w:rsidRDefault="002A6CE7">
      <w:pPr>
        <w:pStyle w:val="BTBullet1"/>
        <w:numPr>
          <w:ilvl w:val="0"/>
          <w:numId w:val="24"/>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La proportion de projets (32 %) qui ont décroché un autre financement pour prolonger leur travail (d’après les rapports finaux) est</w:t>
      </w:r>
      <w:r>
        <w:rPr>
          <w:rFonts w:ascii="Times New Roman" w:hAnsi="Times New Roman"/>
          <w:noProof/>
          <w:color w:val="000000"/>
          <w:sz w:val="22"/>
          <w:lang w:val="fr-FR"/>
        </w:rPr>
        <w:t xml:space="preserve"> jugée particulièrement positive. Elle n’est cependant pas nécessairement surprenante puisque les produits créés à l’issue des projets JPEN s’adressaient souvent aux autorités et aux services publics nationaux, qui sont bien placés pour dénicher des financ</w:t>
      </w:r>
      <w:r>
        <w:rPr>
          <w:rFonts w:ascii="Times New Roman" w:hAnsi="Times New Roman"/>
          <w:noProof/>
          <w:color w:val="000000"/>
          <w:sz w:val="22"/>
          <w:lang w:val="fr-FR"/>
        </w:rPr>
        <w:t>ements de suivi potentiels pour les produits utiles.</w:t>
      </w:r>
    </w:p>
    <w:p w:rsidR="00FC79B3" w:rsidRDefault="00FC79B3">
      <w:pPr>
        <w:pStyle w:val="BTBullet1"/>
        <w:ind w:left="720"/>
        <w:jc w:val="both"/>
        <w:rPr>
          <w:rFonts w:ascii="Times New Roman" w:eastAsia="Times New Roman" w:hAnsi="Times New Roman"/>
          <w:noProof/>
          <w:color w:val="000000"/>
          <w:sz w:val="22"/>
          <w:szCs w:val="22"/>
          <w:lang w:val="fr-FR"/>
        </w:rPr>
      </w:pPr>
    </w:p>
    <w:p w:rsidR="00FC79B3" w:rsidRDefault="002A6CE7">
      <w:pPr>
        <w:pStyle w:val="Heading4"/>
        <w:numPr>
          <w:ilvl w:val="0"/>
          <w:numId w:val="0"/>
        </w:numPr>
        <w:spacing w:after="120"/>
        <w:ind w:left="851" w:hanging="851"/>
        <w:jc w:val="both"/>
        <w:rPr>
          <w:noProof/>
          <w:color w:val="auto"/>
          <w:lang w:val="fr-FR"/>
        </w:rPr>
      </w:pPr>
      <w:r>
        <w:rPr>
          <w:noProof/>
          <w:color w:val="auto"/>
          <w:lang w:val="fr-FR"/>
        </w:rPr>
        <w:t>Efficience</w:t>
      </w:r>
    </w:p>
    <w:p w:rsidR="00FC79B3" w:rsidRDefault="002A6CE7">
      <w:pPr>
        <w:pStyle w:val="BTBullet1"/>
        <w:numPr>
          <w:ilvl w:val="0"/>
          <w:numId w:val="25"/>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 xml:space="preserve">Le financement mis à la disposition du programme JPEN était suffisant et, le cas échéant, il aurait pu être moindre tant pour les subventions à l’action que pour les subventions de </w:t>
      </w:r>
      <w:r>
        <w:rPr>
          <w:rFonts w:ascii="Times New Roman" w:hAnsi="Times New Roman"/>
          <w:noProof/>
          <w:color w:val="000000"/>
          <w:sz w:val="22"/>
          <w:lang w:val="fr-FR"/>
        </w:rPr>
        <w:t>fonctionnement étant donné qu’il s’agissait d’un programme «nouveau», s’adressant à un public pertinent «nouveau» et relativement inexpérimenté. Les engagements ont systématiquement été inférieurs aux dotations initiales, nonobstant certaines améliorations</w:t>
      </w:r>
      <w:r>
        <w:rPr>
          <w:rFonts w:ascii="Times New Roman" w:hAnsi="Times New Roman"/>
          <w:noProof/>
          <w:color w:val="000000"/>
          <w:sz w:val="22"/>
          <w:lang w:val="fr-FR"/>
        </w:rPr>
        <w:t>.</w:t>
      </w:r>
    </w:p>
    <w:p w:rsidR="00FC79B3" w:rsidRDefault="002A6CE7">
      <w:pPr>
        <w:pStyle w:val="BTBullet1"/>
        <w:numPr>
          <w:ilvl w:val="0"/>
          <w:numId w:val="25"/>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D’après les informations disponibles sur le financement, il semble que le budget a suffi pour que les subventions atteignent leurs objectifs.</w:t>
      </w:r>
    </w:p>
    <w:p w:rsidR="00FC79B3" w:rsidRDefault="002A6CE7">
      <w:pPr>
        <w:pStyle w:val="BTBullet1"/>
        <w:numPr>
          <w:ilvl w:val="0"/>
          <w:numId w:val="25"/>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En ce qui concerne le potentiel de simplification, la gestion de la Commission a gagné en efficience au fil du t</w:t>
      </w:r>
      <w:r>
        <w:rPr>
          <w:rFonts w:ascii="Times New Roman" w:hAnsi="Times New Roman"/>
          <w:noProof/>
          <w:color w:val="000000"/>
          <w:sz w:val="22"/>
          <w:lang w:val="fr-FR"/>
        </w:rPr>
        <w:t>emps et l’expérience de la coopération avec la Commission a été positive pour les bénéficiaires de subventions.</w:t>
      </w:r>
    </w:p>
    <w:p w:rsidR="00FC79B3" w:rsidRDefault="002A6CE7">
      <w:pPr>
        <w:pStyle w:val="BTBullet1"/>
        <w:numPr>
          <w:ilvl w:val="0"/>
          <w:numId w:val="25"/>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Le degré de détail requis dans le formulaire de demande a été rehaussé à partir de l’appel de 2010, profitant aussi bien à la Commission (en mat</w:t>
      </w:r>
      <w:r>
        <w:rPr>
          <w:rFonts w:ascii="Times New Roman" w:hAnsi="Times New Roman"/>
          <w:noProof/>
          <w:color w:val="000000"/>
          <w:sz w:val="22"/>
          <w:lang w:val="fr-FR"/>
        </w:rPr>
        <w:t>ière de qualité et d’utilité des rapports) qu’aux demandeurs (en leur donnant les moyens de planifier et d’estimer leurs activités avec une précision accrue). Ces nouveaux détails ont inclu l’instauration de flux de travail. La grande majorité des répondan</w:t>
      </w:r>
      <w:r>
        <w:rPr>
          <w:rFonts w:ascii="Times New Roman" w:hAnsi="Times New Roman"/>
          <w:noProof/>
          <w:color w:val="000000"/>
          <w:sz w:val="22"/>
          <w:lang w:val="fr-FR"/>
        </w:rPr>
        <w:t>ts (85 %) ont qualifié d’appropriées les exigences relatives à la présentation de rapports (à la fois pour les aspects financiers et non financiers des projets). Environ 79 % des participants à l’enquête en ligne ont considéré que les modalités de suivi de</w:t>
      </w:r>
      <w:r>
        <w:rPr>
          <w:rFonts w:ascii="Times New Roman" w:hAnsi="Times New Roman"/>
          <w:noProof/>
          <w:color w:val="000000"/>
          <w:sz w:val="22"/>
          <w:lang w:val="fr-FR"/>
        </w:rPr>
        <w:t xml:space="preserve"> la Commission étaient bonnes et utiles pendant la mise en œuvre du projet et des activités.</w:t>
      </w:r>
    </w:p>
    <w:p w:rsidR="00FC79B3" w:rsidRDefault="00FC79B3">
      <w:pPr>
        <w:pStyle w:val="BTBullet1"/>
        <w:ind w:left="720"/>
        <w:jc w:val="both"/>
        <w:rPr>
          <w:rFonts w:ascii="Times New Roman" w:eastAsia="Times New Roman" w:hAnsi="Times New Roman"/>
          <w:noProof/>
          <w:color w:val="000000"/>
          <w:sz w:val="22"/>
          <w:szCs w:val="22"/>
          <w:lang w:val="fr-FR"/>
        </w:rPr>
      </w:pPr>
    </w:p>
    <w:p w:rsidR="00FC79B3" w:rsidRDefault="002A6CE7">
      <w:pPr>
        <w:pStyle w:val="Heading4"/>
        <w:numPr>
          <w:ilvl w:val="0"/>
          <w:numId w:val="0"/>
        </w:numPr>
        <w:spacing w:after="120"/>
        <w:ind w:left="851" w:hanging="851"/>
        <w:jc w:val="both"/>
        <w:rPr>
          <w:noProof/>
          <w:color w:val="auto"/>
          <w:lang w:val="fr-FR"/>
        </w:rPr>
      </w:pPr>
      <w:r>
        <w:rPr>
          <w:noProof/>
          <w:color w:val="auto"/>
          <w:lang w:val="fr-FR"/>
        </w:rPr>
        <w:t>Valeur ajoutée européenne</w:t>
      </w:r>
    </w:p>
    <w:p w:rsidR="00FC79B3" w:rsidRDefault="002A6CE7">
      <w:pPr>
        <w:pStyle w:val="BTBullet1"/>
        <w:numPr>
          <w:ilvl w:val="0"/>
          <w:numId w:val="27"/>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La nature européenne du programme JPEN s’est manifestée par une dimension transnationale forte, impliquant tous les États membres de l’U</w:t>
      </w:r>
      <w:r>
        <w:rPr>
          <w:rFonts w:ascii="Times New Roman" w:hAnsi="Times New Roman"/>
          <w:noProof/>
          <w:color w:val="000000"/>
          <w:sz w:val="22"/>
          <w:lang w:val="fr-FR"/>
        </w:rPr>
        <w:t>nion.</w:t>
      </w:r>
    </w:p>
    <w:p w:rsidR="00FC79B3" w:rsidRDefault="002A6CE7">
      <w:pPr>
        <w:pStyle w:val="BTBullet1"/>
        <w:numPr>
          <w:ilvl w:val="0"/>
          <w:numId w:val="27"/>
        </w:numPr>
        <w:spacing w:before="120" w:after="120"/>
        <w:jc w:val="both"/>
        <w:rPr>
          <w:rFonts w:ascii="Times New Roman" w:eastAsiaTheme="majorEastAsia" w:hAnsi="Times New Roman"/>
          <w:bCs/>
          <w:iCs/>
          <w:noProof/>
          <w:sz w:val="22"/>
          <w:szCs w:val="22"/>
          <w:lang w:val="fr-FR"/>
        </w:rPr>
      </w:pPr>
      <w:r>
        <w:rPr>
          <w:rFonts w:ascii="Times New Roman" w:eastAsiaTheme="majorEastAsia" w:hAnsi="Times New Roman"/>
          <w:noProof/>
          <w:sz w:val="22"/>
          <w:lang w:val="fr-FR"/>
        </w:rPr>
        <w:t>Les partenariats transnationaux ont également contribué à la réalisation des objectifs du programme, tels que l’amélioration de la coopération transfrontalière et la contribution à l’élaboration et à la diffusion de bonnes pratiques et, dans une moin</w:t>
      </w:r>
      <w:r>
        <w:rPr>
          <w:rFonts w:ascii="Times New Roman" w:eastAsiaTheme="majorEastAsia" w:hAnsi="Times New Roman"/>
          <w:noProof/>
          <w:sz w:val="22"/>
          <w:lang w:val="fr-FR"/>
        </w:rPr>
        <w:t>dre mesure, l’augmentation des connaissances sur la législation et les politiques pertinentes de l’Union.</w:t>
      </w:r>
    </w:p>
    <w:p w:rsidR="00FC79B3" w:rsidRDefault="002A6CE7">
      <w:pPr>
        <w:pStyle w:val="BTBullet1"/>
        <w:numPr>
          <w:ilvl w:val="0"/>
          <w:numId w:val="27"/>
        </w:numPr>
        <w:jc w:val="both"/>
        <w:rPr>
          <w:rFonts w:ascii="Times New Roman" w:eastAsia="Times New Roman" w:hAnsi="Times New Roman"/>
          <w:noProof/>
          <w:color w:val="000000"/>
          <w:sz w:val="22"/>
          <w:szCs w:val="22"/>
          <w:lang w:val="fr-FR"/>
        </w:rPr>
      </w:pPr>
      <w:r>
        <w:rPr>
          <w:rFonts w:ascii="Times New Roman" w:hAnsi="Times New Roman"/>
          <w:noProof/>
          <w:color w:val="000000"/>
          <w:sz w:val="22"/>
          <w:lang w:val="fr-FR"/>
        </w:rPr>
        <w:t>Les bénéficiaires de subventions ont également perçu une valeur ajoutée européenne dans le programme en ce qu’il leur a donné accès à un financement q</w:t>
      </w:r>
      <w:r>
        <w:rPr>
          <w:rFonts w:ascii="Times New Roman" w:hAnsi="Times New Roman"/>
          <w:noProof/>
          <w:color w:val="000000"/>
          <w:sz w:val="22"/>
          <w:lang w:val="fr-FR"/>
        </w:rPr>
        <w:t>ui les a aidés à s’acquitter des obligations que leur impose le droit de l’Union. Il était opportun que l’Union européenne propose un incitant et facilite l’accomplissement de ces obligations – et la réalisation des objectifs de l’UE – par le biais de ce f</w:t>
      </w:r>
      <w:r>
        <w:rPr>
          <w:rFonts w:ascii="Times New Roman" w:hAnsi="Times New Roman"/>
          <w:noProof/>
          <w:color w:val="000000"/>
          <w:sz w:val="22"/>
          <w:lang w:val="fr-FR"/>
        </w:rPr>
        <w:t xml:space="preserve">onds. </w:t>
      </w:r>
    </w:p>
    <w:p w:rsidR="00FC79B3" w:rsidRDefault="00FC79B3">
      <w:pPr>
        <w:pStyle w:val="BTBullet1"/>
        <w:ind w:left="720"/>
        <w:jc w:val="both"/>
        <w:rPr>
          <w:rFonts w:ascii="Times New Roman" w:eastAsia="Times New Roman" w:hAnsi="Times New Roman"/>
          <w:noProof/>
          <w:color w:val="000000"/>
          <w:sz w:val="22"/>
          <w:szCs w:val="22"/>
          <w:lang w:val="fr-FR"/>
        </w:rPr>
      </w:pPr>
    </w:p>
    <w:p w:rsidR="00FC79B3" w:rsidRDefault="002A6CE7">
      <w:pPr>
        <w:pStyle w:val="BodyText"/>
        <w:ind w:left="0"/>
        <w:jc w:val="both"/>
        <w:rPr>
          <w:rFonts w:ascii="Times New Roman" w:hAnsi="Times New Roman"/>
          <w:b/>
          <w:i/>
          <w:noProof/>
          <w:sz w:val="22"/>
          <w:szCs w:val="22"/>
          <w:lang w:val="fr-FR"/>
        </w:rPr>
      </w:pPr>
      <w:r>
        <w:rPr>
          <w:rFonts w:ascii="Times New Roman" w:hAnsi="Times New Roman"/>
          <w:b/>
          <w:i/>
          <w:noProof/>
          <w:sz w:val="22"/>
          <w:lang w:val="fr-FR"/>
        </w:rPr>
        <w:t>Recommandations clés</w:t>
      </w:r>
    </w:p>
    <w:p w:rsidR="00FC79B3" w:rsidRDefault="002A6CE7">
      <w:pPr>
        <w:pStyle w:val="BTBullet1"/>
        <w:numPr>
          <w:ilvl w:val="0"/>
          <w:numId w:val="37"/>
        </w:numPr>
        <w:spacing w:before="120" w:after="120"/>
        <w:ind w:left="360"/>
        <w:jc w:val="both"/>
        <w:rPr>
          <w:rFonts w:ascii="Times New Roman" w:eastAsiaTheme="majorEastAsia" w:hAnsi="Times New Roman"/>
          <w:bCs/>
          <w:iCs/>
          <w:noProof/>
          <w:sz w:val="22"/>
          <w:szCs w:val="22"/>
          <w:lang w:val="fr-FR"/>
        </w:rPr>
      </w:pPr>
      <w:r>
        <w:rPr>
          <w:rFonts w:ascii="Times New Roman" w:eastAsiaTheme="majorEastAsia" w:hAnsi="Times New Roman"/>
          <w:noProof/>
          <w:sz w:val="22"/>
          <w:lang w:val="fr-FR"/>
        </w:rPr>
        <w:t xml:space="preserve">Mieux définir les priorités: la Commission devrait investir davantage de temps et de ressources humaines dans la définition des priorités afin de garantir que les priorités ainsi fixées puissent être réalisées dans les limites </w:t>
      </w:r>
      <w:r>
        <w:rPr>
          <w:rFonts w:ascii="Times New Roman" w:eastAsiaTheme="majorEastAsia" w:hAnsi="Times New Roman"/>
          <w:noProof/>
          <w:sz w:val="22"/>
          <w:lang w:val="fr-FR"/>
        </w:rPr>
        <w:t>du budget réservé.</w:t>
      </w:r>
    </w:p>
    <w:p w:rsidR="00FC79B3" w:rsidRDefault="002A6CE7">
      <w:pPr>
        <w:pStyle w:val="BTBullet1"/>
        <w:numPr>
          <w:ilvl w:val="0"/>
          <w:numId w:val="37"/>
        </w:numPr>
        <w:spacing w:before="120" w:after="120"/>
        <w:ind w:left="360"/>
        <w:jc w:val="both"/>
        <w:rPr>
          <w:rFonts w:ascii="Times New Roman" w:eastAsiaTheme="majorEastAsia" w:hAnsi="Times New Roman"/>
          <w:bCs/>
          <w:iCs/>
          <w:noProof/>
          <w:sz w:val="22"/>
          <w:szCs w:val="22"/>
          <w:lang w:val="fr-FR"/>
        </w:rPr>
      </w:pPr>
      <w:r>
        <w:rPr>
          <w:rFonts w:ascii="Times New Roman" w:eastAsiaTheme="majorEastAsia" w:hAnsi="Times New Roman"/>
          <w:noProof/>
          <w:sz w:val="22"/>
          <w:lang w:val="fr-FR"/>
        </w:rPr>
        <w:t>Évaluer avec réalisme les risques inhérents aux projets et améliorer les stratégies de réduction des risques: la Commission devrait mieux surveiller les risques tout au long de la durée des projets, par exemple, en demandant des rapports</w:t>
      </w:r>
      <w:r>
        <w:rPr>
          <w:rFonts w:ascii="Times New Roman" w:eastAsiaTheme="majorEastAsia" w:hAnsi="Times New Roman"/>
          <w:noProof/>
          <w:sz w:val="22"/>
          <w:lang w:val="fr-FR"/>
        </w:rPr>
        <w:t xml:space="preserve"> d’avancement succincts qui mettent en lumière tout risque qui peut survenir au fil de la mise en œuvre des projets.</w:t>
      </w:r>
    </w:p>
    <w:p w:rsidR="00FC79B3" w:rsidRDefault="002A6CE7">
      <w:pPr>
        <w:pStyle w:val="BTBullet1"/>
        <w:numPr>
          <w:ilvl w:val="0"/>
          <w:numId w:val="37"/>
        </w:numPr>
        <w:spacing w:before="120" w:after="120"/>
        <w:ind w:left="360"/>
        <w:jc w:val="both"/>
        <w:rPr>
          <w:rFonts w:ascii="Times New Roman" w:eastAsiaTheme="majorEastAsia" w:hAnsi="Times New Roman"/>
          <w:bCs/>
          <w:iCs/>
          <w:noProof/>
          <w:sz w:val="22"/>
          <w:szCs w:val="22"/>
          <w:lang w:val="fr-FR"/>
        </w:rPr>
      </w:pPr>
      <w:r>
        <w:rPr>
          <w:rFonts w:ascii="Times New Roman" w:eastAsiaTheme="majorEastAsia" w:hAnsi="Times New Roman"/>
          <w:noProof/>
          <w:sz w:val="22"/>
          <w:lang w:val="fr-FR"/>
        </w:rPr>
        <w:t>Accorder une plus grande attention à l’évaluation des répercussions à tous les niveaux, et pas seulement aux produits, dans le suivi et l’é</w:t>
      </w:r>
      <w:r>
        <w:rPr>
          <w:rFonts w:ascii="Times New Roman" w:eastAsiaTheme="majorEastAsia" w:hAnsi="Times New Roman"/>
          <w:noProof/>
          <w:sz w:val="22"/>
          <w:lang w:val="fr-FR"/>
        </w:rPr>
        <w:t xml:space="preserve">valuation. Dans le même ordre d’idées, il convient de recueillir, d'analyser et d'utiliser des preuves objectives et indépendantes pour mener à bien les évaluations sur les projets et le programme. Une attention accrue doit aussi être accordée à l’analyse </w:t>
      </w:r>
      <w:r>
        <w:rPr>
          <w:rFonts w:ascii="Times New Roman" w:eastAsiaTheme="majorEastAsia" w:hAnsi="Times New Roman"/>
          <w:noProof/>
          <w:sz w:val="22"/>
          <w:lang w:val="fr-FR"/>
        </w:rPr>
        <w:t>des besoins auxquels chaque projet se propose de répondre.</w:t>
      </w:r>
    </w:p>
    <w:p w:rsidR="00FC79B3" w:rsidRDefault="002A6CE7">
      <w:pPr>
        <w:pStyle w:val="BTBullet1"/>
        <w:numPr>
          <w:ilvl w:val="0"/>
          <w:numId w:val="37"/>
        </w:numPr>
        <w:spacing w:before="120" w:after="120"/>
        <w:ind w:left="360"/>
        <w:jc w:val="both"/>
        <w:rPr>
          <w:rFonts w:ascii="Times New Roman" w:eastAsiaTheme="majorEastAsia" w:hAnsi="Times New Roman"/>
          <w:bCs/>
          <w:iCs/>
          <w:noProof/>
          <w:sz w:val="22"/>
          <w:szCs w:val="22"/>
          <w:lang w:val="fr-FR"/>
        </w:rPr>
      </w:pPr>
      <w:r>
        <w:rPr>
          <w:rFonts w:ascii="Times New Roman" w:eastAsiaTheme="majorEastAsia" w:hAnsi="Times New Roman"/>
          <w:noProof/>
          <w:sz w:val="22"/>
          <w:lang w:val="fr-FR"/>
        </w:rPr>
        <w:t>Examiner les moyens d’accroître l’adoption des produits, résultats et meilleures pratiques des projets par d’autres organisations, y compris dans d’autres États membres, notamment en allouant davan</w:t>
      </w:r>
      <w:r>
        <w:rPr>
          <w:rFonts w:ascii="Times New Roman" w:eastAsiaTheme="majorEastAsia" w:hAnsi="Times New Roman"/>
          <w:noProof/>
          <w:sz w:val="22"/>
          <w:lang w:val="fr-FR"/>
        </w:rPr>
        <w:t>tage de ressources aux traductions, à la communication et à la diffusion.</w:t>
      </w:r>
      <w:r>
        <w:rPr>
          <w:noProof/>
          <w:lang w:val="fr-FR"/>
        </w:rPr>
        <w:t xml:space="preserve"> </w:t>
      </w:r>
    </w:p>
    <w:p w:rsidR="00FC79B3" w:rsidRDefault="002A6CE7">
      <w:pPr>
        <w:pStyle w:val="BTBullet1"/>
        <w:numPr>
          <w:ilvl w:val="0"/>
          <w:numId w:val="37"/>
        </w:numPr>
        <w:spacing w:before="120" w:after="120"/>
        <w:ind w:left="360"/>
        <w:jc w:val="both"/>
        <w:rPr>
          <w:rFonts w:ascii="Times New Roman" w:eastAsia="Times New Roman" w:hAnsi="Times New Roman"/>
          <w:noProof/>
          <w:color w:val="000000"/>
          <w:sz w:val="22"/>
          <w:szCs w:val="22"/>
          <w:lang w:val="fr-FR" w:eastAsia="en-GB"/>
        </w:rPr>
      </w:pPr>
      <w:r>
        <w:rPr>
          <w:rFonts w:ascii="Times New Roman" w:eastAsiaTheme="majorEastAsia" w:hAnsi="Times New Roman"/>
          <w:noProof/>
          <w:sz w:val="22"/>
          <w:lang w:val="fr-FR"/>
        </w:rPr>
        <w:t>Affiner la logique d’intervention du programme: en complément aux réflexions sur le champ d’application du programme, ses objectifs et priorités sur le plan général et spécifique, l</w:t>
      </w:r>
      <w:r>
        <w:rPr>
          <w:rFonts w:ascii="Times New Roman" w:eastAsiaTheme="majorEastAsia" w:hAnsi="Times New Roman"/>
          <w:noProof/>
          <w:sz w:val="22"/>
          <w:lang w:val="fr-FR"/>
        </w:rPr>
        <w:t>es types d’actions et d’interventions et les mesures d’exécution, la Commission doit s’efforcer d’affiner la logique d’intervention</w:t>
      </w:r>
      <w:r>
        <w:rPr>
          <w:rStyle w:val="FootnoteReference"/>
          <w:rFonts w:ascii="Times New Roman" w:eastAsiaTheme="majorEastAsia" w:hAnsi="Times New Roman"/>
          <w:noProof/>
          <w:sz w:val="22"/>
          <w:lang w:val="fr-FR"/>
        </w:rPr>
        <w:footnoteReference w:id="68"/>
      </w:r>
      <w:r>
        <w:rPr>
          <w:rFonts w:ascii="Times New Roman" w:eastAsiaTheme="majorEastAsia" w:hAnsi="Times New Roman"/>
          <w:noProof/>
          <w:sz w:val="22"/>
          <w:lang w:val="fr-FR"/>
        </w:rPr>
        <w:t xml:space="preserve"> et de parvenir à ce que dans toute nouvelle édition du programme, les rapports entre la raison d’être, les objectifs, les i</w:t>
      </w:r>
      <w:r>
        <w:rPr>
          <w:rFonts w:ascii="Times New Roman" w:eastAsiaTheme="majorEastAsia" w:hAnsi="Times New Roman"/>
          <w:noProof/>
          <w:sz w:val="22"/>
          <w:lang w:val="fr-FR"/>
        </w:rPr>
        <w:t>ntrants, les produits, les bénéficiaires, les résultats attendus et les répercussions soient structurés, précis et concrets.</w:t>
      </w:r>
      <w:r>
        <w:rPr>
          <w:rFonts w:ascii="Times New Roman" w:eastAsia="Times New Roman" w:hAnsi="Times New Roman"/>
          <w:noProof/>
          <w:color w:val="000000"/>
          <w:sz w:val="22"/>
          <w:szCs w:val="22"/>
          <w:lang w:val="fr-FR" w:eastAsia="en-GB"/>
        </w:rPr>
        <w:t xml:space="preserve"> </w:t>
      </w:r>
    </w:p>
    <w:sectPr w:rsidR="00FC79B3" w:rsidSect="00AD0641">
      <w:headerReference w:type="even" r:id="rId32"/>
      <w:headerReference w:type="default" r:id="rId33"/>
      <w:footerReference w:type="even" r:id="rId34"/>
      <w:footerReference w:type="default" r:id="rId35"/>
      <w:headerReference w:type="first" r:id="rId36"/>
      <w:footerReference w:type="first" r:id="rId37"/>
      <w:pgSz w:w="11909" w:h="16834" w:code="9"/>
      <w:pgMar w:top="1111" w:right="1418" w:bottom="1678" w:left="1418" w:header="0" w:footer="851"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B3" w:rsidRDefault="002A6CE7">
      <w:r>
        <w:separator/>
      </w:r>
    </w:p>
  </w:endnote>
  <w:endnote w:type="continuationSeparator" w:id="0">
    <w:p w:rsidR="00FC79B3" w:rsidRDefault="002A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E7" w:rsidRDefault="002A6C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B3" w:rsidRDefault="002A6CE7">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E7" w:rsidRDefault="002A6C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B3" w:rsidRDefault="00FC79B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438657"/>
      <w:docPartObj>
        <w:docPartGallery w:val="Page Numbers (Bottom of Page)"/>
        <w:docPartUnique/>
      </w:docPartObj>
    </w:sdtPr>
    <w:sdtEndPr>
      <w:rPr>
        <w:noProof/>
      </w:rPr>
    </w:sdtEndPr>
    <w:sdtContent>
      <w:p w:rsidR="00FC79B3" w:rsidRDefault="002A6CE7">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rsidR="00FC79B3" w:rsidRDefault="00FC79B3">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B3" w:rsidRDefault="00FC79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B3" w:rsidRDefault="00FC79B3"/>
  </w:footnote>
  <w:footnote w:type="continuationSeparator" w:id="0">
    <w:p w:rsidR="00FC79B3" w:rsidRDefault="00FC79B3"/>
  </w:footnote>
  <w:footnote w:id="1">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lang w:val="fr-FR"/>
        </w:rPr>
        <w:t xml:space="preserve"> Article 16, paragraphe 3, point d), de la décision 2007/126/JAI du Conseil du 12 février 2007 établissant, pour la période 2007-2013, dans le cadre du programme général «Droits fondamentaux et justice», le programme spécifique «Justice pénale». </w:t>
      </w:r>
      <w:hyperlink r:id="rId1">
        <w:r>
          <w:rPr>
            <w:rStyle w:val="Hyperlink"/>
            <w:rFonts w:ascii="Times New Roman" w:hAnsi="Times New Roman"/>
            <w:sz w:val="16"/>
          </w:rPr>
          <w:t>http://eur-lex.europa.eu/legal-content/FR/TXT/HTML/?uri=CELEX:32007D0126&amp;from=FR</w:t>
        </w:r>
      </w:hyperlink>
      <w:r>
        <w:rPr>
          <w:rFonts w:ascii="Times New Roman" w:hAnsi="Times New Roman"/>
          <w:sz w:val="16"/>
        </w:rPr>
        <w:t xml:space="preserve"> </w:t>
      </w:r>
    </w:p>
  </w:footnote>
  <w:footnote w:id="2">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Le rapport d’évaluation ex post rédigé par l’évaluateur externe est access</w:t>
      </w:r>
      <w:r>
        <w:rPr>
          <w:rFonts w:ascii="Times New Roman" w:hAnsi="Times New Roman"/>
          <w:sz w:val="16"/>
          <w:lang w:val="fr-FR"/>
        </w:rPr>
        <w:t xml:space="preserve">ibles aux adresses suivantes: Corps du rapport: </w:t>
      </w:r>
      <w:hyperlink r:id="rId2">
        <w:r>
          <w:rPr>
            <w:rStyle w:val="Hyperlink"/>
            <w:rFonts w:ascii="Times New Roman" w:hAnsi="Times New Roman"/>
            <w:sz w:val="16"/>
            <w:lang w:val="fr-FR"/>
          </w:rPr>
          <w:t>http://ec.europa.eu/justice/grants1/files/expost_evaluations_2007_2013/jpen</w:t>
        </w:r>
        <w:r>
          <w:rPr>
            <w:rStyle w:val="Hyperlink"/>
            <w:rFonts w:ascii="Times New Roman" w:hAnsi="Times New Roman"/>
            <w:sz w:val="16"/>
            <w:lang w:val="fr-FR"/>
          </w:rPr>
          <w:t>_programme_evaluation_final_report.pdf</w:t>
        </w:r>
      </w:hyperlink>
      <w:r>
        <w:rPr>
          <w:rFonts w:ascii="Times New Roman" w:hAnsi="Times New Roman"/>
          <w:sz w:val="16"/>
          <w:lang w:val="fr-FR"/>
        </w:rPr>
        <w:t xml:space="preserve">; et annexes: </w:t>
      </w:r>
      <w:hyperlink r:id="rId3">
        <w:r>
          <w:rPr>
            <w:rStyle w:val="Hyperlink"/>
            <w:rFonts w:ascii="Times New Roman" w:hAnsi="Times New Roman"/>
            <w:sz w:val="16"/>
            <w:lang w:val="fr-FR"/>
          </w:rPr>
          <w:t>http://ec.europa.eu/justice/grants1/files/expost_evaluations_2007_2013/jpen</w:t>
        </w:r>
        <w:r>
          <w:rPr>
            <w:rStyle w:val="Hyperlink"/>
            <w:rFonts w:ascii="Times New Roman" w:hAnsi="Times New Roman"/>
            <w:sz w:val="16"/>
            <w:lang w:val="fr-FR"/>
          </w:rPr>
          <w:t>_annex_1_quantitative_analysis.pdf</w:t>
        </w:r>
      </w:hyperlink>
      <w:r>
        <w:rPr>
          <w:rFonts w:ascii="Times New Roman" w:hAnsi="Times New Roman"/>
          <w:sz w:val="16"/>
          <w:lang w:val="fr-FR"/>
        </w:rPr>
        <w:t xml:space="preserve">, </w:t>
      </w:r>
      <w:hyperlink r:id="rId4">
        <w:r>
          <w:rPr>
            <w:rStyle w:val="Hyperlink"/>
            <w:rFonts w:ascii="Times New Roman" w:hAnsi="Times New Roman"/>
            <w:sz w:val="16"/>
            <w:lang w:val="fr-FR"/>
          </w:rPr>
          <w:t>http://ec.europa.eu/justice/grants1/files/expost_evaluations_2007_2013/jpen_annex_2.pdf</w:t>
        </w:r>
      </w:hyperlink>
      <w:r>
        <w:rPr>
          <w:rFonts w:ascii="Times New Roman" w:hAnsi="Times New Roman"/>
          <w:sz w:val="16"/>
          <w:lang w:val="fr-FR"/>
        </w:rPr>
        <w:t xml:space="preserve">     </w:t>
      </w:r>
    </w:p>
    <w:p w:rsidR="00FC79B3" w:rsidRDefault="002A6CE7">
      <w:pPr>
        <w:pStyle w:val="FootnoteText"/>
        <w:rPr>
          <w:rFonts w:ascii="Times New Roman" w:hAnsi="Times New Roman"/>
          <w:sz w:val="16"/>
          <w:szCs w:val="16"/>
          <w:lang w:val="fr-FR"/>
        </w:rPr>
      </w:pPr>
      <w:r>
        <w:rPr>
          <w:rFonts w:ascii="Times New Roman" w:hAnsi="Times New Roman"/>
          <w:sz w:val="16"/>
          <w:lang w:val="fr-FR"/>
        </w:rPr>
        <w:t>Le rapport d’évaluat</w:t>
      </w:r>
      <w:r>
        <w:rPr>
          <w:rFonts w:ascii="Times New Roman" w:hAnsi="Times New Roman"/>
          <w:sz w:val="16"/>
          <w:lang w:val="fr-FR"/>
        </w:rPr>
        <w:t xml:space="preserve">ion intermédiaire rédigé par l’évaluateur externe est publié ici: </w:t>
      </w:r>
      <w:hyperlink r:id="rId5">
        <w:r>
          <w:rPr>
            <w:rStyle w:val="Hyperlink"/>
            <w:rFonts w:ascii="Times New Roman" w:hAnsi="Times New Roman"/>
            <w:sz w:val="16"/>
            <w:lang w:val="fr-FR"/>
          </w:rPr>
          <w:t>http://ec.europa.eu/justice/funding/jpen/interim_evaluation_report_2011_fr.pdf</w:t>
        </w:r>
      </w:hyperlink>
      <w:r>
        <w:rPr>
          <w:rFonts w:ascii="Times New Roman" w:hAnsi="Times New Roman"/>
          <w:sz w:val="16"/>
          <w:lang w:val="fr-FR"/>
        </w:rPr>
        <w:t xml:space="preserve"> </w:t>
      </w:r>
    </w:p>
  </w:footnote>
  <w:footnote w:id="3">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Article 7 </w:t>
      </w:r>
      <w:r>
        <w:rPr>
          <w:rFonts w:ascii="Times New Roman" w:hAnsi="Times New Roman"/>
          <w:sz w:val="16"/>
          <w:lang w:val="fr-FR"/>
        </w:rPr>
        <w:t>de la décision 2007/126/JAI du Conseil du 12 février 2007 établissant, pour la période 2007-2013, dans le cadre du programme général «Droits fondamentaux et justice», le programme spécifique «Justice pénale»</w:t>
      </w:r>
      <w:r>
        <w:rPr>
          <w:lang w:val="fr-FR"/>
        </w:rPr>
        <w:t xml:space="preserve">, </w:t>
      </w:r>
      <w:hyperlink r:id="rId6">
        <w:r>
          <w:rPr>
            <w:rStyle w:val="Hyperlink"/>
            <w:rFonts w:ascii="Times New Roman" w:hAnsi="Times New Roman"/>
            <w:sz w:val="16"/>
            <w:lang w:val="fr-FR"/>
          </w:rPr>
          <w:t>http://eur-lex.europa.eu/legal-content/£FR/TXT/HTML/?uri=CELEX:32007D0126&amp;from=FR</w:t>
        </w:r>
      </w:hyperlink>
      <w:r>
        <w:rPr>
          <w:rFonts w:ascii="Times New Roman" w:hAnsi="Times New Roman"/>
          <w:sz w:val="16"/>
          <w:lang w:val="fr-FR"/>
        </w:rPr>
        <w:t xml:space="preserve"> </w:t>
      </w:r>
    </w:p>
  </w:footnote>
  <w:footnote w:id="4">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Article 6 de la décision 2007/126/JAI du Conseil du 12 février 2007 établissant, pour la période 2007-2013, dans le ca</w:t>
      </w:r>
      <w:r>
        <w:rPr>
          <w:rFonts w:ascii="Times New Roman" w:hAnsi="Times New Roman"/>
          <w:sz w:val="16"/>
          <w:lang w:val="fr-FR"/>
        </w:rPr>
        <w:t>dre du programme général «Droits fondamentaux et justice», le programme spécifique «Justice pénale»</w:t>
      </w:r>
      <w:r>
        <w:rPr>
          <w:lang w:val="fr-FR"/>
        </w:rPr>
        <w:t xml:space="preserve">, </w:t>
      </w:r>
      <w:hyperlink r:id="rId7">
        <w:r>
          <w:rPr>
            <w:rStyle w:val="Hyperlink"/>
            <w:rFonts w:ascii="Times New Roman" w:hAnsi="Times New Roman"/>
            <w:sz w:val="16"/>
            <w:lang w:val="fr-FR"/>
          </w:rPr>
          <w:t>http://eur-lex.europa.eu/legal-content/£FR/TXT/HTML/?ur</w:t>
        </w:r>
        <w:r>
          <w:rPr>
            <w:rStyle w:val="Hyperlink"/>
            <w:rFonts w:ascii="Times New Roman" w:hAnsi="Times New Roman"/>
            <w:sz w:val="16"/>
            <w:lang w:val="fr-FR"/>
          </w:rPr>
          <w:t>i=CELEX:32007D0126&amp;from=FR</w:t>
        </w:r>
      </w:hyperlink>
      <w:r>
        <w:rPr>
          <w:rFonts w:ascii="Times New Roman" w:hAnsi="Times New Roman"/>
          <w:sz w:val="16"/>
          <w:lang w:val="fr-FR"/>
        </w:rPr>
        <w:t xml:space="preserve"> </w:t>
      </w:r>
    </w:p>
  </w:footnote>
  <w:footnote w:id="5">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Aux termes de l’article 13 de la décision 2007/126/JAI du Conseil du 12 février 2007 établissant, pour la période 2007-2013, dans le cadre du programme général «Droits fondamentaux et justice», le programme spécifique «Justice</w:t>
      </w:r>
      <w:r>
        <w:rPr>
          <w:rFonts w:ascii="Times New Roman" w:hAnsi="Times New Roman"/>
          <w:sz w:val="16"/>
          <w:lang w:val="fr-FR"/>
        </w:rPr>
        <w:t xml:space="preserve"> pénale», «[l]es ressources budgétaires affectées aux actions prévues dans le programme font l’objet d’une inscription de crédits annuels au budget général de l’Union européenne. Les crédits annuels disponibles sont autorisés par l’autorité budgétaire dans</w:t>
      </w:r>
      <w:r>
        <w:rPr>
          <w:rFonts w:ascii="Times New Roman" w:hAnsi="Times New Roman"/>
          <w:sz w:val="16"/>
          <w:lang w:val="fr-FR"/>
        </w:rPr>
        <w:t xml:space="preserve"> la limite du cadre financier.»</w:t>
      </w:r>
    </w:p>
  </w:footnote>
  <w:footnote w:id="6">
    <w:p w:rsidR="00FC79B3" w:rsidRDefault="002A6CE7">
      <w:pPr>
        <w:pStyle w:val="FootnoteText"/>
        <w:spacing w:after="0"/>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Les sommes affectées aux subventions de fonctionnement incluent également les ressources destinées aux monopoles et aux conventions-cadres de partenariat.</w:t>
      </w:r>
    </w:p>
  </w:footnote>
  <w:footnote w:id="7">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rPr>
        <w:t xml:space="preserve"> Ex-post evaluation of five programmes implemented under the 2007-</w:t>
      </w:r>
      <w:r>
        <w:rPr>
          <w:rFonts w:ascii="Times New Roman" w:hAnsi="Times New Roman"/>
          <w:sz w:val="16"/>
        </w:rPr>
        <w:t xml:space="preserve">2013 financial perspective. </w:t>
      </w:r>
      <w:r>
        <w:rPr>
          <w:rFonts w:ascii="Times New Roman" w:hAnsi="Times New Roman"/>
          <w:sz w:val="16"/>
          <w:lang w:val="fr-FR"/>
        </w:rPr>
        <w:t>Specific programme evaluation: Criminal Justice Programme (JPEN) [Évaluation ex post de cinq programmes mis en œuvre dans le cadre des perspectives financières 2007-2013. Évaluation spécifique par programme: programme «Justice p</w:t>
      </w:r>
      <w:r>
        <w:rPr>
          <w:rFonts w:ascii="Times New Roman" w:hAnsi="Times New Roman"/>
          <w:sz w:val="16"/>
          <w:lang w:val="fr-FR"/>
        </w:rPr>
        <w:t xml:space="preserve">énale» (JPEN)], ICF, 28 juillet 2015, p. 2 </w:t>
      </w:r>
      <w:hyperlink r:id="rId8">
        <w:r>
          <w:rPr>
            <w:rStyle w:val="Hyperlink"/>
            <w:rFonts w:ascii="Times New Roman" w:hAnsi="Times New Roman"/>
            <w:sz w:val="16"/>
            <w:lang w:val="fr-FR"/>
          </w:rPr>
          <w:t>http://ec.europa.eu/justice/grants1/files/expost_evaluations_2007_2013/jpen_prog</w:t>
        </w:r>
        <w:r>
          <w:rPr>
            <w:rStyle w:val="Hyperlink"/>
            <w:rFonts w:ascii="Times New Roman" w:hAnsi="Times New Roman"/>
            <w:sz w:val="16"/>
            <w:lang w:val="fr-FR"/>
          </w:rPr>
          <w:t>ramme_evaluation_final_report.pdf</w:t>
        </w:r>
      </w:hyperlink>
    </w:p>
  </w:footnote>
  <w:footnote w:id="8">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4.</w:t>
      </w:r>
    </w:p>
  </w:footnote>
  <w:footnote w:id="9">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4.</w:t>
      </w:r>
    </w:p>
  </w:footnote>
  <w:footnote w:id="10">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5.</w:t>
      </w:r>
    </w:p>
  </w:footnote>
  <w:footnote w:id="11">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Ibid., p. 7.</w:t>
      </w:r>
    </w:p>
  </w:footnote>
  <w:footnote w:id="12">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Par exemple, le «Groupe consultatif d’experts juridiques» s’est penché sur les obstacles à la coopération judiciaire et à la confiance mutuelle au sein de l’Union et a recommandé des pistes d’amélioration.</w:t>
      </w:r>
    </w:p>
  </w:footnote>
  <w:footnote w:id="13">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Ex-post evaluation of five programmes implement</w:t>
      </w:r>
      <w:r>
        <w:rPr>
          <w:rFonts w:ascii="Times New Roman" w:hAnsi="Times New Roman"/>
          <w:sz w:val="16"/>
        </w:rPr>
        <w:t xml:space="preserve">ed under the 2007-2013 financial perspective. Specific programme evaluation: Criminal Justice Programme (JPEN), ICF, 28 juillet 2015, p. 9 </w:t>
      </w:r>
      <w:hyperlink r:id="rId9">
        <w:r>
          <w:rPr>
            <w:rStyle w:val="Hyperlink"/>
            <w:rFonts w:ascii="Times New Roman" w:hAnsi="Times New Roman"/>
            <w:sz w:val="16"/>
          </w:rPr>
          <w:t>http://ec.europa.eu/justice/grants1/files/expost_evaluations_2007_2013/jpen_programme_evaluation_final_report.pdf</w:t>
        </w:r>
      </w:hyperlink>
    </w:p>
  </w:footnote>
  <w:footnote w:id="14">
    <w:p w:rsidR="00FC79B3" w:rsidRDefault="002A6CE7">
      <w:pPr>
        <w:pStyle w:val="FootnoteText"/>
        <w:rPr>
          <w:rFonts w:ascii="Times New Roman" w:hAnsi="Times New Roman"/>
          <w:sz w:val="16"/>
          <w:szCs w:val="16"/>
          <w:lang w:val="nb-NO"/>
        </w:rPr>
      </w:pPr>
      <w:r>
        <w:rPr>
          <w:rStyle w:val="FootnoteReference"/>
          <w:rFonts w:ascii="Times New Roman" w:hAnsi="Times New Roman"/>
          <w:sz w:val="16"/>
        </w:rPr>
        <w:footnoteRef/>
      </w:r>
      <w:r>
        <w:rPr>
          <w:rFonts w:ascii="Times New Roman" w:hAnsi="Times New Roman"/>
          <w:sz w:val="16"/>
          <w:lang w:val="nb-NO"/>
        </w:rPr>
        <w:t xml:space="preserve"> Ibid., p. 11.</w:t>
      </w:r>
    </w:p>
  </w:footnote>
  <w:footnote w:id="15">
    <w:p w:rsidR="00FC79B3" w:rsidRDefault="002A6CE7">
      <w:pPr>
        <w:pStyle w:val="FootnoteText"/>
        <w:rPr>
          <w:rFonts w:ascii="Times New Roman" w:hAnsi="Times New Roman"/>
          <w:sz w:val="16"/>
          <w:szCs w:val="16"/>
          <w:lang w:val="nb-NO"/>
        </w:rPr>
      </w:pPr>
      <w:r>
        <w:rPr>
          <w:rStyle w:val="FootnoteReference"/>
          <w:rFonts w:ascii="Times New Roman" w:hAnsi="Times New Roman"/>
          <w:sz w:val="16"/>
        </w:rPr>
        <w:footnoteRef/>
      </w:r>
      <w:r>
        <w:rPr>
          <w:rFonts w:ascii="Times New Roman" w:hAnsi="Times New Roman"/>
          <w:sz w:val="16"/>
          <w:lang w:val="nb-NO"/>
        </w:rPr>
        <w:t xml:space="preserve"> Ibid. pp. 10 et 11.</w:t>
      </w:r>
    </w:p>
  </w:footnote>
  <w:footnote w:id="16">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11.</w:t>
      </w:r>
    </w:p>
  </w:footnote>
  <w:footnote w:id="17">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w:t>
      </w:r>
    </w:p>
  </w:footnote>
  <w:footnote w:id="18">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w:t>
      </w:r>
    </w:p>
  </w:footnote>
  <w:footnote w:id="19">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5.</w:t>
      </w:r>
    </w:p>
  </w:footnote>
  <w:footnote w:id="20">
    <w:p w:rsidR="00FC79B3" w:rsidRDefault="002A6CE7">
      <w:pPr>
        <w:pStyle w:val="FootnoteText"/>
        <w:rPr>
          <w:rFonts w:ascii="Times New Roman" w:hAnsi="Times New Roman"/>
          <w:sz w:val="16"/>
          <w:szCs w:val="16"/>
          <w:lang w:val="nb-NO"/>
        </w:rPr>
      </w:pPr>
      <w:r>
        <w:rPr>
          <w:rStyle w:val="FootnoteReference"/>
          <w:rFonts w:ascii="Times New Roman" w:hAnsi="Times New Roman"/>
          <w:sz w:val="16"/>
        </w:rPr>
        <w:footnoteRef/>
      </w:r>
      <w:r>
        <w:rPr>
          <w:rFonts w:ascii="Times New Roman" w:hAnsi="Times New Roman"/>
          <w:sz w:val="16"/>
          <w:lang w:val="nb-NO"/>
        </w:rPr>
        <w:t xml:space="preserve"> Ibid., pp. 13 et 14.</w:t>
      </w:r>
    </w:p>
  </w:footnote>
  <w:footnote w:id="21">
    <w:p w:rsidR="00FC79B3" w:rsidRDefault="002A6CE7">
      <w:pPr>
        <w:pStyle w:val="FootnoteText"/>
        <w:rPr>
          <w:rFonts w:ascii="Times New Roman" w:hAnsi="Times New Roman"/>
          <w:sz w:val="16"/>
          <w:szCs w:val="16"/>
          <w:lang w:val="nb-NO"/>
        </w:rPr>
      </w:pPr>
      <w:r>
        <w:rPr>
          <w:rStyle w:val="FootnoteReference"/>
          <w:rFonts w:ascii="Times New Roman" w:hAnsi="Times New Roman"/>
          <w:sz w:val="16"/>
        </w:rPr>
        <w:footnoteRef/>
      </w:r>
      <w:r>
        <w:rPr>
          <w:rFonts w:ascii="Times New Roman" w:hAnsi="Times New Roman"/>
          <w:sz w:val="16"/>
          <w:lang w:val="nb-NO"/>
        </w:rPr>
        <w:t xml:space="preserve"> Ibid., p. 14.</w:t>
      </w:r>
    </w:p>
  </w:footnote>
  <w:footnote w:id="22">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Ibid., p. 16.</w:t>
      </w:r>
    </w:p>
  </w:footnote>
  <w:footnote w:id="23">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Ibid., p. 20.</w:t>
      </w:r>
    </w:p>
  </w:footnote>
  <w:footnote w:id="24">
    <w:p w:rsidR="00FC79B3" w:rsidRDefault="002A6CE7">
      <w:pPr>
        <w:pStyle w:val="FootnoteText"/>
        <w:spacing w:after="0"/>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Vingt-six répondants (soit 27 % de l'ensemble) ont déclaré qu’aucune synergie n’avait été créée et onze ont répondu «Je ne sais pas». Un léger problème méthodologique se pose par rapport à ces données: tous les répondants n</w:t>
      </w:r>
      <w:r>
        <w:rPr>
          <w:rFonts w:ascii="Times New Roman" w:hAnsi="Times New Roman"/>
          <w:sz w:val="16"/>
          <w:lang w:val="fr-FR"/>
        </w:rPr>
        <w:t>’ont pas eu la possibilité de répondre «Non» ou «Je ne sais pas», car ces deux propositions ont seulement été ajoutées après le lancement de l’étude. Au total, 17 des répondants pris en considération dans le présent rapport ont ainsi été privés de cette po</w:t>
      </w:r>
      <w:r>
        <w:rPr>
          <w:rFonts w:ascii="Times New Roman" w:hAnsi="Times New Roman"/>
          <w:sz w:val="16"/>
          <w:lang w:val="fr-FR"/>
        </w:rPr>
        <w:t>ssibilité et, sur les 33 cas de non-réponse à cette question, 17 auraient donc peut-être opté pour «Non» ou «Je ne sais pas» s’ils avaient pu le faire.</w:t>
      </w:r>
    </w:p>
  </w:footnote>
  <w:footnote w:id="25">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Ex-post evaluation of five programmes implemented under the 2007-2013 financial perspective. Specific </w:t>
      </w:r>
      <w:r>
        <w:rPr>
          <w:rFonts w:ascii="Times New Roman" w:hAnsi="Times New Roman"/>
          <w:sz w:val="16"/>
        </w:rPr>
        <w:t xml:space="preserve">programme evaluation: Criminal Justice Programme (JPEN), ICF, 28 juillet 2015, p. 21 </w:t>
      </w:r>
      <w:hyperlink r:id="rId10">
        <w:r>
          <w:rPr>
            <w:rStyle w:val="Hyperlink"/>
            <w:rFonts w:ascii="Times New Roman" w:hAnsi="Times New Roman"/>
            <w:sz w:val="16"/>
          </w:rPr>
          <w:t>http://ec.europa.eu/justice/grants1/fi</w:t>
        </w:r>
        <w:r>
          <w:rPr>
            <w:rStyle w:val="Hyperlink"/>
            <w:rFonts w:ascii="Times New Roman" w:hAnsi="Times New Roman"/>
            <w:sz w:val="16"/>
          </w:rPr>
          <w:t>les/expost_evaluations_2007_2013/jpen_programme_evaluation_final_report.pdf</w:t>
        </w:r>
      </w:hyperlink>
    </w:p>
  </w:footnote>
  <w:footnote w:id="26">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22.</w:t>
      </w:r>
    </w:p>
  </w:footnote>
  <w:footnote w:id="27">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45.</w:t>
      </w:r>
    </w:p>
  </w:footnote>
  <w:footnote w:id="28">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26.</w:t>
      </w:r>
    </w:p>
  </w:footnote>
  <w:footnote w:id="29">
    <w:p w:rsidR="00FC79B3" w:rsidRDefault="002A6CE7">
      <w:pPr>
        <w:pStyle w:val="FootnoteText"/>
        <w:rPr>
          <w:rFonts w:ascii="Times New Roman" w:hAnsi="Times New Roman"/>
          <w:sz w:val="16"/>
          <w:szCs w:val="16"/>
          <w:lang w:val="nb-NO"/>
        </w:rPr>
      </w:pPr>
      <w:r>
        <w:rPr>
          <w:rStyle w:val="FootnoteReference"/>
          <w:rFonts w:ascii="Times New Roman" w:hAnsi="Times New Roman"/>
          <w:sz w:val="16"/>
        </w:rPr>
        <w:footnoteRef/>
      </w:r>
      <w:r>
        <w:rPr>
          <w:rFonts w:ascii="Times New Roman" w:hAnsi="Times New Roman"/>
          <w:sz w:val="16"/>
          <w:lang w:val="nb-NO"/>
        </w:rPr>
        <w:t xml:space="preserve"> Ibid., p. 27.</w:t>
      </w:r>
    </w:p>
  </w:footnote>
  <w:footnote w:id="30">
    <w:p w:rsidR="00FC79B3" w:rsidRDefault="002A6CE7">
      <w:pPr>
        <w:pStyle w:val="FootnoteText"/>
        <w:rPr>
          <w:rFonts w:ascii="Times New Roman" w:hAnsi="Times New Roman"/>
          <w:sz w:val="16"/>
          <w:szCs w:val="16"/>
          <w:lang w:val="nb-NO"/>
        </w:rPr>
      </w:pPr>
      <w:r>
        <w:rPr>
          <w:rStyle w:val="FootnoteReference"/>
          <w:rFonts w:ascii="Times New Roman" w:hAnsi="Times New Roman"/>
          <w:sz w:val="16"/>
        </w:rPr>
        <w:footnoteRef/>
      </w:r>
      <w:r>
        <w:rPr>
          <w:rFonts w:ascii="Times New Roman" w:hAnsi="Times New Roman"/>
          <w:sz w:val="16"/>
          <w:lang w:val="nb-NO"/>
        </w:rPr>
        <w:t xml:space="preserve"> Ibid., pp. 27 et 28.</w:t>
      </w:r>
    </w:p>
  </w:footnote>
  <w:footnote w:id="31">
    <w:p w:rsidR="00FC79B3" w:rsidRDefault="002A6CE7">
      <w:pPr>
        <w:pStyle w:val="FootnoteText"/>
        <w:spacing w:after="0"/>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Voir la communication de 2011: «Susciter la confiance dans une justice européenne: Donner une dimension nouvelle à la formation judiciaire européenne» </w:t>
      </w:r>
      <w:hyperlink r:id="rId11">
        <w:r>
          <w:rPr>
            <w:rStyle w:val="Hyperlink"/>
            <w:rFonts w:ascii="Times New Roman" w:hAnsi="Times New Roman"/>
            <w:sz w:val="16"/>
            <w:lang w:val="fr-FR"/>
          </w:rPr>
          <w:t>http:/</w:t>
        </w:r>
        <w:r>
          <w:rPr>
            <w:rStyle w:val="Hyperlink"/>
            <w:rFonts w:ascii="Times New Roman" w:hAnsi="Times New Roman"/>
            <w:sz w:val="16"/>
            <w:lang w:val="fr-FR"/>
          </w:rPr>
          <w:t>/eur-lex.europa.eu/LexUriServ/LexUriServ.do?uri=COM:2011:0551:FIN:FR:PDF</w:t>
        </w:r>
      </w:hyperlink>
      <w:r>
        <w:rPr>
          <w:rStyle w:val="Hyperlink"/>
          <w:rFonts w:ascii="Times New Roman" w:hAnsi="Times New Roman"/>
          <w:sz w:val="16"/>
          <w:lang w:val="fr-FR"/>
        </w:rPr>
        <w:t>.</w:t>
      </w:r>
    </w:p>
  </w:footnote>
  <w:footnote w:id="32">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Ex-post evaluation of five programmes implemented under the 2007-2013 financial perspective. Specific programme evaluation: Criminal Justice Programme (JPEN), ICF, 28 juillet 2015,</w:t>
      </w:r>
      <w:r>
        <w:rPr>
          <w:rFonts w:ascii="Times New Roman" w:hAnsi="Times New Roman"/>
          <w:sz w:val="16"/>
        </w:rPr>
        <w:t xml:space="preserve"> p. 28 </w:t>
      </w:r>
      <w:hyperlink r:id="rId12">
        <w:r>
          <w:rPr>
            <w:rStyle w:val="Hyperlink"/>
            <w:rFonts w:ascii="Times New Roman" w:hAnsi="Times New Roman"/>
            <w:sz w:val="16"/>
          </w:rPr>
          <w:t>http://ec.europa.eu/justice/grants1/files/expost_evaluations_2007_2013/jpen_programme_evaluation_final_report.pdf</w:t>
        </w:r>
      </w:hyperlink>
    </w:p>
  </w:footnote>
  <w:footnote w:id="33">
    <w:p w:rsidR="00FC79B3" w:rsidRDefault="002A6CE7">
      <w:pPr>
        <w:pStyle w:val="FootnoteText"/>
        <w:spacing w:after="0"/>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rFonts w:ascii="Times New Roman" w:hAnsi="Times New Roman"/>
          <w:sz w:val="16"/>
          <w:lang w:val="fr-FR"/>
        </w:rPr>
        <w:t>Tous sauf la Belgique, Chypre, le Danemark, la Hongrie, Malte, la Suède et la Slovaquie.</w:t>
      </w:r>
    </w:p>
  </w:footnote>
  <w:footnote w:id="34">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Ex-post evaluation of five programmes implemented under the 2007-2013 financial perspective. Specific programme evaluation: Criminal Justice Programme (JPEN), ICF, 2</w:t>
      </w:r>
      <w:r>
        <w:rPr>
          <w:rFonts w:ascii="Times New Roman" w:hAnsi="Times New Roman"/>
          <w:sz w:val="16"/>
        </w:rPr>
        <w:t xml:space="preserve">8 juillet 2015, p. 27 </w:t>
      </w:r>
      <w:hyperlink r:id="rId13">
        <w:r>
          <w:rPr>
            <w:rStyle w:val="Hyperlink"/>
            <w:rFonts w:ascii="Times New Roman" w:hAnsi="Times New Roman"/>
            <w:sz w:val="16"/>
          </w:rPr>
          <w:t>http://ec.europa.eu/justice/grants1/files/expost_evaluations_2007_2013/jpen_programme_evaluation_fina</w:t>
        </w:r>
        <w:r>
          <w:rPr>
            <w:rStyle w:val="Hyperlink"/>
            <w:rFonts w:ascii="Times New Roman" w:hAnsi="Times New Roman"/>
            <w:sz w:val="16"/>
          </w:rPr>
          <w:t>l_report.pdf</w:t>
        </w:r>
      </w:hyperlink>
    </w:p>
  </w:footnote>
  <w:footnote w:id="35">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Ibid., p. 28.</w:t>
      </w:r>
    </w:p>
  </w:footnote>
  <w:footnote w:id="36">
    <w:p w:rsidR="00FC79B3" w:rsidRDefault="002A6CE7">
      <w:pPr>
        <w:pStyle w:val="FootnoteText"/>
        <w:spacing w:after="0"/>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Communication COM(2011) 551 final: «Susciter la confiance dans une justice européenne: Donner une dimension nouvelle à la formation judiciaire européenne» http://eur-lex.europa.eu/LexUriServ/LexUriServ.do?uri=COM:2011:0551:FI</w:t>
      </w:r>
      <w:r>
        <w:rPr>
          <w:rFonts w:ascii="Times New Roman" w:hAnsi="Times New Roman"/>
          <w:sz w:val="16"/>
          <w:lang w:val="fr-FR"/>
        </w:rPr>
        <w:t>N:FR:PDF.</w:t>
      </w:r>
    </w:p>
  </w:footnote>
  <w:footnote w:id="37">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Ex-post evaluation of five programmes implemented under the 2007-2013 financial perspective. Specific programme evaluation: Criminal Justice Programme (JPEN), ICF, 28 juillet 2015, p. 28 </w:t>
      </w:r>
      <w:hyperlink r:id="rId14">
        <w:r>
          <w:rPr>
            <w:rStyle w:val="Hyperlink"/>
            <w:rFonts w:ascii="Times New Roman" w:hAnsi="Times New Roman"/>
            <w:sz w:val="16"/>
          </w:rPr>
          <w:t>http://ec.europa.eu/justice/grants1/files/expost_evaluations_2007_2013/jpen_programme_evaluation_final_report.pdf</w:t>
        </w:r>
      </w:hyperlink>
    </w:p>
  </w:footnote>
  <w:footnote w:id="38">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31.</w:t>
      </w:r>
    </w:p>
  </w:footnote>
  <w:footnote w:id="39">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36.</w:t>
      </w:r>
    </w:p>
  </w:footnote>
  <w:footnote w:id="40">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w:t>
      </w:r>
    </w:p>
  </w:footnote>
  <w:footnote w:id="41">
    <w:p w:rsidR="00FC79B3" w:rsidRDefault="002A6CE7">
      <w:pPr>
        <w:pStyle w:val="FootnoteText"/>
        <w:spacing w:after="0"/>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Ce projet soutient la fo</w:t>
      </w:r>
      <w:r>
        <w:rPr>
          <w:rFonts w:ascii="Times New Roman" w:hAnsi="Times New Roman"/>
          <w:sz w:val="16"/>
          <w:lang w:val="fr-FR"/>
        </w:rPr>
        <w:t>rmation linguistique des professionnels du droit.</w:t>
      </w:r>
    </w:p>
  </w:footnote>
  <w:footnote w:id="42">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rPr>
        <w:t xml:space="preserve"> Ex-post evaluation of five programmes implemented under the 2007-2013 financial perspective. </w:t>
      </w:r>
      <w:r>
        <w:rPr>
          <w:rFonts w:ascii="Times New Roman" w:hAnsi="Times New Roman"/>
          <w:sz w:val="16"/>
          <w:lang w:val="fr-FR"/>
        </w:rPr>
        <w:t xml:space="preserve">Specific programme evaluation: Criminal Justice Programme (JPEN), ICF, 28 juillet 2015, pp. 33 et 34 </w:t>
      </w:r>
      <w:hyperlink r:id="rId15">
        <w:r>
          <w:rPr>
            <w:rStyle w:val="Hyperlink"/>
            <w:rFonts w:ascii="Times New Roman" w:hAnsi="Times New Roman"/>
            <w:sz w:val="16"/>
            <w:lang w:val="fr-FR"/>
          </w:rPr>
          <w:t>http://ec.europa.eu/justice/grants1/files/expost_evaluations_2007_2013/jpen_programme_evaluation_final_report.pdf</w:t>
        </w:r>
      </w:hyperlink>
    </w:p>
  </w:footnote>
  <w:footnote w:id="43">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w:t>
      </w:r>
      <w:r>
        <w:rPr>
          <w:rFonts w:ascii="Times New Roman" w:hAnsi="Times New Roman"/>
          <w:sz w:val="16"/>
        </w:rPr>
        <w:t> 34.</w:t>
      </w:r>
    </w:p>
  </w:footnote>
  <w:footnote w:id="44">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35.</w:t>
      </w:r>
    </w:p>
  </w:footnote>
  <w:footnote w:id="45">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36.</w:t>
      </w:r>
    </w:p>
  </w:footnote>
  <w:footnote w:id="46">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Ibid., p. 37.</w:t>
      </w:r>
    </w:p>
  </w:footnote>
  <w:footnote w:id="47">
    <w:p w:rsidR="00FC79B3" w:rsidRDefault="002A6CE7">
      <w:pPr>
        <w:pStyle w:val="FootnoteText"/>
        <w:spacing w:after="0"/>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Ce chiffre ne prend pas en considération la comptabilisation multiple d’organisations qui ont reçu plusieurs subventions.</w:t>
      </w:r>
    </w:p>
  </w:footnote>
  <w:footnote w:id="48">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Ex-post evaluation of five programmes implemented under the 2007-2013 financi</w:t>
      </w:r>
      <w:r>
        <w:rPr>
          <w:rFonts w:ascii="Times New Roman" w:hAnsi="Times New Roman"/>
          <w:sz w:val="16"/>
        </w:rPr>
        <w:t xml:space="preserve">al perspective. Specific programme evaluation: Criminal Justice Programme (JPEN), ICF, 28 juillet 2015, p. 45 </w:t>
      </w:r>
      <w:hyperlink r:id="rId16">
        <w:r>
          <w:rPr>
            <w:rStyle w:val="Hyperlink"/>
            <w:rFonts w:ascii="Times New Roman" w:hAnsi="Times New Roman"/>
            <w:sz w:val="16"/>
          </w:rPr>
          <w:t>http://ec.eur</w:t>
        </w:r>
        <w:r>
          <w:rPr>
            <w:rStyle w:val="Hyperlink"/>
            <w:rFonts w:ascii="Times New Roman" w:hAnsi="Times New Roman"/>
            <w:sz w:val="16"/>
          </w:rPr>
          <w:t>opa.eu/justice/grants1/files/expost_evaluations_2007_2013/jpen_programme_evaluation_final_report.pdf</w:t>
        </w:r>
      </w:hyperlink>
    </w:p>
  </w:footnote>
  <w:footnote w:id="49">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Ibid., p. 45.</w:t>
      </w:r>
    </w:p>
  </w:footnote>
  <w:footnote w:id="50">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Ibid.</w:t>
      </w:r>
    </w:p>
  </w:footnote>
  <w:footnote w:id="51">
    <w:p w:rsidR="00FC79B3" w:rsidRDefault="002A6CE7">
      <w:pPr>
        <w:pStyle w:val="FootnoteText"/>
        <w:spacing w:after="0"/>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Au total, il est considéré que 210 projets ayant bénéficié de subventions à l’action et 50 projets ayant bénéficié de subventions de fonctionnement sont pratiquement ou totalement finalisés.</w:t>
      </w:r>
    </w:p>
  </w:footnote>
  <w:footnote w:id="52">
    <w:p w:rsidR="00FC79B3" w:rsidRDefault="002A6CE7">
      <w:pPr>
        <w:pStyle w:val="FootnoteText"/>
        <w:spacing w:after="0"/>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Pour les autres projets, il n’existe pas de preuves claires ou</w:t>
      </w:r>
      <w:r>
        <w:rPr>
          <w:rFonts w:ascii="Times New Roman" w:hAnsi="Times New Roman"/>
          <w:sz w:val="16"/>
          <w:lang w:val="fr-FR"/>
        </w:rPr>
        <w:t xml:space="preserve"> les informations font défaut.</w:t>
      </w:r>
    </w:p>
  </w:footnote>
  <w:footnote w:id="53">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Il faut aussi garder à l’esprit qu’environ un tiers des actions financées ne sont pas encore achevées et que la réalisation de certains produits et effets requiert du temps.</w:t>
      </w:r>
    </w:p>
  </w:footnote>
  <w:footnote w:id="54">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Ex-post evaluation of five programmes implement</w:t>
      </w:r>
      <w:r>
        <w:rPr>
          <w:rFonts w:ascii="Times New Roman" w:hAnsi="Times New Roman"/>
          <w:sz w:val="16"/>
        </w:rPr>
        <w:t xml:space="preserve">ed under the 2007-2013 financial perspective. Specific programme evaluation: Criminal Justice Programme (JPEN), ICF, 28 juillet 2015, p. 45 </w:t>
      </w:r>
      <w:hyperlink r:id="rId17">
        <w:r>
          <w:rPr>
            <w:rStyle w:val="Hyperlink"/>
            <w:rFonts w:ascii="Times New Roman" w:hAnsi="Times New Roman"/>
            <w:sz w:val="16"/>
          </w:rPr>
          <w:t>http://ec.europa.eu/justice/grants1/files/expost_evaluations_2007_2013/jpen_programme_evaluation_final_report.pdf</w:t>
        </w:r>
      </w:hyperlink>
    </w:p>
  </w:footnote>
  <w:footnote w:id="55">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40.</w:t>
      </w:r>
    </w:p>
  </w:footnote>
  <w:footnote w:id="56">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Ex-post evaluation of five programmes implemented under the 2007-2013 financial perspective. Specific progr</w:t>
      </w:r>
      <w:r>
        <w:rPr>
          <w:rFonts w:ascii="Times New Roman" w:hAnsi="Times New Roman"/>
          <w:sz w:val="16"/>
        </w:rPr>
        <w:t xml:space="preserve">amme evaluation: Criminal Justice Programme (JPEN), ICF, 28 juillet 2015, p. 42 </w:t>
      </w:r>
      <w:hyperlink r:id="rId18">
        <w:r>
          <w:rPr>
            <w:rStyle w:val="Hyperlink"/>
            <w:rFonts w:ascii="Times New Roman" w:hAnsi="Times New Roman"/>
            <w:sz w:val="16"/>
          </w:rPr>
          <w:t>http://ec.europa.eu/justice/grants1/files/e</w:t>
        </w:r>
        <w:r>
          <w:rPr>
            <w:rStyle w:val="Hyperlink"/>
            <w:rFonts w:ascii="Times New Roman" w:hAnsi="Times New Roman"/>
            <w:sz w:val="16"/>
          </w:rPr>
          <w:t>xpost_evaluations_2007_2013/jpen_programme_evaluation_final_report.pdf</w:t>
        </w:r>
      </w:hyperlink>
    </w:p>
  </w:footnote>
  <w:footnote w:id="57">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49.</w:t>
      </w:r>
    </w:p>
  </w:footnote>
  <w:footnote w:id="58">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w:t>
      </w:r>
    </w:p>
  </w:footnote>
  <w:footnote w:id="59">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39.</w:t>
      </w:r>
    </w:p>
  </w:footnote>
  <w:footnote w:id="60">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Ibid.</w:t>
      </w:r>
    </w:p>
  </w:footnote>
  <w:footnote w:id="61">
    <w:p w:rsidR="00FC79B3" w:rsidRDefault="002A6CE7">
      <w:pPr>
        <w:pStyle w:val="FootnoteText"/>
        <w:spacing w:after="0"/>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Cette tendance est particulièrement flagrante en Italie. À titre d’exemples, les organisations chefs de file italiennes se sont associées à 28 partenaires italiens, 21 partenaires espagnols et 13 partenaires français; les organisations chefs de file brita</w:t>
      </w:r>
      <w:r>
        <w:rPr>
          <w:rFonts w:ascii="Times New Roman" w:hAnsi="Times New Roman"/>
          <w:sz w:val="16"/>
          <w:lang w:val="fr-FR"/>
        </w:rPr>
        <w:t>nniques se sont associées à 14 partenaires néerlandais, 13 partenaires britanniques et 12 partenaires espagnols; et les organisations chefs de file allemandes se sont associées à 12 partenaires allemands, 11 partenaires espagnols et 9 partenaires autrichie</w:t>
      </w:r>
      <w:r>
        <w:rPr>
          <w:rFonts w:ascii="Times New Roman" w:hAnsi="Times New Roman"/>
          <w:sz w:val="16"/>
          <w:lang w:val="fr-FR"/>
        </w:rPr>
        <w:t>ns.</w:t>
      </w:r>
    </w:p>
  </w:footnote>
  <w:footnote w:id="62">
    <w:p w:rsidR="00FC79B3" w:rsidRDefault="002A6CE7">
      <w:pPr>
        <w:pStyle w:val="FootnoteText"/>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D’après un calcul du nombre de partenaires non nationaux auxquels chaque association chef de file s’est associée. Ce nombre est probablement supérieur à la réalité, car il ne tient pas compte des partenariats comprenant les mêmes organisations qui on</w:t>
      </w:r>
      <w:r>
        <w:rPr>
          <w:rFonts w:ascii="Times New Roman" w:hAnsi="Times New Roman"/>
          <w:sz w:val="16"/>
          <w:lang w:val="fr-FR"/>
        </w:rPr>
        <w:t>t travaillé sur plusieurs projets.</w:t>
      </w:r>
    </w:p>
  </w:footnote>
  <w:footnote w:id="63">
    <w:p w:rsidR="00FC79B3" w:rsidRDefault="002A6CE7">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Ex-post evaluation of five programmes implemented under the 2007-2013 financial perspective. Specific programme evaluation: Criminal Justice Programme (JPEN), ICF, 28 juillet 2015, p. 54 </w:t>
      </w:r>
      <w:hyperlink r:id="rId19">
        <w:r>
          <w:rPr>
            <w:rStyle w:val="Hyperlink"/>
            <w:rFonts w:ascii="Times New Roman" w:hAnsi="Times New Roman"/>
            <w:sz w:val="16"/>
          </w:rPr>
          <w:t>http://ec.europa.eu/justice/grants1/files/expost_evaluations_2007_2013/jpen_programme_evaluation_final_report.pdf</w:t>
        </w:r>
      </w:hyperlink>
    </w:p>
  </w:footnote>
  <w:footnote w:id="64">
    <w:p w:rsidR="00FC79B3" w:rsidRDefault="002A6CE7">
      <w:pPr>
        <w:pStyle w:val="FootnoteText"/>
        <w:rPr>
          <w:rFonts w:ascii="Times New Roman" w:hAnsi="Times New Roman"/>
          <w:sz w:val="16"/>
          <w:szCs w:val="16"/>
          <w:lang w:val="nb-NO"/>
        </w:rPr>
      </w:pPr>
      <w:r>
        <w:rPr>
          <w:rStyle w:val="FootnoteReference"/>
          <w:rFonts w:ascii="Times New Roman" w:hAnsi="Times New Roman"/>
          <w:sz w:val="16"/>
        </w:rPr>
        <w:footnoteRef/>
      </w:r>
      <w:r>
        <w:rPr>
          <w:rFonts w:ascii="Times New Roman" w:hAnsi="Times New Roman"/>
          <w:sz w:val="16"/>
          <w:lang w:val="nb-NO"/>
        </w:rPr>
        <w:t xml:space="preserve"> Ibid., p. 57.</w:t>
      </w:r>
    </w:p>
  </w:footnote>
  <w:footnote w:id="65">
    <w:p w:rsidR="00FC79B3" w:rsidRDefault="002A6CE7">
      <w:pPr>
        <w:pStyle w:val="FootnoteText"/>
        <w:rPr>
          <w:rFonts w:ascii="Times New Roman" w:hAnsi="Times New Roman"/>
          <w:sz w:val="16"/>
          <w:szCs w:val="16"/>
          <w:lang w:val="nb-NO"/>
        </w:rPr>
      </w:pPr>
      <w:r>
        <w:rPr>
          <w:rStyle w:val="FootnoteReference"/>
          <w:rFonts w:ascii="Times New Roman" w:hAnsi="Times New Roman"/>
          <w:sz w:val="16"/>
        </w:rPr>
        <w:footnoteRef/>
      </w:r>
      <w:r>
        <w:rPr>
          <w:rFonts w:ascii="Times New Roman" w:hAnsi="Times New Roman"/>
          <w:sz w:val="16"/>
          <w:lang w:val="nb-NO"/>
        </w:rPr>
        <w:t xml:space="preserve"> Ibid.</w:t>
      </w:r>
    </w:p>
  </w:footnote>
  <w:footnote w:id="66">
    <w:p w:rsidR="00FC79B3" w:rsidRDefault="002A6CE7">
      <w:pPr>
        <w:pStyle w:val="FootnoteText"/>
        <w:rPr>
          <w:rFonts w:ascii="Times New Roman" w:hAnsi="Times New Roman"/>
          <w:sz w:val="16"/>
          <w:szCs w:val="16"/>
          <w:lang w:val="nb-NO"/>
        </w:rPr>
      </w:pPr>
      <w:r>
        <w:rPr>
          <w:rStyle w:val="FootnoteReference"/>
          <w:rFonts w:ascii="Times New Roman" w:hAnsi="Times New Roman"/>
          <w:sz w:val="16"/>
        </w:rPr>
        <w:footnoteRef/>
      </w:r>
      <w:r>
        <w:rPr>
          <w:rFonts w:ascii="Times New Roman" w:hAnsi="Times New Roman"/>
          <w:sz w:val="16"/>
          <w:lang w:val="nb-NO"/>
        </w:rPr>
        <w:t xml:space="preserve"> Ibid., pp. 57 e</w:t>
      </w:r>
      <w:r>
        <w:rPr>
          <w:rFonts w:ascii="Times New Roman" w:hAnsi="Times New Roman"/>
          <w:sz w:val="16"/>
          <w:lang w:val="nb-NO"/>
        </w:rPr>
        <w:t>t 58.</w:t>
      </w:r>
    </w:p>
  </w:footnote>
  <w:footnote w:id="67">
    <w:p w:rsidR="00FC79B3" w:rsidRDefault="002A6CE7">
      <w:pPr>
        <w:pStyle w:val="FootnoteText"/>
        <w:rPr>
          <w:rFonts w:ascii="Times New Roman" w:hAnsi="Times New Roman"/>
          <w:sz w:val="16"/>
          <w:szCs w:val="16"/>
          <w:lang w:val="nb-NO"/>
        </w:rPr>
      </w:pPr>
      <w:r>
        <w:rPr>
          <w:rStyle w:val="FootnoteReference"/>
          <w:rFonts w:ascii="Times New Roman" w:hAnsi="Times New Roman"/>
          <w:sz w:val="16"/>
        </w:rPr>
        <w:footnoteRef/>
      </w:r>
      <w:r>
        <w:rPr>
          <w:rFonts w:ascii="Times New Roman" w:hAnsi="Times New Roman"/>
          <w:sz w:val="16"/>
          <w:lang w:val="nb-NO"/>
        </w:rPr>
        <w:t xml:space="preserve"> Ibid., pp. 59 à 61.</w:t>
      </w:r>
    </w:p>
  </w:footnote>
  <w:footnote w:id="68">
    <w:p w:rsidR="00FC79B3" w:rsidRDefault="002A6CE7">
      <w:pPr>
        <w:pStyle w:val="FootnoteText"/>
        <w:rPr>
          <w:rFonts w:ascii="Times New Roman" w:hAnsi="Times New Roman"/>
          <w:sz w:val="16"/>
          <w:szCs w:val="16"/>
          <w:lang w:val="nb-NO"/>
        </w:rPr>
      </w:pPr>
      <w:r>
        <w:rPr>
          <w:rStyle w:val="FootnoteReference"/>
          <w:rFonts w:ascii="Times New Roman" w:hAnsi="Times New Roman"/>
          <w:sz w:val="16"/>
        </w:rPr>
        <w:footnoteRef/>
      </w:r>
      <w:r>
        <w:rPr>
          <w:rFonts w:ascii="Times New Roman" w:hAnsi="Times New Roman"/>
          <w:sz w:val="16"/>
          <w:lang w:val="nb-NO"/>
        </w:rPr>
        <w:t xml:space="preserve"> Voir par exemple «Ex-post evaluation of five programmes implemented under the 2007-2013 financial perspective. Specific programme evaluation: Criminal Justice Programme (JPEN), ICF, 28 juillet 2015», pp. 1 et 2 </w:t>
      </w:r>
      <w:hyperlink r:id="rId20">
        <w:r>
          <w:rPr>
            <w:rStyle w:val="Hyperlink"/>
            <w:rFonts w:ascii="Times New Roman" w:hAnsi="Times New Roman"/>
            <w:sz w:val="16"/>
            <w:lang w:val="nb-NO"/>
          </w:rPr>
          <w:t>http://ec.europa.eu/justice/grants1/files/expost_evaluations_2007_2013/jpen_programme_evaluation_final_report.pdf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E7" w:rsidRDefault="002A6C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E7" w:rsidRDefault="002A6C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E7" w:rsidRDefault="002A6C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B3" w:rsidRDefault="00FC79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B3" w:rsidRDefault="00FC79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B3" w:rsidRDefault="00FC7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FB"/>
    <w:multiLevelType w:val="multilevel"/>
    <w:tmpl w:val="DE16A0BA"/>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540"/>
        </w:tabs>
        <w:ind w:left="1617"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1">
    <w:nsid w:val="04CB1776"/>
    <w:multiLevelType w:val="hybridMultilevel"/>
    <w:tmpl w:val="726AD6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071A1A56"/>
    <w:multiLevelType w:val="multilevel"/>
    <w:tmpl w:val="82F6992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b/>
        <w:i/>
        <w:color w:val="0067AC"/>
        <w:sz w:val="20"/>
      </w:rPr>
    </w:lvl>
    <w:lvl w:ilvl="4">
      <w:start w:val="1"/>
      <w:numFmt w:val="decimal"/>
      <w:pStyle w:val="Heading5"/>
      <w:lvlText w:val="%1.%2.%3.%4.%5"/>
      <w:lvlJc w:val="left"/>
      <w:pPr>
        <w:ind w:left="851" w:hanging="851"/>
      </w:pPr>
      <w:rPr>
        <w:rFonts w:ascii="Calibri" w:hAnsi="Calibri" w:hint="default"/>
        <w:b/>
        <w:i/>
        <w:color w:val="0067AC"/>
        <w:sz w:val="20"/>
      </w:rPr>
    </w:lvl>
    <w:lvl w:ilvl="5">
      <w:start w:val="1"/>
      <w:numFmt w:val="decimal"/>
      <w:lvlRestart w:val="1"/>
      <w:pStyle w:val="Figure"/>
      <w:lvlText w:val="Figure %1.%6"/>
      <w:lvlJc w:val="left"/>
      <w:pPr>
        <w:tabs>
          <w:tab w:val="num" w:pos="720"/>
        </w:tabs>
        <w:ind w:left="1797" w:hanging="1077"/>
      </w:pPr>
      <w:rPr>
        <w:rFonts w:ascii="Calibri" w:hAnsi="Calibri" w:hint="default"/>
        <w:b/>
        <w:color w:val="auto"/>
      </w:rPr>
    </w:lvl>
    <w:lvl w:ilvl="6">
      <w:start w:val="1"/>
      <w:numFmt w:val="decimal"/>
      <w:lvlRestart w:val="1"/>
      <w:pStyle w:val="Table"/>
      <w:lvlText w:val="Table %1.%7"/>
      <w:lvlJc w:val="left"/>
      <w:pPr>
        <w:tabs>
          <w:tab w:val="num" w:pos="851"/>
        </w:tabs>
        <w:ind w:left="1928" w:hanging="1077"/>
      </w:pPr>
      <w:rPr>
        <w:rFonts w:ascii="Calibri" w:hAnsi="Calibri" w:hint="default"/>
      </w:rPr>
    </w:lvl>
    <w:lvl w:ilvl="7">
      <w:start w:val="1"/>
      <w:numFmt w:val="decimal"/>
      <w:lvlRestart w:val="1"/>
      <w:pStyle w:val="Box"/>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82C2863"/>
    <w:multiLevelType w:val="hybridMultilevel"/>
    <w:tmpl w:val="2812B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B351EDE"/>
    <w:multiLevelType w:val="hybridMultilevel"/>
    <w:tmpl w:val="BB1C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E16066"/>
    <w:multiLevelType w:val="multilevel"/>
    <w:tmpl w:val="6412989C"/>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6">
    <w:nsid w:val="102F0649"/>
    <w:multiLevelType w:val="hybridMultilevel"/>
    <w:tmpl w:val="88AC9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2492DA7"/>
    <w:multiLevelType w:val="hybridMultilevel"/>
    <w:tmpl w:val="4A88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264F5E"/>
    <w:multiLevelType w:val="multilevel"/>
    <w:tmpl w:val="89BC52E8"/>
    <w:numStyleLink w:val="NumbLstBoxes"/>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5DF509D"/>
    <w:multiLevelType w:val="hybridMultilevel"/>
    <w:tmpl w:val="AE4A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FF6252"/>
    <w:multiLevelType w:val="hybridMultilevel"/>
    <w:tmpl w:val="443C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97051D"/>
    <w:multiLevelType w:val="multilevel"/>
    <w:tmpl w:val="E7FC4010"/>
    <w:numStyleLink w:val="NumbLstTableBullet"/>
  </w:abstractNum>
  <w:abstractNum w:abstractNumId="13">
    <w:nsid w:val="213056DA"/>
    <w:multiLevelType w:val="multilevel"/>
    <w:tmpl w:val="89BC52E8"/>
    <w:styleLink w:val="NumbLstBoxes"/>
    <w:lvl w:ilvl="0">
      <w:start w:val="1"/>
      <w:numFmt w:val="decimal"/>
      <w:pStyle w:val="CaseStudy"/>
      <w:suff w:val="space"/>
      <w:lvlText w:val="Case Study %1"/>
      <w:lvlJc w:val="left"/>
      <w:pPr>
        <w:ind w:left="0" w:firstLine="0"/>
      </w:pPr>
      <w:rPr>
        <w:rFonts w:hint="default"/>
      </w:rPr>
    </w:lvl>
    <w:lvl w:ilvl="1">
      <w:start w:val="1"/>
      <w:numFmt w:val="decimal"/>
      <w:lvlRestart w:val="0"/>
      <w:pStyle w:val="Evidence"/>
      <w:suff w:val="space"/>
      <w:lvlText w:val="Evidence %2"/>
      <w:lvlJc w:val="left"/>
      <w:pPr>
        <w:ind w:left="0" w:firstLine="0"/>
      </w:pPr>
      <w:rPr>
        <w:rFonts w:hint="default"/>
      </w:rPr>
    </w:lvl>
    <w:lvl w:ilvl="2">
      <w:start w:val="1"/>
      <w:numFmt w:val="decimal"/>
      <w:lvlRestart w:val="0"/>
      <w:pStyle w:val="Conclusion"/>
      <w:suff w:val="space"/>
      <w:lvlText w:val="Conclusion %3"/>
      <w:lvlJc w:val="left"/>
      <w:pPr>
        <w:ind w:left="0" w:firstLine="0"/>
      </w:pPr>
      <w:rPr>
        <w:rFonts w:hint="default"/>
      </w:rPr>
    </w:lvl>
    <w:lvl w:ilvl="3">
      <w:start w:val="1"/>
      <w:numFmt w:val="decimal"/>
      <w:lvlRestart w:val="0"/>
      <w:pStyle w:val="Recommendation"/>
      <w:suff w:val="space"/>
      <w:lvlText w:val="Recommendation %4"/>
      <w:lvlJc w:val="left"/>
      <w:pPr>
        <w:ind w:left="0" w:firstLine="0"/>
      </w:pPr>
      <w:rPr>
        <w:rFonts w:hint="default"/>
        <w:b/>
        <w:i w:val="0"/>
        <w:color w:val="0067AC"/>
        <w:sz w:val="28"/>
      </w:rPr>
    </w:lvl>
    <w:lvl w:ilvl="4">
      <w:start w:val="1"/>
      <w:numFmt w:val="decimal"/>
      <w:lvlRestart w:val="0"/>
      <w:pStyle w:val="BoxNumb"/>
      <w:suff w:val="space"/>
      <w:lvlText w:val="Box %5"/>
      <w:lvlJc w:val="left"/>
      <w:pPr>
        <w:ind w:left="0" w:firstLine="0"/>
      </w:pPr>
      <w:rPr>
        <w:rFonts w:hint="default"/>
        <w:color w:val="0067AC"/>
      </w:rPr>
    </w:lvl>
    <w:lvl w:ilvl="5">
      <w:start w:val="1"/>
      <w:numFmt w:val="none"/>
      <w:lvlRestart w:val="3"/>
      <w:lvlText w:val=""/>
      <w:lvlJc w:val="left"/>
      <w:pPr>
        <w:tabs>
          <w:tab w:val="num" w:pos="851"/>
        </w:tabs>
        <w:ind w:left="0" w:firstLine="0"/>
      </w:pPr>
      <w:rPr>
        <w:rFonts w:ascii="Georgia" w:hAnsi="Georgia" w:hint="default"/>
        <w:color w:val="336633"/>
      </w:rPr>
    </w:lvl>
    <w:lvl w:ilvl="6">
      <w:start w:val="1"/>
      <w:numFmt w:val="none"/>
      <w:lvlRestart w:val="5"/>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suff w:val="nothing"/>
      <w:lvlText w:val=""/>
      <w:lvlJc w:val="left"/>
      <w:pPr>
        <w:ind w:left="0" w:firstLine="0"/>
      </w:pPr>
      <w:rPr>
        <w:rFonts w:ascii="Georgia" w:hAnsi="Georgia" w:hint="default"/>
        <w:color w:val="1F497D" w:themeColor="text2"/>
      </w:rPr>
    </w:lvl>
  </w:abstractNum>
  <w:abstractNum w:abstractNumId="14">
    <w:nsid w:val="245E60BA"/>
    <w:multiLevelType w:val="hybridMultilevel"/>
    <w:tmpl w:val="F056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E021D2"/>
    <w:multiLevelType w:val="hybridMultilevel"/>
    <w:tmpl w:val="7ACA3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026924"/>
    <w:multiLevelType w:val="multilevel"/>
    <w:tmpl w:val="DE16A0B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1276"/>
        </w:tabs>
        <w:ind w:left="2353"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17">
    <w:nsid w:val="361E4D33"/>
    <w:multiLevelType w:val="hybridMultilevel"/>
    <w:tmpl w:val="A8A2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79109E"/>
    <w:multiLevelType w:val="hybridMultilevel"/>
    <w:tmpl w:val="C384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801475"/>
    <w:multiLevelType w:val="multilevel"/>
    <w:tmpl w:val="9F9A5336"/>
    <w:styleLink w:val="NumbLstBTBullet"/>
    <w:lvl w:ilvl="0">
      <w:start w:val="1"/>
      <w:numFmt w:val="bullet"/>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0">
    <w:nsid w:val="3D552A67"/>
    <w:multiLevelType w:val="hybridMultilevel"/>
    <w:tmpl w:val="BBBC8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E144406"/>
    <w:multiLevelType w:val="multilevel"/>
    <w:tmpl w:val="85BCEBDA"/>
    <w:styleLink w:val="NumbLstBullet"/>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2">
    <w:nsid w:val="40E25B44"/>
    <w:multiLevelType w:val="hybridMultilevel"/>
    <w:tmpl w:val="00369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072CA7"/>
    <w:multiLevelType w:val="hybridMultilevel"/>
    <w:tmpl w:val="8C90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E73648"/>
    <w:multiLevelType w:val="hybridMultilevel"/>
    <w:tmpl w:val="3572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B3328B"/>
    <w:multiLevelType w:val="hybridMultilevel"/>
    <w:tmpl w:val="97F28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6573D8D"/>
    <w:multiLevelType w:val="hybridMultilevel"/>
    <w:tmpl w:val="F130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themeColor="text2"/>
      </w:rPr>
    </w:lvl>
    <w:lvl w:ilvl="2">
      <w:start w:val="1"/>
      <w:numFmt w:val="bullet"/>
      <w:lvlText w:val="○"/>
      <w:lvlJc w:val="left"/>
      <w:pPr>
        <w:tabs>
          <w:tab w:val="num" w:pos="1077"/>
        </w:tabs>
        <w:ind w:left="1077" w:hanging="340"/>
      </w:pPr>
      <w:rPr>
        <w:rFonts w:ascii="Arial" w:hAnsi="Arial" w:cs="Arial" w:hint="default"/>
        <w:color w:val="1F497D" w:themeColor="text2"/>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8">
    <w:nsid w:val="4CCD2B0F"/>
    <w:multiLevelType w:val="hybridMultilevel"/>
    <w:tmpl w:val="16C4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4936E5"/>
    <w:multiLevelType w:val="multilevel"/>
    <w:tmpl w:val="9F9A5336"/>
    <w:numStyleLink w:val="NumbLstBTBullet"/>
  </w:abstractNum>
  <w:abstractNum w:abstractNumId="30">
    <w:nsid w:val="5A611787"/>
    <w:multiLevelType w:val="multilevel"/>
    <w:tmpl w:val="85BCEBDA"/>
    <w:numStyleLink w:val="NumbLstBullet"/>
  </w:abstractNum>
  <w:abstractNum w:abstractNumId="31">
    <w:nsid w:val="5ABA69BA"/>
    <w:multiLevelType w:val="hybridMultilevel"/>
    <w:tmpl w:val="BB6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E17EF"/>
    <w:multiLevelType w:val="multilevel"/>
    <w:tmpl w:val="DE16A0BA"/>
    <w:numStyleLink w:val="NumbLstMain"/>
  </w:abstractNum>
  <w:abstractNum w:abstractNumId="33">
    <w:nsid w:val="61F2433F"/>
    <w:multiLevelType w:val="hybridMultilevel"/>
    <w:tmpl w:val="1A429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4930F24"/>
    <w:multiLevelType w:val="hybridMultilevel"/>
    <w:tmpl w:val="5900E8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nsid w:val="78E54B75"/>
    <w:multiLevelType w:val="hybridMultilevel"/>
    <w:tmpl w:val="F338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9"/>
    <w:lvlOverride w:ilvl="0">
      <w:lvl w:ilvl="0">
        <w:start w:val="1"/>
        <w:numFmt w:val="bullet"/>
        <w:lvlText w:val="■"/>
        <w:lvlJc w:val="left"/>
        <w:pPr>
          <w:tabs>
            <w:tab w:val="num" w:pos="1191"/>
          </w:tabs>
          <w:ind w:left="1191" w:hanging="340"/>
        </w:pPr>
        <w:rPr>
          <w:rFonts w:ascii="Arial" w:hAnsi="Arial" w:hint="default"/>
          <w:color w:val="auto"/>
        </w:rPr>
      </w:lvl>
    </w:lvlOverride>
  </w:num>
  <w:num w:numId="3">
    <w:abstractNumId w:val="0"/>
  </w:num>
  <w:num w:numId="4">
    <w:abstractNumId w:val="3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2551"/>
          </w:tabs>
          <w:ind w:left="3628" w:hanging="1077"/>
        </w:pPr>
        <w:rPr>
          <w:rFonts w:ascii="Calibri" w:hAnsi="Calibri" w:hint="default"/>
          <w:color w:val="0067AC"/>
        </w:rPr>
      </w:lvl>
    </w:lvlOverride>
    <w:lvlOverride w:ilvl="6">
      <w:lvl w:ilvl="6">
        <w:start w:val="1"/>
        <w:numFmt w:val="decimal"/>
        <w:lvlRestart w:val="1"/>
        <w:lvlText w:val="Table %1.%7"/>
        <w:lvlJc w:val="left"/>
        <w:pPr>
          <w:tabs>
            <w:tab w:val="num" w:pos="851"/>
          </w:tabs>
          <w:ind w:left="1928"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5">
    <w:abstractNumId w:val="3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540"/>
          </w:tabs>
          <w:ind w:left="1617" w:hanging="1077"/>
        </w:pPr>
        <w:rPr>
          <w:rFonts w:ascii="Calibri" w:hAnsi="Calibri" w:hint="default"/>
          <w:color w:val="auto"/>
        </w:rPr>
      </w:lvl>
    </w:lvlOverride>
    <w:lvlOverride w:ilvl="6">
      <w:lvl w:ilvl="6">
        <w:start w:val="1"/>
        <w:numFmt w:val="decimal"/>
        <w:lvlRestart w:val="1"/>
        <w:lvlText w:val="Table %1.%7"/>
        <w:lvlJc w:val="left"/>
        <w:pPr>
          <w:tabs>
            <w:tab w:val="num" w:pos="851"/>
          </w:tabs>
          <w:ind w:left="1928"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6">
    <w:abstractNumId w:val="13"/>
  </w:num>
  <w:num w:numId="7">
    <w:abstractNumId w:val="5"/>
  </w:num>
  <w:num w:numId="8">
    <w:abstractNumId w:val="8"/>
  </w:num>
  <w:num w:numId="9">
    <w:abstractNumId w:val="2"/>
  </w:num>
  <w:num w:numId="10">
    <w:abstractNumId w:val="27"/>
  </w:num>
  <w:num w:numId="11">
    <w:abstractNumId w:val="12"/>
  </w:num>
  <w:num w:numId="12">
    <w:abstractNumId w:val="34"/>
  </w:num>
  <w:num w:numId="13">
    <w:abstractNumId w:val="1"/>
  </w:num>
  <w:num w:numId="14">
    <w:abstractNumId w:val="25"/>
  </w:num>
  <w:num w:numId="15">
    <w:abstractNumId w:val="20"/>
  </w:num>
  <w:num w:numId="16">
    <w:abstractNumId w:val="6"/>
  </w:num>
  <w:num w:numId="17">
    <w:abstractNumId w:val="18"/>
  </w:num>
  <w:num w:numId="18">
    <w:abstractNumId w:val="32"/>
  </w:num>
  <w:num w:numId="19">
    <w:abstractNumId w:val="26"/>
  </w:num>
  <w:num w:numId="20">
    <w:abstractNumId w:val="16"/>
  </w:num>
  <w:num w:numId="21">
    <w:abstractNumId w:val="22"/>
  </w:num>
  <w:num w:numId="22">
    <w:abstractNumId w:val="17"/>
  </w:num>
  <w:num w:numId="23">
    <w:abstractNumId w:val="4"/>
  </w:num>
  <w:num w:numId="24">
    <w:abstractNumId w:val="24"/>
  </w:num>
  <w:num w:numId="25">
    <w:abstractNumId w:val="7"/>
  </w:num>
  <w:num w:numId="26">
    <w:abstractNumId w:val="28"/>
  </w:num>
  <w:num w:numId="27">
    <w:abstractNumId w:val="35"/>
  </w:num>
  <w:num w:numId="28">
    <w:abstractNumId w:val="31"/>
  </w:num>
  <w:num w:numId="29">
    <w:abstractNumId w:val="14"/>
  </w:num>
  <w:num w:numId="30">
    <w:abstractNumId w:val="15"/>
  </w:num>
  <w:num w:numId="31">
    <w:abstractNumId w:val="11"/>
  </w:num>
  <w:num w:numId="32">
    <w:abstractNumId w:val="10"/>
  </w:num>
  <w:num w:numId="33">
    <w:abstractNumId w:val="21"/>
  </w:num>
  <w:num w:numId="34">
    <w:abstractNumId w:val="30"/>
  </w:num>
  <w:num w:numId="35">
    <w:abstractNumId w:val="3"/>
  </w:num>
  <w:num w:numId="36">
    <w:abstractNumId w:val="3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540"/>
          </w:tabs>
          <w:ind w:left="1617" w:hanging="1077"/>
        </w:pPr>
        <w:rPr>
          <w:rFonts w:ascii="Calibri" w:hAnsi="Calibri" w:hint="default"/>
          <w:color w:val="0067AC"/>
        </w:rPr>
      </w:lvl>
    </w:lvlOverride>
    <w:lvlOverride w:ilvl="6">
      <w:lvl w:ilvl="6">
        <w:start w:val="2"/>
        <w:numFmt w:val="decimal"/>
        <w:lvlRestart w:val="1"/>
        <w:lvlText w:val="Table %1.%7"/>
        <w:lvlJc w:val="left"/>
        <w:pPr>
          <w:tabs>
            <w:tab w:val="num" w:pos="851"/>
          </w:tabs>
          <w:ind w:left="1928"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37">
    <w:abstractNumId w:val="33"/>
  </w:num>
  <w:num w:numId="38">
    <w:abstractNumId w:val="23"/>
  </w:num>
  <w:num w:numId="39">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2D5FF3FA8D24C9BB0DF629E7B42F1F9"/>
    <w:docVar w:name="LW_CROSSREFERENCE" w:val="&lt;UNUSED&gt;"/>
    <w:docVar w:name="LW_DocType" w:val="NORMAL"/>
    <w:docVar w:name="LW_EMISSION" w:val="7.3.2017"/>
    <w:docVar w:name="LW_EMISSION_ISODATE" w:val="2017-03-07"/>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15"/>
    <w:docVar w:name="LW_REF.INTERNE" w:val="&lt;UNUSED&gt;"/>
    <w:docVar w:name="LW_SOUS.TITRE.OBJ.CP" w:val="&lt;UNUSED&gt;"/>
    <w:docVar w:name="LW_SUPERTITRE" w:val="&lt;UNUSED&gt;"/>
    <w:docVar w:name="LW_TITRE.OBJ.CP" w:val="Rapport d'évaluation ex post du programme «Justice pénale» (2007-2013)"/>
    <w:docVar w:name="LW_TYPE.DOC.CP" w:val="RAPPORT DE LA COMMISSION AU CONSEIL ET AU PARLEMENT EUROPÉEN"/>
    <w:docVar w:name="Stamp" w:val="\\dossiers.dgt.cec.eu.int\dossiers\JUST\JUST-2016-01357\JUST-2016-01357-00-00-EN-REV-00.DOCX"/>
  </w:docVars>
  <w:rsids>
    <w:rsidRoot w:val="00FC79B3"/>
    <w:rsid w:val="002A6CE7"/>
    <w:rsid w:val="00AD0641"/>
    <w:rsid w:val="00FC7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19"/>
    <w:lsdException w:name="annotation text" w:uiPriority="29"/>
    <w:lsdException w:name="caption" w:uiPriority="35" w:qFormat="1"/>
    <w:lsdException w:name="footnote reference" w:uiPriority="19"/>
    <w:lsdException w:name="annotation reference" w:uiPriority="29"/>
    <w:lsdException w:name="List Bullet 3"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GB"/>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
    <w:basedOn w:val="Normal"/>
    <w:next w:val="BodyText"/>
    <w:link w:val="Heading1Char"/>
    <w:qFormat/>
    <w:pPr>
      <w:keepNext/>
      <w:keepLines/>
      <w:pageBreakBefore/>
      <w:widowControl/>
      <w:numPr>
        <w:numId w:val="9"/>
      </w:numPr>
      <w:spacing w:after="240" w:line="240" w:lineRule="atLeast"/>
      <w:outlineLvl w:val="0"/>
    </w:pPr>
    <w:rPr>
      <w:rFonts w:ascii="Calibri" w:eastAsiaTheme="majorEastAsia" w:hAnsi="Calibri" w:cstheme="majorBidi"/>
      <w:b/>
      <w:bCs/>
      <w:color w:val="auto"/>
      <w:sz w:val="32"/>
      <w:szCs w:val="28"/>
      <w:lang w:eastAsia="en-U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2H,2H1,heading 2,2h"/>
    <w:basedOn w:val="Normal"/>
    <w:next w:val="BodyText"/>
    <w:link w:val="Heading2Char"/>
    <w:qFormat/>
    <w:pPr>
      <w:keepNext/>
      <w:keepLines/>
      <w:widowControl/>
      <w:numPr>
        <w:ilvl w:val="1"/>
        <w:numId w:val="9"/>
      </w:numPr>
      <w:spacing w:before="240" w:after="120" w:line="260" w:lineRule="atLeast"/>
      <w:outlineLvl w:val="1"/>
    </w:pPr>
    <w:rPr>
      <w:rFonts w:ascii="Calibri" w:eastAsiaTheme="majorEastAsia" w:hAnsi="Calibri" w:cstheme="majorBidi"/>
      <w:b/>
      <w:bCs/>
      <w:color w:val="0067AC"/>
      <w:sz w:val="26"/>
      <w:szCs w:val="26"/>
      <w:lang w:eastAsia="en-US"/>
    </w:rPr>
  </w:style>
  <w:style w:type="paragraph" w:styleId="Heading3">
    <w:name w:val="heading 3"/>
    <w:aliases w:val="F5 Heading 3,h3,Numbered - 3,H3,H31,Headline 3,h31,h32,Sub Paragraph,Voorwoord,ASAPHeading 3,Level 1 - 1,Heading 3 - old,Heading 2.3,1.2.3.,Titles,(Alt+3),(Alt+3)1,(Alt+3)2,(Alt+3)3,(Alt+3)4,(Alt+3)5,(Alt+3)6,(Alt+3)11,(Alt+3)21,Tit,heading 3"/>
    <w:basedOn w:val="Normal"/>
    <w:next w:val="BodyText"/>
    <w:link w:val="Heading3Char"/>
    <w:qFormat/>
    <w:pPr>
      <w:keepNext/>
      <w:keepLines/>
      <w:widowControl/>
      <w:numPr>
        <w:ilvl w:val="2"/>
        <w:numId w:val="9"/>
      </w:numPr>
      <w:spacing w:before="200" w:after="120" w:line="240" w:lineRule="atLeast"/>
      <w:outlineLvl w:val="2"/>
    </w:pPr>
    <w:rPr>
      <w:rFonts w:ascii="Calibri" w:eastAsiaTheme="majorEastAsia" w:hAnsi="Calibri" w:cstheme="majorBidi"/>
      <w:b/>
      <w:bCs/>
      <w:color w:val="0067AC"/>
      <w:sz w:val="22"/>
      <w:lang w:eastAsia="en-US"/>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BodyText"/>
    <w:link w:val="Heading4Char"/>
    <w:qFormat/>
    <w:pPr>
      <w:keepNext/>
      <w:keepLines/>
      <w:widowControl/>
      <w:numPr>
        <w:ilvl w:val="3"/>
        <w:numId w:val="9"/>
      </w:numPr>
      <w:spacing w:before="120" w:line="240" w:lineRule="atLeast"/>
      <w:outlineLvl w:val="3"/>
    </w:pPr>
    <w:rPr>
      <w:rFonts w:ascii="Calibri" w:eastAsiaTheme="majorEastAsia" w:hAnsi="Calibri" w:cstheme="majorBidi"/>
      <w:b/>
      <w:bCs/>
      <w:i/>
      <w:iCs/>
      <w:color w:val="0067AC"/>
      <w:sz w:val="22"/>
      <w:lang w:eastAsia="en-US"/>
    </w:rPr>
  </w:style>
  <w:style w:type="paragraph" w:styleId="Heading5">
    <w:name w:val="heading 5"/>
    <w:aliases w:val="Heading 5(war),DNV-H5,Block Label,Heading 5 CFMU,Para 5,h5,Level 3 - i,DO NOT USE_h5,H5,Roman list,Schedule A to X"/>
    <w:basedOn w:val="Normal"/>
    <w:next w:val="Normal"/>
    <w:link w:val="Heading5Char"/>
    <w:uiPriority w:val="29"/>
    <w:unhideWhenUsed/>
    <w:qFormat/>
    <w:pPr>
      <w:keepNext/>
      <w:keepLines/>
      <w:widowControl/>
      <w:numPr>
        <w:ilvl w:val="4"/>
        <w:numId w:val="9"/>
      </w:numPr>
      <w:spacing w:before="120" w:line="240" w:lineRule="atLeast"/>
      <w:outlineLvl w:val="4"/>
    </w:pPr>
    <w:rPr>
      <w:rFonts w:ascii="Calibri" w:eastAsiaTheme="majorEastAsia" w:hAnsi="Calibri" w:cstheme="majorBidi"/>
      <w:b/>
      <w:i/>
      <w:color w:val="0067AC"/>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2"/>
      <w:szCs w:val="22"/>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Arial">
    <w:name w:val="En-tête ou pied de page + Arial"/>
    <w:aliases w:val="24 pt,Gras,Espacement 0 pt"/>
    <w:basedOn w:val="En-tteoupieddepage"/>
    <w:rPr>
      <w:rFonts w:ascii="Arial" w:eastAsia="Arial" w:hAnsi="Arial" w:cs="Arial"/>
      <w:b/>
      <w:bCs/>
      <w:i w:val="0"/>
      <w:iCs w:val="0"/>
      <w:smallCaps w:val="0"/>
      <w:strike w:val="0"/>
      <w:color w:val="000000"/>
      <w:spacing w:val="-10"/>
      <w:w w:val="100"/>
      <w:position w:val="0"/>
      <w:sz w:val="48"/>
      <w:szCs w:val="48"/>
      <w:u w:val="none"/>
      <w:lang w:val="en-US"/>
    </w:rPr>
  </w:style>
  <w:style w:type="character" w:customStyle="1" w:styleId="En-tte2">
    <w:name w:val="En-tête #2_"/>
    <w:basedOn w:val="DefaultParagraphFont"/>
    <w:link w:val="En-tte20"/>
    <w:rPr>
      <w:rFonts w:ascii="Arial" w:eastAsia="Arial" w:hAnsi="Arial" w:cs="Arial"/>
      <w:b w:val="0"/>
      <w:bCs w:val="0"/>
      <w:i w:val="0"/>
      <w:iCs w:val="0"/>
      <w:smallCaps w:val="0"/>
      <w:strike w:val="0"/>
      <w:sz w:val="22"/>
      <w:szCs w:val="22"/>
      <w:u w:val="none"/>
      <w:lang w:val="fi"/>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En-tte1">
    <w:name w:val="En-tête #1_"/>
    <w:basedOn w:val="DefaultParagraphFont"/>
    <w:link w:val="En-tte10"/>
    <w:rPr>
      <w:b w:val="0"/>
      <w:bCs w:val="0"/>
      <w:i w:val="0"/>
      <w:iCs w:val="0"/>
      <w:smallCaps w:val="0"/>
      <w:strike w:val="0"/>
      <w:sz w:val="27"/>
      <w:szCs w:val="27"/>
      <w:u w:val="none"/>
      <w:lang w:val="fr"/>
    </w:rPr>
  </w:style>
  <w:style w:type="character" w:customStyle="1" w:styleId="En-tteoupieddepage11pt">
    <w:name w:val="En-tête ou pied de page + 11 pt"/>
    <w:basedOn w:val="En-tteoupieddepag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OC3Char">
    <w:name w:val="TOC 3 Char"/>
    <w:basedOn w:val="DefaultParagraphFont"/>
    <w:link w:val="TOC3"/>
    <w:rPr>
      <w:b w:val="0"/>
      <w:bCs w:val="0"/>
      <w:i w:val="0"/>
      <w:iCs w:val="0"/>
      <w:smallCaps w:val="0"/>
      <w:strike w:val="0"/>
      <w:sz w:val="22"/>
      <w:szCs w:val="22"/>
      <w:u w:val="none"/>
    </w:rPr>
  </w:style>
  <w:style w:type="character" w:customStyle="1" w:styleId="Tabledesmatires2">
    <w:name w:val="Table des matières (2)_"/>
    <w:basedOn w:val="DefaultParagraphFont"/>
    <w:link w:val="Tabledesmatires20"/>
    <w:rPr>
      <w:b w:val="0"/>
      <w:bCs w:val="0"/>
      <w:i w:val="0"/>
      <w:iCs w:val="0"/>
      <w:smallCaps w:val="0"/>
      <w:strike w:val="0"/>
      <w:sz w:val="22"/>
      <w:szCs w:val="22"/>
      <w:u w:val="none"/>
    </w:rPr>
  </w:style>
  <w:style w:type="character" w:customStyle="1" w:styleId="Tabledesmatires2NonGras">
    <w:name w:val="Table des matières (2) + Non Gras"/>
    <w:basedOn w:val="Tabledesmatires2"/>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Tabledesmatires21">
    <w:name w:val="Table des matières (2)"/>
    <w:basedOn w:val="Tabledesmatires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En-tte4">
    <w:name w:val="En-tête #4_"/>
    <w:basedOn w:val="DefaultParagraphFont"/>
    <w:link w:val="En-tte40"/>
    <w:rPr>
      <w:b w:val="0"/>
      <w:bCs w:val="0"/>
      <w:i w:val="0"/>
      <w:iCs w:val="0"/>
      <w:smallCaps w:val="0"/>
      <w:strike w:val="0"/>
      <w:sz w:val="22"/>
      <w:szCs w:val="22"/>
      <w:u w:val="none"/>
    </w:rPr>
  </w:style>
  <w:style w:type="character" w:customStyle="1" w:styleId="Corpsdutexte3">
    <w:name w:val="Corps du texte (3)_"/>
    <w:basedOn w:val="DefaultParagraphFont"/>
    <w:link w:val="Corpsdutexte30"/>
    <w:rPr>
      <w:b w:val="0"/>
      <w:bCs w:val="0"/>
      <w:i w:val="0"/>
      <w:iCs w:val="0"/>
      <w:smallCaps w:val="0"/>
      <w:strike w:val="0"/>
      <w:sz w:val="19"/>
      <w:szCs w:val="19"/>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En-tte42">
    <w:name w:val="En-tête #4 (2)_"/>
    <w:basedOn w:val="DefaultParagraphFont"/>
    <w:link w:val="En-tte420"/>
    <w:rPr>
      <w:b w:val="0"/>
      <w:bCs w:val="0"/>
      <w:i w:val="0"/>
      <w:iCs w:val="0"/>
      <w:smallCaps w:val="0"/>
      <w:strike w:val="0"/>
      <w:sz w:val="23"/>
      <w:szCs w:val="23"/>
      <w:u w:val="none"/>
    </w:rPr>
  </w:style>
  <w:style w:type="character" w:customStyle="1" w:styleId="En-tte42NonGras">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4">
    <w:name w:val="Corps du texte (4)_"/>
    <w:basedOn w:val="DefaultParagraphFont"/>
    <w:link w:val="Corpsdutexte40"/>
    <w:rPr>
      <w:b w:val="0"/>
      <w:bCs w:val="0"/>
      <w:i w:val="0"/>
      <w:iCs w:val="0"/>
      <w:smallCaps w:val="0"/>
      <w:strike w:val="0"/>
      <w:sz w:val="17"/>
      <w:szCs w:val="17"/>
      <w:u w:val="none"/>
      <w:lang w:val="sl"/>
    </w:rPr>
  </w:style>
  <w:style w:type="character" w:customStyle="1" w:styleId="Corpsdutexte6">
    <w:name w:val="Corps du texte (6)_"/>
    <w:basedOn w:val="DefaultParagraphFont"/>
    <w:link w:val="Corpsdutexte60"/>
    <w:rPr>
      <w:b w:val="0"/>
      <w:bCs w:val="0"/>
      <w:i w:val="0"/>
      <w:iCs w:val="0"/>
      <w:smallCaps w:val="0"/>
      <w:strike w:val="0"/>
      <w:sz w:val="23"/>
      <w:szCs w:val="23"/>
      <w:u w:val="none"/>
    </w:rPr>
  </w:style>
  <w:style w:type="character" w:customStyle="1" w:styleId="Corpsdutexte6NonGras">
    <w:name w:val="Corps du texte (6) + Non Gras"/>
    <w:basedOn w:val="Corpsdutexte6"/>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612pt">
    <w:name w:val="Corps du texte (6) + 12 pt"/>
    <w:aliases w:val="Non Italique,Espacement -1 pt"/>
    <w:basedOn w:val="Corpsdutexte6"/>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0">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En-tte4212pt">
    <w:name w:val="En-tête #4 (2) + 12 pt"/>
    <w:aliases w:val="Non Italique,Espacement -1 pt"/>
    <w:basedOn w:val="En-tte42"/>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1">
    <w:name w:val="En-tête #4 (2) + Non Gras"/>
    <w:aliases w:val="Non Italique"/>
    <w:basedOn w:val="En-tte42"/>
    <w:rPr>
      <w:rFonts w:ascii="Times New Roman" w:eastAsia="Times New Roman" w:hAnsi="Times New Roman" w:cs="Times New Roman"/>
      <w:b/>
      <w:bCs/>
      <w:i/>
      <w:iCs/>
      <w:smallCaps w:val="0"/>
      <w:strike w:val="0"/>
      <w:color w:val="000000"/>
      <w:spacing w:val="0"/>
      <w:w w:val="100"/>
      <w:position w:val="0"/>
      <w:sz w:val="23"/>
      <w:szCs w:val="23"/>
      <w:u w:val="none"/>
      <w:lang w:val="sl"/>
    </w:rPr>
  </w:style>
  <w:style w:type="character" w:customStyle="1" w:styleId="En-tte41">
    <w:name w:val="En-tête #4"/>
    <w:basedOn w:val="En-tte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En-tte3">
    <w:name w:val="En-tête #3_"/>
    <w:basedOn w:val="DefaultParagraphFont"/>
    <w:link w:val="En-tte30"/>
    <w:rPr>
      <w:b w:val="0"/>
      <w:bCs w:val="0"/>
      <w:i w:val="0"/>
      <w:iCs w:val="0"/>
      <w:smallCaps w:val="0"/>
      <w:strike w:val="0"/>
      <w:sz w:val="22"/>
      <w:szCs w:val="22"/>
      <w:u w:val="none"/>
    </w:rPr>
  </w:style>
  <w:style w:type="paragraph" w:customStyle="1" w:styleId="Corpsdutexte20">
    <w:name w:val="Corps du texte (2)"/>
    <w:basedOn w:val="Normal"/>
    <w:link w:val="Corpsdutexte2"/>
    <w:pPr>
      <w:shd w:val="clear" w:color="auto" w:fill="FFFFFF"/>
      <w:spacing w:line="0" w:lineRule="atLeast"/>
    </w:pPr>
    <w:rPr>
      <w:b/>
      <w:bCs/>
      <w:sz w:val="22"/>
      <w:szCs w:val="22"/>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20">
    <w:name w:val="En-tête #2"/>
    <w:basedOn w:val="Normal"/>
    <w:link w:val="En-tte2"/>
    <w:pPr>
      <w:shd w:val="clear" w:color="auto" w:fill="FFFFFF"/>
      <w:spacing w:line="0" w:lineRule="atLeast"/>
      <w:jc w:val="right"/>
      <w:outlineLvl w:val="1"/>
    </w:pPr>
    <w:rPr>
      <w:rFonts w:ascii="Arial" w:eastAsia="Arial" w:hAnsi="Arial" w:cs="Arial"/>
      <w:sz w:val="22"/>
      <w:szCs w:val="22"/>
      <w:lang w:val="fi"/>
    </w:rPr>
  </w:style>
  <w:style w:type="paragraph" w:customStyle="1" w:styleId="Corpsdutexte0">
    <w:name w:val="Corps du texte"/>
    <w:basedOn w:val="Normal"/>
    <w:link w:val="Corpsdutexte"/>
    <w:pPr>
      <w:shd w:val="clear" w:color="auto" w:fill="FFFFFF"/>
      <w:spacing w:after="1320" w:line="278" w:lineRule="exact"/>
      <w:ind w:hanging="720"/>
    </w:pPr>
    <w:rPr>
      <w:sz w:val="22"/>
      <w:szCs w:val="22"/>
    </w:rPr>
  </w:style>
  <w:style w:type="paragraph" w:customStyle="1" w:styleId="En-tte10">
    <w:name w:val="En-tête #1"/>
    <w:basedOn w:val="Normal"/>
    <w:link w:val="En-tte1"/>
    <w:pPr>
      <w:shd w:val="clear" w:color="auto" w:fill="FFFFFF"/>
      <w:spacing w:after="360" w:line="0" w:lineRule="atLeast"/>
      <w:jc w:val="center"/>
      <w:outlineLvl w:val="0"/>
    </w:pPr>
    <w:rPr>
      <w:b/>
      <w:bCs/>
      <w:sz w:val="27"/>
      <w:szCs w:val="27"/>
      <w:lang w:val="fr"/>
    </w:rPr>
  </w:style>
  <w:style w:type="paragraph" w:styleId="TOC3">
    <w:name w:val="toc 3"/>
    <w:basedOn w:val="Normal"/>
    <w:link w:val="TOC3Char"/>
    <w:autoRedefine/>
    <w:uiPriority w:val="39"/>
    <w:qFormat/>
    <w:pPr>
      <w:shd w:val="clear" w:color="auto" w:fill="FFFFFF"/>
      <w:spacing w:before="360" w:line="456" w:lineRule="exact"/>
      <w:jc w:val="both"/>
    </w:pPr>
    <w:rPr>
      <w:sz w:val="22"/>
      <w:szCs w:val="22"/>
    </w:rPr>
  </w:style>
  <w:style w:type="paragraph" w:customStyle="1" w:styleId="Tabledesmatires20">
    <w:name w:val="Table des matières (2)"/>
    <w:basedOn w:val="Normal"/>
    <w:link w:val="Tabledesmatires2"/>
    <w:pPr>
      <w:shd w:val="clear" w:color="auto" w:fill="FFFFFF"/>
      <w:spacing w:line="456" w:lineRule="exact"/>
      <w:jc w:val="both"/>
    </w:pPr>
    <w:rPr>
      <w:b/>
      <w:bCs/>
      <w:sz w:val="22"/>
      <w:szCs w:val="22"/>
    </w:rPr>
  </w:style>
  <w:style w:type="paragraph" w:customStyle="1" w:styleId="En-tte40">
    <w:name w:val="En-tête #4"/>
    <w:basedOn w:val="Normal"/>
    <w:link w:val="En-tte4"/>
    <w:pPr>
      <w:shd w:val="clear" w:color="auto" w:fill="FFFFFF"/>
      <w:spacing w:after="240" w:line="0" w:lineRule="atLeast"/>
      <w:ind w:hanging="280"/>
      <w:jc w:val="both"/>
      <w:outlineLvl w:val="3"/>
    </w:pPr>
    <w:rPr>
      <w:b/>
      <w:bCs/>
      <w:sz w:val="22"/>
      <w:szCs w:val="22"/>
    </w:rPr>
  </w:style>
  <w:style w:type="paragraph" w:customStyle="1" w:styleId="Corpsdutexte30">
    <w:name w:val="Corps du texte (3)"/>
    <w:basedOn w:val="Normal"/>
    <w:link w:val="Corpsdutexte3"/>
    <w:pPr>
      <w:shd w:val="clear" w:color="auto" w:fill="FFFFFF"/>
      <w:spacing w:before="600" w:line="0" w:lineRule="atLeast"/>
      <w:ind w:hanging="700"/>
      <w:jc w:val="both"/>
    </w:pPr>
    <w:rPr>
      <w:sz w:val="19"/>
      <w:szCs w:val="19"/>
    </w:rPr>
  </w:style>
  <w:style w:type="paragraph" w:customStyle="1" w:styleId="En-tte420">
    <w:name w:val="En-tête #4 (2)"/>
    <w:basedOn w:val="Normal"/>
    <w:link w:val="En-tte42"/>
    <w:pPr>
      <w:shd w:val="clear" w:color="auto" w:fill="FFFFFF"/>
      <w:spacing w:line="514" w:lineRule="exact"/>
      <w:ind w:hanging="280"/>
      <w:jc w:val="both"/>
      <w:outlineLvl w:val="3"/>
    </w:pPr>
    <w:rPr>
      <w:b/>
      <w:bCs/>
      <w:i/>
      <w:iCs/>
      <w:sz w:val="23"/>
      <w:szCs w:val="23"/>
    </w:rPr>
  </w:style>
  <w:style w:type="paragraph" w:customStyle="1" w:styleId="Corpsdutexte40">
    <w:name w:val="Corps du texte (4)"/>
    <w:basedOn w:val="Normal"/>
    <w:link w:val="Corpsdutexte4"/>
    <w:pPr>
      <w:shd w:val="clear" w:color="auto" w:fill="FFFFFF"/>
      <w:spacing w:line="206" w:lineRule="exact"/>
      <w:jc w:val="both"/>
    </w:pPr>
    <w:rPr>
      <w:sz w:val="17"/>
      <w:szCs w:val="17"/>
      <w:lang w:val="sl"/>
    </w:rPr>
  </w:style>
  <w:style w:type="paragraph" w:customStyle="1" w:styleId="Corpsdutexte60">
    <w:name w:val="Corps du texte (6)"/>
    <w:basedOn w:val="Normal"/>
    <w:link w:val="Corpsdutexte6"/>
    <w:pPr>
      <w:shd w:val="clear" w:color="auto" w:fill="FFFFFF"/>
      <w:spacing w:before="180" w:after="300" w:line="0" w:lineRule="atLeast"/>
      <w:jc w:val="both"/>
    </w:pPr>
    <w:rPr>
      <w:b/>
      <w:bCs/>
      <w:i/>
      <w:iCs/>
      <w:sz w:val="23"/>
      <w:szCs w:val="23"/>
    </w:rPr>
  </w:style>
  <w:style w:type="paragraph" w:customStyle="1" w:styleId="En-tte30">
    <w:name w:val="En-tête #3"/>
    <w:basedOn w:val="Normal"/>
    <w:link w:val="En-tte3"/>
    <w:pPr>
      <w:shd w:val="clear" w:color="auto" w:fill="FFFFFF"/>
      <w:spacing w:before="420" w:after="300" w:line="0" w:lineRule="atLeast"/>
      <w:jc w:val="both"/>
      <w:outlineLvl w:val="2"/>
    </w:pPr>
    <w:rPr>
      <w:b/>
      <w:bCs/>
      <w:sz w:val="22"/>
      <w:szCs w:val="22"/>
    </w:rPr>
  </w:style>
  <w:style w:type="paragraph" w:styleId="TOC4">
    <w:name w:val="toc 4"/>
    <w:basedOn w:val="Normal"/>
    <w:autoRedefine/>
    <w:pPr>
      <w:shd w:val="clear" w:color="auto" w:fill="FFFFFF"/>
      <w:spacing w:before="360" w:line="456" w:lineRule="exact"/>
      <w:jc w:val="both"/>
    </w:pPr>
    <w:rPr>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BodyText">
    <w:name w:val="Body Text"/>
    <w:aliases w:val="Document,Doc,Body Text2,doc,Standard paragraph, (Norm),Body Text 12,bt,gl,uvlaka 2,(Norm),heading3,Body Text - Level 2,1body,BodText,body text,Body Txt,Body Text-10,Body Text Char2,Text Char1,Corps de texte,BodyText,Τίτλος Μελέτης,- TF,Text,b."/>
    <w:basedOn w:val="Normal"/>
    <w:link w:val="BodyTextChar"/>
    <w:qFormat/>
    <w:pPr>
      <w:widowControl/>
      <w:spacing w:before="120" w:after="120" w:line="240" w:lineRule="atLeast"/>
      <w:ind w:left="851"/>
    </w:pPr>
    <w:rPr>
      <w:rFonts w:ascii="Arial" w:eastAsiaTheme="minorHAnsi" w:hAnsi="Arial"/>
      <w:color w:val="auto"/>
      <w:sz w:val="20"/>
      <w:lang w:eastAsia="en-US"/>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rPr>
      <w:rFonts w:ascii="Arial" w:eastAsiaTheme="minorHAnsi" w:hAnsi="Arial"/>
      <w:sz w:val="20"/>
      <w:lang w:val="en-GB" w:eastAsia="en-US"/>
    </w:rPr>
  </w:style>
  <w:style w:type="paragraph" w:customStyle="1" w:styleId="BTBullet1">
    <w:name w:val="BT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TBullet2">
    <w:name w:val="BTBullet2"/>
    <w:basedOn w:val="Normal"/>
    <w:uiPriority w:val="6"/>
    <w:qFormat/>
    <w:pPr>
      <w:widowControl/>
      <w:numPr>
        <w:ilvl w:val="1"/>
        <w:numId w:val="2"/>
      </w:numPr>
      <w:spacing w:line="240" w:lineRule="atLeast"/>
    </w:pPr>
    <w:rPr>
      <w:rFonts w:ascii="Arial" w:eastAsiaTheme="minorHAnsi" w:hAnsi="Arial"/>
      <w:color w:val="auto"/>
      <w:sz w:val="20"/>
      <w:lang w:eastAsia="en-US"/>
    </w:rPr>
  </w:style>
  <w:style w:type="paragraph" w:styleId="FootnoteText">
    <w:name w:val="footnote text"/>
    <w:aliases w:val="Footnote,Fußnote,Schriftart: 9 pt,Schriftart: 10 pt,Schriftart: 8 pt,o,Testo nota a piè di pagina Carattere,Testo nota a piè di pagina Carattere1 Carattere,Testo nota a piè di pagina Carattere Carattere Carattere,fn,Fuﬂnote,Footnote text,f"/>
    <w:basedOn w:val="Normal"/>
    <w:uiPriority w:val="19"/>
    <w:pPr>
      <w:widowControl/>
      <w:spacing w:after="60"/>
    </w:pPr>
    <w:rPr>
      <w:rFonts w:ascii="Arial" w:eastAsiaTheme="minorHAnsi" w:hAnsi="Arial"/>
      <w:color w:val="auto"/>
      <w:sz w:val="18"/>
      <w:szCs w:val="20"/>
      <w:lang w:eastAsia="en-US"/>
    </w:rPr>
  </w:style>
  <w:style w:type="character" w:customStyle="1" w:styleId="FootnoteTextChar">
    <w:name w:val="Footnote Text Char"/>
    <w:aliases w:val="Footnote Char,Fußnote Char,Schriftart: 9 pt Char,Schriftart: 10 pt Char,Schriftart: 8 pt Char,o Char,Testo nota a piè di pagina Carattere Char,Testo nota a piè di pagina Carattere1 Carattere Char,fn Char,Fuﬂnote Char,f Char"/>
    <w:basedOn w:val="DefaultParagraphFont"/>
    <w:uiPriority w:val="19"/>
    <w:rPr>
      <w:rFonts w:ascii="Arial" w:eastAsiaTheme="minorHAnsi" w:hAnsi="Arial"/>
      <w:sz w:val="18"/>
      <w:szCs w:val="20"/>
      <w:lang w:val="en-GB" w:eastAsia="en-US"/>
    </w:rPr>
  </w:style>
  <w:style w:type="character" w:styleId="FootnoteReference">
    <w:name w:val="footnote reference"/>
    <w:aliases w:val="Footnote Reference Superscript,Footnote symbol,Odwołanie przypisu,Times 10 Point,Exposant 3 Point,footnote ref,ftref,Footnote Reference/,SUPERS,Footnote reference number,Ref,de nota al pie,note TESI,stylish,BVI fnr, Exposant 3 Point"/>
    <w:basedOn w:val="DefaultParagraphFont"/>
    <w:uiPriority w:val="19"/>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TBullet3">
    <w:name w:val="BTBullet3"/>
    <w:basedOn w:val="Normal"/>
    <w:uiPriority w:val="6"/>
    <w:qFormat/>
    <w:pPr>
      <w:widowControl/>
      <w:numPr>
        <w:ilvl w:val="2"/>
        <w:numId w:val="2"/>
      </w:numPr>
      <w:spacing w:line="240" w:lineRule="atLeast"/>
    </w:pPr>
    <w:rPr>
      <w:rFonts w:ascii="Arial" w:eastAsiaTheme="minorHAnsi" w:hAnsi="Arial"/>
      <w:color w:val="auto"/>
      <w:sz w:val="20"/>
      <w:lang w:eastAsia="en-US"/>
    </w:rPr>
  </w:style>
  <w:style w:type="numbering" w:customStyle="1" w:styleId="NumbLstBTBullet">
    <w:name w:val="NumbLstBTBullet"/>
    <w:uiPriority w:val="99"/>
    <w:pPr>
      <w:numPr>
        <w:numId w:val="1"/>
      </w:numPr>
    </w:pPr>
  </w:style>
  <w:style w:type="character" w:styleId="CommentReference">
    <w:name w:val="annotation reference"/>
    <w:basedOn w:val="DefaultParagraphFont"/>
    <w:uiPriority w:val="29"/>
    <w:semiHidden/>
    <w:rPr>
      <w:sz w:val="16"/>
    </w:rPr>
  </w:style>
  <w:style w:type="paragraph" w:styleId="CommentText">
    <w:name w:val="annotation text"/>
    <w:basedOn w:val="Normal"/>
    <w:link w:val="CommentTextChar"/>
    <w:uiPriority w:val="29"/>
    <w:pPr>
      <w:widowControl/>
      <w:spacing w:before="120" w:after="120"/>
    </w:pPr>
    <w:rPr>
      <w:rFonts w:ascii="Arial" w:hAnsi="Arial"/>
      <w:color w:val="auto"/>
      <w:sz w:val="20"/>
      <w:szCs w:val="20"/>
      <w:lang w:eastAsia="en-US"/>
    </w:rPr>
  </w:style>
  <w:style w:type="character" w:customStyle="1" w:styleId="CommentTextChar">
    <w:name w:val="Comment Text Char"/>
    <w:basedOn w:val="DefaultParagraphFont"/>
    <w:link w:val="CommentText"/>
    <w:uiPriority w:val="29"/>
    <w:rPr>
      <w:rFonts w:ascii="Arial" w:hAnsi="Arial"/>
      <w:sz w:val="20"/>
      <w:szCs w:val="20"/>
      <w:lang w:val="en-GB" w:eastAsia="en-US"/>
    </w:rPr>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Pr>
      <w:rFonts w:ascii="Calibri" w:eastAsiaTheme="majorEastAsia" w:hAnsi="Calibri" w:cstheme="majorBidi"/>
      <w:b/>
      <w:bCs/>
      <w:sz w:val="32"/>
      <w:szCs w:val="28"/>
      <w:lang w:val="en-GB"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rFonts w:ascii="Calibri" w:eastAsiaTheme="majorEastAsia" w:hAnsi="Calibri" w:cstheme="majorBidi"/>
      <w:b/>
      <w:bCs/>
      <w:color w:val="0067AC"/>
      <w:sz w:val="26"/>
      <w:szCs w:val="26"/>
      <w:lang w:val="en-GB"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2.3 Char,1.2.3. Char,Titles Char,Tit Char"/>
    <w:basedOn w:val="DefaultParagraphFont"/>
    <w:link w:val="Heading3"/>
    <w:rPr>
      <w:rFonts w:ascii="Calibri" w:eastAsiaTheme="majorEastAsia" w:hAnsi="Calibri" w:cstheme="majorBidi"/>
      <w:b/>
      <w:bCs/>
      <w:color w:val="0067AC"/>
      <w:sz w:val="22"/>
      <w:lang w:val="en-GB"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Calibri" w:eastAsiaTheme="majorEastAsia" w:hAnsi="Calibri" w:cstheme="majorBidi"/>
      <w:b/>
      <w:bCs/>
      <w:i/>
      <w:iCs/>
      <w:color w:val="0067AC"/>
      <w:sz w:val="22"/>
      <w:lang w:val="en-GB"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29"/>
    <w:rPr>
      <w:rFonts w:ascii="Calibri" w:eastAsiaTheme="majorEastAsia" w:hAnsi="Calibri" w:cstheme="majorBidi"/>
      <w:b/>
      <w:i/>
      <w:color w:val="0067AC"/>
      <w:sz w:val="22"/>
      <w:lang w:val="en-GB" w:eastAsia="en-US"/>
    </w:rPr>
  </w:style>
  <w:style w:type="paragraph" w:customStyle="1" w:styleId="Figure">
    <w:name w:val="Figure"/>
    <w:basedOn w:val="Normal"/>
    <w:next w:val="BodyText"/>
    <w:uiPriority w:val="11"/>
    <w:qFormat/>
    <w:pPr>
      <w:keepNext/>
      <w:widowControl/>
      <w:numPr>
        <w:ilvl w:val="5"/>
        <w:numId w:val="9"/>
      </w:numPr>
      <w:spacing w:before="120" w:after="120" w:line="240" w:lineRule="atLeast"/>
    </w:pPr>
    <w:rPr>
      <w:rFonts w:ascii="Calibri" w:eastAsiaTheme="minorHAnsi" w:hAnsi="Calibri"/>
      <w:b/>
      <w:color w:val="0067AC"/>
      <w:sz w:val="20"/>
      <w:lang w:eastAsia="en-US"/>
    </w:rPr>
  </w:style>
  <w:style w:type="paragraph" w:customStyle="1" w:styleId="Table">
    <w:name w:val="Table"/>
    <w:basedOn w:val="Normal"/>
    <w:next w:val="BodyText"/>
    <w:link w:val="TableChar"/>
    <w:uiPriority w:val="11"/>
    <w:qFormat/>
    <w:pPr>
      <w:keepNext/>
      <w:widowControl/>
      <w:numPr>
        <w:ilvl w:val="6"/>
        <w:numId w:val="9"/>
      </w:numPr>
      <w:spacing w:before="120" w:after="120" w:line="240" w:lineRule="atLeast"/>
    </w:pPr>
    <w:rPr>
      <w:rFonts w:ascii="Calibri" w:eastAsiaTheme="minorHAnsi" w:hAnsi="Calibri"/>
      <w:b/>
      <w:color w:val="0067AC"/>
      <w:sz w:val="20"/>
      <w:lang w:eastAsia="en-US"/>
    </w:rPr>
  </w:style>
  <w:style w:type="paragraph" w:customStyle="1" w:styleId="TableTitle">
    <w:name w:val="TableTitle"/>
    <w:basedOn w:val="Normal"/>
    <w:uiPriority w:val="14"/>
    <w:qFormat/>
    <w:pPr>
      <w:widowControl/>
      <w:spacing w:line="220" w:lineRule="atLeast"/>
      <w:ind w:left="57" w:right="57"/>
    </w:pPr>
    <w:rPr>
      <w:rFonts w:ascii="Calibri" w:eastAsiaTheme="minorHAnsi" w:hAnsi="Calibri"/>
      <w:b/>
      <w:color w:val="0067AC"/>
      <w:sz w:val="18"/>
      <w:lang w:eastAsia="en-US"/>
    </w:rPr>
  </w:style>
  <w:style w:type="paragraph" w:customStyle="1" w:styleId="TableTextNoSpace">
    <w:name w:val="TableTextNoSpace"/>
    <w:basedOn w:val="Normal"/>
    <w:uiPriority w:val="15"/>
    <w:qFormat/>
    <w:pPr>
      <w:widowControl/>
      <w:spacing w:line="220" w:lineRule="atLeast"/>
      <w:ind w:left="57" w:right="57"/>
    </w:pPr>
    <w:rPr>
      <w:rFonts w:ascii="Arial" w:eastAsiaTheme="minorHAnsi" w:hAnsi="Arial"/>
      <w:color w:val="auto"/>
      <w:sz w:val="18"/>
      <w:lang w:eastAsia="en-US"/>
    </w:rPr>
  </w:style>
  <w:style w:type="numbering" w:customStyle="1" w:styleId="NumbLstMain">
    <w:name w:val="NumbLstMain"/>
    <w:uiPriority w:val="99"/>
    <w:pPr>
      <w:numPr>
        <w:numId w:val="3"/>
      </w:numPr>
    </w:pPr>
  </w:style>
  <w:style w:type="paragraph" w:customStyle="1" w:styleId="Box">
    <w:name w:val="Box"/>
    <w:basedOn w:val="Normal"/>
    <w:next w:val="BodyText"/>
    <w:uiPriority w:val="6"/>
    <w:qFormat/>
    <w:pPr>
      <w:widowControl/>
      <w:numPr>
        <w:ilvl w:val="7"/>
        <w:numId w:val="9"/>
      </w:numPr>
      <w:spacing w:before="120" w:after="120" w:line="240" w:lineRule="atLeast"/>
    </w:pPr>
    <w:rPr>
      <w:rFonts w:ascii="Calibri" w:eastAsiaTheme="minorHAnsi" w:hAnsi="Calibri"/>
      <w:b/>
      <w:color w:val="0067AC"/>
      <w:sz w:val="20"/>
      <w:lang w:eastAsia="en-US"/>
    </w:rPr>
  </w:style>
  <w:style w:type="character" w:customStyle="1" w:styleId="TableChar">
    <w:name w:val="Table Char"/>
    <w:link w:val="Table"/>
    <w:uiPriority w:val="11"/>
    <w:rPr>
      <w:rFonts w:ascii="Calibri" w:eastAsiaTheme="minorHAnsi" w:hAnsi="Calibri"/>
      <w:b/>
      <w:color w:val="0067AC"/>
      <w:sz w:val="20"/>
      <w:lang w:val="en-GB" w:eastAsia="en-US"/>
    </w:rPr>
  </w:style>
  <w:style w:type="paragraph" w:styleId="TOC2">
    <w:name w:val="toc 2"/>
    <w:basedOn w:val="Normal"/>
    <w:next w:val="Normal"/>
    <w:autoRedefine/>
    <w:uiPriority w:val="39"/>
    <w:unhideWhenUsed/>
    <w:qFormat/>
    <w:pPr>
      <w:spacing w:after="100"/>
      <w:ind w:left="240"/>
    </w:pPr>
  </w:style>
  <w:style w:type="paragraph" w:styleId="TOC1">
    <w:name w:val="toc 1"/>
    <w:basedOn w:val="Normal"/>
    <w:next w:val="Normal"/>
    <w:autoRedefine/>
    <w:uiPriority w:val="39"/>
    <w:unhideWhenUsed/>
    <w:qFormat/>
    <w:pPr>
      <w:spacing w:after="100"/>
    </w:pPr>
  </w:style>
  <w:style w:type="paragraph" w:customStyle="1" w:styleId="TableText">
    <w:name w:val="TableText"/>
    <w:basedOn w:val="Normal"/>
    <w:uiPriority w:val="15"/>
    <w:qFormat/>
    <w:pPr>
      <w:widowControl/>
      <w:spacing w:after="120" w:line="220" w:lineRule="atLeast"/>
      <w:ind w:left="57" w:right="57"/>
    </w:pPr>
    <w:rPr>
      <w:rFonts w:ascii="Arial" w:eastAsiaTheme="minorHAnsi" w:hAnsi="Arial"/>
      <w:color w:val="auto"/>
      <w:sz w:val="18"/>
      <w:lang w:eastAsia="en-US"/>
    </w:rPr>
  </w:style>
  <w:style w:type="paragraph" w:customStyle="1" w:styleId="BTBullet1Last">
    <w:name w:val="BTBullet1Last"/>
    <w:basedOn w:val="BTBullet1"/>
    <w:uiPriority w:val="6"/>
    <w:qFormat/>
    <w:pPr>
      <w:tabs>
        <w:tab w:val="num" w:pos="360"/>
      </w:tabs>
      <w:spacing w:after="120"/>
      <w:ind w:left="1191" w:hanging="340"/>
    </w:pPr>
  </w:style>
  <w:style w:type="paragraph" w:customStyle="1" w:styleId="TableHeading">
    <w:name w:val="TableHeading"/>
    <w:basedOn w:val="Normal"/>
    <w:next w:val="TableText"/>
    <w:uiPriority w:val="15"/>
    <w:qFormat/>
    <w:pPr>
      <w:widowControl/>
      <w:spacing w:line="240" w:lineRule="atLeast"/>
      <w:ind w:left="57" w:right="57"/>
    </w:pPr>
    <w:rPr>
      <w:rFonts w:ascii="Calibri" w:eastAsiaTheme="minorHAnsi" w:hAnsi="Calibri"/>
      <w:color w:val="0067AC"/>
      <w:sz w:val="20"/>
      <w:lang w:eastAsia="en-US"/>
    </w:rPr>
  </w:style>
  <w:style w:type="paragraph" w:customStyle="1" w:styleId="CaseStudy">
    <w:name w:val="CaseStudy"/>
    <w:basedOn w:val="BodyText"/>
    <w:next w:val="TableText"/>
    <w:uiPriority w:val="12"/>
    <w:qFormat/>
    <w:pPr>
      <w:numPr>
        <w:numId w:val="8"/>
      </w:numPr>
      <w:tabs>
        <w:tab w:val="left" w:pos="1814"/>
      </w:tabs>
    </w:pPr>
    <w:rPr>
      <w:rFonts w:ascii="Calibri" w:hAnsi="Calibri"/>
      <w:b/>
      <w:color w:val="0067AC"/>
      <w:sz w:val="28"/>
    </w:rPr>
  </w:style>
  <w:style w:type="paragraph" w:customStyle="1" w:styleId="Evidence">
    <w:name w:val="Evidence"/>
    <w:basedOn w:val="TableText"/>
    <w:next w:val="Normal"/>
    <w:uiPriority w:val="12"/>
    <w:qFormat/>
    <w:pPr>
      <w:numPr>
        <w:ilvl w:val="1"/>
        <w:numId w:val="8"/>
      </w:numPr>
      <w:spacing w:before="120"/>
    </w:pPr>
    <w:rPr>
      <w:rFonts w:ascii="Calibri" w:hAnsi="Calibri"/>
      <w:b/>
      <w:color w:val="0067AC"/>
      <w:sz w:val="28"/>
    </w:rPr>
  </w:style>
  <w:style w:type="paragraph" w:customStyle="1" w:styleId="BTNumbList">
    <w:name w:val="BTNumbList"/>
    <w:basedOn w:val="Normal"/>
    <w:uiPriority w:val="4"/>
    <w:qFormat/>
    <w:pPr>
      <w:widowControl/>
      <w:numPr>
        <w:numId w:val="7"/>
      </w:numPr>
      <w:spacing w:line="240" w:lineRule="atLeast"/>
    </w:pPr>
    <w:rPr>
      <w:rFonts w:ascii="Arial" w:eastAsiaTheme="minorHAnsi" w:hAnsi="Arial"/>
      <w:color w:val="auto"/>
      <w:sz w:val="20"/>
      <w:lang w:eastAsia="en-US"/>
    </w:rPr>
  </w:style>
  <w:style w:type="paragraph" w:customStyle="1" w:styleId="BTNumbListLast">
    <w:name w:val="BTNumbListLast"/>
    <w:basedOn w:val="BTNumbList"/>
    <w:uiPriority w:val="6"/>
    <w:qFormat/>
    <w:pPr>
      <w:spacing w:after="120"/>
    </w:pPr>
  </w:style>
  <w:style w:type="paragraph" w:customStyle="1" w:styleId="Recommendation">
    <w:name w:val="Recommendation"/>
    <w:basedOn w:val="Normal"/>
    <w:next w:val="TableText"/>
    <w:uiPriority w:val="6"/>
    <w:qFormat/>
    <w:pPr>
      <w:widowControl/>
      <w:numPr>
        <w:ilvl w:val="3"/>
        <w:numId w:val="8"/>
      </w:numPr>
      <w:spacing w:before="120" w:after="120" w:line="320" w:lineRule="atLeast"/>
    </w:pPr>
    <w:rPr>
      <w:rFonts w:ascii="Calibri" w:eastAsiaTheme="minorHAnsi" w:hAnsi="Calibri"/>
      <w:b/>
      <w:color w:val="0067AC"/>
      <w:sz w:val="28"/>
      <w:lang w:eastAsia="en-US"/>
    </w:rPr>
  </w:style>
  <w:style w:type="paragraph" w:customStyle="1" w:styleId="Conclusion">
    <w:name w:val="Conclusion"/>
    <w:basedOn w:val="Normal"/>
    <w:next w:val="TableText"/>
    <w:uiPriority w:val="6"/>
    <w:qFormat/>
    <w:pPr>
      <w:widowControl/>
      <w:numPr>
        <w:ilvl w:val="2"/>
        <w:numId w:val="8"/>
      </w:numPr>
      <w:spacing w:before="120" w:after="120" w:line="320" w:lineRule="atLeast"/>
    </w:pPr>
    <w:rPr>
      <w:rFonts w:ascii="Calibri" w:eastAsiaTheme="minorHAnsi" w:hAnsi="Calibri"/>
      <w:b/>
      <w:color w:val="0067AC"/>
      <w:sz w:val="28"/>
      <w:lang w:eastAsia="en-US"/>
    </w:rPr>
  </w:style>
  <w:style w:type="paragraph" w:customStyle="1" w:styleId="BTNumbList2">
    <w:name w:val="BTNumbList2"/>
    <w:basedOn w:val="Normal"/>
    <w:uiPriority w:val="6"/>
    <w:qFormat/>
    <w:pPr>
      <w:widowControl/>
      <w:numPr>
        <w:ilvl w:val="1"/>
        <w:numId w:val="7"/>
      </w:numPr>
      <w:spacing w:line="240" w:lineRule="atLeast"/>
    </w:pPr>
    <w:rPr>
      <w:rFonts w:ascii="Arial" w:eastAsiaTheme="minorHAnsi" w:hAnsi="Arial"/>
      <w:color w:val="auto"/>
      <w:sz w:val="20"/>
      <w:lang w:eastAsia="en-US"/>
    </w:rPr>
  </w:style>
  <w:style w:type="numbering" w:customStyle="1" w:styleId="NumbLstBoxes">
    <w:name w:val="NumbLstBoxes"/>
    <w:uiPriority w:val="99"/>
    <w:pPr>
      <w:numPr>
        <w:numId w:val="6"/>
      </w:numPr>
    </w:pPr>
  </w:style>
  <w:style w:type="paragraph" w:customStyle="1" w:styleId="BoxNumb">
    <w:name w:val="BoxNumb"/>
    <w:basedOn w:val="Normal"/>
    <w:next w:val="Normal"/>
    <w:uiPriority w:val="6"/>
    <w:qFormat/>
    <w:pPr>
      <w:widowControl/>
      <w:numPr>
        <w:ilvl w:val="4"/>
        <w:numId w:val="8"/>
      </w:numPr>
      <w:spacing w:before="120" w:after="120" w:line="320" w:lineRule="atLeast"/>
    </w:pPr>
    <w:rPr>
      <w:rFonts w:ascii="Calibri" w:eastAsiaTheme="minorHAnsi" w:hAnsi="Calibri"/>
      <w:b/>
      <w:color w:val="0067AC"/>
      <w:sz w:val="28"/>
      <w:lang w:eastAsia="en-US"/>
    </w:rPr>
  </w:style>
  <w:style w:type="paragraph" w:customStyle="1" w:styleId="BTNumbList3">
    <w:name w:val="BTNumbList3"/>
    <w:basedOn w:val="Normal"/>
    <w:uiPriority w:val="6"/>
    <w:qFormat/>
    <w:pPr>
      <w:widowControl/>
      <w:numPr>
        <w:ilvl w:val="2"/>
        <w:numId w:val="7"/>
      </w:numPr>
      <w:spacing w:line="240" w:lineRule="atLeast"/>
    </w:pPr>
    <w:rPr>
      <w:rFonts w:ascii="Arial" w:eastAsiaTheme="minorHAnsi" w:hAnsi="Arial"/>
      <w:color w:val="auto"/>
      <w:sz w:val="20"/>
      <w:lang w:eastAsia="en-US"/>
    </w:rPr>
  </w:style>
  <w:style w:type="table" w:styleId="TableGrid">
    <w:name w:val="Table Grid"/>
    <w:basedOn w:val="TableNormal"/>
    <w:uiPriority w:val="59"/>
    <w:pPr>
      <w:widowControl/>
    </w:pPr>
    <w:rPr>
      <w:rFonts w:eastAsiaTheme="minorHAnsi"/>
      <w:sz w:val="20"/>
      <w:szCs w:val="20"/>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ource">
    <w:name w:val="TableSource"/>
    <w:basedOn w:val="BodyText"/>
    <w:uiPriority w:val="6"/>
    <w:qFormat/>
    <w:pPr>
      <w:spacing w:line="200" w:lineRule="atLeast"/>
    </w:pPr>
    <w:rPr>
      <w:i/>
      <w:sz w:val="18"/>
    </w:rPr>
  </w:style>
  <w:style w:type="paragraph" w:customStyle="1" w:styleId="Heading4NoNumb">
    <w:name w:val="Heading 4NoNumb"/>
    <w:basedOn w:val="Heading4"/>
    <w:next w:val="Normal"/>
    <w:uiPriority w:val="5"/>
    <w:qFormat/>
    <w:pPr>
      <w:numPr>
        <w:ilvl w:val="0"/>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pageBreakBefore w:val="0"/>
      <w:numPr>
        <w:numId w:val="0"/>
      </w:numPr>
      <w:spacing w:before="480" w:after="0" w:line="276" w:lineRule="auto"/>
      <w:outlineLvl w:val="9"/>
    </w:pPr>
    <w:rPr>
      <w:rFonts w:asciiTheme="majorHAnsi" w:hAnsiTheme="majorHAnsi"/>
      <w:color w:val="365F91" w:themeColor="accent1" w:themeShade="BF"/>
      <w:sz w:val="28"/>
      <w:lang w:val="en-US" w:eastAsia="ja-JP"/>
    </w:rPr>
  </w:style>
  <w:style w:type="character" w:styleId="Strong">
    <w:name w:val="Strong"/>
    <w:basedOn w:val="DefaultParagraphFont"/>
    <w:uiPriority w:val="22"/>
    <w:qFormat/>
    <w:rPr>
      <w:b/>
      <w:bCs/>
    </w:rPr>
  </w:style>
  <w:style w:type="paragraph" w:customStyle="1" w:styleId="BodyTextNoSpace">
    <w:name w:val="Body TextNoSpace"/>
    <w:basedOn w:val="BodyText"/>
    <w:uiPriority w:val="1"/>
    <w:qFormat/>
    <w:pPr>
      <w:spacing w:before="0" w:after="0"/>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pPr>
      <w:widowControl w:val="0"/>
      <w:spacing w:before="0" w:after="0"/>
    </w:pPr>
    <w:rPr>
      <w:rFonts w:ascii="Times New Roman" w:hAnsi="Times New Roman"/>
      <w:b/>
      <w:bCs/>
      <w:color w:val="000000"/>
      <w:lang w:val="en-US" w:eastAsia="en-GB"/>
    </w:rPr>
  </w:style>
  <w:style w:type="character" w:customStyle="1" w:styleId="CommentSubjectChar">
    <w:name w:val="Comment Subject Char"/>
    <w:basedOn w:val="CommentTextChar"/>
    <w:link w:val="CommentSubject"/>
    <w:uiPriority w:val="99"/>
    <w:semiHidden/>
    <w:rPr>
      <w:rFonts w:ascii="Arial" w:hAnsi="Arial"/>
      <w:b/>
      <w:bCs/>
      <w:color w:val="000000"/>
      <w:sz w:val="20"/>
      <w:szCs w:val="20"/>
      <w:lang w:val="en-GB" w:eastAsia="en-US"/>
    </w:rPr>
  </w:style>
  <w:style w:type="paragraph" w:customStyle="1" w:styleId="TableBullet">
    <w:name w:val="TableBullet"/>
    <w:basedOn w:val="TableText"/>
    <w:uiPriority w:val="6"/>
    <w:qFormat/>
    <w:pPr>
      <w:numPr>
        <w:numId w:val="11"/>
      </w:numPr>
      <w:spacing w:after="0"/>
    </w:pPr>
  </w:style>
  <w:style w:type="numbering" w:customStyle="1" w:styleId="NumbLstTableBullet">
    <w:name w:val="NumbLstTableBullet"/>
    <w:uiPriority w:val="99"/>
    <w:pPr>
      <w:numPr>
        <w:numId w:val="10"/>
      </w:numPr>
    </w:pPr>
  </w:style>
  <w:style w:type="paragraph" w:styleId="Date">
    <w:name w:val="Date"/>
    <w:basedOn w:val="Normal"/>
    <w:next w:val="References"/>
    <w:link w:val="DateChar"/>
    <w:pPr>
      <w:widowControl/>
      <w:ind w:left="5103" w:right="-567"/>
    </w:pPr>
    <w:rPr>
      <w:color w:val="auto"/>
      <w:szCs w:val="20"/>
      <w:lang w:eastAsia="en-US"/>
    </w:rPr>
  </w:style>
  <w:style w:type="character" w:customStyle="1" w:styleId="DateChar">
    <w:name w:val="Date Char"/>
    <w:basedOn w:val="DefaultParagraphFont"/>
    <w:link w:val="Date"/>
    <w:uiPriority w:val="99"/>
    <w:rPr>
      <w:szCs w:val="20"/>
      <w:lang w:val="en-GB" w:eastAsia="en-US"/>
    </w:rPr>
  </w:style>
  <w:style w:type="paragraph" w:customStyle="1" w:styleId="References">
    <w:name w:val="References"/>
    <w:basedOn w:val="Normal"/>
    <w:next w:val="Normal"/>
    <w:uiPriority w:val="99"/>
    <w:pPr>
      <w:widowControl/>
      <w:spacing w:after="240"/>
      <w:ind w:left="5103"/>
    </w:pPr>
    <w:rPr>
      <w:color w:val="auto"/>
      <w:sz w:val="20"/>
      <w:szCs w:val="20"/>
      <w:lang w:eastAsia="en-US"/>
    </w:rPr>
  </w:style>
  <w:style w:type="paragraph" w:customStyle="1" w:styleId="NoteHead">
    <w:name w:val="NoteHead"/>
    <w:basedOn w:val="Normal"/>
    <w:next w:val="Subject"/>
    <w:pPr>
      <w:widowControl/>
      <w:spacing w:before="720" w:after="720"/>
      <w:jc w:val="center"/>
    </w:pPr>
    <w:rPr>
      <w:b/>
      <w:bCs/>
      <w:color w:val="auto"/>
      <w:szCs w:val="20"/>
      <w:lang w:eastAsia="en-US"/>
    </w:rPr>
  </w:style>
  <w:style w:type="paragraph" w:customStyle="1" w:styleId="Subject">
    <w:name w:val="Subject"/>
    <w:basedOn w:val="Normal"/>
    <w:next w:val="Normal"/>
    <w:pPr>
      <w:widowControl/>
      <w:spacing w:after="480"/>
      <w:ind w:left="1531" w:hanging="1531"/>
    </w:pPr>
    <w:rPr>
      <w:b/>
      <w:color w:val="auto"/>
      <w:szCs w:val="20"/>
      <w:lang w:eastAsia="en-US"/>
    </w:rPr>
  </w:style>
  <w:style w:type="paragraph" w:customStyle="1" w:styleId="ZCom">
    <w:name w:val="Z_Com"/>
    <w:basedOn w:val="Normal"/>
    <w:next w:val="ZDGName"/>
    <w:link w:val="ZComChar"/>
    <w:pPr>
      <w:autoSpaceDE w:val="0"/>
      <w:autoSpaceDN w:val="0"/>
      <w:ind w:right="85"/>
      <w:jc w:val="both"/>
    </w:pPr>
    <w:rPr>
      <w:rFonts w:ascii="Arial" w:hAnsi="Arial" w:cs="Arial"/>
      <w:color w:val="auto"/>
    </w:rPr>
  </w:style>
  <w:style w:type="paragraph" w:customStyle="1" w:styleId="ZDGName">
    <w:name w:val="Z_DGName"/>
    <w:basedOn w:val="Normal"/>
    <w:pPr>
      <w:autoSpaceDE w:val="0"/>
      <w:autoSpaceDN w:val="0"/>
      <w:ind w:right="85"/>
    </w:pPr>
    <w:rPr>
      <w:rFonts w:ascii="Arial" w:hAnsi="Arial" w:cs="Arial"/>
      <w:color w:val="auto"/>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basedOn w:val="DefaultParagraphFont"/>
    <w:link w:val="ZCom"/>
    <w:uiPriority w:val="99"/>
    <w:rPr>
      <w:rFonts w:ascii="Arial" w:hAnsi="Arial" w:cs="Arial"/>
      <w:lang w:val="en-GB"/>
    </w:rPr>
  </w:style>
  <w:style w:type="character" w:customStyle="1" w:styleId="FooterCoverPageChar">
    <w:name w:val="Footer Cover Page Char"/>
    <w:basedOn w:val="ZComChar"/>
    <w:link w:val="FooterCoverPage"/>
    <w:rPr>
      <w:rFonts w:ascii="Arial" w:hAnsi="Arial" w:cs="Arial"/>
      <w:color w:val="000000"/>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ZComChar"/>
    <w:link w:val="HeaderCoverPage"/>
    <w:rPr>
      <w:rFonts w:ascii="Arial" w:hAnsi="Arial" w:cs="Arial"/>
      <w:color w:val="000000"/>
      <w:lang w:val="en-GB"/>
    </w:rPr>
  </w:style>
  <w:style w:type="paragraph" w:styleId="Revision">
    <w:name w:val="Revision"/>
    <w:hidden/>
    <w:uiPriority w:val="99"/>
    <w:semiHidden/>
    <w:pPr>
      <w:widowControl/>
    </w:pPr>
    <w:rPr>
      <w:color w:val="000000"/>
      <w:lang w:val="en-GB"/>
    </w:rPr>
  </w:style>
  <w:style w:type="paragraph" w:customStyle="1" w:styleId="Bullet1">
    <w:name w:val="Bullet1"/>
    <w:basedOn w:val="Normal"/>
    <w:uiPriority w:val="6"/>
    <w:qFormat/>
    <w:pPr>
      <w:widowControl/>
      <w:numPr>
        <w:numId w:val="34"/>
      </w:numPr>
      <w:spacing w:line="240" w:lineRule="atLeast"/>
    </w:pPr>
    <w:rPr>
      <w:rFonts w:ascii="Arial" w:eastAsiaTheme="minorHAnsi" w:hAnsi="Arial"/>
      <w:color w:val="auto"/>
      <w:sz w:val="20"/>
      <w:lang w:eastAsia="en-US"/>
    </w:rPr>
  </w:style>
  <w:style w:type="paragraph" w:customStyle="1" w:styleId="Bullet2">
    <w:name w:val="Bullet2"/>
    <w:basedOn w:val="Normal"/>
    <w:uiPriority w:val="6"/>
    <w:qFormat/>
    <w:pPr>
      <w:widowControl/>
      <w:numPr>
        <w:ilvl w:val="1"/>
        <w:numId w:val="34"/>
      </w:numPr>
      <w:spacing w:line="240" w:lineRule="atLeast"/>
    </w:pPr>
    <w:rPr>
      <w:rFonts w:ascii="Arial" w:eastAsiaTheme="minorHAnsi" w:hAnsi="Arial"/>
      <w:color w:val="auto"/>
      <w:sz w:val="20"/>
      <w:lang w:eastAsia="en-US"/>
    </w:rPr>
  </w:style>
  <w:style w:type="paragraph" w:customStyle="1" w:styleId="Bullet3">
    <w:name w:val="Bullet3"/>
    <w:basedOn w:val="Normal"/>
    <w:uiPriority w:val="6"/>
    <w:qFormat/>
    <w:pPr>
      <w:widowControl/>
      <w:numPr>
        <w:ilvl w:val="2"/>
        <w:numId w:val="34"/>
      </w:numPr>
      <w:spacing w:line="240" w:lineRule="atLeast"/>
    </w:pPr>
    <w:rPr>
      <w:rFonts w:ascii="Arial" w:eastAsiaTheme="minorHAnsi" w:hAnsi="Arial"/>
      <w:color w:val="auto"/>
      <w:sz w:val="20"/>
      <w:lang w:eastAsia="en-US"/>
    </w:rPr>
  </w:style>
  <w:style w:type="numbering" w:customStyle="1" w:styleId="NumbLstBullet">
    <w:name w:val="NumbLstBullet"/>
    <w:uiPriority w:val="99"/>
    <w:pPr>
      <w:numPr>
        <w:numId w:val="33"/>
      </w:numPr>
    </w:pPr>
  </w:style>
  <w:style w:type="paragraph" w:styleId="ListBullet3">
    <w:name w:val="List Bullet 3"/>
    <w:basedOn w:val="Normal"/>
    <w:pPr>
      <w:widowControl/>
      <w:numPr>
        <w:numId w:val="39"/>
      </w:numPr>
      <w:spacing w:after="240"/>
      <w:jc w:val="both"/>
    </w:pPr>
    <w:rPr>
      <w:rFonts w:ascii="Arial" w:hAnsi="Arial" w:cs="Arial"/>
      <w:color w:val="auto"/>
      <w:sz w:val="28"/>
      <w:szCs w:val="22"/>
    </w:rPr>
  </w:style>
  <w:style w:type="paragraph" w:styleId="Title">
    <w:name w:val="Title"/>
    <w:basedOn w:val="Normal"/>
    <w:link w:val="TitleChar"/>
    <w:qFormat/>
    <w:pPr>
      <w:widowControl/>
      <w:spacing w:before="240" w:after="60"/>
      <w:jc w:val="center"/>
      <w:outlineLvl w:val="0"/>
    </w:pPr>
    <w:rPr>
      <w:rFonts w:ascii="Arial" w:hAnsi="Arial" w:cs="Arial"/>
      <w:b/>
      <w:color w:val="auto"/>
      <w:kern w:val="28"/>
      <w:sz w:val="32"/>
      <w:szCs w:val="22"/>
    </w:rPr>
  </w:style>
  <w:style w:type="character" w:customStyle="1" w:styleId="TitleChar">
    <w:name w:val="Title Char"/>
    <w:basedOn w:val="DefaultParagraphFont"/>
    <w:link w:val="Title"/>
    <w:rPr>
      <w:rFonts w:ascii="Arial" w:hAnsi="Arial" w:cs="Arial"/>
      <w:b/>
      <w:kern w:val="28"/>
      <w:sz w:val="32"/>
      <w:szCs w:val="22"/>
      <w:lang w:val="en-GB"/>
    </w:rPr>
  </w:style>
  <w:style w:type="paragraph" w:styleId="NormalWeb">
    <w:name w:val="Normal (Web)"/>
    <w:basedOn w:val="Normal"/>
    <w:uiPriority w:val="99"/>
    <w:semiHidden/>
    <w:unhideWhenUsed/>
    <w:pPr>
      <w:widowControl/>
      <w:spacing w:before="100" w:beforeAutospacing="1" w:after="100" w:afterAutospacing="1"/>
    </w:pPr>
    <w:rPr>
      <w:rFonts w:eastAsiaTheme="minorEastAsia"/>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19"/>
    <w:lsdException w:name="annotation text" w:uiPriority="29"/>
    <w:lsdException w:name="caption" w:uiPriority="35" w:qFormat="1"/>
    <w:lsdException w:name="footnote reference" w:uiPriority="19"/>
    <w:lsdException w:name="annotation reference" w:uiPriority="29"/>
    <w:lsdException w:name="List Bullet 3"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GB"/>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
    <w:basedOn w:val="Normal"/>
    <w:next w:val="BodyText"/>
    <w:link w:val="Heading1Char"/>
    <w:qFormat/>
    <w:pPr>
      <w:keepNext/>
      <w:keepLines/>
      <w:pageBreakBefore/>
      <w:widowControl/>
      <w:numPr>
        <w:numId w:val="9"/>
      </w:numPr>
      <w:spacing w:after="240" w:line="240" w:lineRule="atLeast"/>
      <w:outlineLvl w:val="0"/>
    </w:pPr>
    <w:rPr>
      <w:rFonts w:ascii="Calibri" w:eastAsiaTheme="majorEastAsia" w:hAnsi="Calibri" w:cstheme="majorBidi"/>
      <w:b/>
      <w:bCs/>
      <w:color w:val="auto"/>
      <w:sz w:val="32"/>
      <w:szCs w:val="28"/>
      <w:lang w:eastAsia="en-U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2H,2H1,heading 2,2h"/>
    <w:basedOn w:val="Normal"/>
    <w:next w:val="BodyText"/>
    <w:link w:val="Heading2Char"/>
    <w:qFormat/>
    <w:pPr>
      <w:keepNext/>
      <w:keepLines/>
      <w:widowControl/>
      <w:numPr>
        <w:ilvl w:val="1"/>
        <w:numId w:val="9"/>
      </w:numPr>
      <w:spacing w:before="240" w:after="120" w:line="260" w:lineRule="atLeast"/>
      <w:outlineLvl w:val="1"/>
    </w:pPr>
    <w:rPr>
      <w:rFonts w:ascii="Calibri" w:eastAsiaTheme="majorEastAsia" w:hAnsi="Calibri" w:cstheme="majorBidi"/>
      <w:b/>
      <w:bCs/>
      <w:color w:val="0067AC"/>
      <w:sz w:val="26"/>
      <w:szCs w:val="26"/>
      <w:lang w:eastAsia="en-US"/>
    </w:rPr>
  </w:style>
  <w:style w:type="paragraph" w:styleId="Heading3">
    <w:name w:val="heading 3"/>
    <w:aliases w:val="F5 Heading 3,h3,Numbered - 3,H3,H31,Headline 3,h31,h32,Sub Paragraph,Voorwoord,ASAPHeading 3,Level 1 - 1,Heading 3 - old,Heading 2.3,1.2.3.,Titles,(Alt+3),(Alt+3)1,(Alt+3)2,(Alt+3)3,(Alt+3)4,(Alt+3)5,(Alt+3)6,(Alt+3)11,(Alt+3)21,Tit,heading 3"/>
    <w:basedOn w:val="Normal"/>
    <w:next w:val="BodyText"/>
    <w:link w:val="Heading3Char"/>
    <w:qFormat/>
    <w:pPr>
      <w:keepNext/>
      <w:keepLines/>
      <w:widowControl/>
      <w:numPr>
        <w:ilvl w:val="2"/>
        <w:numId w:val="9"/>
      </w:numPr>
      <w:spacing w:before="200" w:after="120" w:line="240" w:lineRule="atLeast"/>
      <w:outlineLvl w:val="2"/>
    </w:pPr>
    <w:rPr>
      <w:rFonts w:ascii="Calibri" w:eastAsiaTheme="majorEastAsia" w:hAnsi="Calibri" w:cstheme="majorBidi"/>
      <w:b/>
      <w:bCs/>
      <w:color w:val="0067AC"/>
      <w:sz w:val="22"/>
      <w:lang w:eastAsia="en-US"/>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BodyText"/>
    <w:link w:val="Heading4Char"/>
    <w:qFormat/>
    <w:pPr>
      <w:keepNext/>
      <w:keepLines/>
      <w:widowControl/>
      <w:numPr>
        <w:ilvl w:val="3"/>
        <w:numId w:val="9"/>
      </w:numPr>
      <w:spacing w:before="120" w:line="240" w:lineRule="atLeast"/>
      <w:outlineLvl w:val="3"/>
    </w:pPr>
    <w:rPr>
      <w:rFonts w:ascii="Calibri" w:eastAsiaTheme="majorEastAsia" w:hAnsi="Calibri" w:cstheme="majorBidi"/>
      <w:b/>
      <w:bCs/>
      <w:i/>
      <w:iCs/>
      <w:color w:val="0067AC"/>
      <w:sz w:val="22"/>
      <w:lang w:eastAsia="en-US"/>
    </w:rPr>
  </w:style>
  <w:style w:type="paragraph" w:styleId="Heading5">
    <w:name w:val="heading 5"/>
    <w:aliases w:val="Heading 5(war),DNV-H5,Block Label,Heading 5 CFMU,Para 5,h5,Level 3 - i,DO NOT USE_h5,H5,Roman list,Schedule A to X"/>
    <w:basedOn w:val="Normal"/>
    <w:next w:val="Normal"/>
    <w:link w:val="Heading5Char"/>
    <w:uiPriority w:val="29"/>
    <w:unhideWhenUsed/>
    <w:qFormat/>
    <w:pPr>
      <w:keepNext/>
      <w:keepLines/>
      <w:widowControl/>
      <w:numPr>
        <w:ilvl w:val="4"/>
        <w:numId w:val="9"/>
      </w:numPr>
      <w:spacing w:before="120" w:line="240" w:lineRule="atLeast"/>
      <w:outlineLvl w:val="4"/>
    </w:pPr>
    <w:rPr>
      <w:rFonts w:ascii="Calibri" w:eastAsiaTheme="majorEastAsia" w:hAnsi="Calibri" w:cstheme="majorBidi"/>
      <w:b/>
      <w:i/>
      <w:color w:val="0067AC"/>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2"/>
      <w:szCs w:val="22"/>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Arial">
    <w:name w:val="En-tête ou pied de page + Arial"/>
    <w:aliases w:val="24 pt,Gras,Espacement 0 pt"/>
    <w:basedOn w:val="En-tteoupieddepage"/>
    <w:rPr>
      <w:rFonts w:ascii="Arial" w:eastAsia="Arial" w:hAnsi="Arial" w:cs="Arial"/>
      <w:b/>
      <w:bCs/>
      <w:i w:val="0"/>
      <w:iCs w:val="0"/>
      <w:smallCaps w:val="0"/>
      <w:strike w:val="0"/>
      <w:color w:val="000000"/>
      <w:spacing w:val="-10"/>
      <w:w w:val="100"/>
      <w:position w:val="0"/>
      <w:sz w:val="48"/>
      <w:szCs w:val="48"/>
      <w:u w:val="none"/>
      <w:lang w:val="en-US"/>
    </w:rPr>
  </w:style>
  <w:style w:type="character" w:customStyle="1" w:styleId="En-tte2">
    <w:name w:val="En-tête #2_"/>
    <w:basedOn w:val="DefaultParagraphFont"/>
    <w:link w:val="En-tte20"/>
    <w:rPr>
      <w:rFonts w:ascii="Arial" w:eastAsia="Arial" w:hAnsi="Arial" w:cs="Arial"/>
      <w:b w:val="0"/>
      <w:bCs w:val="0"/>
      <w:i w:val="0"/>
      <w:iCs w:val="0"/>
      <w:smallCaps w:val="0"/>
      <w:strike w:val="0"/>
      <w:sz w:val="22"/>
      <w:szCs w:val="22"/>
      <w:u w:val="none"/>
      <w:lang w:val="fi"/>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En-tte1">
    <w:name w:val="En-tête #1_"/>
    <w:basedOn w:val="DefaultParagraphFont"/>
    <w:link w:val="En-tte10"/>
    <w:rPr>
      <w:b w:val="0"/>
      <w:bCs w:val="0"/>
      <w:i w:val="0"/>
      <w:iCs w:val="0"/>
      <w:smallCaps w:val="0"/>
      <w:strike w:val="0"/>
      <w:sz w:val="27"/>
      <w:szCs w:val="27"/>
      <w:u w:val="none"/>
      <w:lang w:val="fr"/>
    </w:rPr>
  </w:style>
  <w:style w:type="character" w:customStyle="1" w:styleId="En-tteoupieddepage11pt">
    <w:name w:val="En-tête ou pied de page + 11 pt"/>
    <w:basedOn w:val="En-tteoupieddepag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OC3Char">
    <w:name w:val="TOC 3 Char"/>
    <w:basedOn w:val="DefaultParagraphFont"/>
    <w:link w:val="TOC3"/>
    <w:rPr>
      <w:b w:val="0"/>
      <w:bCs w:val="0"/>
      <w:i w:val="0"/>
      <w:iCs w:val="0"/>
      <w:smallCaps w:val="0"/>
      <w:strike w:val="0"/>
      <w:sz w:val="22"/>
      <w:szCs w:val="22"/>
      <w:u w:val="none"/>
    </w:rPr>
  </w:style>
  <w:style w:type="character" w:customStyle="1" w:styleId="Tabledesmatires2">
    <w:name w:val="Table des matières (2)_"/>
    <w:basedOn w:val="DefaultParagraphFont"/>
    <w:link w:val="Tabledesmatires20"/>
    <w:rPr>
      <w:b w:val="0"/>
      <w:bCs w:val="0"/>
      <w:i w:val="0"/>
      <w:iCs w:val="0"/>
      <w:smallCaps w:val="0"/>
      <w:strike w:val="0"/>
      <w:sz w:val="22"/>
      <w:szCs w:val="22"/>
      <w:u w:val="none"/>
    </w:rPr>
  </w:style>
  <w:style w:type="character" w:customStyle="1" w:styleId="Tabledesmatires2NonGras">
    <w:name w:val="Table des matières (2) + Non Gras"/>
    <w:basedOn w:val="Tabledesmatires2"/>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Tabledesmatires21">
    <w:name w:val="Table des matières (2)"/>
    <w:basedOn w:val="Tabledesmatires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En-tte4">
    <w:name w:val="En-tête #4_"/>
    <w:basedOn w:val="DefaultParagraphFont"/>
    <w:link w:val="En-tte40"/>
    <w:rPr>
      <w:b w:val="0"/>
      <w:bCs w:val="0"/>
      <w:i w:val="0"/>
      <w:iCs w:val="0"/>
      <w:smallCaps w:val="0"/>
      <w:strike w:val="0"/>
      <w:sz w:val="22"/>
      <w:szCs w:val="22"/>
      <w:u w:val="none"/>
    </w:rPr>
  </w:style>
  <w:style w:type="character" w:customStyle="1" w:styleId="Corpsdutexte3">
    <w:name w:val="Corps du texte (3)_"/>
    <w:basedOn w:val="DefaultParagraphFont"/>
    <w:link w:val="Corpsdutexte30"/>
    <w:rPr>
      <w:b w:val="0"/>
      <w:bCs w:val="0"/>
      <w:i w:val="0"/>
      <w:iCs w:val="0"/>
      <w:smallCaps w:val="0"/>
      <w:strike w:val="0"/>
      <w:sz w:val="19"/>
      <w:szCs w:val="19"/>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En-tte42">
    <w:name w:val="En-tête #4 (2)_"/>
    <w:basedOn w:val="DefaultParagraphFont"/>
    <w:link w:val="En-tte420"/>
    <w:rPr>
      <w:b w:val="0"/>
      <w:bCs w:val="0"/>
      <w:i w:val="0"/>
      <w:iCs w:val="0"/>
      <w:smallCaps w:val="0"/>
      <w:strike w:val="0"/>
      <w:sz w:val="23"/>
      <w:szCs w:val="23"/>
      <w:u w:val="none"/>
    </w:rPr>
  </w:style>
  <w:style w:type="character" w:customStyle="1" w:styleId="En-tte42NonGras">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4">
    <w:name w:val="Corps du texte (4)_"/>
    <w:basedOn w:val="DefaultParagraphFont"/>
    <w:link w:val="Corpsdutexte40"/>
    <w:rPr>
      <w:b w:val="0"/>
      <w:bCs w:val="0"/>
      <w:i w:val="0"/>
      <w:iCs w:val="0"/>
      <w:smallCaps w:val="0"/>
      <w:strike w:val="0"/>
      <w:sz w:val="17"/>
      <w:szCs w:val="17"/>
      <w:u w:val="none"/>
      <w:lang w:val="sl"/>
    </w:rPr>
  </w:style>
  <w:style w:type="character" w:customStyle="1" w:styleId="Corpsdutexte6">
    <w:name w:val="Corps du texte (6)_"/>
    <w:basedOn w:val="DefaultParagraphFont"/>
    <w:link w:val="Corpsdutexte60"/>
    <w:rPr>
      <w:b w:val="0"/>
      <w:bCs w:val="0"/>
      <w:i w:val="0"/>
      <w:iCs w:val="0"/>
      <w:smallCaps w:val="0"/>
      <w:strike w:val="0"/>
      <w:sz w:val="23"/>
      <w:szCs w:val="23"/>
      <w:u w:val="none"/>
    </w:rPr>
  </w:style>
  <w:style w:type="character" w:customStyle="1" w:styleId="Corpsdutexte6NonGras">
    <w:name w:val="Corps du texte (6) + Non Gras"/>
    <w:basedOn w:val="Corpsdutexte6"/>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612pt">
    <w:name w:val="Corps du texte (6) + 12 pt"/>
    <w:aliases w:val="Non Italique,Espacement -1 pt"/>
    <w:basedOn w:val="Corpsdutexte6"/>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0">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En-tte4212pt">
    <w:name w:val="En-tête #4 (2) + 12 pt"/>
    <w:aliases w:val="Non Italique,Espacement -1 pt"/>
    <w:basedOn w:val="En-tte42"/>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1">
    <w:name w:val="En-tête #4 (2) + Non Gras"/>
    <w:aliases w:val="Non Italique"/>
    <w:basedOn w:val="En-tte42"/>
    <w:rPr>
      <w:rFonts w:ascii="Times New Roman" w:eastAsia="Times New Roman" w:hAnsi="Times New Roman" w:cs="Times New Roman"/>
      <w:b/>
      <w:bCs/>
      <w:i/>
      <w:iCs/>
      <w:smallCaps w:val="0"/>
      <w:strike w:val="0"/>
      <w:color w:val="000000"/>
      <w:spacing w:val="0"/>
      <w:w w:val="100"/>
      <w:position w:val="0"/>
      <w:sz w:val="23"/>
      <w:szCs w:val="23"/>
      <w:u w:val="none"/>
      <w:lang w:val="sl"/>
    </w:rPr>
  </w:style>
  <w:style w:type="character" w:customStyle="1" w:styleId="En-tte41">
    <w:name w:val="En-tête #4"/>
    <w:basedOn w:val="En-tte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En-tte3">
    <w:name w:val="En-tête #3_"/>
    <w:basedOn w:val="DefaultParagraphFont"/>
    <w:link w:val="En-tte30"/>
    <w:rPr>
      <w:b w:val="0"/>
      <w:bCs w:val="0"/>
      <w:i w:val="0"/>
      <w:iCs w:val="0"/>
      <w:smallCaps w:val="0"/>
      <w:strike w:val="0"/>
      <w:sz w:val="22"/>
      <w:szCs w:val="22"/>
      <w:u w:val="none"/>
    </w:rPr>
  </w:style>
  <w:style w:type="paragraph" w:customStyle="1" w:styleId="Corpsdutexte20">
    <w:name w:val="Corps du texte (2)"/>
    <w:basedOn w:val="Normal"/>
    <w:link w:val="Corpsdutexte2"/>
    <w:pPr>
      <w:shd w:val="clear" w:color="auto" w:fill="FFFFFF"/>
      <w:spacing w:line="0" w:lineRule="atLeast"/>
    </w:pPr>
    <w:rPr>
      <w:b/>
      <w:bCs/>
      <w:sz w:val="22"/>
      <w:szCs w:val="22"/>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20">
    <w:name w:val="En-tête #2"/>
    <w:basedOn w:val="Normal"/>
    <w:link w:val="En-tte2"/>
    <w:pPr>
      <w:shd w:val="clear" w:color="auto" w:fill="FFFFFF"/>
      <w:spacing w:line="0" w:lineRule="atLeast"/>
      <w:jc w:val="right"/>
      <w:outlineLvl w:val="1"/>
    </w:pPr>
    <w:rPr>
      <w:rFonts w:ascii="Arial" w:eastAsia="Arial" w:hAnsi="Arial" w:cs="Arial"/>
      <w:sz w:val="22"/>
      <w:szCs w:val="22"/>
      <w:lang w:val="fi"/>
    </w:rPr>
  </w:style>
  <w:style w:type="paragraph" w:customStyle="1" w:styleId="Corpsdutexte0">
    <w:name w:val="Corps du texte"/>
    <w:basedOn w:val="Normal"/>
    <w:link w:val="Corpsdutexte"/>
    <w:pPr>
      <w:shd w:val="clear" w:color="auto" w:fill="FFFFFF"/>
      <w:spacing w:after="1320" w:line="278" w:lineRule="exact"/>
      <w:ind w:hanging="720"/>
    </w:pPr>
    <w:rPr>
      <w:sz w:val="22"/>
      <w:szCs w:val="22"/>
    </w:rPr>
  </w:style>
  <w:style w:type="paragraph" w:customStyle="1" w:styleId="En-tte10">
    <w:name w:val="En-tête #1"/>
    <w:basedOn w:val="Normal"/>
    <w:link w:val="En-tte1"/>
    <w:pPr>
      <w:shd w:val="clear" w:color="auto" w:fill="FFFFFF"/>
      <w:spacing w:after="360" w:line="0" w:lineRule="atLeast"/>
      <w:jc w:val="center"/>
      <w:outlineLvl w:val="0"/>
    </w:pPr>
    <w:rPr>
      <w:b/>
      <w:bCs/>
      <w:sz w:val="27"/>
      <w:szCs w:val="27"/>
      <w:lang w:val="fr"/>
    </w:rPr>
  </w:style>
  <w:style w:type="paragraph" w:styleId="TOC3">
    <w:name w:val="toc 3"/>
    <w:basedOn w:val="Normal"/>
    <w:link w:val="TOC3Char"/>
    <w:autoRedefine/>
    <w:uiPriority w:val="39"/>
    <w:qFormat/>
    <w:pPr>
      <w:shd w:val="clear" w:color="auto" w:fill="FFFFFF"/>
      <w:spacing w:before="360" w:line="456" w:lineRule="exact"/>
      <w:jc w:val="both"/>
    </w:pPr>
    <w:rPr>
      <w:sz w:val="22"/>
      <w:szCs w:val="22"/>
    </w:rPr>
  </w:style>
  <w:style w:type="paragraph" w:customStyle="1" w:styleId="Tabledesmatires20">
    <w:name w:val="Table des matières (2)"/>
    <w:basedOn w:val="Normal"/>
    <w:link w:val="Tabledesmatires2"/>
    <w:pPr>
      <w:shd w:val="clear" w:color="auto" w:fill="FFFFFF"/>
      <w:spacing w:line="456" w:lineRule="exact"/>
      <w:jc w:val="both"/>
    </w:pPr>
    <w:rPr>
      <w:b/>
      <w:bCs/>
      <w:sz w:val="22"/>
      <w:szCs w:val="22"/>
    </w:rPr>
  </w:style>
  <w:style w:type="paragraph" w:customStyle="1" w:styleId="En-tte40">
    <w:name w:val="En-tête #4"/>
    <w:basedOn w:val="Normal"/>
    <w:link w:val="En-tte4"/>
    <w:pPr>
      <w:shd w:val="clear" w:color="auto" w:fill="FFFFFF"/>
      <w:spacing w:after="240" w:line="0" w:lineRule="atLeast"/>
      <w:ind w:hanging="280"/>
      <w:jc w:val="both"/>
      <w:outlineLvl w:val="3"/>
    </w:pPr>
    <w:rPr>
      <w:b/>
      <w:bCs/>
      <w:sz w:val="22"/>
      <w:szCs w:val="22"/>
    </w:rPr>
  </w:style>
  <w:style w:type="paragraph" w:customStyle="1" w:styleId="Corpsdutexte30">
    <w:name w:val="Corps du texte (3)"/>
    <w:basedOn w:val="Normal"/>
    <w:link w:val="Corpsdutexte3"/>
    <w:pPr>
      <w:shd w:val="clear" w:color="auto" w:fill="FFFFFF"/>
      <w:spacing w:before="600" w:line="0" w:lineRule="atLeast"/>
      <w:ind w:hanging="700"/>
      <w:jc w:val="both"/>
    </w:pPr>
    <w:rPr>
      <w:sz w:val="19"/>
      <w:szCs w:val="19"/>
    </w:rPr>
  </w:style>
  <w:style w:type="paragraph" w:customStyle="1" w:styleId="En-tte420">
    <w:name w:val="En-tête #4 (2)"/>
    <w:basedOn w:val="Normal"/>
    <w:link w:val="En-tte42"/>
    <w:pPr>
      <w:shd w:val="clear" w:color="auto" w:fill="FFFFFF"/>
      <w:spacing w:line="514" w:lineRule="exact"/>
      <w:ind w:hanging="280"/>
      <w:jc w:val="both"/>
      <w:outlineLvl w:val="3"/>
    </w:pPr>
    <w:rPr>
      <w:b/>
      <w:bCs/>
      <w:i/>
      <w:iCs/>
      <w:sz w:val="23"/>
      <w:szCs w:val="23"/>
    </w:rPr>
  </w:style>
  <w:style w:type="paragraph" w:customStyle="1" w:styleId="Corpsdutexte40">
    <w:name w:val="Corps du texte (4)"/>
    <w:basedOn w:val="Normal"/>
    <w:link w:val="Corpsdutexte4"/>
    <w:pPr>
      <w:shd w:val="clear" w:color="auto" w:fill="FFFFFF"/>
      <w:spacing w:line="206" w:lineRule="exact"/>
      <w:jc w:val="both"/>
    </w:pPr>
    <w:rPr>
      <w:sz w:val="17"/>
      <w:szCs w:val="17"/>
      <w:lang w:val="sl"/>
    </w:rPr>
  </w:style>
  <w:style w:type="paragraph" w:customStyle="1" w:styleId="Corpsdutexte60">
    <w:name w:val="Corps du texte (6)"/>
    <w:basedOn w:val="Normal"/>
    <w:link w:val="Corpsdutexte6"/>
    <w:pPr>
      <w:shd w:val="clear" w:color="auto" w:fill="FFFFFF"/>
      <w:spacing w:before="180" w:after="300" w:line="0" w:lineRule="atLeast"/>
      <w:jc w:val="both"/>
    </w:pPr>
    <w:rPr>
      <w:b/>
      <w:bCs/>
      <w:i/>
      <w:iCs/>
      <w:sz w:val="23"/>
      <w:szCs w:val="23"/>
    </w:rPr>
  </w:style>
  <w:style w:type="paragraph" w:customStyle="1" w:styleId="En-tte30">
    <w:name w:val="En-tête #3"/>
    <w:basedOn w:val="Normal"/>
    <w:link w:val="En-tte3"/>
    <w:pPr>
      <w:shd w:val="clear" w:color="auto" w:fill="FFFFFF"/>
      <w:spacing w:before="420" w:after="300" w:line="0" w:lineRule="atLeast"/>
      <w:jc w:val="both"/>
      <w:outlineLvl w:val="2"/>
    </w:pPr>
    <w:rPr>
      <w:b/>
      <w:bCs/>
      <w:sz w:val="22"/>
      <w:szCs w:val="22"/>
    </w:rPr>
  </w:style>
  <w:style w:type="paragraph" w:styleId="TOC4">
    <w:name w:val="toc 4"/>
    <w:basedOn w:val="Normal"/>
    <w:autoRedefine/>
    <w:pPr>
      <w:shd w:val="clear" w:color="auto" w:fill="FFFFFF"/>
      <w:spacing w:before="360" w:line="456" w:lineRule="exact"/>
      <w:jc w:val="both"/>
    </w:pPr>
    <w:rPr>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BodyText">
    <w:name w:val="Body Text"/>
    <w:aliases w:val="Document,Doc,Body Text2,doc,Standard paragraph, (Norm),Body Text 12,bt,gl,uvlaka 2,(Norm),heading3,Body Text - Level 2,1body,BodText,body text,Body Txt,Body Text-10,Body Text Char2,Text Char1,Corps de texte,BodyText,Τίτλος Μελέτης,- TF,Text,b."/>
    <w:basedOn w:val="Normal"/>
    <w:link w:val="BodyTextChar"/>
    <w:qFormat/>
    <w:pPr>
      <w:widowControl/>
      <w:spacing w:before="120" w:after="120" w:line="240" w:lineRule="atLeast"/>
      <w:ind w:left="851"/>
    </w:pPr>
    <w:rPr>
      <w:rFonts w:ascii="Arial" w:eastAsiaTheme="minorHAnsi" w:hAnsi="Arial"/>
      <w:color w:val="auto"/>
      <w:sz w:val="20"/>
      <w:lang w:eastAsia="en-US"/>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rPr>
      <w:rFonts w:ascii="Arial" w:eastAsiaTheme="minorHAnsi" w:hAnsi="Arial"/>
      <w:sz w:val="20"/>
      <w:lang w:val="en-GB" w:eastAsia="en-US"/>
    </w:rPr>
  </w:style>
  <w:style w:type="paragraph" w:customStyle="1" w:styleId="BTBullet1">
    <w:name w:val="BT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TBullet2">
    <w:name w:val="BTBullet2"/>
    <w:basedOn w:val="Normal"/>
    <w:uiPriority w:val="6"/>
    <w:qFormat/>
    <w:pPr>
      <w:widowControl/>
      <w:numPr>
        <w:ilvl w:val="1"/>
        <w:numId w:val="2"/>
      </w:numPr>
      <w:spacing w:line="240" w:lineRule="atLeast"/>
    </w:pPr>
    <w:rPr>
      <w:rFonts w:ascii="Arial" w:eastAsiaTheme="minorHAnsi" w:hAnsi="Arial"/>
      <w:color w:val="auto"/>
      <w:sz w:val="20"/>
      <w:lang w:eastAsia="en-US"/>
    </w:rPr>
  </w:style>
  <w:style w:type="paragraph" w:styleId="FootnoteText">
    <w:name w:val="footnote text"/>
    <w:aliases w:val="Footnote,Fußnote,Schriftart: 9 pt,Schriftart: 10 pt,Schriftart: 8 pt,o,Testo nota a piè di pagina Carattere,Testo nota a piè di pagina Carattere1 Carattere,Testo nota a piè di pagina Carattere Carattere Carattere,fn,Fuﬂnote,Footnote text,f"/>
    <w:basedOn w:val="Normal"/>
    <w:uiPriority w:val="19"/>
    <w:pPr>
      <w:widowControl/>
      <w:spacing w:after="60"/>
    </w:pPr>
    <w:rPr>
      <w:rFonts w:ascii="Arial" w:eastAsiaTheme="minorHAnsi" w:hAnsi="Arial"/>
      <w:color w:val="auto"/>
      <w:sz w:val="18"/>
      <w:szCs w:val="20"/>
      <w:lang w:eastAsia="en-US"/>
    </w:rPr>
  </w:style>
  <w:style w:type="character" w:customStyle="1" w:styleId="FootnoteTextChar">
    <w:name w:val="Footnote Text Char"/>
    <w:aliases w:val="Footnote Char,Fußnote Char,Schriftart: 9 pt Char,Schriftart: 10 pt Char,Schriftart: 8 pt Char,o Char,Testo nota a piè di pagina Carattere Char,Testo nota a piè di pagina Carattere1 Carattere Char,fn Char,Fuﬂnote Char,f Char"/>
    <w:basedOn w:val="DefaultParagraphFont"/>
    <w:uiPriority w:val="19"/>
    <w:rPr>
      <w:rFonts w:ascii="Arial" w:eastAsiaTheme="minorHAnsi" w:hAnsi="Arial"/>
      <w:sz w:val="18"/>
      <w:szCs w:val="20"/>
      <w:lang w:val="en-GB" w:eastAsia="en-US"/>
    </w:rPr>
  </w:style>
  <w:style w:type="character" w:styleId="FootnoteReference">
    <w:name w:val="footnote reference"/>
    <w:aliases w:val="Footnote Reference Superscript,Footnote symbol,Odwołanie przypisu,Times 10 Point,Exposant 3 Point,footnote ref,ftref,Footnote Reference/,SUPERS,Footnote reference number,Ref,de nota al pie,note TESI,stylish,BVI fnr, Exposant 3 Point"/>
    <w:basedOn w:val="DefaultParagraphFont"/>
    <w:uiPriority w:val="19"/>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TBullet3">
    <w:name w:val="BTBullet3"/>
    <w:basedOn w:val="Normal"/>
    <w:uiPriority w:val="6"/>
    <w:qFormat/>
    <w:pPr>
      <w:widowControl/>
      <w:numPr>
        <w:ilvl w:val="2"/>
        <w:numId w:val="2"/>
      </w:numPr>
      <w:spacing w:line="240" w:lineRule="atLeast"/>
    </w:pPr>
    <w:rPr>
      <w:rFonts w:ascii="Arial" w:eastAsiaTheme="minorHAnsi" w:hAnsi="Arial"/>
      <w:color w:val="auto"/>
      <w:sz w:val="20"/>
      <w:lang w:eastAsia="en-US"/>
    </w:rPr>
  </w:style>
  <w:style w:type="numbering" w:customStyle="1" w:styleId="NumbLstBTBullet">
    <w:name w:val="NumbLstBTBullet"/>
    <w:uiPriority w:val="99"/>
    <w:pPr>
      <w:numPr>
        <w:numId w:val="1"/>
      </w:numPr>
    </w:pPr>
  </w:style>
  <w:style w:type="character" w:styleId="CommentReference">
    <w:name w:val="annotation reference"/>
    <w:basedOn w:val="DefaultParagraphFont"/>
    <w:uiPriority w:val="29"/>
    <w:semiHidden/>
    <w:rPr>
      <w:sz w:val="16"/>
    </w:rPr>
  </w:style>
  <w:style w:type="paragraph" w:styleId="CommentText">
    <w:name w:val="annotation text"/>
    <w:basedOn w:val="Normal"/>
    <w:link w:val="CommentTextChar"/>
    <w:uiPriority w:val="29"/>
    <w:pPr>
      <w:widowControl/>
      <w:spacing w:before="120" w:after="120"/>
    </w:pPr>
    <w:rPr>
      <w:rFonts w:ascii="Arial" w:hAnsi="Arial"/>
      <w:color w:val="auto"/>
      <w:sz w:val="20"/>
      <w:szCs w:val="20"/>
      <w:lang w:eastAsia="en-US"/>
    </w:rPr>
  </w:style>
  <w:style w:type="character" w:customStyle="1" w:styleId="CommentTextChar">
    <w:name w:val="Comment Text Char"/>
    <w:basedOn w:val="DefaultParagraphFont"/>
    <w:link w:val="CommentText"/>
    <w:uiPriority w:val="29"/>
    <w:rPr>
      <w:rFonts w:ascii="Arial" w:hAnsi="Arial"/>
      <w:sz w:val="20"/>
      <w:szCs w:val="20"/>
      <w:lang w:val="en-GB" w:eastAsia="en-US"/>
    </w:rPr>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Pr>
      <w:rFonts w:ascii="Calibri" w:eastAsiaTheme="majorEastAsia" w:hAnsi="Calibri" w:cstheme="majorBidi"/>
      <w:b/>
      <w:bCs/>
      <w:sz w:val="32"/>
      <w:szCs w:val="28"/>
      <w:lang w:val="en-GB"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rFonts w:ascii="Calibri" w:eastAsiaTheme="majorEastAsia" w:hAnsi="Calibri" w:cstheme="majorBidi"/>
      <w:b/>
      <w:bCs/>
      <w:color w:val="0067AC"/>
      <w:sz w:val="26"/>
      <w:szCs w:val="26"/>
      <w:lang w:val="en-GB"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2.3 Char,1.2.3. Char,Titles Char,Tit Char"/>
    <w:basedOn w:val="DefaultParagraphFont"/>
    <w:link w:val="Heading3"/>
    <w:rPr>
      <w:rFonts w:ascii="Calibri" w:eastAsiaTheme="majorEastAsia" w:hAnsi="Calibri" w:cstheme="majorBidi"/>
      <w:b/>
      <w:bCs/>
      <w:color w:val="0067AC"/>
      <w:sz w:val="22"/>
      <w:lang w:val="en-GB"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Calibri" w:eastAsiaTheme="majorEastAsia" w:hAnsi="Calibri" w:cstheme="majorBidi"/>
      <w:b/>
      <w:bCs/>
      <w:i/>
      <w:iCs/>
      <w:color w:val="0067AC"/>
      <w:sz w:val="22"/>
      <w:lang w:val="en-GB"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29"/>
    <w:rPr>
      <w:rFonts w:ascii="Calibri" w:eastAsiaTheme="majorEastAsia" w:hAnsi="Calibri" w:cstheme="majorBidi"/>
      <w:b/>
      <w:i/>
      <w:color w:val="0067AC"/>
      <w:sz w:val="22"/>
      <w:lang w:val="en-GB" w:eastAsia="en-US"/>
    </w:rPr>
  </w:style>
  <w:style w:type="paragraph" w:customStyle="1" w:styleId="Figure">
    <w:name w:val="Figure"/>
    <w:basedOn w:val="Normal"/>
    <w:next w:val="BodyText"/>
    <w:uiPriority w:val="11"/>
    <w:qFormat/>
    <w:pPr>
      <w:keepNext/>
      <w:widowControl/>
      <w:numPr>
        <w:ilvl w:val="5"/>
        <w:numId w:val="9"/>
      </w:numPr>
      <w:spacing w:before="120" w:after="120" w:line="240" w:lineRule="atLeast"/>
    </w:pPr>
    <w:rPr>
      <w:rFonts w:ascii="Calibri" w:eastAsiaTheme="minorHAnsi" w:hAnsi="Calibri"/>
      <w:b/>
      <w:color w:val="0067AC"/>
      <w:sz w:val="20"/>
      <w:lang w:eastAsia="en-US"/>
    </w:rPr>
  </w:style>
  <w:style w:type="paragraph" w:customStyle="1" w:styleId="Table">
    <w:name w:val="Table"/>
    <w:basedOn w:val="Normal"/>
    <w:next w:val="BodyText"/>
    <w:link w:val="TableChar"/>
    <w:uiPriority w:val="11"/>
    <w:qFormat/>
    <w:pPr>
      <w:keepNext/>
      <w:widowControl/>
      <w:numPr>
        <w:ilvl w:val="6"/>
        <w:numId w:val="9"/>
      </w:numPr>
      <w:spacing w:before="120" w:after="120" w:line="240" w:lineRule="atLeast"/>
    </w:pPr>
    <w:rPr>
      <w:rFonts w:ascii="Calibri" w:eastAsiaTheme="minorHAnsi" w:hAnsi="Calibri"/>
      <w:b/>
      <w:color w:val="0067AC"/>
      <w:sz w:val="20"/>
      <w:lang w:eastAsia="en-US"/>
    </w:rPr>
  </w:style>
  <w:style w:type="paragraph" w:customStyle="1" w:styleId="TableTitle">
    <w:name w:val="TableTitle"/>
    <w:basedOn w:val="Normal"/>
    <w:uiPriority w:val="14"/>
    <w:qFormat/>
    <w:pPr>
      <w:widowControl/>
      <w:spacing w:line="220" w:lineRule="atLeast"/>
      <w:ind w:left="57" w:right="57"/>
    </w:pPr>
    <w:rPr>
      <w:rFonts w:ascii="Calibri" w:eastAsiaTheme="minorHAnsi" w:hAnsi="Calibri"/>
      <w:b/>
      <w:color w:val="0067AC"/>
      <w:sz w:val="18"/>
      <w:lang w:eastAsia="en-US"/>
    </w:rPr>
  </w:style>
  <w:style w:type="paragraph" w:customStyle="1" w:styleId="TableTextNoSpace">
    <w:name w:val="TableTextNoSpace"/>
    <w:basedOn w:val="Normal"/>
    <w:uiPriority w:val="15"/>
    <w:qFormat/>
    <w:pPr>
      <w:widowControl/>
      <w:spacing w:line="220" w:lineRule="atLeast"/>
      <w:ind w:left="57" w:right="57"/>
    </w:pPr>
    <w:rPr>
      <w:rFonts w:ascii="Arial" w:eastAsiaTheme="minorHAnsi" w:hAnsi="Arial"/>
      <w:color w:val="auto"/>
      <w:sz w:val="18"/>
      <w:lang w:eastAsia="en-US"/>
    </w:rPr>
  </w:style>
  <w:style w:type="numbering" w:customStyle="1" w:styleId="NumbLstMain">
    <w:name w:val="NumbLstMain"/>
    <w:uiPriority w:val="99"/>
    <w:pPr>
      <w:numPr>
        <w:numId w:val="3"/>
      </w:numPr>
    </w:pPr>
  </w:style>
  <w:style w:type="paragraph" w:customStyle="1" w:styleId="Box">
    <w:name w:val="Box"/>
    <w:basedOn w:val="Normal"/>
    <w:next w:val="BodyText"/>
    <w:uiPriority w:val="6"/>
    <w:qFormat/>
    <w:pPr>
      <w:widowControl/>
      <w:numPr>
        <w:ilvl w:val="7"/>
        <w:numId w:val="9"/>
      </w:numPr>
      <w:spacing w:before="120" w:after="120" w:line="240" w:lineRule="atLeast"/>
    </w:pPr>
    <w:rPr>
      <w:rFonts w:ascii="Calibri" w:eastAsiaTheme="minorHAnsi" w:hAnsi="Calibri"/>
      <w:b/>
      <w:color w:val="0067AC"/>
      <w:sz w:val="20"/>
      <w:lang w:eastAsia="en-US"/>
    </w:rPr>
  </w:style>
  <w:style w:type="character" w:customStyle="1" w:styleId="TableChar">
    <w:name w:val="Table Char"/>
    <w:link w:val="Table"/>
    <w:uiPriority w:val="11"/>
    <w:rPr>
      <w:rFonts w:ascii="Calibri" w:eastAsiaTheme="minorHAnsi" w:hAnsi="Calibri"/>
      <w:b/>
      <w:color w:val="0067AC"/>
      <w:sz w:val="20"/>
      <w:lang w:val="en-GB" w:eastAsia="en-US"/>
    </w:rPr>
  </w:style>
  <w:style w:type="paragraph" w:styleId="TOC2">
    <w:name w:val="toc 2"/>
    <w:basedOn w:val="Normal"/>
    <w:next w:val="Normal"/>
    <w:autoRedefine/>
    <w:uiPriority w:val="39"/>
    <w:unhideWhenUsed/>
    <w:qFormat/>
    <w:pPr>
      <w:spacing w:after="100"/>
      <w:ind w:left="240"/>
    </w:pPr>
  </w:style>
  <w:style w:type="paragraph" w:styleId="TOC1">
    <w:name w:val="toc 1"/>
    <w:basedOn w:val="Normal"/>
    <w:next w:val="Normal"/>
    <w:autoRedefine/>
    <w:uiPriority w:val="39"/>
    <w:unhideWhenUsed/>
    <w:qFormat/>
    <w:pPr>
      <w:spacing w:after="100"/>
    </w:pPr>
  </w:style>
  <w:style w:type="paragraph" w:customStyle="1" w:styleId="TableText">
    <w:name w:val="TableText"/>
    <w:basedOn w:val="Normal"/>
    <w:uiPriority w:val="15"/>
    <w:qFormat/>
    <w:pPr>
      <w:widowControl/>
      <w:spacing w:after="120" w:line="220" w:lineRule="atLeast"/>
      <w:ind w:left="57" w:right="57"/>
    </w:pPr>
    <w:rPr>
      <w:rFonts w:ascii="Arial" w:eastAsiaTheme="minorHAnsi" w:hAnsi="Arial"/>
      <w:color w:val="auto"/>
      <w:sz w:val="18"/>
      <w:lang w:eastAsia="en-US"/>
    </w:rPr>
  </w:style>
  <w:style w:type="paragraph" w:customStyle="1" w:styleId="BTBullet1Last">
    <w:name w:val="BTBullet1Last"/>
    <w:basedOn w:val="BTBullet1"/>
    <w:uiPriority w:val="6"/>
    <w:qFormat/>
    <w:pPr>
      <w:tabs>
        <w:tab w:val="num" w:pos="360"/>
      </w:tabs>
      <w:spacing w:after="120"/>
      <w:ind w:left="1191" w:hanging="340"/>
    </w:pPr>
  </w:style>
  <w:style w:type="paragraph" w:customStyle="1" w:styleId="TableHeading">
    <w:name w:val="TableHeading"/>
    <w:basedOn w:val="Normal"/>
    <w:next w:val="TableText"/>
    <w:uiPriority w:val="15"/>
    <w:qFormat/>
    <w:pPr>
      <w:widowControl/>
      <w:spacing w:line="240" w:lineRule="atLeast"/>
      <w:ind w:left="57" w:right="57"/>
    </w:pPr>
    <w:rPr>
      <w:rFonts w:ascii="Calibri" w:eastAsiaTheme="minorHAnsi" w:hAnsi="Calibri"/>
      <w:color w:val="0067AC"/>
      <w:sz w:val="20"/>
      <w:lang w:eastAsia="en-US"/>
    </w:rPr>
  </w:style>
  <w:style w:type="paragraph" w:customStyle="1" w:styleId="CaseStudy">
    <w:name w:val="CaseStudy"/>
    <w:basedOn w:val="BodyText"/>
    <w:next w:val="TableText"/>
    <w:uiPriority w:val="12"/>
    <w:qFormat/>
    <w:pPr>
      <w:numPr>
        <w:numId w:val="8"/>
      </w:numPr>
      <w:tabs>
        <w:tab w:val="left" w:pos="1814"/>
      </w:tabs>
    </w:pPr>
    <w:rPr>
      <w:rFonts w:ascii="Calibri" w:hAnsi="Calibri"/>
      <w:b/>
      <w:color w:val="0067AC"/>
      <w:sz w:val="28"/>
    </w:rPr>
  </w:style>
  <w:style w:type="paragraph" w:customStyle="1" w:styleId="Evidence">
    <w:name w:val="Evidence"/>
    <w:basedOn w:val="TableText"/>
    <w:next w:val="Normal"/>
    <w:uiPriority w:val="12"/>
    <w:qFormat/>
    <w:pPr>
      <w:numPr>
        <w:ilvl w:val="1"/>
        <w:numId w:val="8"/>
      </w:numPr>
      <w:spacing w:before="120"/>
    </w:pPr>
    <w:rPr>
      <w:rFonts w:ascii="Calibri" w:hAnsi="Calibri"/>
      <w:b/>
      <w:color w:val="0067AC"/>
      <w:sz w:val="28"/>
    </w:rPr>
  </w:style>
  <w:style w:type="paragraph" w:customStyle="1" w:styleId="BTNumbList">
    <w:name w:val="BTNumbList"/>
    <w:basedOn w:val="Normal"/>
    <w:uiPriority w:val="4"/>
    <w:qFormat/>
    <w:pPr>
      <w:widowControl/>
      <w:numPr>
        <w:numId w:val="7"/>
      </w:numPr>
      <w:spacing w:line="240" w:lineRule="atLeast"/>
    </w:pPr>
    <w:rPr>
      <w:rFonts w:ascii="Arial" w:eastAsiaTheme="minorHAnsi" w:hAnsi="Arial"/>
      <w:color w:val="auto"/>
      <w:sz w:val="20"/>
      <w:lang w:eastAsia="en-US"/>
    </w:rPr>
  </w:style>
  <w:style w:type="paragraph" w:customStyle="1" w:styleId="BTNumbListLast">
    <w:name w:val="BTNumbListLast"/>
    <w:basedOn w:val="BTNumbList"/>
    <w:uiPriority w:val="6"/>
    <w:qFormat/>
    <w:pPr>
      <w:spacing w:after="120"/>
    </w:pPr>
  </w:style>
  <w:style w:type="paragraph" w:customStyle="1" w:styleId="Recommendation">
    <w:name w:val="Recommendation"/>
    <w:basedOn w:val="Normal"/>
    <w:next w:val="TableText"/>
    <w:uiPriority w:val="6"/>
    <w:qFormat/>
    <w:pPr>
      <w:widowControl/>
      <w:numPr>
        <w:ilvl w:val="3"/>
        <w:numId w:val="8"/>
      </w:numPr>
      <w:spacing w:before="120" w:after="120" w:line="320" w:lineRule="atLeast"/>
    </w:pPr>
    <w:rPr>
      <w:rFonts w:ascii="Calibri" w:eastAsiaTheme="minorHAnsi" w:hAnsi="Calibri"/>
      <w:b/>
      <w:color w:val="0067AC"/>
      <w:sz w:val="28"/>
      <w:lang w:eastAsia="en-US"/>
    </w:rPr>
  </w:style>
  <w:style w:type="paragraph" w:customStyle="1" w:styleId="Conclusion">
    <w:name w:val="Conclusion"/>
    <w:basedOn w:val="Normal"/>
    <w:next w:val="TableText"/>
    <w:uiPriority w:val="6"/>
    <w:qFormat/>
    <w:pPr>
      <w:widowControl/>
      <w:numPr>
        <w:ilvl w:val="2"/>
        <w:numId w:val="8"/>
      </w:numPr>
      <w:spacing w:before="120" w:after="120" w:line="320" w:lineRule="atLeast"/>
    </w:pPr>
    <w:rPr>
      <w:rFonts w:ascii="Calibri" w:eastAsiaTheme="minorHAnsi" w:hAnsi="Calibri"/>
      <w:b/>
      <w:color w:val="0067AC"/>
      <w:sz w:val="28"/>
      <w:lang w:eastAsia="en-US"/>
    </w:rPr>
  </w:style>
  <w:style w:type="paragraph" w:customStyle="1" w:styleId="BTNumbList2">
    <w:name w:val="BTNumbList2"/>
    <w:basedOn w:val="Normal"/>
    <w:uiPriority w:val="6"/>
    <w:qFormat/>
    <w:pPr>
      <w:widowControl/>
      <w:numPr>
        <w:ilvl w:val="1"/>
        <w:numId w:val="7"/>
      </w:numPr>
      <w:spacing w:line="240" w:lineRule="atLeast"/>
    </w:pPr>
    <w:rPr>
      <w:rFonts w:ascii="Arial" w:eastAsiaTheme="minorHAnsi" w:hAnsi="Arial"/>
      <w:color w:val="auto"/>
      <w:sz w:val="20"/>
      <w:lang w:eastAsia="en-US"/>
    </w:rPr>
  </w:style>
  <w:style w:type="numbering" w:customStyle="1" w:styleId="NumbLstBoxes">
    <w:name w:val="NumbLstBoxes"/>
    <w:uiPriority w:val="99"/>
    <w:pPr>
      <w:numPr>
        <w:numId w:val="6"/>
      </w:numPr>
    </w:pPr>
  </w:style>
  <w:style w:type="paragraph" w:customStyle="1" w:styleId="BoxNumb">
    <w:name w:val="BoxNumb"/>
    <w:basedOn w:val="Normal"/>
    <w:next w:val="Normal"/>
    <w:uiPriority w:val="6"/>
    <w:qFormat/>
    <w:pPr>
      <w:widowControl/>
      <w:numPr>
        <w:ilvl w:val="4"/>
        <w:numId w:val="8"/>
      </w:numPr>
      <w:spacing w:before="120" w:after="120" w:line="320" w:lineRule="atLeast"/>
    </w:pPr>
    <w:rPr>
      <w:rFonts w:ascii="Calibri" w:eastAsiaTheme="minorHAnsi" w:hAnsi="Calibri"/>
      <w:b/>
      <w:color w:val="0067AC"/>
      <w:sz w:val="28"/>
      <w:lang w:eastAsia="en-US"/>
    </w:rPr>
  </w:style>
  <w:style w:type="paragraph" w:customStyle="1" w:styleId="BTNumbList3">
    <w:name w:val="BTNumbList3"/>
    <w:basedOn w:val="Normal"/>
    <w:uiPriority w:val="6"/>
    <w:qFormat/>
    <w:pPr>
      <w:widowControl/>
      <w:numPr>
        <w:ilvl w:val="2"/>
        <w:numId w:val="7"/>
      </w:numPr>
      <w:spacing w:line="240" w:lineRule="atLeast"/>
    </w:pPr>
    <w:rPr>
      <w:rFonts w:ascii="Arial" w:eastAsiaTheme="minorHAnsi" w:hAnsi="Arial"/>
      <w:color w:val="auto"/>
      <w:sz w:val="20"/>
      <w:lang w:eastAsia="en-US"/>
    </w:rPr>
  </w:style>
  <w:style w:type="table" w:styleId="TableGrid">
    <w:name w:val="Table Grid"/>
    <w:basedOn w:val="TableNormal"/>
    <w:uiPriority w:val="59"/>
    <w:pPr>
      <w:widowControl/>
    </w:pPr>
    <w:rPr>
      <w:rFonts w:eastAsiaTheme="minorHAnsi"/>
      <w:sz w:val="20"/>
      <w:szCs w:val="20"/>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ource">
    <w:name w:val="TableSource"/>
    <w:basedOn w:val="BodyText"/>
    <w:uiPriority w:val="6"/>
    <w:qFormat/>
    <w:pPr>
      <w:spacing w:line="200" w:lineRule="atLeast"/>
    </w:pPr>
    <w:rPr>
      <w:i/>
      <w:sz w:val="18"/>
    </w:rPr>
  </w:style>
  <w:style w:type="paragraph" w:customStyle="1" w:styleId="Heading4NoNumb">
    <w:name w:val="Heading 4NoNumb"/>
    <w:basedOn w:val="Heading4"/>
    <w:next w:val="Normal"/>
    <w:uiPriority w:val="5"/>
    <w:qFormat/>
    <w:pPr>
      <w:numPr>
        <w:ilvl w:val="0"/>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pageBreakBefore w:val="0"/>
      <w:numPr>
        <w:numId w:val="0"/>
      </w:numPr>
      <w:spacing w:before="480" w:after="0" w:line="276" w:lineRule="auto"/>
      <w:outlineLvl w:val="9"/>
    </w:pPr>
    <w:rPr>
      <w:rFonts w:asciiTheme="majorHAnsi" w:hAnsiTheme="majorHAnsi"/>
      <w:color w:val="365F91" w:themeColor="accent1" w:themeShade="BF"/>
      <w:sz w:val="28"/>
      <w:lang w:val="en-US" w:eastAsia="ja-JP"/>
    </w:rPr>
  </w:style>
  <w:style w:type="character" w:styleId="Strong">
    <w:name w:val="Strong"/>
    <w:basedOn w:val="DefaultParagraphFont"/>
    <w:uiPriority w:val="22"/>
    <w:qFormat/>
    <w:rPr>
      <w:b/>
      <w:bCs/>
    </w:rPr>
  </w:style>
  <w:style w:type="paragraph" w:customStyle="1" w:styleId="BodyTextNoSpace">
    <w:name w:val="Body TextNoSpace"/>
    <w:basedOn w:val="BodyText"/>
    <w:uiPriority w:val="1"/>
    <w:qFormat/>
    <w:pPr>
      <w:spacing w:before="0" w:after="0"/>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pPr>
      <w:widowControl w:val="0"/>
      <w:spacing w:before="0" w:after="0"/>
    </w:pPr>
    <w:rPr>
      <w:rFonts w:ascii="Times New Roman" w:hAnsi="Times New Roman"/>
      <w:b/>
      <w:bCs/>
      <w:color w:val="000000"/>
      <w:lang w:val="en-US" w:eastAsia="en-GB"/>
    </w:rPr>
  </w:style>
  <w:style w:type="character" w:customStyle="1" w:styleId="CommentSubjectChar">
    <w:name w:val="Comment Subject Char"/>
    <w:basedOn w:val="CommentTextChar"/>
    <w:link w:val="CommentSubject"/>
    <w:uiPriority w:val="99"/>
    <w:semiHidden/>
    <w:rPr>
      <w:rFonts w:ascii="Arial" w:hAnsi="Arial"/>
      <w:b/>
      <w:bCs/>
      <w:color w:val="000000"/>
      <w:sz w:val="20"/>
      <w:szCs w:val="20"/>
      <w:lang w:val="en-GB" w:eastAsia="en-US"/>
    </w:rPr>
  </w:style>
  <w:style w:type="paragraph" w:customStyle="1" w:styleId="TableBullet">
    <w:name w:val="TableBullet"/>
    <w:basedOn w:val="TableText"/>
    <w:uiPriority w:val="6"/>
    <w:qFormat/>
    <w:pPr>
      <w:numPr>
        <w:numId w:val="11"/>
      </w:numPr>
      <w:spacing w:after="0"/>
    </w:pPr>
  </w:style>
  <w:style w:type="numbering" w:customStyle="1" w:styleId="NumbLstTableBullet">
    <w:name w:val="NumbLstTableBullet"/>
    <w:uiPriority w:val="99"/>
    <w:pPr>
      <w:numPr>
        <w:numId w:val="10"/>
      </w:numPr>
    </w:pPr>
  </w:style>
  <w:style w:type="paragraph" w:styleId="Date">
    <w:name w:val="Date"/>
    <w:basedOn w:val="Normal"/>
    <w:next w:val="References"/>
    <w:link w:val="DateChar"/>
    <w:pPr>
      <w:widowControl/>
      <w:ind w:left="5103" w:right="-567"/>
    </w:pPr>
    <w:rPr>
      <w:color w:val="auto"/>
      <w:szCs w:val="20"/>
      <w:lang w:eastAsia="en-US"/>
    </w:rPr>
  </w:style>
  <w:style w:type="character" w:customStyle="1" w:styleId="DateChar">
    <w:name w:val="Date Char"/>
    <w:basedOn w:val="DefaultParagraphFont"/>
    <w:link w:val="Date"/>
    <w:uiPriority w:val="99"/>
    <w:rPr>
      <w:szCs w:val="20"/>
      <w:lang w:val="en-GB" w:eastAsia="en-US"/>
    </w:rPr>
  </w:style>
  <w:style w:type="paragraph" w:customStyle="1" w:styleId="References">
    <w:name w:val="References"/>
    <w:basedOn w:val="Normal"/>
    <w:next w:val="Normal"/>
    <w:uiPriority w:val="99"/>
    <w:pPr>
      <w:widowControl/>
      <w:spacing w:after="240"/>
      <w:ind w:left="5103"/>
    </w:pPr>
    <w:rPr>
      <w:color w:val="auto"/>
      <w:sz w:val="20"/>
      <w:szCs w:val="20"/>
      <w:lang w:eastAsia="en-US"/>
    </w:rPr>
  </w:style>
  <w:style w:type="paragraph" w:customStyle="1" w:styleId="NoteHead">
    <w:name w:val="NoteHead"/>
    <w:basedOn w:val="Normal"/>
    <w:next w:val="Subject"/>
    <w:pPr>
      <w:widowControl/>
      <w:spacing w:before="720" w:after="720"/>
      <w:jc w:val="center"/>
    </w:pPr>
    <w:rPr>
      <w:b/>
      <w:bCs/>
      <w:color w:val="auto"/>
      <w:szCs w:val="20"/>
      <w:lang w:eastAsia="en-US"/>
    </w:rPr>
  </w:style>
  <w:style w:type="paragraph" w:customStyle="1" w:styleId="Subject">
    <w:name w:val="Subject"/>
    <w:basedOn w:val="Normal"/>
    <w:next w:val="Normal"/>
    <w:pPr>
      <w:widowControl/>
      <w:spacing w:after="480"/>
      <w:ind w:left="1531" w:hanging="1531"/>
    </w:pPr>
    <w:rPr>
      <w:b/>
      <w:color w:val="auto"/>
      <w:szCs w:val="20"/>
      <w:lang w:eastAsia="en-US"/>
    </w:rPr>
  </w:style>
  <w:style w:type="paragraph" w:customStyle="1" w:styleId="ZCom">
    <w:name w:val="Z_Com"/>
    <w:basedOn w:val="Normal"/>
    <w:next w:val="ZDGName"/>
    <w:link w:val="ZComChar"/>
    <w:pPr>
      <w:autoSpaceDE w:val="0"/>
      <w:autoSpaceDN w:val="0"/>
      <w:ind w:right="85"/>
      <w:jc w:val="both"/>
    </w:pPr>
    <w:rPr>
      <w:rFonts w:ascii="Arial" w:hAnsi="Arial" w:cs="Arial"/>
      <w:color w:val="auto"/>
    </w:rPr>
  </w:style>
  <w:style w:type="paragraph" w:customStyle="1" w:styleId="ZDGName">
    <w:name w:val="Z_DGName"/>
    <w:basedOn w:val="Normal"/>
    <w:pPr>
      <w:autoSpaceDE w:val="0"/>
      <w:autoSpaceDN w:val="0"/>
      <w:ind w:right="85"/>
    </w:pPr>
    <w:rPr>
      <w:rFonts w:ascii="Arial" w:hAnsi="Arial" w:cs="Arial"/>
      <w:color w:val="auto"/>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basedOn w:val="DefaultParagraphFont"/>
    <w:link w:val="ZCom"/>
    <w:uiPriority w:val="99"/>
    <w:rPr>
      <w:rFonts w:ascii="Arial" w:hAnsi="Arial" w:cs="Arial"/>
      <w:lang w:val="en-GB"/>
    </w:rPr>
  </w:style>
  <w:style w:type="character" w:customStyle="1" w:styleId="FooterCoverPageChar">
    <w:name w:val="Footer Cover Page Char"/>
    <w:basedOn w:val="ZComChar"/>
    <w:link w:val="FooterCoverPage"/>
    <w:rPr>
      <w:rFonts w:ascii="Arial" w:hAnsi="Arial" w:cs="Arial"/>
      <w:color w:val="000000"/>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ZComChar"/>
    <w:link w:val="HeaderCoverPage"/>
    <w:rPr>
      <w:rFonts w:ascii="Arial" w:hAnsi="Arial" w:cs="Arial"/>
      <w:color w:val="000000"/>
      <w:lang w:val="en-GB"/>
    </w:rPr>
  </w:style>
  <w:style w:type="paragraph" w:styleId="Revision">
    <w:name w:val="Revision"/>
    <w:hidden/>
    <w:uiPriority w:val="99"/>
    <w:semiHidden/>
    <w:pPr>
      <w:widowControl/>
    </w:pPr>
    <w:rPr>
      <w:color w:val="000000"/>
      <w:lang w:val="en-GB"/>
    </w:rPr>
  </w:style>
  <w:style w:type="paragraph" w:customStyle="1" w:styleId="Bullet1">
    <w:name w:val="Bullet1"/>
    <w:basedOn w:val="Normal"/>
    <w:uiPriority w:val="6"/>
    <w:qFormat/>
    <w:pPr>
      <w:widowControl/>
      <w:numPr>
        <w:numId w:val="34"/>
      </w:numPr>
      <w:spacing w:line="240" w:lineRule="atLeast"/>
    </w:pPr>
    <w:rPr>
      <w:rFonts w:ascii="Arial" w:eastAsiaTheme="minorHAnsi" w:hAnsi="Arial"/>
      <w:color w:val="auto"/>
      <w:sz w:val="20"/>
      <w:lang w:eastAsia="en-US"/>
    </w:rPr>
  </w:style>
  <w:style w:type="paragraph" w:customStyle="1" w:styleId="Bullet2">
    <w:name w:val="Bullet2"/>
    <w:basedOn w:val="Normal"/>
    <w:uiPriority w:val="6"/>
    <w:qFormat/>
    <w:pPr>
      <w:widowControl/>
      <w:numPr>
        <w:ilvl w:val="1"/>
        <w:numId w:val="34"/>
      </w:numPr>
      <w:spacing w:line="240" w:lineRule="atLeast"/>
    </w:pPr>
    <w:rPr>
      <w:rFonts w:ascii="Arial" w:eastAsiaTheme="minorHAnsi" w:hAnsi="Arial"/>
      <w:color w:val="auto"/>
      <w:sz w:val="20"/>
      <w:lang w:eastAsia="en-US"/>
    </w:rPr>
  </w:style>
  <w:style w:type="paragraph" w:customStyle="1" w:styleId="Bullet3">
    <w:name w:val="Bullet3"/>
    <w:basedOn w:val="Normal"/>
    <w:uiPriority w:val="6"/>
    <w:qFormat/>
    <w:pPr>
      <w:widowControl/>
      <w:numPr>
        <w:ilvl w:val="2"/>
        <w:numId w:val="34"/>
      </w:numPr>
      <w:spacing w:line="240" w:lineRule="atLeast"/>
    </w:pPr>
    <w:rPr>
      <w:rFonts w:ascii="Arial" w:eastAsiaTheme="minorHAnsi" w:hAnsi="Arial"/>
      <w:color w:val="auto"/>
      <w:sz w:val="20"/>
      <w:lang w:eastAsia="en-US"/>
    </w:rPr>
  </w:style>
  <w:style w:type="numbering" w:customStyle="1" w:styleId="NumbLstBullet">
    <w:name w:val="NumbLstBullet"/>
    <w:uiPriority w:val="99"/>
    <w:pPr>
      <w:numPr>
        <w:numId w:val="33"/>
      </w:numPr>
    </w:pPr>
  </w:style>
  <w:style w:type="paragraph" w:styleId="ListBullet3">
    <w:name w:val="List Bullet 3"/>
    <w:basedOn w:val="Normal"/>
    <w:pPr>
      <w:widowControl/>
      <w:numPr>
        <w:numId w:val="39"/>
      </w:numPr>
      <w:spacing w:after="240"/>
      <w:jc w:val="both"/>
    </w:pPr>
    <w:rPr>
      <w:rFonts w:ascii="Arial" w:hAnsi="Arial" w:cs="Arial"/>
      <w:color w:val="auto"/>
      <w:sz w:val="28"/>
      <w:szCs w:val="22"/>
    </w:rPr>
  </w:style>
  <w:style w:type="paragraph" w:styleId="Title">
    <w:name w:val="Title"/>
    <w:basedOn w:val="Normal"/>
    <w:link w:val="TitleChar"/>
    <w:qFormat/>
    <w:pPr>
      <w:widowControl/>
      <w:spacing w:before="240" w:after="60"/>
      <w:jc w:val="center"/>
      <w:outlineLvl w:val="0"/>
    </w:pPr>
    <w:rPr>
      <w:rFonts w:ascii="Arial" w:hAnsi="Arial" w:cs="Arial"/>
      <w:b/>
      <w:color w:val="auto"/>
      <w:kern w:val="28"/>
      <w:sz w:val="32"/>
      <w:szCs w:val="22"/>
    </w:rPr>
  </w:style>
  <w:style w:type="character" w:customStyle="1" w:styleId="TitleChar">
    <w:name w:val="Title Char"/>
    <w:basedOn w:val="DefaultParagraphFont"/>
    <w:link w:val="Title"/>
    <w:rPr>
      <w:rFonts w:ascii="Arial" w:hAnsi="Arial" w:cs="Arial"/>
      <w:b/>
      <w:kern w:val="28"/>
      <w:sz w:val="32"/>
      <w:szCs w:val="22"/>
      <w:lang w:val="en-GB"/>
    </w:rPr>
  </w:style>
  <w:style w:type="paragraph" w:styleId="NormalWeb">
    <w:name w:val="Normal (Web)"/>
    <w:basedOn w:val="Normal"/>
    <w:uiPriority w:val="99"/>
    <w:semiHidden/>
    <w:unhideWhenUsed/>
    <w:pPr>
      <w:widowControl/>
      <w:spacing w:before="100" w:beforeAutospacing="1" w:after="100" w:afterAutospacing="1"/>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94795">
      <w:bodyDiv w:val="1"/>
      <w:marLeft w:val="0"/>
      <w:marRight w:val="0"/>
      <w:marTop w:val="0"/>
      <w:marBottom w:val="0"/>
      <w:divBdr>
        <w:top w:val="none" w:sz="0" w:space="0" w:color="auto"/>
        <w:left w:val="none" w:sz="0" w:space="0" w:color="auto"/>
        <w:bottom w:val="none" w:sz="0" w:space="0" w:color="auto"/>
        <w:right w:val="none" w:sz="0" w:space="0" w:color="auto"/>
      </w:divBdr>
    </w:div>
    <w:div w:id="672802761">
      <w:bodyDiv w:val="1"/>
      <w:marLeft w:val="0"/>
      <w:marRight w:val="0"/>
      <w:marTop w:val="0"/>
      <w:marBottom w:val="0"/>
      <w:divBdr>
        <w:top w:val="none" w:sz="0" w:space="0" w:color="auto"/>
        <w:left w:val="none" w:sz="0" w:space="0" w:color="auto"/>
        <w:bottom w:val="none" w:sz="0" w:space="0" w:color="auto"/>
        <w:right w:val="none" w:sz="0" w:space="0" w:color="auto"/>
      </w:divBdr>
    </w:div>
    <w:div w:id="869731618">
      <w:bodyDiv w:val="1"/>
      <w:marLeft w:val="0"/>
      <w:marRight w:val="0"/>
      <w:marTop w:val="0"/>
      <w:marBottom w:val="0"/>
      <w:divBdr>
        <w:top w:val="none" w:sz="0" w:space="0" w:color="auto"/>
        <w:left w:val="none" w:sz="0" w:space="0" w:color="auto"/>
        <w:bottom w:val="none" w:sz="0" w:space="0" w:color="auto"/>
        <w:right w:val="none" w:sz="0" w:space="0" w:color="auto"/>
      </w:divBdr>
    </w:div>
    <w:div w:id="873812366">
      <w:bodyDiv w:val="1"/>
      <w:marLeft w:val="0"/>
      <w:marRight w:val="0"/>
      <w:marTop w:val="0"/>
      <w:marBottom w:val="0"/>
      <w:divBdr>
        <w:top w:val="none" w:sz="0" w:space="0" w:color="auto"/>
        <w:left w:val="none" w:sz="0" w:space="0" w:color="auto"/>
        <w:bottom w:val="none" w:sz="0" w:space="0" w:color="auto"/>
        <w:right w:val="none" w:sz="0" w:space="0" w:color="auto"/>
      </w:divBdr>
    </w:div>
    <w:div w:id="1769540290">
      <w:bodyDiv w:val="1"/>
      <w:marLeft w:val="0"/>
      <w:marRight w:val="0"/>
      <w:marTop w:val="0"/>
      <w:marBottom w:val="0"/>
      <w:divBdr>
        <w:top w:val="none" w:sz="0" w:space="0" w:color="auto"/>
        <w:left w:val="none" w:sz="0" w:space="0" w:color="auto"/>
        <w:bottom w:val="none" w:sz="0" w:space="0" w:color="auto"/>
        <w:right w:val="none" w:sz="0" w:space="0" w:color="auto"/>
      </w:divBdr>
    </w:div>
    <w:div w:id="192213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image" Target="media/image6.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image" Target="media/image5.pn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6.xm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5.xml"/><Relationship Id="rId28" Type="http://schemas.openxmlformats.org/officeDocument/2006/relationships/image" Target="media/image8.png"/><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7.jpeg"/><Relationship Id="rId30" Type="http://schemas.openxmlformats.org/officeDocument/2006/relationships/image" Target="media/image10.png"/><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justice/grants1/files/expost_evaluations_2007_2013/jpen_programme_evaluation_final_report.pdf" TargetMode="External"/><Relationship Id="rId13" Type="http://schemas.openxmlformats.org/officeDocument/2006/relationships/hyperlink" Target="http://ec.europa.eu/justice/grants1/files/expost_evaluations_2007_2013/jpen_programme_evaluation_final_report.pdf" TargetMode="External"/><Relationship Id="rId18" Type="http://schemas.openxmlformats.org/officeDocument/2006/relationships/hyperlink" Target="http://ec.europa.eu/justice/grants1/files/expost_evaluations_2007_2013/jpen_programme_evaluation_final_report.pdf" TargetMode="External"/><Relationship Id="rId3" Type="http://schemas.openxmlformats.org/officeDocument/2006/relationships/hyperlink" Target="http://ec.europa.eu/justice/grants1/files/expost_evaluations_2007_2013/jpen_annex_1_quantitative_analysis.pdf" TargetMode="External"/><Relationship Id="rId7" Type="http://schemas.openxmlformats.org/officeDocument/2006/relationships/hyperlink" Target="http://eur-lex.europa.eu/legal-content/FR/TXT/HTML/?uri=CELEX:32007D0126&amp;from=FR" TargetMode="External"/><Relationship Id="rId12" Type="http://schemas.openxmlformats.org/officeDocument/2006/relationships/hyperlink" Target="http://ec.europa.eu/justice/grants1/files/expost_evaluations_2007_2013/jpen_programme_evaluation_final_report.pdf" TargetMode="External"/><Relationship Id="rId17" Type="http://schemas.openxmlformats.org/officeDocument/2006/relationships/hyperlink" Target="http://ec.europa.eu/justice/grants1/files/expost_evaluations_2007_2013/jpen_programme_evaluation_final_report.pdf" TargetMode="External"/><Relationship Id="rId2" Type="http://schemas.openxmlformats.org/officeDocument/2006/relationships/hyperlink" Target="http://ec.europa.eu/justice/grants1/files/expost_evaluations_2007_2013/jpen_programme_evaluation_final_report.pdf" TargetMode="External"/><Relationship Id="rId16" Type="http://schemas.openxmlformats.org/officeDocument/2006/relationships/hyperlink" Target="http://ec.europa.eu/justice/grants1/files/expost_evaluations_2007_2013/jpen_programme_evaluation_final_report.pdf" TargetMode="External"/><Relationship Id="rId20" Type="http://schemas.openxmlformats.org/officeDocument/2006/relationships/hyperlink" Target="http://ec.europa.eu/justice/grants1/files/expost_evaluations_2007_2013/jpen_programme_evaluation_final_report.pdf" TargetMode="External"/><Relationship Id="rId1" Type="http://schemas.openxmlformats.org/officeDocument/2006/relationships/hyperlink" Target="http://eur-lex.europa.eu/legal-content/FR/TXT/HTML/?uri=CELEX:32007D0126&amp;from=FR" TargetMode="External"/><Relationship Id="rId6" Type="http://schemas.openxmlformats.org/officeDocument/2006/relationships/hyperlink" Target="http://eur-lex.europa.eu/legal-content/FR/TXT/HTML/?uri=CELEX:32007D0126&amp;from=FR" TargetMode="External"/><Relationship Id="rId11" Type="http://schemas.openxmlformats.org/officeDocument/2006/relationships/hyperlink" Target="http://eur-lex.europa.eu/LexUriServ/LexUriServ.do?uri=COM:2011:0551:FIN:FR:PDF" TargetMode="External"/><Relationship Id="rId5" Type="http://schemas.openxmlformats.org/officeDocument/2006/relationships/hyperlink" Target="http://ec.europa.eu/justice/funding/jpen/interim_evaluation_report_2011_fr.pdf" TargetMode="External"/><Relationship Id="rId15" Type="http://schemas.openxmlformats.org/officeDocument/2006/relationships/hyperlink" Target="http://ec.europa.eu/justice/grants1/files/expost_evaluations_2007_2013/jpen_programme_evaluation_final_report.pdf" TargetMode="External"/><Relationship Id="rId10" Type="http://schemas.openxmlformats.org/officeDocument/2006/relationships/hyperlink" Target="http://ec.europa.eu/justice/grants1/files/expost_evaluations_2007_2013/jpen_programme_evaluation_final_report.pdf" TargetMode="External"/><Relationship Id="rId19" Type="http://schemas.openxmlformats.org/officeDocument/2006/relationships/hyperlink" Target="http://ec.europa.eu/justice/grants1/files/expost_evaluations_2007_2013/jpen_programme_evaluation_final_report.pdf" TargetMode="External"/><Relationship Id="rId4" Type="http://schemas.openxmlformats.org/officeDocument/2006/relationships/hyperlink" Target="http://ec.europa.eu/justice/grants1/files/expost_evaluations_2007_2013/jpen_annex_2.pdf" TargetMode="External"/><Relationship Id="rId9" Type="http://schemas.openxmlformats.org/officeDocument/2006/relationships/hyperlink" Target="http://ec.europa.eu/justice/grants1/files/expost_evaluations_2007_2013/jpen_programme_evaluation_final_report.pdf" TargetMode="External"/><Relationship Id="rId14" Type="http://schemas.openxmlformats.org/officeDocument/2006/relationships/hyperlink" Target="http://ec.europa.eu/justice/grants1/files/expost_evaluations_2007_2013/jpen_programme_evaluation_final_repor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ossiers.dgt.cec.eu.int\dossiers\JUST\JUST-2016-80059\JUST-2016-80059-01-00-FR-SRC-00.201611231547246961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ssiers.dgt.cec.eu.int\dossiers\JUST\JUST-2016-80059\JUST-2016-80059-01-00-FR-SRC-00.20161123154724696154.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ghkbru1.ghkint.local\Brussels\JOBS\Eur\DG%20Justice-%20Five%20programmes%20evaluation\Reporting\Interim%20report\JPEN\Laura\Copy%20of%202007-2013%20COM%20(co)funding%20-%20European%20judicial%20training%20-%20DG%20Justice_LH.xls"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ssiers.dgt.cec.eu.int\dossiers\JUST\JUST-2016-80059\JUST-2016-80059-01-00-FR-SRC-03.201612141414288129380.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29674\AppData\Local\Microsoft\Windows\Temporary%20Internet%20Files\Content.Outlook\8U9D0QQV\JPEN_Budget_18022015_update.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29674\AppData\Local\Microsoft\Windows\Temporary%20Internet%20Files\Content.Outlook\8U9D0QQV\JPEN_Budget_18022015_update.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ghkbru1\Brussels\PRIVATE\32115\JUST%205programmes\JPEN_for%20data%20analysis_26%20Nov_SZ.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tx>
                <c:rich>
                  <a:bodyPr/>
                  <a:lstStyle/>
                  <a:p>
                    <a:r>
                      <a:rPr lang="en-US"/>
                      <a:t>Sensibilisation, information et diffusion
18%</a:t>
                    </a:r>
                  </a:p>
                </c:rich>
              </c:tx>
              <c:showLegendKey val="0"/>
              <c:showVal val="0"/>
              <c:showCatName val="1"/>
              <c:showSerName val="0"/>
              <c:showPercent val="1"/>
              <c:showBubbleSize val="0"/>
            </c:dLbl>
            <c:dLbl>
              <c:idx val="1"/>
              <c:layout>
                <c:manualLayout>
                  <c:x val="-0.21955851851851851"/>
                  <c:y val="-1.9621042532779021E-2"/>
                </c:manualLayout>
              </c:layout>
              <c:tx>
                <c:rich>
                  <a:bodyPr/>
                  <a:lstStyle/>
                  <a:p>
                    <a:r>
                      <a:rPr lang="en-US"/>
                      <a:t>Appui à des acteurs clés 
17%</a:t>
                    </a:r>
                  </a:p>
                </c:rich>
              </c:tx>
              <c:showLegendKey val="0"/>
              <c:showVal val="0"/>
              <c:showCatName val="1"/>
              <c:showSerName val="0"/>
              <c:showPercent val="1"/>
              <c:showBubbleSize val="0"/>
            </c:dLbl>
            <c:dLbl>
              <c:idx val="2"/>
              <c:layout>
                <c:manualLayout>
                  <c:x val="-0.15778441750795852"/>
                  <c:y val="-7.8316434704624849E-2"/>
                </c:manualLayout>
              </c:layout>
              <c:tx>
                <c:rich>
                  <a:bodyPr/>
                  <a:lstStyle/>
                  <a:p>
                    <a:r>
                      <a:rPr lang="en-US"/>
                      <a:t>Apprentissage mutuel, échange de bonnes pratiques, coopération
15%</a:t>
                    </a:r>
                  </a:p>
                </c:rich>
              </c:tx>
              <c:showLegendKey val="0"/>
              <c:showVal val="0"/>
              <c:showCatName val="1"/>
              <c:showSerName val="0"/>
              <c:showPercent val="1"/>
              <c:showBubbleSize val="0"/>
            </c:dLbl>
            <c:dLbl>
              <c:idx val="3"/>
              <c:layout>
                <c:manualLayout>
                  <c:x val="0.14037083924039076"/>
                  <c:y val="-0.2162551298958176"/>
                </c:manualLayout>
              </c:layout>
              <c:tx>
                <c:rich>
                  <a:bodyPr/>
                  <a:lstStyle/>
                  <a:p>
                    <a:r>
                      <a:rPr lang="en-US"/>
                      <a:t>Actions de </a:t>
                    </a:r>
                  </a:p>
                  <a:p>
                    <a:r>
                      <a:rPr lang="en-US"/>
                      <a:t>formation
15%</a:t>
                    </a:r>
                  </a:p>
                </c:rich>
              </c:tx>
              <c:showLegendKey val="0"/>
              <c:showVal val="0"/>
              <c:showCatName val="1"/>
              <c:showSerName val="0"/>
              <c:showPercent val="1"/>
              <c:showBubbleSize val="0"/>
            </c:dLbl>
            <c:dLbl>
              <c:idx val="4"/>
              <c:layout>
                <c:manualLayout>
                  <c:x val="0.19852066302993429"/>
                  <c:y val="-6.3772788481066559E-2"/>
                </c:manualLayout>
              </c:layout>
              <c:tx>
                <c:rich>
                  <a:bodyPr/>
                  <a:lstStyle/>
                  <a:p>
                    <a:r>
                      <a:rPr lang="en-US"/>
                      <a:t>Activités </a:t>
                    </a:r>
                  </a:p>
                  <a:p>
                    <a:r>
                      <a:rPr lang="en-US"/>
                      <a:t>analytiques
13%</a:t>
                    </a:r>
                  </a:p>
                </c:rich>
              </c:tx>
              <c:showLegendKey val="0"/>
              <c:showVal val="0"/>
              <c:showCatName val="1"/>
              <c:showSerName val="0"/>
              <c:showPercent val="1"/>
              <c:showBubbleSize val="0"/>
            </c:dLbl>
            <c:dLbl>
              <c:idx val="5"/>
              <c:layout>
                <c:manualLayout>
                  <c:x val="-2.6645740740740748E-2"/>
                  <c:y val="6.3990246242404861E-2"/>
                </c:manualLayout>
              </c:layout>
              <c:tx>
                <c:rich>
                  <a:bodyPr/>
                  <a:lstStyle/>
                  <a:p>
                    <a:r>
                      <a:rPr lang="en-US"/>
                      <a:t>Autre: services d'appui et de conseil
13%</a:t>
                    </a:r>
                  </a:p>
                </c:rich>
              </c:tx>
              <c:showLegendKey val="0"/>
              <c:showVal val="0"/>
              <c:showCatName val="1"/>
              <c:showSerName val="0"/>
              <c:showPercent val="1"/>
              <c:showBubbleSize val="0"/>
            </c:dLbl>
            <c:dLbl>
              <c:idx val="6"/>
              <c:layout>
                <c:manualLayout>
                  <c:x val="-8.4923333333333337E-2"/>
                  <c:y val="3.2152755569768682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baseline="0">
                        <a:solidFill>
                          <a:sysClr val="windowText" lastClr="000000"/>
                        </a:solidFill>
                      </a:rPr>
                      <a:t>Autre: installation de matériel / logiciel 9%</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'C:\EUR\J30260465 - DG Justice- Five programmes evaluation\Data analysis\Quantitative_Analysis\JPEN\[JPEN _ Simple NEW MVO.xlsx]1.6 and 1.5'!$P$59:$P$65</c:f>
              <c:strCache>
                <c:ptCount val="7"/>
                <c:pt idx="0">
                  <c:v>Awareness-raising, information and dissemination</c:v>
                </c:pt>
                <c:pt idx="1">
                  <c:v>Support to key actors </c:v>
                </c:pt>
                <c:pt idx="2">
                  <c:v>Mutual learning, exchange of good practices, cooperation</c:v>
                </c:pt>
                <c:pt idx="3">
                  <c:v>Training activities</c:v>
                </c:pt>
                <c:pt idx="4">
                  <c:v>Analytical activities</c:v>
                </c:pt>
                <c:pt idx="5">
                  <c:v>Other: support and advice services</c:v>
                </c:pt>
                <c:pt idx="6">
                  <c:v>Other: Installation of hardware / software</c:v>
                </c:pt>
              </c:strCache>
            </c:strRef>
          </c:cat>
          <c:val>
            <c:numRef>
              <c:f>'C:\EUR\J30260465 - DG Justice- Five programmes evaluation\Data analysis\Quantitative_Analysis\JPEN\[JPEN _ Simple NEW MVO.xlsx]1.6 and 1.5'!$Q$59:$Q$65</c:f>
              <c:numCache>
                <c:formatCode>General</c:formatCode>
                <c:ptCount val="7"/>
                <c:pt idx="0">
                  <c:v>0.18055555555555555</c:v>
                </c:pt>
                <c:pt idx="1">
                  <c:v>0.16666666666666666</c:v>
                </c:pt>
                <c:pt idx="2">
                  <c:v>0.15277777777777779</c:v>
                </c:pt>
                <c:pt idx="3">
                  <c:v>0.14814814814814814</c:v>
                </c:pt>
                <c:pt idx="4">
                  <c:v>0.12962962962962962</c:v>
                </c:pt>
                <c:pt idx="5">
                  <c:v>0.12962962962962962</c:v>
                </c:pt>
                <c:pt idx="6">
                  <c:v>9.2592592592592587E-2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4291771370100373"/>
                  <c:y val="0.18677806204029421"/>
                </c:manualLayout>
              </c:layout>
              <c:tx>
                <c:rich>
                  <a:bodyPr/>
                  <a:lstStyle/>
                  <a:p>
                    <a:r>
                      <a:rPr lang="en-US"/>
                      <a:t>Activités </a:t>
                    </a:r>
                  </a:p>
                  <a:p>
                    <a:r>
                      <a:rPr lang="en-US"/>
                      <a:t>analytiques
22%</a:t>
                    </a:r>
                  </a:p>
                </c:rich>
              </c:tx>
              <c:showLegendKey val="0"/>
              <c:showVal val="0"/>
              <c:showCatName val="1"/>
              <c:showSerName val="0"/>
              <c:showPercent val="1"/>
              <c:showBubbleSize val="0"/>
            </c:dLbl>
            <c:dLbl>
              <c:idx val="1"/>
              <c:layout>
                <c:manualLayout>
                  <c:x val="-0.19331782450526744"/>
                  <c:y val="-0.13494643428205949"/>
                </c:manualLayout>
              </c:layout>
              <c:tx>
                <c:rich>
                  <a:bodyPr/>
                  <a:lstStyle/>
                  <a:p>
                    <a:r>
                      <a:rPr lang="en-US"/>
                      <a:t>Sensibilisation, information et diffusion
22%</a:t>
                    </a:r>
                  </a:p>
                </c:rich>
              </c:tx>
              <c:showLegendKey val="0"/>
              <c:showVal val="0"/>
              <c:showCatName val="1"/>
              <c:showSerName val="0"/>
              <c:showPercent val="1"/>
              <c:showBubbleSize val="0"/>
            </c:dLbl>
            <c:dLbl>
              <c:idx val="2"/>
              <c:layout>
                <c:manualLayout>
                  <c:x val="9.6292014461087067E-2"/>
                  <c:y val="-0.14820568169704723"/>
                </c:manualLayout>
              </c:layout>
              <c:tx>
                <c:rich>
                  <a:bodyPr/>
                  <a:lstStyle/>
                  <a:p>
                    <a:r>
                      <a:rPr lang="en-US"/>
                      <a:t>Apprentissage mutuel, échange de bonnes pratiques, coopération
21%</a:t>
                    </a:r>
                  </a:p>
                </c:rich>
              </c:tx>
              <c:showLegendKey val="0"/>
              <c:showVal val="0"/>
              <c:showCatName val="1"/>
              <c:showSerName val="0"/>
              <c:showPercent val="1"/>
              <c:showBubbleSize val="0"/>
            </c:dLbl>
            <c:dLbl>
              <c:idx val="3"/>
              <c:layout>
                <c:manualLayout>
                  <c:x val="0.23022836419552431"/>
                  <c:y val="-1.1058256049461678E-2"/>
                </c:manualLayout>
              </c:layout>
              <c:tx>
                <c:rich>
                  <a:bodyPr/>
                  <a:lstStyle/>
                  <a:p>
                    <a:r>
                      <a:rPr lang="en-US"/>
                      <a:t>Actions de formation
19%</a:t>
                    </a:r>
                  </a:p>
                </c:rich>
              </c:tx>
              <c:showLegendKey val="0"/>
              <c:showVal val="0"/>
              <c:showCatName val="1"/>
              <c:showSerName val="0"/>
              <c:showPercent val="1"/>
              <c:showBubbleSize val="0"/>
            </c:dLbl>
            <c:dLbl>
              <c:idx val="4"/>
              <c:layout>
                <c:manualLayout>
                  <c:x val="-1.0426455377380933E-2"/>
                  <c:y val="1.652311483611725E-2"/>
                </c:manualLayout>
              </c:layout>
              <c:tx>
                <c:rich>
                  <a:bodyPr/>
                  <a:lstStyle/>
                  <a:p>
                    <a:r>
                      <a:rPr lang="en-US"/>
                      <a:t>Appui à des</a:t>
                    </a:r>
                  </a:p>
                  <a:p>
                    <a:r>
                      <a:rPr lang="en-US"/>
                      <a:t>acteurs clés 
1%</a:t>
                    </a:r>
                  </a:p>
                </c:rich>
              </c:tx>
              <c:showLegendKey val="0"/>
              <c:showVal val="0"/>
              <c:showCatName val="1"/>
              <c:showSerName val="0"/>
              <c:showPercent val="1"/>
              <c:showBubbleSize val="0"/>
            </c:dLbl>
            <c:dLbl>
              <c:idx val="5"/>
              <c:layout/>
              <c:tx>
                <c:rich>
                  <a:bodyPr/>
                  <a:lstStyle/>
                  <a:p>
                    <a:r>
                      <a:rPr lang="en-US"/>
                      <a:t>Autre: installation de matériel / logiciel
9%</a:t>
                    </a:r>
                  </a:p>
                </c:rich>
              </c:tx>
              <c:showLegendKey val="0"/>
              <c:showVal val="0"/>
              <c:showCatName val="1"/>
              <c:showSerName val="0"/>
              <c:showPercent val="1"/>
              <c:showBubbleSize val="0"/>
            </c:dLbl>
            <c:dLbl>
              <c:idx val="6"/>
              <c:layout/>
              <c:tx>
                <c:rich>
                  <a:bodyPr/>
                  <a:lstStyle/>
                  <a:p>
                    <a:r>
                      <a:rPr lang="en-US"/>
                      <a:t>Autres: services d'appui et de conseil
6%</a:t>
                    </a:r>
                  </a:p>
                </c:rich>
              </c:tx>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'C:\EUR\J30260465 - DG Justice- Five programmes evaluation\Data analysis\Quantitative_Analysis\JPEN\[JPEN _ Simple NEW MVO.xlsx]1.6 and 1.5'!$M$59:$M$65</c:f>
              <c:strCache>
                <c:ptCount val="7"/>
                <c:pt idx="0">
                  <c:v>Analytical activities</c:v>
                </c:pt>
                <c:pt idx="1">
                  <c:v>Awareness-raising, information and dissemination</c:v>
                </c:pt>
                <c:pt idx="2">
                  <c:v>Mutual learning, exchange of good practices, cooperation</c:v>
                </c:pt>
                <c:pt idx="3">
                  <c:v>Training activities</c:v>
                </c:pt>
                <c:pt idx="4">
                  <c:v>Support to key actors </c:v>
                </c:pt>
                <c:pt idx="5">
                  <c:v>Other: Installation of hardware / software</c:v>
                </c:pt>
                <c:pt idx="6">
                  <c:v>Other: support and advice services</c:v>
                </c:pt>
              </c:strCache>
            </c:strRef>
          </c:cat>
          <c:val>
            <c:numRef>
              <c:f>'C:\EUR\J30260465 - DG Justice- Five programmes evaluation\Data analysis\Quantitative_Analysis\JPEN\[JPEN _ Simple NEW MVO.xlsx]1.6 and 1.5'!$N$59:$N$65</c:f>
              <c:numCache>
                <c:formatCode>General</c:formatCode>
                <c:ptCount val="7"/>
                <c:pt idx="0">
                  <c:v>0.2161422708618331</c:v>
                </c:pt>
                <c:pt idx="1">
                  <c:v>0.2161422708618331</c:v>
                </c:pt>
                <c:pt idx="2">
                  <c:v>0.2106703146374829</c:v>
                </c:pt>
                <c:pt idx="3">
                  <c:v>0.19288645690834474</c:v>
                </c:pt>
                <c:pt idx="4">
                  <c:v>1.3679890560875513E-2</c:v>
                </c:pt>
                <c:pt idx="5">
                  <c:v>9.3023255813953487E-2</c:v>
                </c:pt>
                <c:pt idx="6">
                  <c:v>5.7455540355677154E-2</c:v>
                </c:pt>
              </c:numCache>
            </c:numRef>
          </c:val>
        </c:ser>
        <c:ser>
          <c:idx val="0"/>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'C:\EUR\J30260465 - DG Justice- Five programmes evaluation\Data analysis\Quantitative_Analysis\JPEN\[JPEN _ Simple NEW MVO.xlsx]1.6 and 1.5'!$M$59:$M$65</c:f>
              <c:strCache>
                <c:ptCount val="7"/>
                <c:pt idx="0">
                  <c:v>Analytical activities</c:v>
                </c:pt>
                <c:pt idx="1">
                  <c:v>Awareness-raising, information and dissemination</c:v>
                </c:pt>
                <c:pt idx="2">
                  <c:v>Mutual learning, exchange of good practices, cooperation</c:v>
                </c:pt>
                <c:pt idx="3">
                  <c:v>Training activities</c:v>
                </c:pt>
                <c:pt idx="4">
                  <c:v>Support to key actors </c:v>
                </c:pt>
                <c:pt idx="5">
                  <c:v>Other: Installation of hardware / software</c:v>
                </c:pt>
                <c:pt idx="6">
                  <c:v>Other: support and advice services</c:v>
                </c:pt>
              </c:strCache>
            </c:strRef>
          </c:cat>
          <c:val>
            <c:numRef>
              <c:f>'C:\EUR\J30260465 - DG Justice- Five programmes evaluation\Data analysis\Quantitative_Analysis\JPEN\[JPEN _ Simple NEW MVO.xlsx]1.6 and 1.5'!$N$59:$N$65</c:f>
              <c:numCache>
                <c:formatCode>General</c:formatCode>
                <c:ptCount val="7"/>
                <c:pt idx="0">
                  <c:v>0.2161422708618331</c:v>
                </c:pt>
                <c:pt idx="1">
                  <c:v>0.2161422708618331</c:v>
                </c:pt>
                <c:pt idx="2">
                  <c:v>0.2106703146374829</c:v>
                </c:pt>
                <c:pt idx="3">
                  <c:v>0.19288645690834474</c:v>
                </c:pt>
                <c:pt idx="4">
                  <c:v>1.3679890560875513E-2</c:v>
                </c:pt>
                <c:pt idx="5">
                  <c:v>9.3023255813953487E-2</c:v>
                </c:pt>
                <c:pt idx="6">
                  <c:v>5.7455540355677154E-2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0"/>
              </c:ext>
            </c:extLst>
          </c:dLbls>
          <c:cat>
            <c:strRef>
              <c:f>'Nb of participants'!$M$4:$S$4</c:f>
              <c:strCache>
                <c:ptCount val="7"/>
                <c:pt idx="0">
                  <c:v>2007</c:v>
                </c:pt>
                <c:pt idx="1">
                  <c:v>2008</c:v>
                </c:pt>
                <c:pt idx="2">
                  <c:v>2009</c:v>
                </c:pt>
                <c:pt idx="3">
                  <c:v>2010</c:v>
                </c:pt>
                <c:pt idx="4">
                  <c:v>2011</c:v>
                </c:pt>
                <c:pt idx="5">
                  <c:v>2012</c:v>
                </c:pt>
                <c:pt idx="6">
                  <c:v>2013</c:v>
                </c:pt>
              </c:strCache>
            </c:strRef>
          </c:cat>
          <c:val>
            <c:numRef>
              <c:f>'Nb of participants'!$M$5:$S$5</c:f>
              <c:numCache>
                <c:formatCode>0</c:formatCode>
                <c:ptCount val="7"/>
                <c:pt idx="0">
                  <c:v>5381</c:v>
                </c:pt>
                <c:pt idx="1">
                  <c:v>2067</c:v>
                </c:pt>
                <c:pt idx="2">
                  <c:v>2518</c:v>
                </c:pt>
                <c:pt idx="3">
                  <c:v>4095</c:v>
                </c:pt>
                <c:pt idx="4">
                  <c:v>2509</c:v>
                </c:pt>
                <c:pt idx="5">
                  <c:v>3562</c:v>
                </c:pt>
                <c:pt idx="6">
                  <c:v>5731</c:v>
                </c:pt>
              </c:numCache>
            </c:numRef>
          </c:val>
        </c:ser>
        <c:dLbls>
          <c:showLegendKey val="0"/>
          <c:showVal val="0"/>
          <c:showCatName val="0"/>
          <c:showSerName val="0"/>
          <c:showPercent val="0"/>
          <c:showBubbleSize val="0"/>
        </c:dLbls>
        <c:gapWidth val="150"/>
        <c:axId val="253275520"/>
        <c:axId val="65328256"/>
      </c:barChart>
      <c:catAx>
        <c:axId val="253275520"/>
        <c:scaling>
          <c:orientation val="minMax"/>
        </c:scaling>
        <c:delete val="0"/>
        <c:axPos val="b"/>
        <c:numFmt formatCode="General" sourceLinked="0"/>
        <c:majorTickMark val="out"/>
        <c:minorTickMark val="none"/>
        <c:tickLblPos val="nextTo"/>
        <c:crossAx val="65328256"/>
        <c:crosses val="autoZero"/>
        <c:auto val="1"/>
        <c:lblAlgn val="ctr"/>
        <c:lblOffset val="100"/>
        <c:noMultiLvlLbl val="0"/>
      </c:catAx>
      <c:valAx>
        <c:axId val="65328256"/>
        <c:scaling>
          <c:orientation val="minMax"/>
        </c:scaling>
        <c:delete val="0"/>
        <c:axPos val="l"/>
        <c:majorGridlines/>
        <c:numFmt formatCode="0" sourceLinked="1"/>
        <c:majorTickMark val="out"/>
        <c:minorTickMark val="none"/>
        <c:tickLblPos val="nextTo"/>
        <c:crossAx val="253275520"/>
        <c:crosses val="autoZero"/>
        <c:crossBetween val="between"/>
      </c:valAx>
    </c:plotArea>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4">
                  <a:lumMod val="50000"/>
                </a:schemeClr>
              </a:solidFill>
              <a:ln>
                <a:noFill/>
              </a:ln>
              <a:effectLst/>
            </c:spPr>
          </c:dPt>
          <c:dPt>
            <c:idx val="1"/>
            <c:invertIfNegative val="0"/>
            <c:bubble3D val="0"/>
            <c:spPr>
              <a:solidFill>
                <a:schemeClr val="accent4">
                  <a:lumMod val="50000"/>
                </a:schemeClr>
              </a:solidFill>
              <a:ln>
                <a:noFill/>
              </a:ln>
              <a:effectLst/>
            </c:spPr>
          </c:dPt>
          <c:dPt>
            <c:idx val="2"/>
            <c:invertIfNegative val="0"/>
            <c:bubble3D val="0"/>
            <c:spPr>
              <a:solidFill>
                <a:schemeClr val="accent4">
                  <a:lumMod val="50000"/>
                </a:schemeClr>
              </a:solidFill>
              <a:ln>
                <a:noFill/>
              </a:ln>
              <a:effectLst/>
            </c:spPr>
          </c:dPt>
          <c:dPt>
            <c:idx val="3"/>
            <c:invertIfNegative val="0"/>
            <c:bubble3D val="0"/>
            <c:spPr>
              <a:solidFill>
                <a:schemeClr val="accent4">
                  <a:lumMod val="50000"/>
                </a:schemeClr>
              </a:solidFill>
              <a:ln>
                <a:noFill/>
              </a:ln>
              <a:effectLst/>
            </c:spPr>
          </c:dPt>
          <c:dPt>
            <c:idx val="4"/>
            <c:invertIfNegative val="0"/>
            <c:bubble3D val="0"/>
            <c:spPr>
              <a:solidFill>
                <a:schemeClr val="accent4">
                  <a:lumMod val="50000"/>
                </a:schemeClr>
              </a:solidFill>
              <a:ln>
                <a:noFill/>
              </a:ln>
              <a:effectLst/>
            </c:spPr>
          </c:dPt>
          <c:dPt>
            <c:idx val="5"/>
            <c:invertIfNegative val="0"/>
            <c:bubble3D val="0"/>
            <c:spPr>
              <a:solidFill>
                <a:schemeClr val="accent4">
                  <a:lumMod val="5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'JPEN 5.1 REV'!$A$3:$B$8</c:f>
              <c:multiLvlStrCache>
                <c:ptCount val="6"/>
                <c:lvl>
                  <c:pt idx="0">
                    <c:v> notes d'information</c:v>
                  </c:pt>
                  <c:pt idx="1">
                    <c:v>conférences / communiqués de presse</c:v>
                  </c:pt>
                  <c:pt idx="2">
                    <c:v>campagnes</c:v>
                  </c:pt>
                  <c:pt idx="3">
                    <c:v>autres produits (ex: livres, films, matériel promotionnel)</c:v>
                  </c:pt>
                  <c:pt idx="4">
                    <c:v>publications (lettres d'information, brochures)</c:v>
                  </c:pt>
                  <c:pt idx="5">
                    <c:v>événements (ex: conférences, séminaires, etc.)</c:v>
                  </c:pt>
                </c:lvl>
                <c:lvl>
                  <c:pt idx="0">
                    <c:v>Produits des activités de sensibilisation, d'information et de diffusion</c:v>
                  </c:pt>
                </c:lvl>
              </c:multiLvlStrCache>
            </c:multiLvlStrRef>
          </c:cat>
          <c:val>
            <c:numRef>
              <c:f>'JPEN 5.1 REV'!$C$3:$C$8</c:f>
              <c:numCache>
                <c:formatCode>General</c:formatCode>
                <c:ptCount val="6"/>
                <c:pt idx="0">
                  <c:v>2</c:v>
                </c:pt>
                <c:pt idx="1">
                  <c:v>16</c:v>
                </c:pt>
                <c:pt idx="2">
                  <c:v>22</c:v>
                </c:pt>
                <c:pt idx="3">
                  <c:v>51</c:v>
                </c:pt>
                <c:pt idx="4">
                  <c:v>61</c:v>
                </c:pt>
                <c:pt idx="5">
                  <c:v>149</c:v>
                </c:pt>
              </c:numCache>
            </c:numRef>
          </c:val>
        </c:ser>
        <c:dLbls>
          <c:showLegendKey val="0"/>
          <c:showVal val="0"/>
          <c:showCatName val="0"/>
          <c:showSerName val="0"/>
          <c:showPercent val="0"/>
          <c:showBubbleSize val="0"/>
        </c:dLbls>
        <c:gapWidth val="182"/>
        <c:axId val="65641472"/>
        <c:axId val="65655552"/>
      </c:barChart>
      <c:catAx>
        <c:axId val="65641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55552"/>
        <c:crosses val="autoZero"/>
        <c:auto val="1"/>
        <c:lblAlgn val="ctr"/>
        <c:lblOffset val="100"/>
        <c:noMultiLvlLbl val="0"/>
      </c:catAx>
      <c:valAx>
        <c:axId val="65655552"/>
        <c:scaling>
          <c:orientation val="minMax"/>
        </c:scaling>
        <c:delete val="1"/>
        <c:axPos val="b"/>
        <c:numFmt formatCode="General" sourceLinked="1"/>
        <c:majorTickMark val="none"/>
        <c:minorTickMark val="none"/>
        <c:tickLblPos val="nextTo"/>
        <c:crossAx val="656414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Applications!$D$2</c:f>
              <c:strCache>
                <c:ptCount val="1"/>
                <c:pt idx="0">
                  <c:v>Success Rate</c:v>
                </c:pt>
              </c:strCache>
            </c:strRef>
          </c:tx>
          <c:spPr>
            <a:solidFill>
              <a:schemeClr val="accent1">
                <a:lumMod val="50000"/>
              </a:schemeClr>
            </a:solidFill>
            <a:ln>
              <a:noFill/>
            </a:ln>
            <a:effectLst/>
          </c:spPr>
          <c:invertIfNegative val="0"/>
          <c:dLbls>
            <c:dLbl>
              <c:idx val="0"/>
              <c:layout/>
              <c:tx>
                <c:rich>
                  <a:bodyPr/>
                  <a:lstStyle/>
                  <a:p>
                    <a:r>
                      <a:rPr lang="en-US"/>
                      <a:t>67%</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1"/>
              <c:layout/>
              <c:tx>
                <c:rich>
                  <a:bodyPr/>
                  <a:lstStyle/>
                  <a:p>
                    <a:r>
                      <a:rPr lang="en-US"/>
                      <a:t>87%</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2"/>
              <c:layout/>
              <c:tx>
                <c:rich>
                  <a:bodyPr/>
                  <a:lstStyle/>
                  <a:p>
                    <a:r>
                      <a:rPr lang="en-US"/>
                      <a:t>48%</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3"/>
              <c:layout/>
              <c:tx>
                <c:rich>
                  <a:bodyPr/>
                  <a:lstStyle/>
                  <a:p>
                    <a:r>
                      <a:rPr lang="en-US"/>
                      <a:t>77%</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4"/>
              <c:layout/>
              <c:tx>
                <c:rich>
                  <a:bodyPr/>
                  <a:lstStyle/>
                  <a:p>
                    <a:r>
                      <a:rPr lang="en-US"/>
                      <a:t>50%</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5"/>
              <c:layout>
                <c:manualLayout>
                  <c:x val="-8.3680284782406755E-17"/>
                  <c:y val="-6.3223193980706957E-2"/>
                </c:manualLayout>
              </c:layout>
              <c:tx>
                <c:rich>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r>
                      <a:rPr lang="en-US" sz="800">
                        <a:solidFill>
                          <a:sysClr val="windowText" lastClr="000000"/>
                        </a:solidFill>
                      </a:rPr>
                      <a:t>47%</a:t>
                    </a:r>
                  </a:p>
                </c:rich>
              </c:tx>
              <c:spPr>
                <a:noFill/>
                <a:ln>
                  <a:noFill/>
                </a:ln>
                <a:effectLst/>
              </c:spPr>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6"/>
              <c:layout/>
              <c:tx>
                <c:rich>
                  <a:bodyPr/>
                  <a:lstStyle/>
                  <a:p>
                    <a:r>
                      <a:rPr lang="en-US"/>
                      <a:t>42%</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7"/>
              <c:layout>
                <c:manualLayout>
                  <c:x val="-2.2822159490235622E-3"/>
                  <c:y val="-5.9504182570077148E-2"/>
                </c:manualLayout>
              </c:layout>
              <c:tx>
                <c:rich>
                  <a:bodyPr/>
                  <a:lstStyle/>
                  <a:p>
                    <a:r>
                      <a:rPr lang="en-US">
                        <a:solidFill>
                          <a:sysClr val="windowText" lastClr="000000"/>
                        </a:solidFill>
                      </a:rPr>
                      <a:t>53%</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8"/>
              <c:layout/>
              <c:tx>
                <c:rich>
                  <a:bodyPr/>
                  <a:lstStyle/>
                  <a:p>
                    <a:r>
                      <a:rPr lang="en-US"/>
                      <a:t>21%</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9"/>
              <c:layout>
                <c:manualLayout>
                  <c:x val="0"/>
                  <c:y val="-6.3223193980706818E-2"/>
                </c:manualLayout>
              </c:layout>
              <c:tx>
                <c:rich>
                  <a:bodyPr/>
                  <a:lstStyle/>
                  <a:p>
                    <a:r>
                      <a:rPr lang="en-US">
                        <a:solidFill>
                          <a:sysClr val="windowText" lastClr="000000"/>
                        </a:solidFill>
                      </a:rPr>
                      <a:t>22%</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10"/>
              <c:layout/>
              <c:tx>
                <c:rich>
                  <a:bodyPr/>
                  <a:lstStyle/>
                  <a:p>
                    <a:r>
                      <a:rPr lang="en-US"/>
                      <a:t>33%</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showLeaderLines val="0"/>
              </c:ext>
            </c:extLst>
          </c:dLbls>
          <c:cat>
            <c:multiLvlStrRef>
              <c:f>Applications!$A$3:$B$13</c:f>
              <c:multiLvlStrCache>
                <c:ptCount val="11"/>
                <c:lvl>
                  <c:pt idx="0">
                    <c:v>AG</c:v>
                  </c:pt>
                  <c:pt idx="1">
                    <c:v>AG CR</c:v>
                  </c:pt>
                  <c:pt idx="2">
                    <c:v>AG</c:v>
                  </c:pt>
                  <c:pt idx="3">
                    <c:v>AG CR</c:v>
                  </c:pt>
                  <c:pt idx="4">
                    <c:v>AG</c:v>
                  </c:pt>
                  <c:pt idx="5">
                    <c:v>AG CR</c:v>
                  </c:pt>
                  <c:pt idx="6">
                    <c:v>AG</c:v>
                  </c:pt>
                  <c:pt idx="7">
                    <c:v>AG EJ</c:v>
                  </c:pt>
                  <c:pt idx="8">
                    <c:v>AG</c:v>
                  </c:pt>
                  <c:pt idx="9">
                    <c:v>AG EJT</c:v>
                  </c:pt>
                  <c:pt idx="10">
                    <c:v>AG</c:v>
                  </c:pt>
                </c:lvl>
                <c:lvl>
                  <c:pt idx="0">
                    <c:v>2007</c:v>
                  </c:pt>
                  <c:pt idx="2">
                    <c:v>2008</c:v>
                  </c:pt>
                  <c:pt idx="4">
                    <c:v>2009</c:v>
                  </c:pt>
                  <c:pt idx="6">
                    <c:v>2010</c:v>
                  </c:pt>
                  <c:pt idx="8">
                    <c:v>2011-2012</c:v>
                  </c:pt>
                  <c:pt idx="9">
                    <c:v>2012</c:v>
                  </c:pt>
                  <c:pt idx="10">
                    <c:v>2013</c:v>
                  </c:pt>
                </c:lvl>
              </c:multiLvlStrCache>
            </c:multiLvlStrRef>
          </c:cat>
          <c:val>
            <c:numRef>
              <c:f>Applications!$D$3:$D$13</c:f>
              <c:numCache>
                <c:formatCode>General</c:formatCode>
                <c:ptCount val="11"/>
                <c:pt idx="0">
                  <c:v>36</c:v>
                </c:pt>
                <c:pt idx="1">
                  <c:v>20</c:v>
                </c:pt>
                <c:pt idx="2">
                  <c:v>24</c:v>
                </c:pt>
                <c:pt idx="3">
                  <c:v>17</c:v>
                </c:pt>
                <c:pt idx="4">
                  <c:v>27</c:v>
                </c:pt>
                <c:pt idx="5">
                  <c:v>7</c:v>
                </c:pt>
                <c:pt idx="6">
                  <c:v>41</c:v>
                </c:pt>
                <c:pt idx="7">
                  <c:v>8</c:v>
                </c:pt>
                <c:pt idx="8">
                  <c:v>51</c:v>
                </c:pt>
                <c:pt idx="9" formatCode="#,##0">
                  <c:v>4</c:v>
                </c:pt>
                <c:pt idx="10" formatCode="#,##0">
                  <c:v>49</c:v>
                </c:pt>
              </c:numCache>
            </c:numRef>
          </c:val>
        </c:ser>
        <c:ser>
          <c:idx val="0"/>
          <c:order val="1"/>
          <c:tx>
            <c:strRef>
              <c:f>Applications!$E$2</c:f>
              <c:strCache>
                <c:ptCount val="1"/>
                <c:pt idx="0">
                  <c:v>Rejected applications</c:v>
                </c:pt>
              </c:strCache>
            </c:strRef>
          </c:tx>
          <c:spPr>
            <a:solidFill>
              <a:schemeClr val="accent1">
                <a:lumMod val="60000"/>
                <a:lumOff val="40000"/>
              </a:schemeClr>
            </a:solidFill>
            <a:ln>
              <a:noFill/>
            </a:ln>
            <a:effectLst/>
          </c:spPr>
          <c:invertIfNegative val="0"/>
          <c:cat>
            <c:multiLvlStrRef>
              <c:f>Applications!$A$3:$B$13</c:f>
              <c:multiLvlStrCache>
                <c:ptCount val="11"/>
                <c:lvl>
                  <c:pt idx="0">
                    <c:v>AG</c:v>
                  </c:pt>
                  <c:pt idx="1">
                    <c:v>AG CR</c:v>
                  </c:pt>
                  <c:pt idx="2">
                    <c:v>AG</c:v>
                  </c:pt>
                  <c:pt idx="3">
                    <c:v>AG CR</c:v>
                  </c:pt>
                  <c:pt idx="4">
                    <c:v>AG</c:v>
                  </c:pt>
                  <c:pt idx="5">
                    <c:v>AG CR</c:v>
                  </c:pt>
                  <c:pt idx="6">
                    <c:v>AG</c:v>
                  </c:pt>
                  <c:pt idx="7">
                    <c:v>AG EJ</c:v>
                  </c:pt>
                  <c:pt idx="8">
                    <c:v>AG</c:v>
                  </c:pt>
                  <c:pt idx="9">
                    <c:v>AG EJT</c:v>
                  </c:pt>
                  <c:pt idx="10">
                    <c:v>AG</c:v>
                  </c:pt>
                </c:lvl>
                <c:lvl>
                  <c:pt idx="0">
                    <c:v>2007</c:v>
                  </c:pt>
                  <c:pt idx="2">
                    <c:v>2008</c:v>
                  </c:pt>
                  <c:pt idx="4">
                    <c:v>2009</c:v>
                  </c:pt>
                  <c:pt idx="6">
                    <c:v>2010</c:v>
                  </c:pt>
                  <c:pt idx="8">
                    <c:v>2011-2012</c:v>
                  </c:pt>
                  <c:pt idx="9">
                    <c:v>2012</c:v>
                  </c:pt>
                  <c:pt idx="10">
                    <c:v>2013</c:v>
                  </c:pt>
                </c:lvl>
              </c:multiLvlStrCache>
            </c:multiLvlStrRef>
          </c:cat>
          <c:val>
            <c:numRef>
              <c:f>Applications!$E$3:$E$13</c:f>
              <c:numCache>
                <c:formatCode>General</c:formatCode>
                <c:ptCount val="11"/>
                <c:pt idx="0">
                  <c:v>18</c:v>
                </c:pt>
                <c:pt idx="1">
                  <c:v>3</c:v>
                </c:pt>
                <c:pt idx="2">
                  <c:v>26</c:v>
                </c:pt>
                <c:pt idx="3">
                  <c:v>5</c:v>
                </c:pt>
                <c:pt idx="4">
                  <c:v>27</c:v>
                </c:pt>
                <c:pt idx="5">
                  <c:v>8</c:v>
                </c:pt>
                <c:pt idx="6">
                  <c:v>56</c:v>
                </c:pt>
                <c:pt idx="7">
                  <c:v>7</c:v>
                </c:pt>
                <c:pt idx="8">
                  <c:v>194</c:v>
                </c:pt>
                <c:pt idx="9">
                  <c:v>14</c:v>
                </c:pt>
                <c:pt idx="10">
                  <c:v>101</c:v>
                </c:pt>
              </c:numCache>
            </c:numRef>
          </c:val>
        </c:ser>
        <c:dLbls>
          <c:showLegendKey val="0"/>
          <c:showVal val="0"/>
          <c:showCatName val="0"/>
          <c:showSerName val="0"/>
          <c:showPercent val="0"/>
          <c:showBubbleSize val="0"/>
        </c:dLbls>
        <c:gapWidth val="55"/>
        <c:overlap val="100"/>
        <c:axId val="82663680"/>
        <c:axId val="139554816"/>
      </c:barChart>
      <c:catAx>
        <c:axId val="8266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54816"/>
        <c:crosses val="autoZero"/>
        <c:auto val="1"/>
        <c:lblAlgn val="ctr"/>
        <c:lblOffset val="100"/>
        <c:noMultiLvlLbl val="0"/>
      </c:catAx>
      <c:valAx>
        <c:axId val="139554816"/>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63680"/>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Applications!$J$2</c:f>
              <c:strCache>
                <c:ptCount val="1"/>
                <c:pt idx="0">
                  <c:v>Success Rate</c:v>
                </c:pt>
              </c:strCache>
            </c:strRef>
          </c:tx>
          <c:spPr>
            <a:solidFill>
              <a:schemeClr val="accent1">
                <a:lumMod val="50000"/>
              </a:schemeClr>
            </a:solidFill>
            <a:ln>
              <a:noFill/>
            </a:ln>
            <a:effectLst/>
          </c:spPr>
          <c:invertIfNegative val="0"/>
          <c:dLbls>
            <c:dLbl>
              <c:idx val="0"/>
              <c:layout/>
              <c:tx>
                <c:rich>
                  <a:bodyPr/>
                  <a:lstStyle/>
                  <a:p>
                    <a:fld id="{A8AFAD54-3993-4B3C-BD74-50EBE20269A8}" type="VALUE">
                      <a:rPr lang="en-US"/>
                      <a:pPr/>
                      <a:t>[VALUE]</a:t>
                    </a:fld>
                    <a:r>
                      <a:rPr lang="en-US"/>
                      <a:t>0%</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dlblFieldTable/>
                  <c15:showDataLabelsRange val="0"/>
                </c:ext>
              </c:extLst>
            </c:dLbl>
            <c:dLbl>
              <c:idx val="1"/>
              <c:layout/>
              <c:tx>
                <c:rich>
                  <a:bodyPr/>
                  <a:lstStyle/>
                  <a:p>
                    <a:r>
                      <a:rPr lang="en-US"/>
                      <a:t>88%</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2"/>
              <c:layout/>
              <c:tx>
                <c:rich>
                  <a:bodyPr/>
                  <a:lstStyle/>
                  <a:p>
                    <a:r>
                      <a:rPr lang="en-US"/>
                      <a:t>81%</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3"/>
              <c:layout/>
              <c:tx>
                <c:rich>
                  <a:bodyPr/>
                  <a:lstStyle/>
                  <a:p>
                    <a:r>
                      <a:rPr lang="en-US"/>
                      <a:t>23%</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4"/>
              <c:layout/>
              <c:tx>
                <c:rich>
                  <a:bodyPr/>
                  <a:lstStyle/>
                  <a:p>
                    <a:r>
                      <a:rPr lang="en-US"/>
                      <a:t>59%</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5"/>
              <c:layout/>
              <c:tx>
                <c:rich>
                  <a:bodyPr/>
                  <a:lstStyle/>
                  <a:p>
                    <a:r>
                      <a:rPr lang="en-US"/>
                      <a:t>54%</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ext>
              </c:extLst>
            </c:dLbl>
            <c:dLbl>
              <c:idx val="10"/>
              <c:tx>
                <c:rich>
                  <a:bodyPr/>
                  <a:lstStyle/>
                  <a:p>
                    <a:r>
                      <a:rPr lang="en-US"/>
                      <a:t>NA</a:t>
                    </a:r>
                  </a:p>
                </c:rich>
              </c:tx>
              <c:dLblPos val="ctr"/>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Applications!$G$3:$H$8</c:f>
              <c:multiLvlStrCache>
                <c:ptCount val="6"/>
                <c:lvl>
                  <c:pt idx="0">
                    <c:v>OG</c:v>
                  </c:pt>
                  <c:pt idx="1">
                    <c:v>OG</c:v>
                  </c:pt>
                  <c:pt idx="2">
                    <c:v>OG</c:v>
                  </c:pt>
                  <c:pt idx="3">
                    <c:v>OG</c:v>
                  </c:pt>
                  <c:pt idx="4">
                    <c:v>OG</c:v>
                  </c:pt>
                  <c:pt idx="5">
                    <c:v>OG</c:v>
                  </c:pt>
                </c:lvl>
                <c:lvl>
                  <c:pt idx="0">
                    <c:v>2,007</c:v>
                  </c:pt>
                  <c:pt idx="1">
                    <c:v>2,008</c:v>
                  </c:pt>
                  <c:pt idx="2">
                    <c:v>2,009</c:v>
                  </c:pt>
                  <c:pt idx="3">
                    <c:v>2,010</c:v>
                  </c:pt>
                  <c:pt idx="4">
                    <c:v>2,012</c:v>
                  </c:pt>
                  <c:pt idx="5">
                    <c:v>2,013</c:v>
                  </c:pt>
                </c:lvl>
              </c:multiLvlStrCache>
            </c:multiLvlStrRef>
          </c:cat>
          <c:val>
            <c:numRef>
              <c:f>Applications!$J$3:$J$8</c:f>
              <c:numCache>
                <c:formatCode>General</c:formatCode>
                <c:ptCount val="6"/>
                <c:pt idx="0">
                  <c:v>5</c:v>
                </c:pt>
                <c:pt idx="1">
                  <c:v>7</c:v>
                </c:pt>
                <c:pt idx="2">
                  <c:v>13</c:v>
                </c:pt>
                <c:pt idx="3">
                  <c:v>8</c:v>
                </c:pt>
                <c:pt idx="4">
                  <c:v>10</c:v>
                </c:pt>
                <c:pt idx="5">
                  <c:v>7</c:v>
                </c:pt>
              </c:numCache>
            </c:numRef>
          </c:val>
        </c:ser>
        <c:ser>
          <c:idx val="0"/>
          <c:order val="1"/>
          <c:tx>
            <c:strRef>
              <c:f>Applications!$K$2</c:f>
              <c:strCache>
                <c:ptCount val="1"/>
                <c:pt idx="0">
                  <c:v>Rejected applications</c:v>
                </c:pt>
              </c:strCache>
            </c:strRef>
          </c:tx>
          <c:spPr>
            <a:solidFill>
              <a:schemeClr val="accent1">
                <a:lumMod val="60000"/>
                <a:lumOff val="40000"/>
              </a:schemeClr>
            </a:solidFill>
            <a:ln>
              <a:noFill/>
            </a:ln>
            <a:effectLst/>
          </c:spPr>
          <c:invertIfNegative val="0"/>
          <c:cat>
            <c:multiLvlStrRef>
              <c:f>Applications!$G$3:$H$8</c:f>
              <c:multiLvlStrCache>
                <c:ptCount val="6"/>
                <c:lvl>
                  <c:pt idx="0">
                    <c:v>OG</c:v>
                  </c:pt>
                  <c:pt idx="1">
                    <c:v>OG</c:v>
                  </c:pt>
                  <c:pt idx="2">
                    <c:v>OG</c:v>
                  </c:pt>
                  <c:pt idx="3">
                    <c:v>OG</c:v>
                  </c:pt>
                  <c:pt idx="4">
                    <c:v>OG</c:v>
                  </c:pt>
                  <c:pt idx="5">
                    <c:v>OG</c:v>
                  </c:pt>
                </c:lvl>
                <c:lvl>
                  <c:pt idx="0">
                    <c:v>2,007</c:v>
                  </c:pt>
                  <c:pt idx="1">
                    <c:v>2,008</c:v>
                  </c:pt>
                  <c:pt idx="2">
                    <c:v>2,009</c:v>
                  </c:pt>
                  <c:pt idx="3">
                    <c:v>2,010</c:v>
                  </c:pt>
                  <c:pt idx="4">
                    <c:v>2,012</c:v>
                  </c:pt>
                  <c:pt idx="5">
                    <c:v>2,013</c:v>
                  </c:pt>
                </c:lvl>
              </c:multiLvlStrCache>
            </c:multiLvlStrRef>
          </c:cat>
          <c:val>
            <c:numRef>
              <c:f>Applications!$K$3:$K$8</c:f>
              <c:numCache>
                <c:formatCode>#,##0</c:formatCode>
                <c:ptCount val="6"/>
                <c:pt idx="0">
                  <c:v>5</c:v>
                </c:pt>
                <c:pt idx="1">
                  <c:v>1</c:v>
                </c:pt>
                <c:pt idx="2">
                  <c:v>3</c:v>
                </c:pt>
                <c:pt idx="3">
                  <c:v>27</c:v>
                </c:pt>
                <c:pt idx="4">
                  <c:v>7</c:v>
                </c:pt>
                <c:pt idx="5">
                  <c:v>6</c:v>
                </c:pt>
              </c:numCache>
            </c:numRef>
          </c:val>
        </c:ser>
        <c:dLbls>
          <c:showLegendKey val="0"/>
          <c:showVal val="0"/>
          <c:showCatName val="0"/>
          <c:showSerName val="0"/>
          <c:showPercent val="0"/>
          <c:showBubbleSize val="0"/>
        </c:dLbls>
        <c:gapWidth val="55"/>
        <c:overlap val="100"/>
        <c:axId val="248858496"/>
        <c:axId val="248860032"/>
      </c:barChart>
      <c:catAx>
        <c:axId val="248858496"/>
        <c:scaling>
          <c:orientation val="minMax"/>
        </c:scaling>
        <c:delete val="0"/>
        <c:axPos val="b"/>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860032"/>
        <c:crosses val="autoZero"/>
        <c:auto val="1"/>
        <c:lblAlgn val="ctr"/>
        <c:lblOffset val="100"/>
        <c:noMultiLvlLbl val="0"/>
      </c:catAx>
      <c:valAx>
        <c:axId val="24886003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858496"/>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102712160979876"/>
          <c:y val="0"/>
          <c:w val="0.62963954505686792"/>
          <c:h val="0.9191188101487314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'Q29'!$A$41:$A$46</c:f>
              <c:strCache>
                <c:ptCount val="6"/>
                <c:pt idx="0">
                  <c:v>Other</c:v>
                </c:pt>
                <c:pt idx="1">
                  <c:v>More knowledge on policy and
practice in other countries</c:v>
                </c:pt>
                <c:pt idx="2">
                  <c:v>More knowledge on 
relevant EU policies</c:v>
                </c:pt>
                <c:pt idx="3">
                  <c:v>More knowledge on
relevant EU legislation</c:v>
                </c:pt>
                <c:pt idx="4">
                  <c:v>More knowledge/expertise
in the topic area</c:v>
                </c:pt>
                <c:pt idx="5">
                  <c:v>A network consisting of (more)
international partners</c:v>
                </c:pt>
              </c:strCache>
            </c:strRef>
          </c:cat>
          <c:val>
            <c:numRef>
              <c:f>'Q29'!$B$41:$B$46</c:f>
              <c:numCache>
                <c:formatCode>General</c:formatCode>
                <c:ptCount val="6"/>
                <c:pt idx="0">
                  <c:v>3</c:v>
                </c:pt>
                <c:pt idx="1">
                  <c:v>70</c:v>
                </c:pt>
                <c:pt idx="2">
                  <c:v>37</c:v>
                </c:pt>
                <c:pt idx="3">
                  <c:v>46</c:v>
                </c:pt>
                <c:pt idx="4">
                  <c:v>75</c:v>
                </c:pt>
                <c:pt idx="5">
                  <c:v>70</c:v>
                </c:pt>
              </c:numCache>
            </c:numRef>
          </c:val>
        </c:ser>
        <c:dLbls>
          <c:showLegendKey val="0"/>
          <c:showVal val="0"/>
          <c:showCatName val="0"/>
          <c:showSerName val="0"/>
          <c:showPercent val="0"/>
          <c:showBubbleSize val="0"/>
        </c:dLbls>
        <c:gapWidth val="219"/>
        <c:axId val="81847808"/>
        <c:axId val="81849344"/>
      </c:barChart>
      <c:catAx>
        <c:axId val="8184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49344"/>
        <c:crosses val="autoZero"/>
        <c:auto val="1"/>
        <c:lblAlgn val="ctr"/>
        <c:lblOffset val="100"/>
        <c:noMultiLvlLbl val="0"/>
      </c:catAx>
      <c:valAx>
        <c:axId val="81849344"/>
        <c:scaling>
          <c:orientation val="minMax"/>
        </c:scaling>
        <c:delete val="0"/>
        <c:axPos val="b"/>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478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0.54153</cdr:x>
      <cdr:y>0.93449</cdr:y>
    </cdr:from>
    <cdr:to>
      <cdr:x>0.98651</cdr:x>
      <cdr:y>0.93449</cdr:y>
    </cdr:to>
    <cdr:cxnSp macro="">
      <cdr:nvCxnSpPr>
        <cdr:cNvPr id="3" name="Straight Connector 2"/>
        <cdr:cNvCxnSpPr/>
      </cdr:nvCxnSpPr>
      <cdr:spPr>
        <a:xfrm xmlns:a="http://schemas.openxmlformats.org/drawingml/2006/main">
          <a:off x="3096883" y="2087592"/>
          <a:ext cx="2544792" cy="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0.60635</cdr:x>
      <cdr:y>0.05576</cdr:y>
    </cdr:from>
    <cdr:to>
      <cdr:x>0.60635</cdr:x>
      <cdr:y>0.9538</cdr:y>
    </cdr:to>
    <cdr:cxnSp macro="">
      <cdr:nvCxnSpPr>
        <cdr:cNvPr id="6" name="Straight Connector 5"/>
        <cdr:cNvCxnSpPr/>
      </cdr:nvCxnSpPr>
      <cdr:spPr>
        <a:xfrm xmlns:a="http://schemas.openxmlformats.org/drawingml/2006/main" flipH="1">
          <a:off x="3467576" y="124565"/>
          <a:ext cx="1" cy="200616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0.09644</cdr:x>
      <cdr:y>0.20818</cdr:y>
    </cdr:from>
    <cdr:to>
      <cdr:x>0.56972</cdr:x>
      <cdr:y>0.21181</cdr:y>
    </cdr:to>
    <cdr:cxnSp macro="">
      <cdr:nvCxnSpPr>
        <cdr:cNvPr id="7" name="Straight Connector 6"/>
        <cdr:cNvCxnSpPr/>
      </cdr:nvCxnSpPr>
      <cdr:spPr>
        <a:xfrm xmlns:a="http://schemas.openxmlformats.org/drawingml/2006/main">
          <a:off x="560717" y="439947"/>
          <a:ext cx="2751683" cy="7667"/>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0.09628</cdr:x>
      <cdr:y>0.36693</cdr:y>
    </cdr:from>
    <cdr:to>
      <cdr:x>0.56956</cdr:x>
      <cdr:y>0.37055</cdr:y>
    </cdr:to>
    <cdr:cxnSp macro="">
      <cdr:nvCxnSpPr>
        <cdr:cNvPr id="9" name="Straight Connector 8"/>
        <cdr:cNvCxnSpPr/>
      </cdr:nvCxnSpPr>
      <cdr:spPr>
        <a:xfrm xmlns:a="http://schemas.openxmlformats.org/drawingml/2006/main">
          <a:off x="559758" y="775419"/>
          <a:ext cx="2751683" cy="7667"/>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0.09628</cdr:x>
      <cdr:y>0.5098</cdr:y>
    </cdr:from>
    <cdr:to>
      <cdr:x>0.56956</cdr:x>
      <cdr:y>0.51343</cdr:y>
    </cdr:to>
    <cdr:cxnSp macro="">
      <cdr:nvCxnSpPr>
        <cdr:cNvPr id="10" name="Straight Connector 9"/>
        <cdr:cNvCxnSpPr/>
      </cdr:nvCxnSpPr>
      <cdr:spPr>
        <a:xfrm xmlns:a="http://schemas.openxmlformats.org/drawingml/2006/main">
          <a:off x="559758" y="1077344"/>
          <a:ext cx="2751683" cy="7667"/>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0.09183</cdr:x>
      <cdr:y>0.63226</cdr:y>
    </cdr:from>
    <cdr:to>
      <cdr:x>0.56511</cdr:x>
      <cdr:y>0.63588</cdr:y>
    </cdr:to>
    <cdr:cxnSp macro="">
      <cdr:nvCxnSpPr>
        <cdr:cNvPr id="11" name="Straight Connector 10"/>
        <cdr:cNvCxnSpPr/>
      </cdr:nvCxnSpPr>
      <cdr:spPr>
        <a:xfrm xmlns:a="http://schemas.openxmlformats.org/drawingml/2006/main">
          <a:off x="533879" y="1336136"/>
          <a:ext cx="2751683" cy="7667"/>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0.1037</cdr:x>
      <cdr:y>0.79554</cdr:y>
    </cdr:from>
    <cdr:to>
      <cdr:x>0.57698</cdr:x>
      <cdr:y>0.79916</cdr:y>
    </cdr:to>
    <cdr:cxnSp macro="">
      <cdr:nvCxnSpPr>
        <cdr:cNvPr id="12" name="Straight Connector 11"/>
        <cdr:cNvCxnSpPr/>
      </cdr:nvCxnSpPr>
      <cdr:spPr>
        <a:xfrm xmlns:a="http://schemas.openxmlformats.org/drawingml/2006/main">
          <a:off x="602891" y="1681192"/>
          <a:ext cx="2751683" cy="7667"/>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0.87702</cdr:x>
      <cdr:y>0.07209</cdr:y>
    </cdr:from>
    <cdr:to>
      <cdr:x>0.87851</cdr:x>
      <cdr:y>0.9538</cdr:y>
    </cdr:to>
    <cdr:cxnSp macro="">
      <cdr:nvCxnSpPr>
        <cdr:cNvPr id="13" name="Straight Connector 12"/>
        <cdr:cNvCxnSpPr/>
      </cdr:nvCxnSpPr>
      <cdr:spPr>
        <a:xfrm xmlns:a="http://schemas.openxmlformats.org/drawingml/2006/main" flipV="1">
          <a:off x="5015521" y="161042"/>
          <a:ext cx="8485" cy="1969683"/>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0.71593</cdr:x>
      <cdr:y>0.08097</cdr:y>
    </cdr:from>
    <cdr:to>
      <cdr:x>0.71593</cdr:x>
      <cdr:y>0.97901</cdr:y>
    </cdr:to>
    <cdr:cxnSp macro="">
      <cdr:nvCxnSpPr>
        <cdr:cNvPr id="26" name="Straight Connector 25"/>
        <cdr:cNvCxnSpPr/>
      </cdr:nvCxnSpPr>
      <cdr:spPr>
        <a:xfrm xmlns:a="http://schemas.openxmlformats.org/drawingml/2006/main" flipH="1">
          <a:off x="4094247" y="180873"/>
          <a:ext cx="1" cy="2006159"/>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0.77246</cdr:x>
      <cdr:y>0.05576</cdr:y>
    </cdr:from>
    <cdr:to>
      <cdr:x>0.77246</cdr:x>
      <cdr:y>0.9538</cdr:y>
    </cdr:to>
    <cdr:cxnSp macro="">
      <cdr:nvCxnSpPr>
        <cdr:cNvPr id="27" name="Straight Connector 26"/>
        <cdr:cNvCxnSpPr/>
      </cdr:nvCxnSpPr>
      <cdr:spPr>
        <a:xfrm xmlns:a="http://schemas.openxmlformats.org/drawingml/2006/main" flipH="1">
          <a:off x="4417530" y="124566"/>
          <a:ext cx="1" cy="2006159"/>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0.82879</cdr:x>
      <cdr:y>0.07688</cdr:y>
    </cdr:from>
    <cdr:to>
      <cdr:x>0.82879</cdr:x>
      <cdr:y>0.97492</cdr:y>
    </cdr:to>
    <cdr:cxnSp macro="">
      <cdr:nvCxnSpPr>
        <cdr:cNvPr id="28" name="Straight Connector 27"/>
        <cdr:cNvCxnSpPr/>
      </cdr:nvCxnSpPr>
      <cdr:spPr>
        <a:xfrm xmlns:a="http://schemas.openxmlformats.org/drawingml/2006/main" flipH="1">
          <a:off x="4739679" y="171754"/>
          <a:ext cx="1" cy="200616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0.9835</cdr:x>
      <cdr:y>0.06392</cdr:y>
    </cdr:from>
    <cdr:to>
      <cdr:x>0.985</cdr:x>
      <cdr:y>0.9538</cdr:y>
    </cdr:to>
    <cdr:cxnSp macro="">
      <cdr:nvCxnSpPr>
        <cdr:cNvPr id="29" name="Straight Connector 28"/>
        <cdr:cNvCxnSpPr/>
      </cdr:nvCxnSpPr>
      <cdr:spPr>
        <a:xfrm xmlns:a="http://schemas.openxmlformats.org/drawingml/2006/main" flipH="1">
          <a:off x="5624423" y="142803"/>
          <a:ext cx="8626" cy="1987922"/>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0.92874</cdr:x>
      <cdr:y>0.05576</cdr:y>
    </cdr:from>
    <cdr:to>
      <cdr:x>0.92874</cdr:x>
      <cdr:y>0.9538</cdr:y>
    </cdr:to>
    <cdr:cxnSp macro="">
      <cdr:nvCxnSpPr>
        <cdr:cNvPr id="30" name="Straight Connector 29"/>
        <cdr:cNvCxnSpPr/>
      </cdr:nvCxnSpPr>
      <cdr:spPr>
        <a:xfrm xmlns:a="http://schemas.openxmlformats.org/drawingml/2006/main" flipH="1">
          <a:off x="5311289" y="124565"/>
          <a:ext cx="1" cy="200616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0.66862</cdr:x>
      <cdr:y>0.05576</cdr:y>
    </cdr:from>
    <cdr:to>
      <cdr:x>0.66862</cdr:x>
      <cdr:y>0.9538</cdr:y>
    </cdr:to>
    <cdr:cxnSp macro="">
      <cdr:nvCxnSpPr>
        <cdr:cNvPr id="31" name="Straight Connector 30"/>
        <cdr:cNvCxnSpPr/>
      </cdr:nvCxnSpPr>
      <cdr:spPr>
        <a:xfrm xmlns:a="http://schemas.openxmlformats.org/drawingml/2006/main" flipH="1">
          <a:off x="3823714" y="124565"/>
          <a:ext cx="1" cy="200616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0.43523</cdr:x>
      <cdr:y>0.86178</cdr:y>
    </cdr:from>
    <cdr:to>
      <cdr:x>0.86592</cdr:x>
      <cdr:y>0.97087</cdr:y>
    </cdr:to>
    <cdr:sp macro="" textlink="">
      <cdr:nvSpPr>
        <cdr:cNvPr id="2" name="Text Box 2"/>
        <cdr:cNvSpPr txBox="1">
          <a:spLocks xmlns:a="http://schemas.openxmlformats.org/drawingml/2006/main" noChangeArrowheads="1"/>
        </cdr:cNvSpPr>
      </cdr:nvSpPr>
      <cdr:spPr bwMode="auto">
        <a:xfrm xmlns:a="http://schemas.openxmlformats.org/drawingml/2006/main">
          <a:off x="1656273" y="2044461"/>
          <a:ext cx="1639018" cy="25879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fr-FR" sz="900">
              <a:solidFill>
                <a:schemeClr val="bg1">
                  <a:lumMod val="50000"/>
                </a:schemeClr>
              </a:solidFill>
              <a:effectLst/>
              <a:latin typeface="+mn-lt"/>
              <a:ea typeface="+mn-ea"/>
              <a:cs typeface="+mn-cs"/>
            </a:rPr>
            <a:t>Pourcentage de réussite</a:t>
          </a:r>
          <a:endParaRPr lang="en-GB" sz="900">
            <a:solidFill>
              <a:schemeClr val="bg1">
                <a:lumMod val="50000"/>
              </a:schemeClr>
            </a:solidFill>
            <a:effectLst/>
            <a:latin typeface="+mn-lt"/>
            <a:ea typeface="+mn-ea"/>
            <a:cs typeface="+mn-cs"/>
          </a:endParaRPr>
        </a:p>
      </cdr:txBody>
    </cdr:sp>
  </cdr:relSizeAnchor>
  <cdr:relSizeAnchor xmlns:cdr="http://schemas.openxmlformats.org/drawingml/2006/chartDrawing">
    <cdr:from>
      <cdr:x>0.02031</cdr:x>
      <cdr:y>0.96631</cdr:y>
    </cdr:from>
    <cdr:to>
      <cdr:x>0.99231</cdr:x>
      <cdr:y>0.97174</cdr:y>
    </cdr:to>
    <cdr:cxnSp macro="">
      <cdr:nvCxnSpPr>
        <cdr:cNvPr id="3" name="Straight Connector 2"/>
        <cdr:cNvCxnSpPr/>
      </cdr:nvCxnSpPr>
      <cdr:spPr>
        <a:xfrm xmlns:a="http://schemas.openxmlformats.org/drawingml/2006/main" flipV="1">
          <a:off x="77274" y="2292440"/>
          <a:ext cx="3699000" cy="1287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0.02279</cdr:x>
      <cdr:y>0.9559</cdr:y>
    </cdr:from>
    <cdr:to>
      <cdr:x>0.93713</cdr:x>
      <cdr:y>0.95614</cdr:y>
    </cdr:to>
    <cdr:cxnSp macro="">
      <cdr:nvCxnSpPr>
        <cdr:cNvPr id="3" name="Straight Connector 2"/>
        <cdr:cNvCxnSpPr/>
      </cdr:nvCxnSpPr>
      <cdr:spPr>
        <a:xfrm xmlns:a="http://schemas.openxmlformats.org/drawingml/2006/main">
          <a:off x="53886" y="2369713"/>
          <a:ext cx="2161593" cy="59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CF GHK">
    <a:dk1>
      <a:sysClr val="windowText" lastClr="000000"/>
    </a:dk1>
    <a:lt1>
      <a:sysClr val="window" lastClr="FFFFFF"/>
    </a:lt1>
    <a:dk2>
      <a:srgbClr val="0067A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ICF GHK">
    <a:dk1>
      <a:sysClr val="windowText" lastClr="000000"/>
    </a:dk1>
    <a:lt1>
      <a:sysClr val="window" lastClr="FFFFFF"/>
    </a:lt1>
    <a:dk2>
      <a:srgbClr val="0067A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5A2C-045A-4DC0-9923-3EC8E89B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30</Pages>
  <Words>12807</Words>
  <Characters>71469</Characters>
  <Application>Microsoft Office Word</Application>
  <DocSecurity>0</DocSecurity>
  <Lines>1374</Lines>
  <Paragraphs>487</Paragraphs>
  <ScaleCrop>false</ScaleCrop>
  <HeadingPairs>
    <vt:vector size="2" baseType="variant">
      <vt:variant>
        <vt:lpstr>Title</vt:lpstr>
      </vt:variant>
      <vt:variant>
        <vt:i4>1</vt:i4>
      </vt:variant>
    </vt:vector>
  </HeadingPairs>
  <TitlesOfParts>
    <vt:vector size="1" baseType="lpstr">
      <vt:lpstr>EN</vt:lpstr>
    </vt:vector>
  </TitlesOfParts>
  <Manager/>
  <Company/>
  <LinksUpToDate>false</LinksUpToDate>
  <CharactersWithSpaces>83789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creator/>
  <cp:lastModifiedBy>KOUTZIAVASILI Dimitra (BUDG)</cp:lastModifiedBy>
  <cp:revision>159</cp:revision>
  <cp:lastPrinted>2017-03-07T09:34:00Z</cp:lastPrinted>
  <dcterms:created xsi:type="dcterms:W3CDTF">2016-06-06T06:11:00Z</dcterms:created>
  <dcterms:modified xsi:type="dcterms:W3CDTF">2017-03-07T09:34:00Z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