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181FE3F6D2B4C9CBDDB0F9562C3176F" style="width:450.75pt;height:392.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autoSpaceDE w:val="0"/>
        <w:autoSpaceDN w:val="0"/>
        <w:adjustRightInd w:val="0"/>
        <w:spacing w:after="240"/>
        <w:rPr>
          <w:noProof/>
          <w:szCs w:val="24"/>
        </w:rPr>
      </w:pPr>
      <w:r>
        <w:rPr>
          <w:noProof/>
        </w:rPr>
        <w:t>Комисията за упойващите вещества редовно изменя списъка с вещества, съдържащи се в приложението към Конвенцията на Организацията на обединените нации (ООН) за борба срещу незаконния трафик на упойващи и психотропни вещества от 1988 г. (Конвенцията на ООН от 1988 г.) въз основа на препоръките на Международния орган за контрол на упойващите вещества.</w:t>
      </w:r>
    </w:p>
    <w:p>
      <w:pPr>
        <w:autoSpaceDE w:val="0"/>
        <w:autoSpaceDN w:val="0"/>
        <w:adjustRightInd w:val="0"/>
        <w:spacing w:after="240"/>
        <w:rPr>
          <w:noProof/>
          <w:szCs w:val="24"/>
        </w:rPr>
      </w:pPr>
      <w:r>
        <w:rPr>
          <w:noProof/>
        </w:rPr>
        <w:t>ЕС е страна по Конвенцията на ООН от 1988 г. за въпроси, които са уредени в член 12 от Конвенцията</w:t>
      </w:r>
      <w:r>
        <w:rPr>
          <w:rStyle w:val="FootnoteReference"/>
          <w:noProof/>
        </w:rPr>
        <w:footnoteReference w:id="1"/>
      </w:r>
      <w:r>
        <w:rPr>
          <w:noProof/>
        </w:rPr>
        <w:t xml:space="preserve">. Член 12 се отнася до веществата, които често се използват в незаконното производство на упойващи и психотропни вещества („прекурсори на наркотични вещества“). </w:t>
      </w:r>
    </w:p>
    <w:p>
      <w:pPr>
        <w:autoSpaceDE w:val="0"/>
        <w:autoSpaceDN w:val="0"/>
        <w:adjustRightInd w:val="0"/>
        <w:spacing w:after="240"/>
        <w:rPr>
          <w:noProof/>
          <w:szCs w:val="24"/>
        </w:rPr>
      </w:pPr>
      <w:r>
        <w:rPr>
          <w:noProof/>
        </w:rPr>
        <w:t>Комисията за упойващите вещества е комисия към Икономическия и социален съвет на ООН и нейните функции и правомощия са, наред с другото, предвидени в Конвенцията на ООН от 1988 г. Тя се състои от 53 държави — членки на ООН, избирани от Икономическия и социален съвет. Понастоящем 12 държави — членки на Съюза, са членове на Комисията за упойващите вещества с право на глас</w:t>
      </w:r>
      <w:r>
        <w:rPr>
          <w:rStyle w:val="FootnoteReference"/>
          <w:noProof/>
        </w:rPr>
        <w:footnoteReference w:id="2"/>
      </w:r>
      <w:r>
        <w:rPr>
          <w:noProof/>
        </w:rPr>
        <w:t xml:space="preserve">. Съюзът има статут на наблюдател в Комисията за упойващите вещества. </w:t>
      </w:r>
    </w:p>
    <w:p>
      <w:pPr>
        <w:autoSpaceDE w:val="0"/>
        <w:autoSpaceDN w:val="0"/>
        <w:adjustRightInd w:val="0"/>
        <w:spacing w:after="240"/>
        <w:rPr>
          <w:noProof/>
        </w:rPr>
      </w:pPr>
      <w:r>
        <w:rPr>
          <w:noProof/>
        </w:rPr>
        <w:t>На 1 февруари 2017 г. Международният орган за контрол на упойващите вещества препоръча в Списък I към Конвенцията на ООН от 1988 г. да бъдат добавени още две вещества, а именно 4-анилино-</w:t>
      </w:r>
      <w:r>
        <w:rPr>
          <w:i/>
          <w:noProof/>
        </w:rPr>
        <w:t>N</w:t>
      </w:r>
      <w:r>
        <w:rPr>
          <w:noProof/>
        </w:rPr>
        <w:t xml:space="preserve">-фенетилпиперидин (ANPP) и </w:t>
      </w:r>
      <w:r>
        <w:rPr>
          <w:i/>
          <w:noProof/>
        </w:rPr>
        <w:t>N</w:t>
      </w:r>
      <w:r>
        <w:rPr>
          <w:noProof/>
        </w:rPr>
        <w:t>-фенетил-4-пиперидон (NPP).</w:t>
      </w:r>
    </w:p>
    <w:p>
      <w:pPr>
        <w:autoSpaceDE w:val="0"/>
        <w:autoSpaceDN w:val="0"/>
        <w:adjustRightInd w:val="0"/>
        <w:spacing w:after="240"/>
        <w:rPr>
          <w:noProof/>
          <w:szCs w:val="24"/>
        </w:rPr>
      </w:pPr>
      <w:r>
        <w:rPr>
          <w:noProof/>
        </w:rPr>
        <w:t>Промените в списъците към Конвенцията на ООН от 1988 г. се отразяват пряко върху приложното поле на правото на ЕС в областта на контрола върху прекурсорите на наркотични вещества, тъй като добавените в списъците към Конвенцията на ООН от 1988 г. вещества трябва да бъдат включени в правния ред на Съюза</w:t>
      </w:r>
      <w:r>
        <w:rPr>
          <w:rStyle w:val="FootnoteReference"/>
          <w:noProof/>
        </w:rPr>
        <w:footnoteReference w:id="3"/>
      </w:r>
      <w:r>
        <w:rPr>
          <w:noProof/>
        </w:rPr>
        <w:t>. За да се гарантира това, на Комисията са предоставени правомощия да приема делегирани актове.</w:t>
      </w:r>
    </w:p>
    <w:p>
      <w:pPr>
        <w:autoSpaceDE w:val="0"/>
        <w:autoSpaceDN w:val="0"/>
        <w:adjustRightInd w:val="0"/>
        <w:spacing w:after="240"/>
        <w:rPr>
          <w:noProof/>
          <w:szCs w:val="24"/>
        </w:rPr>
      </w:pPr>
      <w:r>
        <w:rPr>
          <w:noProof/>
        </w:rPr>
        <w:t>Необходимо е държавите членки да се подготвят за заседанието на Комисията за упойващите вещества, на което да се вземе решение за включването на веществата, като постигнат обща позиция в Съвета. Поради ограниченията, произтичащи от статута на наблюдател на Съюза, тази позиция следва да бъде изразена от държавите членки, които понастоящем са членове на Комисията за упойващите вещества, действащи съвместно в интерес на Съюза в рамките на тази комисия. Европейският съюз, който има само статут на наблюдател в Комисията за упойващите вещества, няма право да гласува в нея.</w:t>
      </w:r>
    </w:p>
    <w:p>
      <w:pPr>
        <w:widowControl w:val="0"/>
        <w:shd w:val="clear" w:color="auto" w:fill="FFFFFF"/>
        <w:autoSpaceDE w:val="0"/>
        <w:autoSpaceDN w:val="0"/>
        <w:adjustRightInd w:val="0"/>
        <w:spacing w:before="230" w:after="0" w:line="269" w:lineRule="exact"/>
        <w:ind w:right="86"/>
        <w:rPr>
          <w:noProof/>
        </w:rPr>
      </w:pPr>
      <w:r>
        <w:rPr>
          <w:noProof/>
        </w:rPr>
        <w:t xml:space="preserve">Ето защо Комисията предлага позиция, която да бъде заета от името на Европейския съюз на шестдесетата сесия на Комисията за упойващите вещества, която ще се състои във Виена от 13 до 17 март 2017 г., във връзка с включването на вещества в Конвенцията на ООН от 1988 г.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szCs w:val="24"/>
        </w:rPr>
      </w:pPr>
      <w:r>
        <w:rPr>
          <w:noProof/>
        </w:rPr>
        <w:t>Правното основание на настоящото предложение е член 207 във връзка с член 218, параграф 9 от Договора за функционирането на Европейския съюз (ДФЕС).</w:t>
      </w:r>
    </w:p>
    <w:p>
      <w:pPr>
        <w:pBdr>
          <w:top w:val="nil"/>
          <w:left w:val="nil"/>
          <w:bottom w:val="nil"/>
          <w:right w:val="nil"/>
          <w:between w:val="nil"/>
          <w:bar w:val="nil"/>
        </w:pBdr>
        <w:spacing w:before="0" w:after="240"/>
        <w:rPr>
          <w:noProof/>
          <w:szCs w:val="24"/>
        </w:rPr>
      </w:pPr>
      <w:r>
        <w:rPr>
          <w:noProof/>
        </w:rPr>
        <w:t>Включването на прекурсорите в списъци с цел да се следи търговията с тези вещества е въпрос от областта на общата търговска политика, а в член 207, параграф 3 от ДФЕС се посочва, че когато трябва да се договарят и сключват споразумения с една или повече трети държави или международни организации, се прилага член 218 при спазване на специфичните разпоредби на същия член.</w:t>
      </w:r>
    </w:p>
    <w:p>
      <w:pPr>
        <w:autoSpaceDE w:val="0"/>
        <w:autoSpaceDN w:val="0"/>
        <w:adjustRightInd w:val="0"/>
        <w:spacing w:after="240"/>
        <w:rPr>
          <w:noProof/>
          <w:szCs w:val="24"/>
        </w:rPr>
      </w:pPr>
      <w:r>
        <w:rPr>
          <w:noProof/>
        </w:rPr>
        <w:t xml:space="preserve">Член 218, параграф 9 от ДФЕС се прилага независимо от това дали Съюзът е член на въпросния орган или е страна по въпросния договор. Комисията за упойващите вещества е „орган, създаден със споразумение“ по смисъла на този член, като се има предвид, че тя е орган с възложени специфични задачи съгласно Конвенцията на ООН от 1988 г. </w:t>
      </w:r>
    </w:p>
    <w:p>
      <w:pPr>
        <w:autoSpaceDE w:val="0"/>
        <w:autoSpaceDN w:val="0"/>
        <w:adjustRightInd w:val="0"/>
        <w:spacing w:after="240"/>
        <w:rPr>
          <w:noProof/>
          <w:szCs w:val="24"/>
        </w:rPr>
      </w:pPr>
      <w:r>
        <w:rPr>
          <w:noProof/>
        </w:rPr>
        <w:t>Решенията на Комисията за упойващите вещества във връзка със списъците с вещества представляват „актове с правно действие“ по смисъла на член 218, параграф 9 от ДФЕС. В съответствие с Конвенцията на ООН от 1988 г. решенията на Комисията за упойващите вещества стават правнообвързващи, освен ако в рамките на предвидения срок някоя от страните поиска от Икономическия и социален съвет да преразгледа решението</w:t>
      </w:r>
      <w:r>
        <w:rPr>
          <w:rStyle w:val="FootnoteReference"/>
          <w:noProof/>
        </w:rPr>
        <w:footnoteReference w:id="4"/>
      </w:r>
      <w:r>
        <w:rPr>
          <w:noProof/>
        </w:rPr>
        <w:t xml:space="preserve">. Решенията на Икономическия и социален съвет по въпроса са окончателни. </w:t>
      </w:r>
    </w:p>
    <w:p>
      <w:pPr>
        <w:pBdr>
          <w:top w:val="nil"/>
          <w:left w:val="nil"/>
          <w:bottom w:val="nil"/>
          <w:right w:val="nil"/>
          <w:between w:val="nil"/>
          <w:bar w:val="nil"/>
        </w:pBdr>
        <w:spacing w:before="0" w:after="240"/>
        <w:rPr>
          <w:rFonts w:eastAsia="Arial Unicode MS"/>
          <w:b/>
          <w:noProof/>
          <w:u w:color="000000"/>
          <w:bdr w:val="nil"/>
        </w:rPr>
      </w:pPr>
      <w:r>
        <w:rPr>
          <w:noProof/>
        </w:rPr>
        <w:t>•</w:t>
      </w:r>
      <w:r>
        <w:rPr>
          <w:noProof/>
        </w:rPr>
        <w:tab/>
      </w:r>
      <w:r>
        <w:rPr>
          <w:b/>
          <w:noProof/>
          <w:u w:color="000000"/>
          <w:bdr w:val="nil"/>
        </w:rPr>
        <w:t>Субсидиарност</w:t>
      </w:r>
    </w:p>
    <w:p>
      <w:pPr>
        <w:autoSpaceDE w:val="0"/>
        <w:autoSpaceDN w:val="0"/>
        <w:adjustRightInd w:val="0"/>
        <w:spacing w:after="240"/>
        <w:rPr>
          <w:noProof/>
          <w:szCs w:val="24"/>
        </w:rPr>
      </w:pPr>
      <w:r>
        <w:rPr>
          <w:noProof/>
        </w:rPr>
        <w:t>Не се прилага.</w:t>
      </w:r>
    </w:p>
    <w:p>
      <w:pPr>
        <w:pBdr>
          <w:top w:val="nil"/>
          <w:left w:val="nil"/>
          <w:bottom w:val="nil"/>
          <w:right w:val="nil"/>
          <w:between w:val="nil"/>
          <w:bar w:val="nil"/>
        </w:pBdr>
        <w:spacing w:before="0" w:after="240"/>
        <w:rPr>
          <w:rFonts w:eastAsia="Arial Unicode MS"/>
          <w:b/>
          <w:noProof/>
          <w:u w:color="000000"/>
          <w:bdr w:val="nil"/>
        </w:rPr>
      </w:pPr>
      <w:r>
        <w:rPr>
          <w:noProof/>
        </w:rPr>
        <w:t>•</w:t>
      </w:r>
      <w:r>
        <w:rPr>
          <w:noProof/>
        </w:rPr>
        <w:tab/>
      </w:r>
      <w:r>
        <w:rPr>
          <w:b/>
          <w:noProof/>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е пропорционално и не излиза извън рамките на необходимото за постигане на посочените цели, тъй като то се отнася до нови прекурсори на наркотични вещества, които предизвикват безпокойство на равнището на Съюза.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В член 218, параграф 9 от ДФЕС е предвидено, че за да бъде определена позицията, която трябва да се заеме от името на Съюза в орган, създаден с международно споразумение, е необходимо решение на Съвета.</w:t>
      </w:r>
    </w:p>
    <w:p>
      <w:pPr>
        <w:pStyle w:val="ManualHeading1"/>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2017/0049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да бъде заета от името на Европейския съюз в рамките на шестдесетата сесия на Комисията за упойващите вещества, във връзка с добавянето на вещества в Списък I към Конвенцията на Организацията на обединените нации за борба срещу незаконния трафик на упойващи и психотропни вещества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ind w:left="567" w:hanging="567"/>
        <w:rPr>
          <w:noProof/>
        </w:rPr>
      </w:pPr>
      <w:r>
        <w:rPr>
          <w:noProof/>
        </w:rPr>
        <w:t>(1)</w:t>
      </w:r>
      <w:r>
        <w:rPr>
          <w:noProof/>
        </w:rPr>
        <w:tab/>
        <w:t>Конвенцията на Организацията на обединените нации за борба срещу незаконния трафик на упойващи и психотропни вещества от 1988 г. (наричана по-долу „Конвенцията“) бе сключена от Съюза с Решение № 90/611/ЕИО на Съвета</w:t>
      </w:r>
      <w:r>
        <w:rPr>
          <w:rStyle w:val="FootnoteReference"/>
          <w:noProof/>
        </w:rPr>
        <w:footnoteReference w:id="5"/>
      </w:r>
      <w:r>
        <w:rPr>
          <w:noProof/>
        </w:rPr>
        <w:t xml:space="preserve"> и влезе в сила на 11 ноември 1990 г. </w:t>
      </w:r>
    </w:p>
    <w:p>
      <w:pPr>
        <w:pStyle w:val="ManualConsidrant"/>
        <w:ind w:left="567" w:hanging="567"/>
        <w:rPr>
          <w:noProof/>
        </w:rPr>
      </w:pPr>
      <w:r>
        <w:rPr>
          <w:noProof/>
        </w:rPr>
        <w:t>(2)</w:t>
      </w:r>
      <w:r>
        <w:rPr>
          <w:noProof/>
        </w:rPr>
        <w:tab/>
        <w:t>Съгласно член 12, параграфи 2—7 от Конвенцията в списъците към Конвенцията, в които са изброени прекурсори на наркотични вещества, е възможно да бъдат добавяни нови вещества.</w:t>
      </w:r>
    </w:p>
    <w:p>
      <w:pPr>
        <w:pStyle w:val="ManualConsidrant"/>
        <w:ind w:left="567" w:hanging="567"/>
        <w:rPr>
          <w:noProof/>
          <w:color w:val="000000" w:themeColor="text1"/>
        </w:rPr>
      </w:pPr>
      <w:r>
        <w:rPr>
          <w:noProof/>
        </w:rPr>
        <w:t>(3)</w:t>
      </w:r>
      <w:r>
        <w:rPr>
          <w:noProof/>
        </w:rPr>
        <w:tab/>
        <w:t xml:space="preserve">По време на своята шестдесета сесия, която ще се състои от 13 до 17 март 2017 г. във Виена, Комисията за упойващите вещества следва да вземе решение относно добавянето на две нови вещества в Списък I към Kонвенцията. </w:t>
      </w:r>
    </w:p>
    <w:p>
      <w:pPr>
        <w:pStyle w:val="ManualConsidrant"/>
        <w:ind w:left="567" w:hanging="567"/>
        <w:rPr>
          <w:noProof/>
          <w:color w:val="000000" w:themeColor="text1"/>
          <w:szCs w:val="24"/>
        </w:rPr>
      </w:pPr>
      <w:r>
        <w:rPr>
          <w:noProof/>
        </w:rPr>
        <w:t>(4)</w:t>
      </w:r>
      <w:r>
        <w:rPr>
          <w:noProof/>
        </w:rPr>
        <w:tab/>
        <w:t>Съюзът има статут на наблюдател в Комисията за упойващите вещества, в която понастоящем 12 от държавите — членки на Съюза, са членове с право на глас. Тъй като решенията за добавяне на нови вещества в Списък I към Конвенцията са от изключителната компетентност на Съюза, е необходимо Съветът да оправомощи държавите членки да изразят позицията на Съюза относно добавянето на нови вещества в Списък I към Конвенцията.</w:t>
      </w:r>
    </w:p>
    <w:p>
      <w:pPr>
        <w:autoSpaceDE w:val="0"/>
        <w:autoSpaceDN w:val="0"/>
        <w:adjustRightInd w:val="0"/>
        <w:ind w:left="567" w:hanging="567"/>
        <w:rPr>
          <w:noProof/>
          <w:szCs w:val="24"/>
        </w:rPr>
      </w:pPr>
      <w:r>
        <w:rPr>
          <w:noProof/>
        </w:rPr>
        <w:t>(5)</w:t>
      </w:r>
      <w:r>
        <w:rPr>
          <w:noProof/>
        </w:rPr>
        <w:tab/>
        <w:t>Според оценката на Международния орган за контрол на упойващите вещества две вещества — 4-анилино-</w:t>
      </w:r>
      <w:r>
        <w:rPr>
          <w:i/>
          <w:noProof/>
        </w:rPr>
        <w:t>N</w:t>
      </w:r>
      <w:r>
        <w:rPr>
          <w:noProof/>
        </w:rPr>
        <w:t xml:space="preserve">-фенетилпиперидин (ANPP) и </w:t>
      </w:r>
      <w:r>
        <w:rPr>
          <w:i/>
          <w:noProof/>
        </w:rPr>
        <w:t>N</w:t>
      </w:r>
      <w:r>
        <w:rPr>
          <w:noProof/>
        </w:rPr>
        <w:t>-фенетил-4-пиперидон (NPP) — често се използват в незаконното производство на фентанил и са особено подходящи за незаконното производство на фентанил и редица аналози на фентанила, които са много силни синтетични опиоиди. Има данни, че обемът и обхватът на незаконното производство на фентанил и аналози на фентанила представлява сериозен социален проблем и проблем за общественото здравеопазване, което налага тези вещества да бъдат поставени под международен контрол.</w:t>
      </w:r>
    </w:p>
    <w:p>
      <w:pPr>
        <w:autoSpaceDE w:val="0"/>
        <w:autoSpaceDN w:val="0"/>
        <w:adjustRightInd w:val="0"/>
        <w:spacing w:before="0" w:after="0"/>
        <w:ind w:left="567" w:hanging="567"/>
        <w:jc w:val="left"/>
        <w:rPr>
          <w:noProof/>
          <w:szCs w:val="24"/>
        </w:rPr>
      </w:pPr>
      <w:r>
        <w:rPr>
          <w:noProof/>
        </w:rPr>
        <w:t>(6)</w:t>
      </w:r>
      <w:r>
        <w:rPr>
          <w:noProof/>
        </w:rPr>
        <w:tab/>
        <w:t>По тази причина на 1 февруари 2017 г. Международният орган за контрол на упойващите вещества препоръча на Комисията за упойващите вещества да добави ANPP и NPP в Списък I към Конвенцията.</w:t>
      </w:r>
    </w:p>
    <w:p>
      <w:pPr>
        <w:autoSpaceDE w:val="0"/>
        <w:autoSpaceDN w:val="0"/>
        <w:adjustRightInd w:val="0"/>
        <w:ind w:left="567" w:hanging="567"/>
        <w:rPr>
          <w:noProof/>
        </w:rPr>
      </w:pPr>
      <w:r>
        <w:rPr>
          <w:noProof/>
        </w:rPr>
        <w:t>(7)</w:t>
      </w:r>
      <w:r>
        <w:rPr>
          <w:noProof/>
        </w:rPr>
        <w:tab/>
        <w:t xml:space="preserve">Незаконно произведените фентанил и аналози на фентанила причиняват значителни социални проблеми и проблеми на общественото здравеопазване в някои държави членки. </w:t>
      </w:r>
    </w:p>
    <w:p>
      <w:pPr>
        <w:pStyle w:val="ManualConsidrant"/>
        <w:ind w:left="567" w:hanging="567"/>
        <w:rPr>
          <w:noProof/>
        </w:rPr>
      </w:pPr>
      <w:r>
        <w:rPr>
          <w:noProof/>
        </w:rPr>
        <w:t>(8)</w:t>
      </w:r>
      <w:r>
        <w:rPr>
          <w:noProof/>
        </w:rPr>
        <w:tab/>
        <w:t>Ето защо позицията на държавите — членки на Съюза, в Комисията за упойващите вещества следва да бъде „за“ добавянето на ANPP и NPP в Списък I към Конвенцията,</w:t>
      </w:r>
    </w:p>
    <w:p>
      <w:pPr>
        <w:rPr>
          <w:noProof/>
          <w:szCs w:val="24"/>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bCs/>
          <w:noProof/>
          <w:szCs w:val="24"/>
        </w:rPr>
      </w:pPr>
      <w:r>
        <w:rPr>
          <w:noProof/>
        </w:rPr>
        <w:t>Позицията, която да бъде заета от името на Съюза от държавите членки по време на шестдесетата сесия на Комисията за упойващите вещества от 13 до 17 март 2017 г., е следната:</w:t>
      </w:r>
    </w:p>
    <w:p>
      <w:pPr>
        <w:rPr>
          <w:bCs/>
          <w:noProof/>
          <w:szCs w:val="24"/>
        </w:rPr>
      </w:pPr>
      <w:r>
        <w:rPr>
          <w:noProof/>
        </w:rPr>
        <w:t>4-анилино-</w:t>
      </w:r>
      <w:r>
        <w:rPr>
          <w:i/>
          <w:noProof/>
        </w:rPr>
        <w:t>N</w:t>
      </w:r>
      <w:r>
        <w:rPr>
          <w:noProof/>
        </w:rPr>
        <w:t xml:space="preserve">-фенетилпиперидин и </w:t>
      </w:r>
      <w:r>
        <w:rPr>
          <w:i/>
          <w:noProof/>
        </w:rPr>
        <w:t>N</w:t>
      </w:r>
      <w:r>
        <w:rPr>
          <w:noProof/>
        </w:rPr>
        <w:t>-фенетил-4-пиперидон (NPP) трябва да бъдат включени в Списък I към Конвенцията.</w:t>
      </w:r>
    </w:p>
    <w:p>
      <w:pPr>
        <w:rPr>
          <w:noProof/>
        </w:rPr>
      </w:pPr>
      <w:r>
        <w:rPr>
          <w:noProof/>
        </w:rPr>
        <w:t>Тази позиция се изразява от държавите членки, които са членове на Комисията за упойващите вещества, действащи съвместно.</w:t>
      </w:r>
    </w:p>
    <w:p>
      <w:pPr>
        <w:pStyle w:val="Titrearticle"/>
        <w:keepNext w:val="0"/>
        <w:rPr>
          <w:noProof/>
        </w:rPr>
      </w:pPr>
      <w:r>
        <w:rPr>
          <w:noProof/>
        </w:rPr>
        <w:t xml:space="preserve">Член 2 </w:t>
      </w:r>
    </w:p>
    <w:p>
      <w:pPr>
        <w:rPr>
          <w:noProof/>
        </w:rPr>
      </w:pPr>
      <w:r>
        <w:rPr>
          <w:noProof/>
        </w:rPr>
        <w:t xml:space="preserve">Адресати на настоящото решение са държавите членки. </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22 октомври 1990 г. относно сключването от името на Европейската икономическа общност на Конвенцията на Организацията на обединените нации (ООН) за борба срещу незаконния трафик на упойващи и психотропни вещества от 1988 г.</w:t>
      </w:r>
    </w:p>
  </w:footnote>
  <w:footnote w:id="2">
    <w:p>
      <w:pPr>
        <w:pStyle w:val="FootnoteText"/>
      </w:pPr>
      <w:r>
        <w:rPr>
          <w:rStyle w:val="FootnoteReference"/>
        </w:rPr>
        <w:footnoteRef/>
      </w:r>
      <w:r>
        <w:tab/>
        <w:t>Австрия, Белгия, Хърватия, Чешката република, Франция, Германия, Унгария, Италия, Нидерландия, Словакия, Испания, Обединеното кралство.</w:t>
      </w:r>
    </w:p>
  </w:footnote>
  <w:footnote w:id="3">
    <w:p>
      <w:pPr>
        <w:pStyle w:val="FootnoteText"/>
      </w:pPr>
      <w:r>
        <w:rPr>
          <w:rStyle w:val="FootnoteReference"/>
        </w:rPr>
        <w:footnoteRef/>
      </w:r>
      <w:r>
        <w:tab/>
        <w:t>Регламент (ЕО) № 111/2005 на Съвета от 22 декември 2004 г. за определяне на правила за мониторинг на търговията между Съюза и трети страни в областта на прекурсорите (ОВ L 22, 26.1.2005 г., стр. 1) и Регламент (ЕО) № 273/2004 на Европейския парламент и на Съвета от 11 февруари 2004 г. относно прекурсорите на наркотичните вещества (ОВ L 47, 18.2.2004 г., стр. 1).</w:t>
      </w:r>
    </w:p>
  </w:footnote>
  <w:footnote w:id="4">
    <w:p>
      <w:pPr>
        <w:pStyle w:val="FootnoteText"/>
      </w:pPr>
      <w:r>
        <w:rPr>
          <w:rStyle w:val="FootnoteReference"/>
        </w:rPr>
        <w:footnoteRef/>
      </w:r>
      <w:r>
        <w:tab/>
        <w:t>Член 12, параграф 7 от Конвенцията на ООН от 1988 г.</w:t>
      </w:r>
    </w:p>
  </w:footnote>
  <w:footnote w:id="5">
    <w:p>
      <w:pPr>
        <w:pStyle w:val="FootnoteText"/>
      </w:pPr>
      <w:r>
        <w:rPr>
          <w:rStyle w:val="FootnoteReference"/>
        </w:rPr>
        <w:footnoteRef/>
      </w:r>
      <w:r>
        <w:tab/>
        <w:t>Решение на Съвета от 22 октомври 1990 г. относно сключването от името на Европейската икономическа общност на Конвенцията на Организацията на обединените нации за борба срещу незаконния трафик на упойващи и психотропни вещества (OВ L 326, 24.11.1990 г., стр.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E8F6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623B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EE6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0033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8AEE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9627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1A99AE"/>
    <w:lvl w:ilvl="0">
      <w:start w:val="1"/>
      <w:numFmt w:val="decimal"/>
      <w:pStyle w:val="ListNumber"/>
      <w:lvlText w:val="%1."/>
      <w:lvlJc w:val="left"/>
      <w:pPr>
        <w:tabs>
          <w:tab w:val="num" w:pos="360"/>
        </w:tabs>
        <w:ind w:left="360" w:hanging="360"/>
      </w:pPr>
    </w:lvl>
  </w:abstractNum>
  <w:abstractNum w:abstractNumId="7">
    <w:nsid w:val="FFFFFF89"/>
    <w:multiLevelType w:val="singleLevel"/>
    <w:tmpl w:val="547A3A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2 14:35: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181FE3F6D2B4C9CBDDB0F9562C3176F"/>
    <w:docVar w:name="LW_CROSSREFERENCE" w:val="&lt;UNUSED&gt;"/>
    <w:docVar w:name="LW_DocType" w:val="COM"/>
    <w:docVar w:name="LW_EMISSION" w:val="28.2.2017"/>
    <w:docVar w:name="LW_EMISSION_ISODATE" w:val="2017-02-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9"/>
    <w:docVar w:name="LW_REF.II.NEW.CP_YEAR" w:val="2017"/>
    <w:docVar w:name="LW_REF.INST.NEW" w:val="COM"/>
    <w:docVar w:name="LW_REF.INST.NEW_ADOPTED" w:val="final"/>
    <w:docVar w:name="LW_REF.INST.NEW_TEXT" w:val="(2017) 11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96?\u1077?\u1089?\u1090?\u1076?\u1077?\u1089?\u1077?\u1090?\u1072?\u1090?\u1072? \u1089?\u1077?\u1089?\u1080?\u1103? \u1085?\u1072? \u1050?\u1086?\u1084?\u1080?\u1089?\u1080?\u1103?\u1090?\u1072? \u1079?\u1072? \u1091?\u1087?\u1086?\u1081?\u1074?\u1072?\u1097?\u1080?\u1090?\u1077? \u1074?\u1077?\u1097?\u1077?\u1089?\u1090?\u1074?\u1072?, \u1074?\u1098?\u1074? \u1074?\u1088?\u1098?\u1079?\u1082?\u1072? \u1089? \u1076?\u1086?\u1073?\u1072?\u1074?\u1103?\u1085?\u1077?\u1090?\u1086? \u1085?\u1072? \u1074?\u1077?\u1097?\u1077?\u1089?\u1090?\u1074?\u1072? \u1074? \u1057?\u1087?\u1080?\u1089?\u1098?\u1082? I \u1082?\u1098?\u1084? \u1050?\u1086?\u1085?\u1074?\u1077?\u1085?\u1094?\u1080?\u1103?\u1090?\u1072? \u1085?\u1072? \u1054?\u1088?\u1075?\u1072?\u1085?\u1080?\u1079?\u1072?\u1094?\u1080?\u1103?\u1090?\u1072? \u1085?\u1072? \u1086?\u1073?\u1077?\u1076?\u1080?\u1085?\u1077?\u1085?\u1080?\u1090?\u1077? \u1085?\u1072?\u1094?\u1080?\u1080? \u1079?\u1072? \u1073?\u1086?\u1088?\u1073?\u1072? \u1089?\u1088?\u1077?\u1097?\u1091? \u1085?\u1077?\u1079?\u1072?\u1082?\u1086?\u1085?\u1085?\u1080?\u1103? \u1090?\u1088?\u1072?\u1092?\u1080?\u1082? \u1085?\u1072? \u1091?\u1087?\u1086?\u1081?\u1074?\u1072?\u1097?\u1080? \u1080? \u1087?\u1089?\u1080?\u1093?\u1086?\u1090?\u1088?\u1086?\u1087?\u1085?\u1080? \u1074?\u1077?\u1097?\u1077?\u1089?\u1090?\u1074?\u1072?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locked/>
    <w:rPr>
      <w:rFonts w:ascii="Times New Roman" w:hAnsi="Times New Roman" w:cs="Times New Roman"/>
      <w:color w:val="000000"/>
      <w:sz w:val="24"/>
      <w:szCs w:val="24"/>
      <w:lang w:val="bg-BG"/>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locked/>
    <w:rPr>
      <w:rFonts w:ascii="Times New Roman" w:hAnsi="Times New Roman" w:cs="Times New Roman"/>
      <w:color w:val="000000"/>
      <w:sz w:val="24"/>
      <w:szCs w:val="24"/>
      <w:lang w:val="bg-BG"/>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7303">
      <w:bodyDiv w:val="1"/>
      <w:marLeft w:val="0"/>
      <w:marRight w:val="0"/>
      <w:marTop w:val="0"/>
      <w:marBottom w:val="0"/>
      <w:divBdr>
        <w:top w:val="none" w:sz="0" w:space="0" w:color="auto"/>
        <w:left w:val="none" w:sz="0" w:space="0" w:color="auto"/>
        <w:bottom w:val="none" w:sz="0" w:space="0" w:color="auto"/>
        <w:right w:val="none" w:sz="0" w:space="0" w:color="auto"/>
      </w:divBdr>
    </w:div>
    <w:div w:id="16870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5A2D-7DCC-40D2-A609-8C0E0436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1231</Words>
  <Characters>6675</Characters>
  <Application>Microsoft Office Word</Application>
  <DocSecurity>0</DocSecurity>
  <Lines>139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2017-02-21T08:03:00Z</cp:lastPrinted>
  <dcterms:created xsi:type="dcterms:W3CDTF">2017-03-02T09:30:00Z</dcterms:created>
  <dcterms:modified xsi:type="dcterms:W3CDTF">2017-03-02T13:35:00Z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