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E2B581E1D7470994ED3464AE1372F7" style="width:450.75pt;height:30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bookmarkStart w:id="1" w:name="_GoBack"/>
      <w:bookmarkEnd w:id="1"/>
      <w:r>
        <w:rPr>
          <w:rFonts w:ascii="Times New Roman Bold" w:hAnsi="Times New Roman Bold"/>
          <w:smallCaps/>
          <w:noProof/>
          <w:color w:val="auto"/>
          <w:sz w:val="26"/>
        </w:rPr>
        <w:lastRenderedPageBreak/>
        <w:t>Въведение</w:t>
      </w:r>
    </w:p>
    <w:p>
      <w:pPr>
        <w:spacing w:after="0"/>
        <w:jc w:val="both"/>
        <w:rPr>
          <w:rFonts w:ascii="Times New Roman" w:eastAsia="Arial Unicode MS" w:hAnsi="Times New Roman"/>
          <w:noProof/>
          <w:sz w:val="24"/>
          <w:szCs w:val="24"/>
        </w:rPr>
      </w:pPr>
      <w:r>
        <w:rPr>
          <w:rFonts w:ascii="Times New Roman" w:hAnsi="Times New Roman"/>
          <w:noProof/>
          <w:sz w:val="24"/>
        </w:rPr>
        <w:t>Член</w:t>
      </w:r>
      <w:r>
        <w:rPr>
          <w:rFonts w:ascii="Times New Roman" w:hAnsi="Times New Roman"/>
          <w:noProof/>
          <w:sz w:val="24"/>
          <w:lang w:val="fr-CA"/>
        </w:rPr>
        <w:t> </w:t>
      </w:r>
      <w:r>
        <w:rPr>
          <w:rFonts w:ascii="Times New Roman" w:hAnsi="Times New Roman"/>
          <w:noProof/>
          <w:sz w:val="24"/>
        </w:rPr>
        <w:t>7 от Регламент (ЕО) № 1185/2009 (наричан по-нататък „Регламентът“) на Европейския парламент и на Съвета относно статистиката за пестициди</w:t>
      </w:r>
      <w:r>
        <w:rPr>
          <w:rFonts w:ascii="Times New Roman" w:hAnsi="Times New Roman"/>
          <w:noProof/>
          <w:sz w:val="24"/>
          <w:vertAlign w:val="superscript"/>
        </w:rPr>
        <w:footnoteReference w:id="1"/>
      </w:r>
      <w:r>
        <w:rPr>
          <w:rFonts w:ascii="Times New Roman" w:hAnsi="Times New Roman"/>
          <w:noProof/>
          <w:sz w:val="24"/>
        </w:rPr>
        <w:t xml:space="preserve"> гласи:</w:t>
      </w:r>
    </w:p>
    <w:p>
      <w:pPr>
        <w:spacing w:after="0"/>
        <w:jc w:val="both"/>
        <w:rPr>
          <w:rFonts w:ascii="Times New Roman" w:eastAsia="Arial Unicode MS" w:hAnsi="Times New Roman"/>
          <w:i/>
          <w:noProof/>
          <w:sz w:val="24"/>
          <w:szCs w:val="24"/>
        </w:rPr>
      </w:pPr>
      <w:r>
        <w:rPr>
          <w:rFonts w:ascii="Times New Roman" w:hAnsi="Times New Roman"/>
          <w:i/>
          <w:noProof/>
          <w:sz w:val="24"/>
        </w:rPr>
        <w:t>„Комисията представя на Европейския парламент и на Съвета доклад относно прилагането на настоящия регламент на всеки пет години. Този доклад оценява по-специално качеството на предадените данни съгласно член</w:t>
      </w:r>
      <w:r>
        <w:rPr>
          <w:rFonts w:ascii="Times New Roman" w:hAnsi="Times New Roman"/>
          <w:i/>
          <w:noProof/>
          <w:sz w:val="24"/>
          <w:lang w:val="fr-CA"/>
        </w:rPr>
        <w:t> </w:t>
      </w:r>
      <w:r>
        <w:rPr>
          <w:rFonts w:ascii="Times New Roman" w:hAnsi="Times New Roman"/>
          <w:i/>
          <w:noProof/>
          <w:sz w:val="24"/>
        </w:rPr>
        <w:t>4, методите за събиране на данни, тежестта за бизнеса, земеделските стопанства и националните администрации, както и ползата от тази статистика в контекста на тематичната стратегия за устойчива употреба на пестицидите, по-специално по отношение на целите, определени в член</w:t>
      </w:r>
      <w:r>
        <w:rPr>
          <w:rFonts w:ascii="Times New Roman" w:hAnsi="Times New Roman"/>
          <w:i/>
          <w:noProof/>
          <w:sz w:val="24"/>
          <w:lang w:val="fr-CA"/>
        </w:rPr>
        <w:t> </w:t>
      </w:r>
      <w:r>
        <w:rPr>
          <w:rFonts w:ascii="Times New Roman" w:hAnsi="Times New Roman"/>
          <w:i/>
          <w:noProof/>
          <w:sz w:val="24"/>
        </w:rPr>
        <w:t>1. Ако е подходящо, той съдържа предложения, предназначени да повишат по-нататък качеството на данните и методите за събиране на данни, с което да се подобри обхватът и съпоставимостта на данните и да се ограничи тежестта за бизнеса, земеделските стопанства и националните администрации. Първият доклад се представя до 31 декември 2016 г.“</w:t>
      </w:r>
    </w:p>
    <w:p>
      <w:pPr>
        <w:spacing w:after="0"/>
        <w:jc w:val="both"/>
        <w:rPr>
          <w:rFonts w:ascii="Times New Roman" w:eastAsia="Arial Unicode MS" w:hAnsi="Times New Roman"/>
          <w:noProof/>
          <w:sz w:val="24"/>
          <w:szCs w:val="24"/>
        </w:rPr>
      </w:pPr>
    </w:p>
    <w:p>
      <w:pPr>
        <w:pStyle w:val="Heading1"/>
        <w:numPr>
          <w:ilvl w:val="0"/>
          <w:numId w:val="1"/>
        </w:numPr>
        <w:spacing w:before="200" w:after="120"/>
        <w:rPr>
          <w:rFonts w:ascii="Times New Roman" w:eastAsia="Arial Unicode MS" w:hAnsi="Times New Roman" w:cs="Times New Roman"/>
          <w:smallCaps/>
          <w:noProof/>
          <w:color w:val="auto"/>
          <w:sz w:val="26"/>
          <w:szCs w:val="24"/>
        </w:rPr>
      </w:pPr>
      <w:r>
        <w:rPr>
          <w:rFonts w:ascii="Times New Roman" w:hAnsi="Times New Roman" w:cs="Times New Roman"/>
          <w:smallCaps/>
          <w:noProof/>
          <w:color w:val="auto"/>
          <w:sz w:val="26"/>
        </w:rPr>
        <w:t>Обхват и съдържание</w:t>
      </w:r>
    </w:p>
    <w:p>
      <w:pPr>
        <w:spacing w:after="0"/>
        <w:jc w:val="both"/>
        <w:rPr>
          <w:rFonts w:ascii="Times New Roman" w:eastAsia="Arial Unicode MS" w:hAnsi="Times New Roman"/>
          <w:noProof/>
          <w:sz w:val="24"/>
          <w:szCs w:val="24"/>
        </w:rPr>
      </w:pPr>
      <w:r>
        <w:rPr>
          <w:rFonts w:ascii="Times New Roman" w:hAnsi="Times New Roman"/>
          <w:noProof/>
          <w:sz w:val="24"/>
        </w:rPr>
        <w:t>Съгласно член 2, буква а) от Регламента „пестициди“ означава „продукт за растителна защита (ПРЗ) съгласно определението в член 2, параграф 1 от Регламент (ЕО) № 1107/2009</w:t>
      </w:r>
      <w:r>
        <w:rPr>
          <w:rStyle w:val="FootnoteReference"/>
          <w:b/>
          <w:noProof/>
        </w:rPr>
        <w:footnoteReference w:id="2"/>
      </w:r>
      <w:r>
        <w:rPr>
          <w:rFonts w:ascii="Times New Roman" w:hAnsi="Times New Roman"/>
          <w:noProof/>
          <w:sz w:val="24"/>
        </w:rPr>
        <w:t xml:space="preserve"> или биоциден продукт съгласно определението в член 2, параграф 1 от Директива 98/8/ЕО</w:t>
      </w:r>
      <w:r>
        <w:rPr>
          <w:rStyle w:val="FootnoteReference"/>
          <w:b/>
          <w:noProof/>
        </w:rPr>
        <w:footnoteReference w:id="3"/>
      </w:r>
      <w:r>
        <w:rPr>
          <w:rFonts w:ascii="Times New Roman" w:hAnsi="Times New Roman"/>
          <w:noProof/>
          <w:sz w:val="24"/>
        </w:rPr>
        <w:t>“. В Регламента се посочва, че държавите членки трябва да предават ежегодно на Комисията своите статистически данни относно пестицидите, пуснати на пазара всяка година (статистика относно продажбите на пестициди). Освен</w:t>
      </w:r>
      <w:r>
        <w:rPr>
          <w:rFonts w:ascii="Times New Roman" w:hAnsi="Times New Roman"/>
          <w:noProof/>
          <w:sz w:val="24"/>
          <w:lang w:val="fr-CA"/>
        </w:rPr>
        <w:t> </w:t>
      </w:r>
      <w:r>
        <w:rPr>
          <w:rFonts w:ascii="Times New Roman" w:hAnsi="Times New Roman"/>
          <w:noProof/>
          <w:sz w:val="24"/>
        </w:rPr>
        <w:t>това те трябва да представят статистика относно употребата на пестициди в селското стопанство (статистика относно употребата на пестициди) на всеки пет години. Данните следва да включват поверителна информация. Държавите членки също така трябва да представят на Комисията доклади за качеството на предадените данни, а Комисията на свой ред трябва да оцени качеството на тези данни.</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Статистика относно продажбите на пестициди</w:t>
      </w:r>
    </w:p>
    <w:p>
      <w:pPr>
        <w:spacing w:after="0"/>
        <w:jc w:val="both"/>
        <w:rPr>
          <w:rFonts w:ascii="Times New Roman" w:eastAsia="Arial Unicode MS" w:hAnsi="Times New Roman"/>
          <w:noProof/>
          <w:sz w:val="24"/>
          <w:szCs w:val="24"/>
        </w:rPr>
      </w:pPr>
      <w:r>
        <w:rPr>
          <w:rFonts w:ascii="Times New Roman" w:hAnsi="Times New Roman"/>
          <w:noProof/>
          <w:sz w:val="24"/>
        </w:rPr>
        <w:t>За пуснатите на пазара пестициди референтният период е календарната година. Първият референтен период беше втората календарна година след 30 декември 2009 г. Данните следва да се предават в 12-месечен срок от края на референтната година, а докладите за качеството — 3 месеца по-късно. Предадените досега данни и доклади за качеството обхващат референтните години от 2011 до 2014 включително.</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Статистика относно употребата на пестициди</w:t>
      </w:r>
    </w:p>
    <w:p>
      <w:pPr>
        <w:spacing w:after="0"/>
        <w:jc w:val="both"/>
        <w:rPr>
          <w:rFonts w:ascii="Times New Roman" w:eastAsia="Arial Unicode MS" w:hAnsi="Times New Roman"/>
          <w:noProof/>
          <w:sz w:val="24"/>
          <w:szCs w:val="24"/>
        </w:rPr>
      </w:pPr>
      <w:r>
        <w:rPr>
          <w:rFonts w:ascii="Times New Roman" w:hAnsi="Times New Roman"/>
          <w:noProof/>
          <w:sz w:val="24"/>
        </w:rPr>
        <w:t>За статистиката относно употребата на пестициди в селското стопанство референтният период трябва да бъде период от максимум 12 месеца в рамките на всеки петгодишен период. Първият петгодишен период започна през първата календарна година след 30</w:t>
      </w:r>
      <w:r>
        <w:rPr>
          <w:rFonts w:ascii="Times New Roman" w:hAnsi="Times New Roman"/>
          <w:noProof/>
          <w:sz w:val="24"/>
          <w:lang w:val="fr-CA"/>
        </w:rPr>
        <w:t> </w:t>
      </w:r>
      <w:r>
        <w:rPr>
          <w:rFonts w:ascii="Times New Roman" w:hAnsi="Times New Roman"/>
          <w:noProof/>
          <w:sz w:val="24"/>
        </w:rPr>
        <w:t>декември 2009 г. Тези данни  и доклади за качеството се очакват в 12-месечен срок след края на всеки петгодишен период. Поради това предаването на данните и докладите за качеството за първия петгодишен период (референтни години 2010—2014 включително) приключи през декември 2015 г.</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И при двата набора от данни Комисията (Евростат) трябва да обобщи данните преди публикуването им, като надлежно отчита защитата на поверителните данни на държавите членки. Това означава, че Комисията (Евростат) не може да предостави никакви статистически данни относно отделни активни вещества.</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b/>
          <w:noProof/>
          <w:sz w:val="24"/>
          <w:szCs w:val="24"/>
          <w:u w:val="single"/>
        </w:rPr>
      </w:pPr>
      <w:r>
        <w:rPr>
          <w:rFonts w:ascii="Times New Roman" w:hAnsi="Times New Roman"/>
          <w:noProof/>
          <w:sz w:val="24"/>
        </w:rPr>
        <w:t>В следващите глави се прави обща оценка на качеството на данните относно продажбите на пестициди, предадени от държавите членки. Тази оценка се основава на докладите за качеството, представени от държавите членки съгласно изискването в член</w:t>
      </w:r>
      <w:r>
        <w:rPr>
          <w:rFonts w:ascii="Times New Roman" w:hAnsi="Times New Roman"/>
          <w:noProof/>
          <w:sz w:val="24"/>
          <w:lang w:val="fr-CA"/>
        </w:rPr>
        <w:t> </w:t>
      </w:r>
      <w:r>
        <w:rPr>
          <w:rFonts w:ascii="Times New Roman" w:hAnsi="Times New Roman"/>
          <w:noProof/>
          <w:sz w:val="24"/>
        </w:rPr>
        <w:t>4 от Регламента. Приложимите критерии за качество са посочени в член 12, параграф</w:t>
      </w:r>
      <w:r>
        <w:rPr>
          <w:rFonts w:ascii="Times New Roman" w:hAnsi="Times New Roman"/>
          <w:noProof/>
          <w:sz w:val="24"/>
          <w:lang w:val="fr-CA"/>
        </w:rPr>
        <w:t> </w:t>
      </w:r>
      <w:r>
        <w:rPr>
          <w:rFonts w:ascii="Times New Roman" w:hAnsi="Times New Roman"/>
          <w:noProof/>
          <w:sz w:val="24"/>
        </w:rPr>
        <w:t>1 „</w:t>
      </w:r>
      <w:r>
        <w:rPr>
          <w:rFonts w:ascii="Times New Roman" w:hAnsi="Times New Roman"/>
          <w:i/>
          <w:noProof/>
          <w:sz w:val="24"/>
        </w:rPr>
        <w:t>Качество на статистиката</w:t>
      </w:r>
      <w:r>
        <w:rPr>
          <w:rFonts w:ascii="Times New Roman" w:hAnsi="Times New Roman"/>
          <w:noProof/>
          <w:sz w:val="24"/>
        </w:rPr>
        <w:t>“ от Регламент (ЕО) № 223/2009</w:t>
      </w:r>
      <w:r>
        <w:rPr>
          <w:rStyle w:val="FootnoteReference"/>
          <w:rFonts w:ascii="Times New Roman" w:hAnsi="Times New Roman"/>
          <w:noProof/>
          <w:sz w:val="24"/>
        </w:rPr>
        <w:footnoteReference w:id="4"/>
      </w:r>
      <w:r>
        <w:rPr>
          <w:rFonts w:ascii="Times New Roman" w:hAnsi="Times New Roman"/>
          <w:noProof/>
          <w:sz w:val="24"/>
        </w:rPr>
        <w:t>. Валидирането на докладите за качество на статистиката относно употребата на пестициди все още не е приключило, поради което те не са анализирани по-долу.</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Методи за събиране на данни и източници</w:t>
      </w:r>
    </w:p>
    <w:p>
      <w:pPr>
        <w:spacing w:after="0"/>
        <w:jc w:val="both"/>
        <w:rPr>
          <w:rFonts w:ascii="Times New Roman" w:eastAsia="Arial Unicode MS" w:hAnsi="Times New Roman"/>
          <w:noProof/>
          <w:sz w:val="24"/>
          <w:szCs w:val="24"/>
        </w:rPr>
      </w:pPr>
      <w:r>
        <w:rPr>
          <w:rFonts w:ascii="Times New Roman" w:hAnsi="Times New Roman"/>
          <w:noProof/>
          <w:sz w:val="24"/>
        </w:rPr>
        <w:t>За повечето от 28-те държави членки и Норвегия всички използвани първични данни относно продажбите на пестициди са получени от административни източници, за които докладването е задължително по закон. Всички държави с изключение на Дания, Словения и Норвегия считат за поверителна цялата информация, свързана с индивидуални респонденти. Повечето държави не разполагат с публични бази данни и в статистическите публикации и/или уебсайтове обикновено са достъпни обобщени данни. При поискване индивидуални данни са достъпни в Белгия и Норвегия. Тъй като Швейцария прилага дерогация, няма налични доклади за качеството. За повече подробности вж. приложение I.</w:t>
      </w:r>
    </w:p>
    <w:p>
      <w:pPr>
        <w:spacing w:after="0"/>
        <w:jc w:val="both"/>
        <w:rPr>
          <w:rFonts w:ascii="Times New Roman" w:eastAsia="Arial Unicode MS"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Качество на предадените данни</w:t>
      </w:r>
    </w:p>
    <w:p>
      <w:pPr>
        <w:spacing w:after="0"/>
        <w:jc w:val="both"/>
        <w:rPr>
          <w:rFonts w:ascii="Times New Roman" w:eastAsia="Arial Unicode MS" w:hAnsi="Times New Roman"/>
          <w:noProof/>
          <w:sz w:val="24"/>
          <w:szCs w:val="24"/>
        </w:rPr>
      </w:pPr>
      <w:r>
        <w:rPr>
          <w:rFonts w:ascii="Times New Roman" w:hAnsi="Times New Roman"/>
          <w:noProof/>
          <w:sz w:val="24"/>
        </w:rPr>
        <w:t>Всички държави членки, Швейцария и Норвегия спазват изискванията във връзка с обхвата и актуалността на своите данни. Повечето държави представят своите набори от данни своевременно и реагират в дух на добро сътрудничество, когато се налагат допълнителни проверки или корекции.</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Що се отнася до точността, надеждността и съпоставимостта, повечето държави посочиха, че тъй като техните първични данни относно продажбите на пестициди се събират от административни източници или притежателите на разрешение, те считат представените данни за точни. В допълнение към това извадковите грешки са без значение, тъй като се събират само действителните административни стойности и не се използват приблизителни изчисления или извадки. При все това се използват различни методи за събиране на данни.</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Поради това Комисията счита, че всички първични данни относно продажбите на пестициди са точни и надеждни, тъй като няма изчисления или приближения на стойностите, които статистическите данни са предназначени да измерят. В</w:t>
      </w:r>
      <w:r>
        <w:rPr>
          <w:rFonts w:ascii="Times New Roman" w:hAnsi="Times New Roman"/>
          <w:noProof/>
          <w:sz w:val="24"/>
          <w:lang w:val="fr-CA"/>
        </w:rPr>
        <w:t> </w:t>
      </w:r>
      <w:r>
        <w:rPr>
          <w:rFonts w:ascii="Times New Roman" w:hAnsi="Times New Roman"/>
          <w:noProof/>
          <w:sz w:val="24"/>
        </w:rPr>
        <w:t>съответствие с това обобщените данни относно продажбите на пестициди също се считат за точни и надеждни.</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Като цяло повечето държави докладваха, че са предприели следните предпазни мерки, за да гарантират качеството на статистиката, което се изисква във връзка с техните данни:</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редовен преглед и актуализиране на техните въпросници;</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отчитане на докладваните проблеми и препоръките, отправени от респондентите в предходните години;</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използване на пълен каталог на разрешените продукти;</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подлагане на данните на вътрешни процеси по контрол на качеството;</w:t>
      </w:r>
    </w:p>
    <w:p>
      <w:pPr>
        <w:numPr>
          <w:ilvl w:val="0"/>
          <w:numId w:val="10"/>
        </w:numPr>
        <w:spacing w:after="0"/>
        <w:jc w:val="both"/>
        <w:rPr>
          <w:rFonts w:ascii="Times New Roman" w:eastAsia="Arial Unicode MS" w:hAnsi="Times New Roman"/>
          <w:noProof/>
          <w:sz w:val="24"/>
          <w:szCs w:val="24"/>
        </w:rPr>
      </w:pPr>
      <w:r>
        <w:rPr>
          <w:rFonts w:ascii="Times New Roman" w:hAnsi="Times New Roman"/>
          <w:noProof/>
          <w:sz w:val="24"/>
        </w:rPr>
        <w:t>съхраняване на данните в сигурна среда, когато са обект на статистическа поверителност.</w:t>
      </w:r>
    </w:p>
    <w:p>
      <w:pPr>
        <w:spacing w:after="0"/>
        <w:jc w:val="both"/>
        <w:rPr>
          <w:rFonts w:ascii="Times New Roman" w:eastAsia="Arial Unicode MS" w:hAnsi="Times New Roman"/>
          <w:noProof/>
          <w:sz w:val="24"/>
          <w:szCs w:val="24"/>
        </w:rPr>
      </w:pPr>
    </w:p>
    <w:p>
      <w:pPr>
        <w:spacing w:after="0"/>
        <w:jc w:val="both"/>
        <w:rPr>
          <w:rFonts w:ascii="Times New Roman" w:eastAsia="Arial Unicode MS" w:hAnsi="Times New Roman"/>
          <w:noProof/>
          <w:sz w:val="24"/>
          <w:szCs w:val="24"/>
        </w:rPr>
      </w:pPr>
      <w:r>
        <w:rPr>
          <w:rFonts w:ascii="Times New Roman" w:hAnsi="Times New Roman"/>
          <w:noProof/>
          <w:sz w:val="24"/>
        </w:rPr>
        <w:t>Данните относно продажбите на пестициди осигуряват добра представа за общото количество на пестицидните продукти, пуснати на пазара в национален мащаб. Те</w:t>
      </w:r>
      <w:r>
        <w:rPr>
          <w:rFonts w:ascii="Times New Roman" w:hAnsi="Times New Roman"/>
          <w:noProof/>
          <w:sz w:val="24"/>
          <w:lang w:val="fr-CA"/>
        </w:rPr>
        <w:t> </w:t>
      </w:r>
      <w:r>
        <w:rPr>
          <w:rFonts w:ascii="Times New Roman" w:hAnsi="Times New Roman"/>
          <w:noProof/>
          <w:sz w:val="24"/>
        </w:rPr>
        <w:t>могат да откроят някои тенденции по отношение на нови видове пестициди, количествата на продуктите във времето и последващите рискове за хората и околната среда. Тези предвиждания могат да се подобрят в бъдеще, като се прави разграничение между професионално разрешение и разрешение „за дома и градината“ (т.е. съответно за селскостопанска и неселскостопанска употреба). Биха могли да се предвидят и допълнителни проверки на качеството на данните за обемите на останалите запаси. За</w:t>
      </w:r>
      <w:r>
        <w:rPr>
          <w:rFonts w:ascii="Times New Roman" w:hAnsi="Times New Roman"/>
          <w:noProof/>
          <w:sz w:val="24"/>
          <w:lang w:val="fr-CA"/>
        </w:rPr>
        <w:t> </w:t>
      </w:r>
      <w:r>
        <w:rPr>
          <w:rFonts w:ascii="Times New Roman" w:hAnsi="Times New Roman"/>
          <w:noProof/>
          <w:sz w:val="24"/>
        </w:rPr>
        <w:t>повече информация вж. приложение II.</w:t>
      </w:r>
    </w:p>
    <w:p>
      <w:pPr>
        <w:spacing w:after="0"/>
        <w:jc w:val="both"/>
        <w:rPr>
          <w:rFonts w:ascii="Times New Roman" w:eastAsia="Arial Unicode MS" w:hAnsi="Times New Roman"/>
          <w:noProof/>
          <w:sz w:val="24"/>
          <w:szCs w:val="24"/>
        </w:rPr>
      </w:pPr>
    </w:p>
    <w:p>
      <w:pPr>
        <w:pStyle w:val="Heading1"/>
        <w:numPr>
          <w:ilvl w:val="0"/>
          <w:numId w:val="1"/>
        </w:numPr>
        <w:spacing w:before="200" w:after="120"/>
        <w:rPr>
          <w:rFonts w:ascii="Times New Roman" w:eastAsia="Arial Unicode MS" w:hAnsi="Times New Roman" w:cs="Times New Roman"/>
          <w:smallCaps/>
          <w:noProof/>
          <w:color w:val="auto"/>
          <w:sz w:val="26"/>
          <w:szCs w:val="24"/>
        </w:rPr>
      </w:pPr>
      <w:r>
        <w:rPr>
          <w:rFonts w:ascii="Times New Roman" w:hAnsi="Times New Roman" w:cs="Times New Roman"/>
          <w:smallCaps/>
          <w:noProof/>
          <w:color w:val="auto"/>
          <w:sz w:val="26"/>
        </w:rPr>
        <w:t>Относимост — Полза от статистическите данни и разпространение</w:t>
      </w: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Получена информация от заинтересованите страни</w:t>
      </w:r>
    </w:p>
    <w:p>
      <w:pPr>
        <w:spacing w:after="0"/>
        <w:jc w:val="both"/>
        <w:rPr>
          <w:rFonts w:ascii="Times New Roman" w:hAnsi="Times New Roman"/>
          <w:noProof/>
          <w:sz w:val="24"/>
          <w:szCs w:val="24"/>
        </w:rPr>
      </w:pPr>
      <w:r>
        <w:rPr>
          <w:rFonts w:ascii="Times New Roman" w:hAnsi="Times New Roman"/>
          <w:noProof/>
          <w:sz w:val="24"/>
        </w:rPr>
        <w:t>По време на консултациите със съответните служби и агенции на Комисията бе предложено да бъдат взети под внимание следните важни аспекти:</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rPr>
        <w:t>Всички законодателни актове относно статистиката за пестициди следва да са съобразени с хармонизираните показатели за риска, които Комисията следва да разработи съгласно член 15 от Директивата за устойчива употреба на пестициди (ДУУП)</w:t>
      </w:r>
      <w:r>
        <w:rPr>
          <w:rStyle w:val="FootnoteReference"/>
          <w:noProof/>
          <w:color w:val="auto"/>
        </w:rPr>
        <w:footnoteReference w:id="5"/>
      </w:r>
      <w:r>
        <w:rPr>
          <w:rFonts w:ascii="Times New Roman" w:hAnsi="Times New Roman"/>
          <w:noProof/>
          <w:color w:val="auto"/>
          <w:sz w:val="24"/>
        </w:rPr>
        <w:t>, и следва да улесняват изчисляването на показателите за риска „чрез използване на събраните статистически данни“. Задачата, свързана със събиране на статистически данни относно пестицидите, не може да се разглежда напълно изолирано от задачата, свързана с използване на тези данни за изчисляване на риска. Изглежда логично първо да бъдат определени показателите за риска, преди да се вземе решение относно данните, които ще се събират за съответната цел. Необходими са допълнителни обсъждания и държавите членки също ще бъдат консултирани в рамките на работната група относно ДУУП.</w:t>
      </w: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rPr>
        <w:t>Заинтересованите страни предлагат законодателството да бъде адаптирано, така че обобщените на по-ниско равнище стойности да могат да бъдат оповестени, тъй като те биха могли да бъдат необходими за изчисляване на показателите за риска. Бяха отчетени както затрудненията при събирането на значими данни относно употребата на пестициди от земеделските стопани и разходите на държавите членки в тази връзка, така и затрудненията във връзка с постигането на съгласие на равнището на Съюза по това кои култури да се вземат предвид, тъй като те могат да се различават значително в отделните климатични зони на Европа.</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eastAsia="Arial Unicode MS" w:hAnsi="Times New Roman"/>
          <w:noProof/>
          <w:color w:val="auto"/>
          <w:sz w:val="24"/>
          <w:szCs w:val="24"/>
        </w:rPr>
      </w:pPr>
      <w:r>
        <w:rPr>
          <w:rFonts w:ascii="Times New Roman" w:hAnsi="Times New Roman"/>
          <w:noProof/>
          <w:color w:val="auto"/>
          <w:sz w:val="24"/>
        </w:rPr>
        <w:t xml:space="preserve">Пестицидите причиняват замърсяване и оказват пряко въздействие, особено по отношение на състоянието на биологичното разнообразие, водните обекти и почвите. За да се гарантира, че се предприемат подходящи мерки във връзка с тези ефекти, е изключително важно създателите на политики да бъдат в състояние количествено да определят риска и равнището на замърсяване с пестициди. Това също така ще спомогне да се подобри прилагането на съществуващите инструменти на екологичната политика и ще послужи за установяване на оставащите пропуски в политиката, за да се преодолеят породените от пестициди въздействия върху околната среда. Понастоящем политиките, във връзка с които са необходими такива данни, са стратегията на ЕС за биологичното разнообразие до 2020 г., общата селскостопанска политика (ОСП), Рамковата директива за водите и тематичната стратегия за почвите. </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rPr>
        <w:t xml:space="preserve">Статистиката за пестицидите също така се обобщава, за да се осъществи ефективен принос към оценката на риска за околната среда. Надеждният анализ на въздействието от употребата на пестициди върху екосистемите ще изисква данни за това кои конкретни активни вещества в пестицидите се прилагат за кои култури, както и информация за видовете екосистеми, в които са разположени тези култури. Данните относно опасните свойства, т.е. (еко)токсикологичните свойства, са специфични за активните вещества. Поради това единственият начин за ефективно съчетаване на данни относно опасните свойства с данни относно експозицията с цел да се разбере рискът е да се разполага с данни относно равнището на употреба на специфични активни вещества в пестицидите, разбити по култури, области и видове екосистеми. В допълнение към това ще трябва да се приложат методи за кумулативна оценка на риска, за да се разбере как смесите от активни вещества, антидоти и синергисти взаимодействат за създаване на комбинираните ефекти в пестицидите. </w:t>
      </w:r>
    </w:p>
    <w:p>
      <w:pPr>
        <w:spacing w:after="0"/>
        <w:jc w:val="both"/>
        <w:rPr>
          <w:rFonts w:ascii="Times New Roman" w:hAnsi="Times New Roman"/>
          <w:noProof/>
          <w:sz w:val="24"/>
          <w:szCs w:val="24"/>
        </w:rPr>
      </w:pPr>
    </w:p>
    <w:p>
      <w:pPr>
        <w:pStyle w:val="ListParagraph"/>
        <w:numPr>
          <w:ilvl w:val="0"/>
          <w:numId w:val="18"/>
        </w:numPr>
        <w:spacing w:after="0"/>
        <w:jc w:val="both"/>
        <w:rPr>
          <w:rFonts w:ascii="Times New Roman" w:hAnsi="Times New Roman"/>
          <w:noProof/>
          <w:color w:val="auto"/>
          <w:sz w:val="24"/>
          <w:szCs w:val="24"/>
        </w:rPr>
      </w:pPr>
      <w:r>
        <w:rPr>
          <w:rFonts w:ascii="Times New Roman" w:hAnsi="Times New Roman"/>
          <w:noProof/>
          <w:color w:val="auto"/>
          <w:sz w:val="24"/>
        </w:rPr>
        <w:t>Съгласно Регламента от държавите членки не се изисква информация относно вида на екосистемата, в която се прилагат веществата. Въздействието на смесите от активни вещества върху екосистемата, в която е разположена дадена култура, зависи от характеристиките на тази екосистема, включително биотични и абиотични свойства. В проекта за картографиране и оценка на екосистемите и техните услуги</w:t>
      </w:r>
      <w:r>
        <w:rPr>
          <w:rStyle w:val="FootnoteReference"/>
          <w:noProof/>
          <w:color w:val="auto"/>
        </w:rPr>
        <w:footnoteReference w:id="6"/>
      </w:r>
      <w:r>
        <w:rPr>
          <w:rFonts w:ascii="Times New Roman" w:hAnsi="Times New Roman"/>
          <w:noProof/>
          <w:color w:val="auto"/>
          <w:sz w:val="24"/>
        </w:rPr>
        <w:t xml:space="preserve"> се представя договорена типология на екосистемите. Тази типология би могла да послужи като основа за докладването на държавите членки относно употребата на пестициди по видове екосистеми и да подобри нашето разбиране за рисковете от пестицидите за околната среда. Необходим е надежден анализ на свързаните с пестицидите рискове за околната среда, който да подкрепи сравнителната оценка на кандидатите за замяна, която се изисква съгласно член 50 от Регламент (ЕО) № 1107/2009 относно пускането на пазара на продукти за растителна защита. Това е невъзможно с наличните понастоящем данни.</w:t>
      </w:r>
    </w:p>
    <w:p>
      <w:pPr>
        <w:spacing w:after="0"/>
        <w:jc w:val="both"/>
        <w:rPr>
          <w:rFonts w:ascii="Times New Roman" w:eastAsia="Arial Unicode MS" w:hAnsi="Times New Roman"/>
          <w:b/>
          <w:i/>
          <w:noProof/>
          <w:sz w:val="24"/>
          <w:szCs w:val="24"/>
          <w:u w:val="single"/>
        </w:rPr>
      </w:pPr>
    </w:p>
    <w:p>
      <w:pPr>
        <w:pStyle w:val="ListParagraph"/>
        <w:numPr>
          <w:ilvl w:val="0"/>
          <w:numId w:val="18"/>
        </w:numPr>
        <w:spacing w:after="0"/>
        <w:jc w:val="both"/>
        <w:rPr>
          <w:rFonts w:ascii="Times New Roman" w:eastAsia="Arial Unicode MS" w:hAnsi="Times New Roman"/>
          <w:noProof/>
          <w:color w:val="auto"/>
          <w:sz w:val="24"/>
          <w:szCs w:val="24"/>
        </w:rPr>
      </w:pPr>
      <w:r>
        <w:rPr>
          <w:rFonts w:ascii="Times New Roman" w:hAnsi="Times New Roman"/>
          <w:noProof/>
          <w:color w:val="auto"/>
          <w:sz w:val="24"/>
        </w:rPr>
        <w:t>Ако е налична достатъчно подробна статистика за пестицидите, тя би могла да бъде изключително полезна за извършването на ретроспективни оценки на риска по отношение на действителните нива на риска, които се очакват от цялостната употреба на пестициди в ЕС, за здравето на хората и животните и за околната среда. Това би позволило да се правят прогнози за евентуалните тенденции въз основа на риска, които да допълват тези, основани на продажбите. Тъй като всяко активно вещество в пестицидите има различна токсичност и вероятност от експозиция, тенденциите, основани на риска от тези вещества за здравето на хората и животните и различните групи от нецелеви организми, биха могли да бъдат изключително ценни за подкрепяне на политиките на ЕС в областта на общественото здраве, защитата на потребителите, здравето на животните и опазването на околната среда. Тези оценки биха допълвали годишните оценки на риска за потребителите, свързан с нивата на остатъчни вещества от пестициди, които се наблюдават от държавите членки.</w:t>
      </w:r>
    </w:p>
    <w:p>
      <w:pPr>
        <w:pStyle w:val="ListParagraph"/>
        <w:spacing w:after="0"/>
        <w:jc w:val="both"/>
        <w:rPr>
          <w:rFonts w:ascii="Times New Roman" w:eastAsia="Arial Unicode MS" w:hAnsi="Times New Roman"/>
          <w:noProof/>
          <w:color w:val="auto"/>
          <w:sz w:val="24"/>
          <w:szCs w:val="24"/>
        </w:rPr>
      </w:pPr>
    </w:p>
    <w:p>
      <w:pPr>
        <w:pStyle w:val="ListParagraph"/>
        <w:numPr>
          <w:ilvl w:val="0"/>
          <w:numId w:val="18"/>
        </w:numPr>
        <w:spacing w:after="0"/>
        <w:jc w:val="both"/>
        <w:rPr>
          <w:rFonts w:ascii="Times New Roman" w:eastAsia="Arial Unicode MS" w:hAnsi="Times New Roman"/>
          <w:noProof/>
          <w:color w:val="auto"/>
          <w:sz w:val="24"/>
          <w:szCs w:val="24"/>
        </w:rPr>
      </w:pPr>
      <w:r>
        <w:rPr>
          <w:rFonts w:ascii="Times New Roman" w:hAnsi="Times New Roman"/>
          <w:noProof/>
          <w:color w:val="auto"/>
          <w:sz w:val="24"/>
        </w:rPr>
        <w:t>Би могъл да се постигне баланс между поверителността и относимостта или ползата от данните, като се проучат различни варианти за обобщаване, например въз основа на токсичността и моделите на употреба. В съответствие с това се предлага установяването на диалог между службите и агенциите на Комисията и други имащи отношение участници, за да се проучат варианти, които биха могли да спомогнат да се увеличат до максимум относимостта и ползата от данните в бъдеще.</w:t>
      </w:r>
    </w:p>
    <w:p>
      <w:pPr>
        <w:pStyle w:val="ListParagraph"/>
        <w:spacing w:after="0"/>
        <w:jc w:val="both"/>
        <w:rPr>
          <w:rFonts w:ascii="Times New Roman" w:eastAsia="Arial Unicode MS" w:hAnsi="Times New Roman"/>
          <w:noProof/>
          <w:color w:val="auto"/>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Проучвания относно неселскостопанската употреба на пестициди</w:t>
      </w:r>
    </w:p>
    <w:p>
      <w:pPr>
        <w:spacing w:after="0"/>
        <w:jc w:val="both"/>
        <w:rPr>
          <w:rFonts w:ascii="Times New Roman" w:hAnsi="Times New Roman"/>
          <w:noProof/>
          <w:sz w:val="24"/>
          <w:szCs w:val="24"/>
        </w:rPr>
      </w:pPr>
      <w:r>
        <w:rPr>
          <w:rFonts w:ascii="Times New Roman" w:hAnsi="Times New Roman"/>
          <w:noProof/>
          <w:sz w:val="24"/>
        </w:rPr>
        <w:t xml:space="preserve">Селското стопанство е най-очевидният и вероятно най-големият професионален сектор, в който се употребяват пестициди. Други професионални или непрофесионални потребители обаче също могат да са отговорни в по-голяма или по-малка степен за общото количество на употребяваните пестициди. В доклада за качеството, който ще придружава данните относно употребата на пестициди в селското стопанство, се предвижда сравнение на количествата пестициди, употребявани в селското стопанство, с общото количество, пуснато на пазара. Регламентът обхваща както годишната статистика относно пускането на пазара на пестициди, така и статистиката относно употребата на пестициди в селското стопанство. Между тези два набора от данни липсва съгласуваност, тъй като няма информация за пестицидите, използвани за неселскостопански цели. Това беше отбелязано и по време на преговорите, предшествали одобряването на Регламента, така че в раздел 6 („Доклад за качеството“) от приложение II към Регламента беше добавено следното тире: </w:t>
      </w:r>
      <w:r>
        <w:rPr>
          <w:rFonts w:ascii="Times New Roman" w:hAnsi="Times New Roman"/>
          <w:i/>
          <w:noProof/>
          <w:sz w:val="24"/>
        </w:rPr>
        <w:t>„— кратко описание на търговската употреба за неселскостопански цели на пестициди, получени в рамките на пилотни проучвания, които следва да се ръководят от Комисията“</w:t>
      </w:r>
      <w:r>
        <w:rPr>
          <w:rFonts w:ascii="Times New Roman" w:hAnsi="Times New Roman"/>
          <w:noProof/>
          <w:sz w:val="24"/>
        </w:rPr>
        <w:t>.</w:t>
      </w:r>
    </w:p>
    <w:p>
      <w:pPr>
        <w:spacing w:after="0"/>
        <w:jc w:val="both"/>
        <w:rPr>
          <w:rFonts w:ascii="Times New Roman" w:hAnsi="Times New Roman"/>
          <w:noProof/>
          <w:sz w:val="24"/>
          <w:szCs w:val="24"/>
        </w:rPr>
      </w:pPr>
    </w:p>
    <w:p>
      <w:pPr>
        <w:keepNext/>
        <w:spacing w:after="0"/>
        <w:jc w:val="both"/>
        <w:rPr>
          <w:rFonts w:ascii="Times New Roman" w:hAnsi="Times New Roman"/>
          <w:noProof/>
          <w:sz w:val="24"/>
          <w:szCs w:val="24"/>
        </w:rPr>
      </w:pPr>
      <w:r>
        <w:rPr>
          <w:rFonts w:ascii="Times New Roman" w:hAnsi="Times New Roman"/>
          <w:noProof/>
          <w:sz w:val="24"/>
        </w:rPr>
        <w:t>Фигура 1. Преглед на различните видове употреба на пестицидите</w:t>
      </w:r>
    </w:p>
    <w:p>
      <w:pPr>
        <w:spacing w:after="0"/>
        <w:jc w:val="both"/>
        <w:rPr>
          <w:rFonts w:ascii="Times New Roman" w:hAnsi="Times New Roman"/>
          <w:noProof/>
          <w:sz w:val="24"/>
          <w:szCs w:val="24"/>
        </w:rPr>
      </w:pPr>
      <w:r>
        <w:rPr>
          <w:rFonts w:ascii="Times New Roman" w:hAnsi="Times New Roman"/>
          <w:noProof/>
          <w:sz w:val="24"/>
          <w:szCs w:val="24"/>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2684780</wp:posOffset>
                </wp:positionH>
                <wp:positionV relativeFrom="paragraph">
                  <wp:posOffset>1595120</wp:posOffset>
                </wp:positionV>
                <wp:extent cx="3022600" cy="826135"/>
                <wp:effectExtent l="0" t="0" r="25400" b="12065"/>
                <wp:wrapNone/>
                <wp:docPr id="2" name="Rounded Rectangle 2"/>
                <wp:cNvGraphicFramePr/>
                <a:graphic xmlns:a="http://schemas.openxmlformats.org/drawingml/2006/main">
                  <a:graphicData uri="http://schemas.microsoft.com/office/word/2010/wordprocessingShape">
                    <wps:wsp>
                      <wps:cNvSpPr/>
                      <wps:spPr>
                        <a:xfrm>
                          <a:off x="0" y="0"/>
                          <a:ext cx="3022600" cy="826135"/>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sz w:val="32"/>
                              </w:rPr>
                              <w:t>Употреба за неселскостопански цели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6" style="position:absolute;left:0;text-align:left;margin-left:211.4pt;margin-top:125.6pt;width:238pt;height:6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" fillcolor="white [3201]" strokecolor="black [3200]" strokeweight="2pt">
                <v:textbox>
                  <w:txbxContent>
                    <w:p>
                      <w:pPr>
                        <w:jc w:val="center"/>
                        <w:rPr>
                          <w:sz w:val="32"/>
                          <w:szCs w:val="32"/>
                        </w:rPr>
                      </w:pPr>
                      <w:r>
                        <w:rPr>
                          <w:sz w:val="32"/>
                        </w:rPr>
                        <w:t>Употреба за неселскостопански цели</w:t>
                      </w:r>
                    </w:p>
                  </w:txbxContent>
                </v:textbox>
              </v:roundrect>
            </w:pict>
          </mc:Fallback>
        </mc:AlternateContent>
      </w:r>
      <w:r>
        <w:rPr>
          <w:rFonts w:ascii="Times New Roman" w:hAnsi="Times New Roman"/>
          <w:noProof/>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1595512</wp:posOffset>
                </wp:positionV>
                <wp:extent cx="2394585" cy="826621"/>
                <wp:effectExtent l="0" t="0" r="24765" b="12065"/>
                <wp:wrapNone/>
                <wp:docPr id="1" name="Rounded Rectangle 1"/>
                <wp:cNvGraphicFramePr/>
                <a:graphic xmlns:a="http://schemas.openxmlformats.org/drawingml/2006/main">
                  <a:graphicData uri="http://schemas.microsoft.com/office/word/2010/wordprocessingShape">
                    <wps:wsp>
                      <wps:cNvSpPr/>
                      <wps:spPr>
                        <a:xfrm>
                          <a:off x="0" y="0"/>
                          <a:ext cx="2394585" cy="826621"/>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sz w:val="32"/>
                              </w:rPr>
                              <w:t>Селскостопанска употреба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7" style="position:absolute;left:0;text-align:left;margin-left:0;margin-top:125.65pt;width:188.55pt;height:6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" fillcolor="white [3201]" strokecolor="black [3200]" strokeweight="2pt">
                <v:textbox>
                  <w:txbxContent>
                    <w:p>
                      <w:pPr>
                        <w:jc w:val="center"/>
                        <w:rPr>
                          <w:sz w:val="32"/>
                          <w:szCs w:val="32"/>
                        </w:rPr>
                      </w:pPr>
                      <w:r>
                        <w:rPr>
                          <w:sz w:val="32"/>
                        </w:rPr>
                        <w:t>Селскостопанска употреба</w:t>
                      </w:r>
                    </w:p>
                  </w:txbxContent>
                </v:textbox>
              </v:roundrect>
            </w:pict>
          </mc:Fallback>
        </mc:AlternateContent>
      </w:r>
      <w:r>
        <w:rPr>
          <w:rFonts w:ascii="Times New Roman" w:hAnsi="Times New Roman"/>
          <w:noProof/>
          <w:sz w:val="24"/>
          <w:szCs w:val="24"/>
          <w:lang w:val="en-US" w:eastAsia="en-US" w:bidi="ar-SA"/>
        </w:rPr>
        <mc:AlternateContent>
          <mc:Choice Requires="wpg">
            <w:drawing>
              <wp:inline distT="0" distB="0" distL="0" distR="0">
                <wp:extent cx="5708016" cy="1595336"/>
                <wp:effectExtent l="0" t="0" r="26035" b="5080"/>
                <wp:docPr id="25" name="Group 25"/>
                <wp:cNvGraphicFramePr/>
                <a:graphic xmlns:a="http://schemas.openxmlformats.org/drawingml/2006/main">
                  <a:graphicData uri="http://schemas.microsoft.com/office/word/2010/wordprocessingGroup">
                    <wpg:wgp>
                      <wpg:cNvGrpSpPr/>
                      <wpg:grpSpPr>
                        <a:xfrm>
                          <a:off x="0" y="0"/>
                          <a:ext cx="5708016" cy="1595336"/>
                          <a:chOff x="-12" y="96982"/>
                          <a:chExt cx="4495754" cy="1551405"/>
                        </a:xfrm>
                      </wpg:grpSpPr>
                      <wps:wsp>
                        <wps:cNvPr id="26" name="Rounded Rectangle 26"/>
                        <wps:cNvSpPr/>
                        <wps:spPr>
                          <a:xfrm>
                            <a:off x="-12" y="96982"/>
                            <a:ext cx="4495754" cy="394810"/>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rFonts w:cstheme="minorHAnsi"/>
                                  <w:sz w:val="32"/>
                                  <w:szCs w:val="32"/>
                                </w:rPr>
                              </w:pPr>
                              <w:r>
                                <w:rPr>
                                  <w:rFonts w:cstheme="minorHAnsi"/>
                                  <w:sz w:val="32"/>
                                </w:rPr>
                                <w:t>Всички видове употреба на пестицидите</w:t>
                              </w:r>
                            </w:p>
                            <w:p>
                              <w:pPr>
                                <w:jc w:val="center"/>
                                <w:rPr>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7" name="Group 27"/>
                        <wpg:cNvGrpSpPr/>
                        <wpg:grpSpPr>
                          <a:xfrm>
                            <a:off x="-12" y="929330"/>
                            <a:ext cx="2673473" cy="451480"/>
                            <a:chOff x="-12" y="-493070"/>
                            <a:chExt cx="2673473" cy="451480"/>
                          </a:xfrm>
                        </wpg:grpSpPr>
                        <wps:wsp>
                          <wps:cNvPr id="28" name="Rounded Rectangle 28"/>
                          <wps:cNvSpPr/>
                          <wps:spPr>
                            <a:xfrm>
                              <a:off x="-12" y="-493070"/>
                              <a:ext cx="2673473" cy="451480"/>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sz w:val="32"/>
                                  </w:rPr>
                                  <w:t>Професионална употреба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159330" y="-443418"/>
                              <a:ext cx="17272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cstheme="minorHAnsi"/>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 name="Rounded Rectangle 30"/>
                        <wps:cNvSpPr/>
                        <wps:spPr>
                          <a:xfrm>
                            <a:off x="2782583" y="834845"/>
                            <a:ext cx="1713159" cy="756581"/>
                          </a:xfrm>
                          <a:prstGeom prst="roundRect">
                            <a:avLst/>
                          </a:prstGeom>
                          <a:ln/>
                        </wps:spPr>
                        <wps:style>
                          <a:lnRef idx="2">
                            <a:schemeClr val="dk1"/>
                          </a:lnRef>
                          <a:fillRef idx="1">
                            <a:schemeClr val="lt1"/>
                          </a:fillRef>
                          <a:effectRef idx="0">
                            <a:schemeClr val="dk1"/>
                          </a:effectRef>
                          <a:fontRef idx="minor">
                            <a:schemeClr val="dk1"/>
                          </a:fontRef>
                        </wps:style>
                        <wps:txbx>
                          <w:txbxContent>
                            <w:p>
                              <w:pPr>
                                <w:jc w:val="center"/>
                                <w:rPr>
                                  <w:sz w:val="32"/>
                                  <w:szCs w:val="32"/>
                                </w:rPr>
                              </w:pPr>
                              <w:r>
                                <w:rPr>
                                  <w:sz w:val="32"/>
                                </w:rPr>
                                <w:t>Непрофесионална употреба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 name="Group 31"/>
                        <wpg:cNvGrpSpPr/>
                        <wpg:grpSpPr>
                          <a:xfrm>
                            <a:off x="1363043" y="487295"/>
                            <a:ext cx="2276119" cy="442148"/>
                            <a:chOff x="315293" y="-471555"/>
                            <a:chExt cx="2276119" cy="442148"/>
                          </a:xfrm>
                        </wpg:grpSpPr>
                        <wps:wsp>
                          <wps:cNvPr id="11264" name="Elbow Connector 11264"/>
                          <wps:cNvCnPr/>
                          <wps:spPr>
                            <a:xfrm rot="10800000" flipV="1">
                              <a:off x="315293" y="-471555"/>
                              <a:ext cx="861806" cy="222248"/>
                            </a:xfrm>
                            <a:prstGeom prst="bentConnector3">
                              <a:avLst>
                                <a:gd name="adj1" fmla="val -650"/>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5" name="Straight Connector 11265"/>
                          <wps:cNvCnPr/>
                          <wps:spPr>
                            <a:xfrm flipH="1">
                              <a:off x="315293" y="-249554"/>
                              <a:ext cx="1" cy="220147"/>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6" name="Elbow Connector 11266"/>
                          <wps:cNvCnPr>
                            <a:endCxn id="30" idx="0"/>
                          </wps:cNvCnPr>
                          <wps:spPr>
                            <a:xfrm>
                              <a:off x="1177100" y="-245492"/>
                              <a:ext cx="1414312" cy="121488"/>
                            </a:xfrm>
                            <a:prstGeom prst="bentConnector2">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267" name="Straight Connector 11267"/>
                        <wps:cNvCnPr/>
                        <wps:spPr>
                          <a:xfrm>
                            <a:off x="539746" y="1381207"/>
                            <a:ext cx="1" cy="26718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68" name="Straight Connector 11268"/>
                        <wps:cNvCnPr/>
                        <wps:spPr>
                          <a:xfrm>
                            <a:off x="2312079" y="1380928"/>
                            <a:ext cx="0" cy="26712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5" o:spid="_x0000_s1028" style="width:449.45pt;height:125.6pt;mso-position-horizontal-relative:char;mso-position-vertical-relative:line" coordorigin=",969" coordsize="44957,15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">
                <v:roundrect id="Rounded Rectangle 26" o:spid="_x0000_s1029" style="position:absolute;top:969;width:44957;height:39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ueHMMA&#10;AADbAAAADwAAAGRycy9kb3ducmV2LnhtbESPS2vDMBCE74H8B7GF3hI5oQ6pYzkkLQ3Ftzyg18Xa&#10;2KbWyljyo/8+KhR6HGbmGybdT6YRA3WutqxgtYxAEBdW11wquF0/FlsQziNrbCyTgh9ysM/msxQT&#10;bUc+03DxpQgQdgkqqLxvEyldUZFBt7QtcfDutjPog+xKqTscA9w0ch1FG2mw5rBQYUtvFRXfl94o&#10;8IzRa5+vTse4nuzL9it+P+SxUs9P02EHwtPk/8N/7U+tYL2B3y/hB8j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ueHMMAAADbAAAADwAAAAAAAAAAAAAAAACYAgAAZHJzL2Rv&#10;d25yZXYueG1sUEsFBgAAAAAEAAQA9QAAAIgDAAAAAA==&#10;" fillcolor="white [3201]" strokecolor="black [3200]" strokeweight="2pt">
                  <v:textbox>
                    <w:txbxContent>
                      <w:p>
                        <w:pPr>
                          <w:jc w:val="center"/>
                          <w:rPr>
                            <w:rFonts w:cstheme="minorHAnsi"/>
                            <w:sz w:val="32"/>
                            <w:szCs w:val="32"/>
                          </w:rPr>
                        </w:pPr>
                        <w:r>
                          <w:rPr>
                            <w:rFonts w:cstheme="minorHAnsi"/>
                            <w:sz w:val="32"/>
                          </w:rPr>
                          <w:t>Всички видове употреба на пестицидите</w:t>
                        </w:r>
                      </w:p>
                      <w:p>
                        <w:pPr>
                          <w:jc w:val="center"/>
                          <w:rPr>
                            <w:sz w:val="32"/>
                            <w:szCs w:val="32"/>
                          </w:rPr>
                        </w:pPr>
                      </w:p>
                    </w:txbxContent>
                  </v:textbox>
                </v:roundrect>
                <v:group id="Group 27" o:spid="_x0000_s1030" style="position:absolute;top:9293;width:26734;height:4515" coordorigin=",-4930" coordsize="26734,45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Rounded Rectangle 28" o:spid="_x0000_s1031" style="position:absolute;top:-4930;width:26734;height:451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iv9bwA&#10;AADbAAAADwAAAGRycy9kb3ducmV2LnhtbERPyQrCMBC9C/5DGMGbpooVrUZxQRFvLuB1aMa22ExK&#10;E7X+vTkIHh9vny8bU4oX1a6wrGDQj0AQp1YXnCm4Xna9CQjnkTWWlknBhxwsF+3WHBNt33yi19ln&#10;IoSwS1BB7n2VSOnSnAy6vq2IA3e3tUEfYJ1JXeM7hJtSDqNoLA0WHBpyrGiTU/o4P40CzxhNn8fB&#10;fh0XjR1NbvF2dYyV6naa1QyEp8b/xT/3QSsYhrHhS/gBcvE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22K/1vAAAANsAAAAPAAAAAAAAAAAAAAAAAJgCAABkcnMvZG93bnJldi54&#10;bWxQSwUGAAAAAAQABAD1AAAAgQMAAAAA&#10;" fillcolor="white [3201]" strokecolor="black [3200]" strokeweight="2pt">
                    <v:textbox>
                      <w:txbxContent>
                        <w:p>
                          <w:pPr>
                            <w:jc w:val="center"/>
                            <w:rPr>
                              <w:sz w:val="32"/>
                              <w:szCs w:val="32"/>
                            </w:rPr>
                          </w:pPr>
                          <w:r>
                            <w:rPr>
                              <w:sz w:val="32"/>
                            </w:rPr>
                            <w:t>Професионална употреба</w:t>
                          </w:r>
                        </w:p>
                      </w:txbxContent>
                    </v:textbox>
                  </v:roundrect>
                  <v:shapetype id="_x0000_t202" coordsize="21600,21600" o:spt="202" path="m,l,21600r21600,l21600,xe">
                    <v:stroke joinstyle="miter"/>
                    <v:path gradientshapeok="t" o:connecttype="rect"/>
                  </v:shapetype>
                  <v:shape id="Text Box 29" o:spid="_x0000_s1032" type="#_x0000_t202" style="position:absolute;left:1593;top:-4434;width:1727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pPr>
                            <w:jc w:val="center"/>
                            <w:rPr>
                              <w:rFonts w:cstheme="minorHAnsi"/>
                              <w:sz w:val="24"/>
                              <w:szCs w:val="28"/>
                            </w:rPr>
                          </w:pPr>
                        </w:p>
                      </w:txbxContent>
                    </v:textbox>
                  </v:shape>
                </v:group>
                <v:roundrect id="Rounded Rectangle 30" o:spid="_x0000_s1033" style="position:absolute;left:27825;top:8348;width:17132;height:75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c1LsEA&#10;AADbAAAADwAAAGRycy9kb3ducmV2LnhtbERPy2qDQBTdF/oPwy1k14w2MSQmo9iElpJdHpDtxblV&#10;qXNHnNHYv88sCl0eznuXT6YVI/WusawgnkcgiEurG64UXC8fr2sQziNrbC2Tgl9ykGfPTztMtb3z&#10;icazr0QIYZeigtr7LpXSlTUZdHPbEQfu2/YGfYB9JXWP9xBuWvkWRStpsOHQUGNH+5rKn/NgFHjG&#10;aDMc48/3pJnscn1LDsUxUWr2MhVbEJ4m/y/+c39pBYuwPnwJP0Bm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13NS7BAAAA2wAAAA8AAAAAAAAAAAAAAAAAmAIAAGRycy9kb3du&#10;cmV2LnhtbFBLBQYAAAAABAAEAPUAAACGAwAAAAA=&#10;" fillcolor="white [3201]" strokecolor="black [3200]" strokeweight="2pt">
                  <v:textbox>
                    <w:txbxContent>
                      <w:p>
                        <w:pPr>
                          <w:jc w:val="center"/>
                          <w:rPr>
                            <w:sz w:val="32"/>
                            <w:szCs w:val="32"/>
                          </w:rPr>
                        </w:pPr>
                        <w:r>
                          <w:rPr>
                            <w:sz w:val="32"/>
                          </w:rPr>
                          <w:t>Непрофесионална употреба</w:t>
                        </w:r>
                      </w:p>
                    </w:txbxContent>
                  </v:textbox>
                </v:roundrect>
                <v:group id="Group 31" o:spid="_x0000_s1034" style="position:absolute;left:13630;top:4872;width:22761;height:4422" coordorigin="3152,-4715" coordsize="22761,44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264" o:spid="_x0000_s1035" type="#_x0000_t34" style="position:absolute;left:3152;top:-4715;width:8618;height:222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WEXMkAAADeAAAADwAAAGRycy9kb3ducmV2LnhtbESPQWvCQBCF74L/YZlCL6IbpdqaZiNa&#10;K3golGov3qbZaRLMzobsGtP+elcQvM3w3rzvTbLoTCVaalxpWcF4FIEgzqwuOVfwvd8MX0A4j6yx&#10;skwK/sjBIu33Eoy1PfMXtTufixDCLkYFhfd1LKXLCjLoRrYmDtqvbQz6sDa51A2eQ7ip5CSKZtJg&#10;yYFQYE1vBWXH3ckEiI4OK//f/bzTtlx/POefg/m0VerxoVu+gvDU+bv5dr3Vof54MnuC6zthBple&#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LNVhFzJAAAA3gAAAA8AAAAA&#10;AAAAAAAAAAAAoQIAAGRycy9kb3ducmV2LnhtbFBLBQYAAAAABAAEAPkAAACXAwAAAAA=&#10;" adj="-140" strokecolor="black [3213]" strokeweight="2pt"/>
                  <v:line id="Straight Connector 11265" o:spid="_x0000_s1036" style="position:absolute;flip:x;visibility:visible;mso-wrap-style:square" from="3152,-2495" to="3152,-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sIk8QAAADeAAAADwAAAGRycy9kb3ducmV2LnhtbERPTUvDQBC9C/0PyxS82U0Lhhq7Lbao&#10;9KCgsd6n2WkSzMzG3bWJ/94VBG/zeJ+z2ozcqTP50DoxMJ9loEgqZ1upDRzeHq6WoEJEsdg5IQPf&#10;FGCznlyssLBukFc6l7FWKURCgQaaGPtC61A1xBhmridJ3Ml5xpigr7X1OKRw7vQiy3LN2EpqaLCn&#10;XUPVR/nFBu6rfHn4fLp5fOHh/Zn34cjl1htzOR3vbkFFGuO/+M+9t2n+fJFfw+876Qa9/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mwiTxAAAAN4AAAAPAAAAAAAAAAAA&#10;AAAAAKECAABkcnMvZG93bnJldi54bWxQSwUGAAAAAAQABAD5AAAAkgMAAAAA&#10;" strokecolor="black [3213]" strokeweight="2pt"/>
                  <v:shapetype id="_x0000_t33" coordsize="21600,21600" o:spt="33" o:oned="t" path="m,l21600,r,21600e" filled="f">
                    <v:stroke joinstyle="miter"/>
                    <v:path arrowok="t" fillok="f" o:connecttype="none"/>
                    <o:lock v:ext="edit" shapetype="t"/>
                  </v:shapetype>
                  <v:shape id="Elbow Connector 11266" o:spid="_x0000_s1037" type="#_x0000_t33" style="position:absolute;left:11771;top:-2454;width:14143;height:121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J8dMQAAADeAAAADwAAAGRycy9kb3ducmV2LnhtbERPyWrDMBC9B/oPYgq9JXJ8MMWJEkJL&#10;kxZyydL71Jpajq2RkZTY/fuoUOhtHm+d5Xq0nbiRD41jBfNZBoK4crrhWsH59DZ9BhEissbOMSn4&#10;oQDr1cNkiaV2Ax/odoy1SCEcSlRgYuxLKUNlyGKYuZ44cd/OW4wJ+lpqj0MKt53Ms6yQFhtODQZ7&#10;ejFUtcerVeAvw+e+PR92m492225f4/h1yY1ST4/jZgEi0hj/xX/ud53mz/OigN930g1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snx0xAAAAN4AAAAPAAAAAAAAAAAA&#10;AAAAAKECAABkcnMvZG93bnJldi54bWxQSwUGAAAAAAQABAD5AAAAkgMAAAAA&#10;" strokecolor="black [3213]" strokeweight="2pt"/>
                </v:group>
                <v:line id="Straight Connector 11267" o:spid="_x0000_s1038" style="position:absolute;visibility:visible;mso-wrap-style:square" from="5397,13812" to="5397,1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44zMIAAADeAAAADwAAAGRycy9kb3ducmV2LnhtbERPPW/CMBDdK/U/WFeJrThkAJRiECDR&#10;dm2Age0UX+OI+BzZDgn/vq6ExHZP7/NWm9G24kY+NI4VzKYZCOLK6YZrBafj4X0JIkRkja1jUnCn&#10;AJv168sKC+0G/qFbGWuRQjgUqMDE2BVShsqQxTB1HXHifp23GBP0tdQehxRuW5ln2VxabDg1GOxo&#10;b6i6lr1VcOl30X8d5XYox/2nyQ9t1buzUpO3cfsBItIYn+KH+1un+bN8voD/d9IN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44zMIAAADeAAAADwAAAAAAAAAAAAAA&#10;AAChAgAAZHJzL2Rvd25yZXYueG1sUEsFBgAAAAAEAAQA+QAAAJADAAAAAA==&#10;" strokecolor="black [3213]" strokeweight="1.5pt"/>
                <v:line id="Straight Connector 11268" o:spid="_x0000_s1039" style="position:absolute;visibility:visible;mso-wrap-style:square" from="23120,13809" to="23120,16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GsvsUAAADeAAAADwAAAGRycy9kb3ducmV2LnhtbESPQU/DMAyF70j7D5GRuLF0PUyoWzaN&#10;SRtc6dhhN6sxTUXjVEm6ln+PD0jcbL3n9z5v97Pv1Z1i6gIbWC0LUMRNsB23Bj4vp+cXUCkjW+wD&#10;k4EfSrDfLR62WNkw8Qfd69wqCeFUoQGX81BpnRpHHtMyDMSifYXoMcsaW20jThLue10WxVp77Fga&#10;HA50dNR816M3cBtfc3y76MNUz8ezK099M4arMU+P82EDKtOc/81/1+9W8FflWnjlHZlB7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YGsvsUAAADeAAAADwAAAAAAAAAA&#10;AAAAAAChAgAAZHJzL2Rvd25yZXYueG1sUEsFBgAAAAAEAAQA+QAAAJMDAAAAAA==&#10;" strokecolor="black [3213]" strokeweight="1.5pt"/>
                <w10:anchorlock/>
              </v:group>
            </w:pict>
          </mc:Fallback>
        </mc:AlternateConten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През 2011 г. Комисията предостави безвъзмездни средства за пилотни проучвания, за да се изчисли както търговската, така и нетърговската употреба за неселскостопански цели на пестициди. Пет държави (Белгия, Италия, Литва, Латвия и Румъния) кандидатстваха за отпускане на безвъзмездни средства. Освен това на Комисията е известно, че такива проучвания са били проведени в Нидерландия и Обединеното кралство.</w:t>
      </w:r>
    </w:p>
    <w:p>
      <w:pPr>
        <w:spacing w:after="0"/>
        <w:jc w:val="both"/>
        <w:rPr>
          <w:rFonts w:ascii="Times New Roman" w:hAnsi="Times New Roman"/>
          <w:noProof/>
          <w:sz w:val="24"/>
          <w:szCs w:val="24"/>
        </w:rPr>
      </w:pPr>
    </w:p>
    <w:p>
      <w:pPr>
        <w:keepNext/>
        <w:spacing w:after="0"/>
        <w:jc w:val="both"/>
        <w:rPr>
          <w:rFonts w:ascii="Times New Roman" w:hAnsi="Times New Roman"/>
          <w:noProof/>
          <w:sz w:val="24"/>
          <w:szCs w:val="24"/>
        </w:rPr>
      </w:pPr>
      <w:r>
        <w:rPr>
          <w:rFonts w:ascii="Times New Roman" w:hAnsi="Times New Roman"/>
          <w:noProof/>
          <w:sz w:val="24"/>
        </w:rPr>
        <w:t>Пилотните проучвания обхванаха такива сектори, като:</w:t>
      </w:r>
    </w:p>
    <w:p>
      <w:pPr>
        <w:numPr>
          <w:ilvl w:val="0"/>
          <w:numId w:val="12"/>
        </w:numPr>
        <w:spacing w:after="0"/>
        <w:jc w:val="both"/>
        <w:rPr>
          <w:rFonts w:ascii="Times New Roman" w:hAnsi="Times New Roman"/>
          <w:noProof/>
          <w:sz w:val="24"/>
          <w:szCs w:val="24"/>
        </w:rPr>
      </w:pPr>
      <w:r>
        <w:rPr>
          <w:rFonts w:ascii="Times New Roman" w:hAnsi="Times New Roman"/>
          <w:noProof/>
          <w:sz w:val="24"/>
        </w:rPr>
        <w:t>зони с оформен ландшафт или градини, зони за отдих на открито, паркове;</w:t>
      </w:r>
    </w:p>
    <w:p>
      <w:pPr>
        <w:numPr>
          <w:ilvl w:val="0"/>
          <w:numId w:val="12"/>
        </w:numPr>
        <w:spacing w:after="0"/>
        <w:jc w:val="both"/>
        <w:rPr>
          <w:rFonts w:ascii="Times New Roman" w:hAnsi="Times New Roman"/>
          <w:noProof/>
          <w:sz w:val="24"/>
          <w:szCs w:val="24"/>
        </w:rPr>
      </w:pPr>
      <w:r>
        <w:rPr>
          <w:rFonts w:ascii="Times New Roman" w:hAnsi="Times New Roman"/>
          <w:noProof/>
          <w:sz w:val="24"/>
        </w:rPr>
        <w:t>зони и съоръжения за спорт и отдих;</w:t>
      </w:r>
    </w:p>
    <w:p>
      <w:pPr>
        <w:numPr>
          <w:ilvl w:val="0"/>
          <w:numId w:val="12"/>
        </w:numPr>
        <w:spacing w:after="0"/>
        <w:jc w:val="both"/>
        <w:rPr>
          <w:rFonts w:ascii="Times New Roman" w:hAnsi="Times New Roman"/>
          <w:noProof/>
          <w:sz w:val="24"/>
          <w:szCs w:val="24"/>
        </w:rPr>
      </w:pPr>
      <w:r>
        <w:rPr>
          <w:rFonts w:ascii="Times New Roman" w:hAnsi="Times New Roman"/>
          <w:noProof/>
          <w:sz w:val="24"/>
        </w:rPr>
        <w:t>железници;</w:t>
      </w:r>
    </w:p>
    <w:p>
      <w:pPr>
        <w:numPr>
          <w:ilvl w:val="0"/>
          <w:numId w:val="12"/>
        </w:numPr>
        <w:spacing w:after="0"/>
        <w:jc w:val="both"/>
        <w:rPr>
          <w:rFonts w:ascii="Times New Roman" w:hAnsi="Times New Roman"/>
          <w:noProof/>
          <w:sz w:val="24"/>
          <w:szCs w:val="24"/>
        </w:rPr>
      </w:pPr>
      <w:r>
        <w:rPr>
          <w:rFonts w:ascii="Times New Roman" w:hAnsi="Times New Roman"/>
          <w:noProof/>
          <w:sz w:val="24"/>
        </w:rPr>
        <w:t>магистрали и пътища;</w:t>
      </w:r>
    </w:p>
    <w:p>
      <w:pPr>
        <w:numPr>
          <w:ilvl w:val="0"/>
          <w:numId w:val="12"/>
        </w:numPr>
        <w:spacing w:after="0"/>
        <w:jc w:val="both"/>
        <w:rPr>
          <w:rFonts w:ascii="Times New Roman" w:hAnsi="Times New Roman"/>
          <w:noProof/>
          <w:sz w:val="24"/>
          <w:szCs w:val="24"/>
        </w:rPr>
      </w:pPr>
      <w:r>
        <w:rPr>
          <w:rFonts w:ascii="Times New Roman" w:hAnsi="Times New Roman"/>
          <w:noProof/>
          <w:sz w:val="24"/>
        </w:rPr>
        <w:t>летища и пристанища;</w:t>
      </w:r>
    </w:p>
    <w:p>
      <w:pPr>
        <w:numPr>
          <w:ilvl w:val="0"/>
          <w:numId w:val="12"/>
        </w:numPr>
        <w:spacing w:after="0"/>
        <w:jc w:val="both"/>
        <w:rPr>
          <w:rFonts w:ascii="Times New Roman" w:hAnsi="Times New Roman"/>
          <w:noProof/>
          <w:sz w:val="24"/>
          <w:szCs w:val="24"/>
        </w:rPr>
      </w:pPr>
      <w:r>
        <w:rPr>
          <w:rFonts w:ascii="Times New Roman" w:hAnsi="Times New Roman"/>
          <w:noProof/>
          <w:sz w:val="24"/>
        </w:rPr>
        <w:t>археологически обекти;</w:t>
      </w:r>
    </w:p>
    <w:p>
      <w:pPr>
        <w:numPr>
          <w:ilvl w:val="0"/>
          <w:numId w:val="12"/>
        </w:numPr>
        <w:spacing w:after="0"/>
        <w:jc w:val="both"/>
        <w:rPr>
          <w:rFonts w:ascii="Times New Roman" w:hAnsi="Times New Roman"/>
          <w:noProof/>
          <w:sz w:val="24"/>
          <w:szCs w:val="24"/>
        </w:rPr>
      </w:pPr>
      <w:r>
        <w:rPr>
          <w:rFonts w:ascii="Times New Roman" w:hAnsi="Times New Roman"/>
          <w:noProof/>
          <w:sz w:val="24"/>
        </w:rPr>
        <w:t>лица, които обработват семейни градини/непрофесионални земеделски стопани;</w:t>
      </w:r>
    </w:p>
    <w:p>
      <w:pPr>
        <w:numPr>
          <w:ilvl w:val="0"/>
          <w:numId w:val="12"/>
        </w:numPr>
        <w:spacing w:after="0"/>
        <w:jc w:val="both"/>
        <w:rPr>
          <w:rFonts w:ascii="Times New Roman" w:hAnsi="Times New Roman"/>
          <w:noProof/>
          <w:sz w:val="24"/>
          <w:szCs w:val="24"/>
        </w:rPr>
      </w:pPr>
      <w:r>
        <w:rPr>
          <w:rFonts w:ascii="Times New Roman" w:hAnsi="Times New Roman"/>
          <w:noProof/>
          <w:sz w:val="24"/>
        </w:rPr>
        <w:t>държавни гори;</w:t>
      </w:r>
    </w:p>
    <w:p>
      <w:pPr>
        <w:numPr>
          <w:ilvl w:val="0"/>
          <w:numId w:val="12"/>
        </w:numPr>
        <w:spacing w:after="0"/>
        <w:jc w:val="both"/>
        <w:rPr>
          <w:rFonts w:ascii="Times New Roman" w:hAnsi="Times New Roman"/>
          <w:noProof/>
          <w:sz w:val="24"/>
          <w:szCs w:val="24"/>
        </w:rPr>
      </w:pPr>
      <w:r>
        <w:rPr>
          <w:rFonts w:ascii="Times New Roman" w:hAnsi="Times New Roman"/>
          <w:noProof/>
          <w:sz w:val="24"/>
        </w:rPr>
        <w:t>градини и паркове;</w:t>
      </w:r>
    </w:p>
    <w:p>
      <w:pPr>
        <w:numPr>
          <w:ilvl w:val="0"/>
          <w:numId w:val="12"/>
        </w:numPr>
        <w:spacing w:after="0"/>
        <w:jc w:val="both"/>
        <w:rPr>
          <w:rFonts w:ascii="Times New Roman" w:hAnsi="Times New Roman"/>
          <w:noProof/>
          <w:sz w:val="24"/>
          <w:szCs w:val="24"/>
        </w:rPr>
      </w:pPr>
      <w:r>
        <w:rPr>
          <w:rFonts w:ascii="Times New Roman" w:hAnsi="Times New Roman"/>
          <w:noProof/>
          <w:sz w:val="24"/>
        </w:rPr>
        <w:t>други.</w:t>
      </w:r>
    </w:p>
    <w:p>
      <w:pPr>
        <w:spacing w:after="0"/>
        <w:jc w:val="both"/>
        <w:rPr>
          <w:rFonts w:ascii="Times New Roman" w:hAnsi="Times New Roman"/>
          <w:noProof/>
          <w:sz w:val="24"/>
          <w:szCs w:val="24"/>
        </w:rPr>
      </w:pPr>
    </w:p>
    <w:p>
      <w:pPr>
        <w:spacing w:after="0"/>
        <w:jc w:val="both"/>
        <w:rPr>
          <w:rFonts w:ascii="Times New Roman" w:hAnsi="Times New Roman"/>
          <w:noProof/>
          <w:sz w:val="24"/>
        </w:rPr>
      </w:pPr>
      <w:r>
        <w:rPr>
          <w:rFonts w:ascii="Times New Roman" w:hAnsi="Times New Roman"/>
          <w:noProof/>
          <w:sz w:val="24"/>
        </w:rPr>
        <w:t>Основните поуки от предишните действия и пилотните проучвания са следните:</w:t>
      </w:r>
    </w:p>
    <w:p>
      <w:pPr>
        <w:numPr>
          <w:ilvl w:val="0"/>
          <w:numId w:val="14"/>
        </w:numPr>
        <w:spacing w:after="0"/>
        <w:jc w:val="both"/>
        <w:rPr>
          <w:rFonts w:ascii="Times New Roman" w:hAnsi="Times New Roman"/>
          <w:noProof/>
          <w:sz w:val="24"/>
        </w:rPr>
      </w:pPr>
      <w:r>
        <w:rPr>
          <w:rFonts w:ascii="Times New Roman" w:hAnsi="Times New Roman"/>
          <w:noProof/>
          <w:sz w:val="24"/>
        </w:rPr>
        <w:t>съществува огромно многообразие от модели на употреба на пестициди за неселскостопански цели сред отделните държави членки или дори между отделните региони в рамките на една държава;</w:t>
      </w:r>
    </w:p>
    <w:p>
      <w:pPr>
        <w:numPr>
          <w:ilvl w:val="0"/>
          <w:numId w:val="14"/>
        </w:numPr>
        <w:spacing w:after="0"/>
        <w:jc w:val="both"/>
        <w:rPr>
          <w:rFonts w:ascii="Times New Roman" w:hAnsi="Times New Roman"/>
          <w:noProof/>
          <w:sz w:val="24"/>
        </w:rPr>
      </w:pPr>
      <w:r>
        <w:rPr>
          <w:rFonts w:ascii="Times New Roman" w:hAnsi="Times New Roman"/>
          <w:noProof/>
          <w:sz w:val="24"/>
        </w:rPr>
        <w:t>могат да бъдат определени преобладаващите сектори, в които се използват пестициди, и те са еднакви за повечето държави членки;</w:t>
      </w:r>
    </w:p>
    <w:p>
      <w:pPr>
        <w:numPr>
          <w:ilvl w:val="0"/>
          <w:numId w:val="14"/>
        </w:numPr>
        <w:spacing w:after="0"/>
        <w:jc w:val="both"/>
        <w:rPr>
          <w:rFonts w:ascii="Times New Roman" w:hAnsi="Times New Roman"/>
          <w:noProof/>
          <w:sz w:val="24"/>
        </w:rPr>
      </w:pPr>
      <w:r>
        <w:rPr>
          <w:rFonts w:ascii="Times New Roman" w:hAnsi="Times New Roman"/>
          <w:noProof/>
          <w:sz w:val="24"/>
        </w:rPr>
        <w:t>с преобладаващите употреби се свързва ограничен списък от активни вещества;</w:t>
      </w:r>
    </w:p>
    <w:p>
      <w:pPr>
        <w:numPr>
          <w:ilvl w:val="0"/>
          <w:numId w:val="14"/>
        </w:numPr>
        <w:spacing w:after="0"/>
        <w:jc w:val="both"/>
        <w:rPr>
          <w:rFonts w:ascii="Times New Roman" w:hAnsi="Times New Roman"/>
          <w:noProof/>
          <w:sz w:val="24"/>
          <w:szCs w:val="24"/>
        </w:rPr>
      </w:pPr>
      <w:r>
        <w:rPr>
          <w:rFonts w:ascii="Times New Roman" w:hAnsi="Times New Roman"/>
          <w:noProof/>
          <w:sz w:val="24"/>
        </w:rPr>
        <w:t>различните сектори на употреба изискват различни методи за събиране на данни или комбинация от методи.</w:t>
      </w:r>
    </w:p>
    <w:p>
      <w:pPr>
        <w:spacing w:after="0"/>
        <w:jc w:val="both"/>
        <w:rPr>
          <w:rFonts w:ascii="Times New Roman" w:hAnsi="Times New Roman"/>
          <w:noProof/>
          <w:sz w:val="24"/>
        </w:rPr>
      </w:pPr>
    </w:p>
    <w:p>
      <w:pPr>
        <w:spacing w:after="0"/>
        <w:jc w:val="both"/>
        <w:rPr>
          <w:rFonts w:ascii="Times New Roman" w:hAnsi="Times New Roman"/>
          <w:noProof/>
          <w:sz w:val="24"/>
        </w:rPr>
      </w:pPr>
      <w:r>
        <w:rPr>
          <w:rFonts w:ascii="Times New Roman" w:hAnsi="Times New Roman"/>
          <w:noProof/>
          <w:sz w:val="24"/>
        </w:rPr>
        <w:t>Освен очевидното многообразие от ситуации в национален или регионален план, някои основни участници са еднакви за всички държави членки и те следва да бъдат основата за всички проучвания на употребата на пестициди в неселскостопанските сектори. Това са:</w:t>
      </w:r>
    </w:p>
    <w:p>
      <w:pPr>
        <w:numPr>
          <w:ilvl w:val="0"/>
          <w:numId w:val="15"/>
        </w:numPr>
        <w:spacing w:after="0"/>
        <w:jc w:val="both"/>
        <w:rPr>
          <w:rFonts w:ascii="Times New Roman" w:hAnsi="Times New Roman"/>
          <w:noProof/>
          <w:sz w:val="24"/>
        </w:rPr>
      </w:pPr>
      <w:r>
        <w:rPr>
          <w:rFonts w:ascii="Times New Roman" w:hAnsi="Times New Roman"/>
          <w:noProof/>
          <w:sz w:val="24"/>
        </w:rPr>
        <w:t>жилищни зони (включително употреба за дома и градината);</w:t>
      </w:r>
    </w:p>
    <w:p>
      <w:pPr>
        <w:numPr>
          <w:ilvl w:val="0"/>
          <w:numId w:val="15"/>
        </w:numPr>
        <w:spacing w:after="0"/>
        <w:jc w:val="both"/>
        <w:rPr>
          <w:rFonts w:ascii="Times New Roman" w:hAnsi="Times New Roman"/>
          <w:noProof/>
          <w:sz w:val="24"/>
        </w:rPr>
      </w:pPr>
      <w:r>
        <w:rPr>
          <w:rFonts w:ascii="Times New Roman" w:hAnsi="Times New Roman"/>
          <w:noProof/>
          <w:sz w:val="24"/>
        </w:rPr>
        <w:t>обществени зони (включително голф игрища);</w:t>
      </w:r>
    </w:p>
    <w:p>
      <w:pPr>
        <w:numPr>
          <w:ilvl w:val="0"/>
          <w:numId w:val="15"/>
        </w:numPr>
        <w:spacing w:after="0"/>
        <w:jc w:val="both"/>
        <w:rPr>
          <w:rFonts w:ascii="Times New Roman" w:hAnsi="Times New Roman"/>
          <w:noProof/>
          <w:sz w:val="24"/>
        </w:rPr>
      </w:pPr>
      <w:r>
        <w:rPr>
          <w:rFonts w:ascii="Times New Roman" w:hAnsi="Times New Roman"/>
          <w:noProof/>
          <w:sz w:val="24"/>
        </w:rPr>
        <w:t>промишлени зони;</w:t>
      </w:r>
    </w:p>
    <w:p>
      <w:pPr>
        <w:numPr>
          <w:ilvl w:val="0"/>
          <w:numId w:val="15"/>
        </w:numPr>
        <w:spacing w:after="0"/>
        <w:jc w:val="both"/>
        <w:rPr>
          <w:rFonts w:ascii="Times New Roman" w:hAnsi="Times New Roman"/>
          <w:noProof/>
          <w:sz w:val="24"/>
          <w:szCs w:val="24"/>
        </w:rPr>
      </w:pPr>
      <w:r>
        <w:rPr>
          <w:rFonts w:ascii="Times New Roman" w:hAnsi="Times New Roman"/>
          <w:noProof/>
          <w:sz w:val="24"/>
        </w:rPr>
        <w:t>инфраструктура;</w:t>
      </w:r>
    </w:p>
    <w:p>
      <w:pPr>
        <w:numPr>
          <w:ilvl w:val="0"/>
          <w:numId w:val="15"/>
        </w:numPr>
        <w:spacing w:after="0"/>
        <w:jc w:val="both"/>
        <w:rPr>
          <w:rFonts w:ascii="Times New Roman" w:hAnsi="Times New Roman"/>
          <w:noProof/>
          <w:sz w:val="24"/>
          <w:szCs w:val="24"/>
        </w:rPr>
      </w:pPr>
      <w:r>
        <w:rPr>
          <w:rFonts w:ascii="Times New Roman" w:hAnsi="Times New Roman"/>
          <w:noProof/>
          <w:sz w:val="24"/>
        </w:rPr>
        <w:t>гори.</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Тези сектори на дейност следва да бъдат обхванати приоритетно и следва да представляват основата за сравнението на статистически данни за употребата на пестициди за неселскостопански цели между държавите членки или регионите.</w:t>
      </w:r>
    </w:p>
    <w:p>
      <w:pPr>
        <w:spacing w:after="0"/>
        <w:jc w:val="both"/>
        <w:rPr>
          <w:rFonts w:ascii="Times New Roman"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Разширяване на приложното поле на Регламента</w:t>
      </w:r>
    </w:p>
    <w:p>
      <w:pPr>
        <w:spacing w:after="0"/>
        <w:jc w:val="both"/>
        <w:rPr>
          <w:rFonts w:ascii="Times New Roman" w:hAnsi="Times New Roman"/>
          <w:noProof/>
          <w:sz w:val="24"/>
          <w:szCs w:val="24"/>
        </w:rPr>
      </w:pPr>
      <w:r>
        <w:rPr>
          <w:rFonts w:ascii="Times New Roman" w:hAnsi="Times New Roman"/>
          <w:noProof/>
          <w:sz w:val="24"/>
        </w:rPr>
        <w:t>В съображение 5 от Регламента се предвижда, че приложното поле ще бъде разширено, така че да включва биоциди. В своя доклад</w:t>
      </w:r>
      <w:r>
        <w:rPr>
          <w:rStyle w:val="FootnoteReference"/>
          <w:noProof/>
        </w:rPr>
        <w:footnoteReference w:id="7"/>
      </w:r>
      <w:r>
        <w:rPr>
          <w:rFonts w:ascii="Times New Roman" w:hAnsi="Times New Roman"/>
          <w:noProof/>
          <w:sz w:val="24"/>
        </w:rPr>
        <w:t xml:space="preserve"> относно устойчивата употреба на биоцидите Комисията посочи, че не е целесъобразно просто да се разшири обхватът на ДУУП, като в него бъдат включени и биоцидите. Поради тази причина Комисията също така счита, че не е нужно да разшири приложното поле на Регламента с включване в него на биоцидите, въпреки че това беше първоначалното намерение.</w:t>
      </w:r>
    </w:p>
    <w:p>
      <w:pPr>
        <w:spacing w:after="0"/>
        <w:jc w:val="both"/>
        <w:rPr>
          <w:rFonts w:ascii="Times New Roman" w:hAnsi="Times New Roman"/>
          <w:b/>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hAnsi="Times New Roman Bold"/>
          <w:smallCaps/>
          <w:noProof/>
          <w:color w:val="auto"/>
          <w:sz w:val="26"/>
        </w:rPr>
        <w:t>Разходи и тежест</w:t>
      </w:r>
    </w:p>
    <w:p>
      <w:pPr>
        <w:spacing w:after="0"/>
        <w:jc w:val="both"/>
        <w:rPr>
          <w:rFonts w:ascii="Times New Roman" w:hAnsi="Times New Roman"/>
          <w:noProof/>
          <w:sz w:val="24"/>
          <w:szCs w:val="24"/>
        </w:rPr>
      </w:pPr>
      <w:r>
        <w:rPr>
          <w:rFonts w:ascii="Times New Roman" w:hAnsi="Times New Roman"/>
          <w:noProof/>
          <w:sz w:val="24"/>
        </w:rPr>
        <w:t>Разходите и административната тежест при проучванията зависят до голяма степен от избрания метод на проучване.</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b/>
          <w:noProof/>
          <w:sz w:val="24"/>
        </w:rPr>
        <w:t>Статистиката относно продажбите на пестициди</w:t>
      </w:r>
      <w:r>
        <w:rPr>
          <w:rFonts w:ascii="Times New Roman" w:hAnsi="Times New Roman"/>
          <w:noProof/>
          <w:sz w:val="24"/>
        </w:rPr>
        <w:t xml:space="preserve"> в редица държави членки е базирана на административните данни, които се съхраняват от органите, отговарящи за пестицидите, или от притежателите на разрешение (вж. приложение I). Това означава, че разходите са свързани с установяването на контакт с органите или с често твърде ограничения брой притежатели на разрешение, които отправят искане за данни, и впоследствие с обработката на данните. Макар че не са налични реални стойности за всички държави членки, в повечето случаи се отчитат както твърде малък брой отделени работни дни, така и твърде ниски действителни разходи. Отчита се, че разходите и тежестта за докладващите звена също са напълно разумни, тъй като изискваните данни трябва да бъдат записвани във всички случаи съгласно определеното в Регламент (ЕО) № 1107/2009.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Що се отнася до </w:t>
      </w:r>
      <w:r>
        <w:rPr>
          <w:rFonts w:ascii="Times New Roman" w:hAnsi="Times New Roman"/>
          <w:b/>
          <w:noProof/>
          <w:sz w:val="24"/>
        </w:rPr>
        <w:t>статистиката относно употребата на пестициди</w:t>
      </w:r>
      <w:r>
        <w:rPr>
          <w:rFonts w:ascii="Times New Roman" w:hAnsi="Times New Roman"/>
          <w:noProof/>
          <w:sz w:val="24"/>
        </w:rPr>
        <w:t xml:space="preserve">, информацията трябва да бъде записвана на равнището на земеделските стопанства, което води до по-голяма тежест. Това означава, че трябва да бъде подготвена извадка, да бъдат съставени въпросници и да бъдат изпратени интервюиращи лица или писма, ако не е разработена електронна система за събиране на такава информация. Общите разходи зависят до голяма степен от избрания метод, както става видно и от информацията, предадена на Комисията. Докладите не позволяват да бъдат направени преки заключения относно направените разходи, тъй като информацията не е достатъчно подробна за тази цел.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Както беше пояснено, информацията в повечето държави постъпва директно от земеделските стопани. Съгласно Регламент (ЕО) № 1107/2009 професионалните потребители (земеделски стопани или предприемачи) трябва да съхраняват документация за използваните от тях пестициди. Това означава, че информацията следва да е налична, когато земеделският стопанин трябва да отговори на интервюиращото лице или да попълни въпросника. Това е отразено в докладите за качеството, които в много случаи показват, че за осъществяването на проучванията е необходимо малко време — от 15 минути до около 2 часа на проучване (на всеки 5 години) — на място в земеделските стопанства.</w:t>
      </w:r>
    </w:p>
    <w:p>
      <w:pPr>
        <w:spacing w:after="0"/>
        <w:jc w:val="both"/>
        <w:rPr>
          <w:rFonts w:ascii="Times New Roman"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hAnsi="Times New Roman Bold"/>
          <w:smallCaps/>
          <w:noProof/>
          <w:color w:val="auto"/>
          <w:sz w:val="26"/>
        </w:rPr>
        <w:t>Опит от първите пет години</w:t>
      </w:r>
    </w:p>
    <w:p>
      <w:pPr>
        <w:spacing w:after="0"/>
        <w:jc w:val="both"/>
        <w:rPr>
          <w:rFonts w:ascii="Times New Roman" w:hAnsi="Times New Roman"/>
          <w:noProof/>
          <w:sz w:val="24"/>
          <w:szCs w:val="24"/>
        </w:rPr>
      </w:pPr>
      <w:r>
        <w:rPr>
          <w:rFonts w:ascii="Times New Roman" w:hAnsi="Times New Roman"/>
          <w:noProof/>
          <w:sz w:val="24"/>
        </w:rPr>
        <w:t>Данните относно продажбите на пестициди се предават ежегодно от декември 2012 г. насам (данни за 2011 г.). Въпреки някои първоначални технически проблеми в рамките на Комисията, понастоящем тези процеси са добре отработени и протичат нормално. Първите данни относно употребата на пестициди в селското стопанство бяха предадени на Комисията в края на 2015 г. Към настоящия момент, поради огромното количество сложни данни, не бе възможно да бъдат обработени всички данни, което означава, че те все още не са достъпни за потребителите. В съответствие с това все още не е извършена оценка на ползата от тях. Въпреки това по-долу са отчетени някои слабости и са представени препоръки.</w:t>
      </w:r>
    </w:p>
    <w:p>
      <w:pPr>
        <w:spacing w:after="0"/>
        <w:jc w:val="both"/>
        <w:rPr>
          <w:rFonts w:ascii="Times New Roman"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Наличност на подробни данни за пестициди</w:t>
      </w:r>
    </w:p>
    <w:p>
      <w:pPr>
        <w:spacing w:after="0"/>
        <w:jc w:val="both"/>
        <w:rPr>
          <w:rFonts w:ascii="Times New Roman" w:hAnsi="Times New Roman"/>
          <w:noProof/>
          <w:sz w:val="24"/>
          <w:szCs w:val="24"/>
        </w:rPr>
      </w:pPr>
      <w:r>
        <w:rPr>
          <w:rFonts w:ascii="Times New Roman" w:hAnsi="Times New Roman"/>
          <w:noProof/>
          <w:sz w:val="24"/>
        </w:rPr>
        <w:t>С Регламента се забранява разкриването на данни за отделни активни вещества. Съгласно член 3, параграф 4: „</w:t>
      </w:r>
      <w:r>
        <w:rPr>
          <w:rFonts w:ascii="Times New Roman" w:hAnsi="Times New Roman"/>
          <w:i/>
          <w:noProof/>
          <w:sz w:val="24"/>
        </w:rPr>
        <w:t>Поради съображения за поверителност, преди публикуването Комисията (Евростат) обобщава данните в съответствие с класовете химични вещества или категориите продукти, посочени в приложение III, като надлежно отчита защитата на поверителните данни на равнище отделна държава членка. Поверителните данни се използват от националните органи и от Комисията (Евростат) само за статистически цели в съответствие с член 20 от Регламент (ЕО) № 223/2009.</w:t>
      </w:r>
      <w:r>
        <w:rPr>
          <w:rFonts w:ascii="Times New Roman" w:hAnsi="Times New Roman"/>
          <w:noProof/>
          <w:sz w:val="24"/>
        </w:rPr>
        <w:t>“</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Ето защо Комисията не може да публикува данни относно отделни активни вещества. Освен това обобщените данни не могат да бъдат разпространявани винаги, когато е налице пряк или косвен риск от идентифициране на статистическите единици — това е общото правило в статистиката с цел защита на неприкосновеността на данните.</w:t>
      </w:r>
    </w:p>
    <w:p>
      <w:pPr>
        <w:spacing w:after="0"/>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Ако статистиката относно продажбите се събираше от търговците на дребно, щеше да има голям брой статистически единици и съответно по-малко проблеми във връзка с неприкосновеността на данните. При все това е видно, че повечето държави членки събират данните директно от притежателите на разрешение. Това се прави било под формата на административни данни, които са предадени на органите, отговарящи за пестицидите, било чрез въпросник. По отношение на повечето активни вещества това означава, че има само един доставчик на данни, поради което информацията е поверителна. Тъй като има много класове с малък брой вещества или производителят/вносителят е един и същ за много от веществата в групата, това доведе до ситуация, в която значителна част от обобщените данни на по-високи равнища също е поверителна. Комисията счита, че данните относно продажбите, за които Регламентът съдържа законово изискване, се събират успешно от държавите и се предават на Комисията. Тя също така счита, че общото качество на данните е добро. При все това прилагането на правилата за поверителност спрямо значителна част от данните понижава стойността на статистическата информация, която се предоставя на потребителите. Поради това не може да се приеме, че Регламентът обслужва добре нуждите на потребителите.</w:t>
      </w: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Статистика относно продажбите на пестициди</w:t>
      </w:r>
    </w:p>
    <w:p>
      <w:pPr>
        <w:spacing w:after="0"/>
        <w:jc w:val="both"/>
        <w:rPr>
          <w:rFonts w:ascii="Times New Roman" w:hAnsi="Times New Roman"/>
          <w:noProof/>
          <w:sz w:val="24"/>
          <w:szCs w:val="24"/>
        </w:rPr>
      </w:pPr>
      <w:r>
        <w:rPr>
          <w:rFonts w:ascii="Times New Roman" w:hAnsi="Times New Roman"/>
          <w:noProof/>
          <w:sz w:val="24"/>
        </w:rPr>
        <w:t>Сравнението на продажбите на пестициди в отделните държави и за различни години не е праволинейно, защото външни фактори, като климатичните условия, почвите и производствените методи, могат да окажат значително въздействие върху видовете и обема на необходимите пестициди.</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Мястото на продажба на даден продукт може да не е същото като мястото, където в крайна сметка се използва, и пестициди могат също така да се продават директно на земеделските стопани от търговци на дребно в съседни държави. Това може да представлява само малка част от общите продажби на пестициди, но тези количества не са отразени правилно в статистиката относно продажбите. Освен това може да има забавяне между продажбата на пестицида и неговото използване в зависимост от това дали е закупен с цел формиране на запаси или за директна употреба.</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Много потребители биха желали да получат подробни данни относно обема на отделните продадени активни вещества. При все това нито Комисията, нито националните статистически институти могат да предоставят такава информация, тъй като трябва да спазват Регламента и правилата за поверителност.</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Както е описано по-долу, Регламентът ограничава в голяма степен начините, по които Комисията може да разпространява данните. Всички данни трябва да бъдат обобщавани в класове и групи, независимо дали данните се считат за поверителни от държавите членки. Освен това Комисията не може да се отклонява от класовете, установени в приложение III към Регламента.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 xml:space="preserve">Тъй като потребителите често се интересуват от конкретни активни вещества или групи от вещества, които се различават от предварително определените класове, Регламентът може да се счита за твърде ограничаващ; той не позволява извършването на подходящи анализи. Добър пример представляват неотдавнашните обсъждания относно неоникотиноидите — групата от пестициди, които потенциално вредят на пчелите. Не всички от въпросните активни вещества са в едни и същи класове химични вещества в приложение III, което означава, че Комисията не беше в състояние да представи всички относими данни на създателите на политики.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В Регламента се посочва, че единствената единица, която може да се използва, е теглото, но биологичните пестициди не следва да се изразяват като тегло, а като „единици, образуващи колонии“. Това създава проблеми както за доставчиците на данни, така и за ползвателите на данните, тъй като предоставените данни нямат смисъл или трябва да бъдат преобразувани преди тяхното предаване и използване. Този изцяло технически въпрос трябва да се обмисли допълнително.</w:t>
      </w:r>
    </w:p>
    <w:p>
      <w:pPr>
        <w:spacing w:after="0"/>
        <w:jc w:val="both"/>
        <w:rPr>
          <w:rFonts w:ascii="Times New Roman" w:hAnsi="Times New Roman"/>
          <w:noProof/>
          <w:sz w:val="24"/>
          <w:szCs w:val="24"/>
        </w:rPr>
      </w:pPr>
    </w:p>
    <w:p>
      <w:pPr>
        <w:pStyle w:val="Heading1"/>
        <w:numPr>
          <w:ilvl w:val="1"/>
          <w:numId w:val="1"/>
        </w:numPr>
        <w:spacing w:before="200" w:after="120"/>
        <w:rPr>
          <w:rFonts w:ascii="Times New Roman" w:eastAsia="Arial Unicode MS" w:hAnsi="Times New Roman" w:cs="Times New Roman"/>
          <w:noProof/>
          <w:color w:val="auto"/>
          <w:sz w:val="24"/>
          <w:szCs w:val="24"/>
        </w:rPr>
      </w:pPr>
      <w:r>
        <w:rPr>
          <w:rFonts w:ascii="Times New Roman" w:hAnsi="Times New Roman"/>
          <w:noProof/>
          <w:color w:val="auto"/>
          <w:sz w:val="24"/>
        </w:rPr>
        <w:t>Статистика относно употребата на пестициди</w:t>
      </w:r>
    </w:p>
    <w:p>
      <w:pPr>
        <w:spacing w:after="0"/>
        <w:jc w:val="both"/>
        <w:rPr>
          <w:rFonts w:ascii="Times New Roman" w:hAnsi="Times New Roman"/>
          <w:noProof/>
          <w:sz w:val="24"/>
          <w:szCs w:val="24"/>
        </w:rPr>
      </w:pPr>
      <w:r>
        <w:rPr>
          <w:rFonts w:ascii="Times New Roman" w:hAnsi="Times New Roman"/>
          <w:noProof/>
          <w:sz w:val="24"/>
        </w:rPr>
        <w:t xml:space="preserve">В Регламента се предвижда, че във връзка със статистиката относно употребата на пестициди в селското стопанство всяка държава членка трябва да определи съвкупност от културите, които да бъдат обхванати в рамките на петгодишния референтен период, като тази съвкупност трябва да е представителна за отглежданите в тази държава членка култури и за употребяваните вещества. Съвкупността от култури трябва да включва най-подходящите култури за националните планове за действие в областта на пестицидите. При все това, тъй като в националните планове за действие невинаги се посочват най-подходящите култури, изборът на култури е доста разнообразен. Това доведе до ситуация, в която съществуват риск да се окаже невъзможно да се направи пълно сравнение на данните относно употребата на пестициди върху култури в отделните държави.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Референтният период трябва да бъде период, не по-дълъг от 12 месеца, който обхваща всички случаи на третиране за растителна защита, свързани пряко или непряко с културата, в рамките на петгодишен период. Държавите членки могат да изберат референтния период по всяко време на петгодишния период и изборът може да бъде направен поотделно за всяка избрана култура. Това доведе до ситуация, в която държавите са избрали различни референтни периоди и поради това  може да се окаже невъзможно да се сравнят данните за една и съща година между отделните държави и да се представят каквито и да било резултати на равнището на ЕС.</w:t>
      </w:r>
    </w:p>
    <w:p>
      <w:pPr>
        <w:spacing w:after="0"/>
        <w:jc w:val="both"/>
        <w:rPr>
          <w:rFonts w:ascii="Times New Roman" w:hAnsi="Times New Roman"/>
          <w:noProof/>
          <w:sz w:val="24"/>
          <w:szCs w:val="24"/>
        </w:rPr>
      </w:pPr>
    </w:p>
    <w:p>
      <w:pPr>
        <w:pStyle w:val="Heading1"/>
        <w:numPr>
          <w:ilvl w:val="0"/>
          <w:numId w:val="1"/>
        </w:numPr>
        <w:spacing w:before="200" w:after="120"/>
        <w:rPr>
          <w:rFonts w:ascii="Times New Roman Bold" w:eastAsia="Arial Unicode MS" w:hAnsi="Times New Roman Bold" w:cs="Times New Roman"/>
          <w:smallCaps/>
          <w:noProof/>
          <w:color w:val="auto"/>
          <w:sz w:val="26"/>
          <w:szCs w:val="24"/>
        </w:rPr>
      </w:pPr>
      <w:r>
        <w:rPr>
          <w:rFonts w:ascii="Times New Roman Bold" w:hAnsi="Times New Roman Bold"/>
          <w:smallCaps/>
          <w:noProof/>
          <w:color w:val="auto"/>
          <w:sz w:val="26"/>
        </w:rPr>
        <w:t>Предложения за допълнителни подобрения</w:t>
      </w:r>
    </w:p>
    <w:p>
      <w:pPr>
        <w:spacing w:after="0"/>
        <w:jc w:val="both"/>
        <w:rPr>
          <w:rFonts w:ascii="Times New Roman" w:hAnsi="Times New Roman"/>
          <w:noProof/>
          <w:sz w:val="24"/>
          <w:szCs w:val="24"/>
        </w:rPr>
      </w:pPr>
      <w:r>
        <w:rPr>
          <w:rFonts w:ascii="Times New Roman" w:hAnsi="Times New Roman"/>
          <w:noProof/>
          <w:sz w:val="24"/>
        </w:rPr>
        <w:t xml:space="preserve">Като отчете мненията на съответните заинтересовани страни, Комисията счита, че е важно законодателството относно продажбите на пестициди да се адаптира допълнително, така че всички данни, които не са поверителни, да могат да  бъдат предоставени на разположение на обществеността — както данните за активното вещество, така и тези, обобщени под различни форми. </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Комисията счита, че е също толкова важно законодателството относно статистиката за употребата на пестициди да се адаптира допълнително, за да се гарантира по-последователен подход и обхват в държавите членки. Това би могло да включва определяне на общи референтни периоди и ясни изисквания за обхвата във връзка с културите, които ще бъдат проучени. Правилата за обхвата биха могли да се основават на статистиката за производството на култури (би могъл да се обхване определен процент полски култури и трайни насаждения) и на анализи на потенциалните рискове за околната среда и човешкото здраве въз основа на продажбите на активни вещества. Тези правила следва да бъдат определени в тясно сътрудничество между съответните служби и агенции на Комисията и националните експерти.</w:t>
      </w:r>
    </w:p>
    <w:p>
      <w:pPr>
        <w:spacing w:after="0"/>
        <w:jc w:val="both"/>
        <w:rPr>
          <w:rFonts w:ascii="Times New Roman" w:hAnsi="Times New Roman"/>
          <w:noProof/>
          <w:sz w:val="24"/>
          <w:szCs w:val="24"/>
        </w:rPr>
      </w:pPr>
    </w:p>
    <w:p>
      <w:pPr>
        <w:jc w:val="both"/>
        <w:rPr>
          <w:noProof/>
        </w:rPr>
      </w:pPr>
      <w:r>
        <w:rPr>
          <w:rFonts w:ascii="Times New Roman" w:hAnsi="Times New Roman"/>
          <w:noProof/>
          <w:sz w:val="24"/>
        </w:rPr>
        <w:t>На последно място Комисията изготви заедно със заинтересовани страни стратегия за селскостопанска статистика до 2020 г. и след това</w:t>
      </w:r>
      <w:r>
        <w:rPr>
          <w:rStyle w:val="FootnoteReference"/>
          <w:noProof/>
        </w:rPr>
        <w:footnoteReference w:id="8"/>
      </w:r>
      <w:r>
        <w:rPr>
          <w:rFonts w:ascii="Times New Roman" w:hAnsi="Times New Roman"/>
          <w:noProof/>
          <w:sz w:val="24"/>
        </w:rPr>
        <w:t>. В стратегията се предлага всички селскостопански статистики, с изключение на икономическите сметки за селското стопанство, да бъдат групирани в два рамкови регламента. Комисията настоятелно препоръчва статистиката за пестицидите също да бъде обединена с другите области на селскостопанска статистика.</w:t>
      </w:r>
      <w:r>
        <w:rPr>
          <w:noProof/>
        </w:rPr>
        <w:br w:type="page"/>
      </w:r>
    </w:p>
    <w:p>
      <w:pPr>
        <w:pStyle w:val="Heading1"/>
        <w:spacing w:before="200" w:after="120"/>
        <w:rPr>
          <w:rFonts w:ascii="Times New Roman Bold" w:eastAsia="Arial Unicode MS" w:hAnsi="Times New Roman Bold" w:cs="Times New Roman"/>
          <w:smallCaps/>
          <w:noProof/>
          <w:color w:val="auto"/>
          <w:sz w:val="24"/>
          <w:szCs w:val="24"/>
        </w:rPr>
      </w:pPr>
      <w:r>
        <w:rPr>
          <w:rFonts w:ascii="Times New Roman Bold" w:hAnsi="Times New Roman Bold"/>
          <w:smallCaps/>
          <w:noProof/>
          <w:color w:val="auto"/>
          <w:sz w:val="24"/>
        </w:rPr>
        <w:t>Приложение I</w:t>
      </w:r>
    </w:p>
    <w:p>
      <w:pPr>
        <w:spacing w:after="0"/>
        <w:jc w:val="both"/>
        <w:rPr>
          <w:noProof/>
          <w:sz w:val="24"/>
          <w:szCs w:val="24"/>
        </w:rPr>
      </w:pPr>
      <w:r>
        <w:rPr>
          <w:noProof/>
          <w:sz w:val="24"/>
        </w:rPr>
        <w:t>Представената в настоящото приложение информация се основава на националните доклади за качеството, представени от държавите съгласно Регламента.</w:t>
      </w:r>
    </w:p>
    <w:tbl>
      <w:tblPr>
        <w:tblW w:w="94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278"/>
        <w:gridCol w:w="5620"/>
      </w:tblGrid>
      <w:tr>
        <w:trPr>
          <w:cantSplit/>
          <w:tblHeader/>
        </w:trPr>
        <w:tc>
          <w:tcPr>
            <w:tcW w:w="582" w:type="dxa"/>
            <w:shd w:val="clear" w:color="auto" w:fill="auto"/>
            <w:vAlign w:val="center"/>
            <w:hideMark/>
          </w:tcPr>
          <w:p>
            <w:pPr>
              <w:rPr>
                <w:rFonts w:eastAsia="Times New Roman" w:cstheme="minorHAnsi"/>
                <w:noProof/>
                <w:color w:val="000000"/>
              </w:rPr>
            </w:pPr>
          </w:p>
        </w:tc>
        <w:tc>
          <w:tcPr>
            <w:tcW w:w="3278" w:type="dxa"/>
            <w:shd w:val="clear" w:color="auto" w:fill="auto"/>
            <w:vAlign w:val="center"/>
            <w:hideMark/>
          </w:tcPr>
          <w:p>
            <w:pPr>
              <w:jc w:val="center"/>
              <w:rPr>
                <w:rFonts w:eastAsia="Times New Roman" w:cstheme="minorHAnsi"/>
                <w:b/>
                <w:bCs/>
                <w:noProof/>
                <w:color w:val="000000"/>
              </w:rPr>
            </w:pPr>
            <w:r>
              <w:rPr>
                <w:rFonts w:cstheme="minorHAnsi"/>
                <w:b/>
                <w:noProof/>
                <w:color w:val="000000"/>
              </w:rPr>
              <w:t>НАЦИОНАЛНИ ОРГАНИ, ОТГОВАРЯЩИ ЗА ПРОДАЖБИТЕ НА ПЕСТИЦИДИ</w:t>
            </w:r>
          </w:p>
        </w:tc>
        <w:tc>
          <w:tcPr>
            <w:tcW w:w="5620" w:type="dxa"/>
            <w:shd w:val="clear" w:color="auto" w:fill="auto"/>
            <w:vAlign w:val="center"/>
            <w:hideMark/>
          </w:tcPr>
          <w:p>
            <w:pPr>
              <w:jc w:val="center"/>
              <w:rPr>
                <w:rFonts w:eastAsia="Times New Roman" w:cstheme="minorHAnsi"/>
                <w:b/>
                <w:bCs/>
                <w:noProof/>
                <w:color w:val="000000"/>
              </w:rPr>
            </w:pPr>
            <w:r>
              <w:rPr>
                <w:rFonts w:cstheme="minorHAnsi"/>
                <w:b/>
                <w:noProof/>
                <w:color w:val="000000"/>
              </w:rPr>
              <w:t>МЕТОДИ ЗА СЪБИРАНЕ НА ДАННИ ЗА ПРОДАЖБИТЕ НА ПЕСТИЦИДИ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BE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Федерална публична служба за обществено здраве, безопасност на хранителната верига и околна среда</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 данни; притежателите на разрешение (производители, вносители и износители) са длъжни да декларират количествата, пуснати на пазара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BG</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Министерство на земеделието и храните</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 данни въз основа на декларации от оторизираните дистрибутори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CZ</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Чешка статистическа служба</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 xml:space="preserve">Административни данни; предприемачите, които пускат продукти на пазара или ги складират за износ за трети държави, са длъжни да се отчитат пред Централния институт за надзор и изпитване в селското стопанство (CISTA). Събирането на данни се извършва онлайн и/или чрез въпросници на хартиен носител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DK</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Датска агенция за опазване на околната среда, датско Министерство на околната среда и храните</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 данни. Задължително докладване от датските притежатели на разрешение по електронен път, а от чуждестранните притежатели на разрешение — по електронна поща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DE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Федерална служба за защита на потребителите и безопасност на храните (BVL)</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 данни; притежателите на разрешение (включително притежателите на разрешения за паралелна търговия), производителите и дистрибуторите са длъжни да докладват количествата на износа или продажбите в национален мащаб, включително продажби при спешни ситуации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Естонска статистическа служба</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Проучване чрез преброяване на всички вносители и доставчици чрез уеб приложение и/или чрез проучване на хартиен носител по пощата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IE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Министерство на земеделието, храните и морските въпроси</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Данните се събират въз основа на преброяване. Административните данни се събират от всички притежатели на разрешение за продукт и маркетингови компании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EL</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Гръцка статистическа служба (ELSTAT)</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 xml:space="preserve">Статистическо проучване на всички продавачи в рамките на националната територия, което се провежда от Министерството на развитието на селските райони и храните с писма или по електронна поща. От 2014 г. насам продавачите са длъжни да регистрират данните онлайн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ES</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Министерство на земеделието, храните и околната среда</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Електронен въпросник/проучване (в рамките на националната територия и извън нея) на оторизирани притежатели и респонденти, на които са прехвърлени правата за търговска реализация. Административните данни се предоставят от S.G. Sanidad Vegetal</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FR</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Министерство на земеделието, храните и горите</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 данни; дистрибуторите са длъжни да декларират продажбите пред агенциите по водите. След това Министерството на околната среда обработва данните за продажбите</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HR</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Хърватско статистическо бюро </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 данни; Министерството на земеделието отговаря за събирането на данни от дистрибуторите и търговските обекти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IT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Италиански национален статистически институт (ISTAT)</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 xml:space="preserve">Проучване чрез преброяване по пощата за всички дистрибутори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CY</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Статистическа служба на Кипър (CYSTAT)</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Въпросник/проучване на доставчици по пощата или в електронен вид.  Административните данни се предоставят от Министерството на земеделието</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LV</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Служба за растителна защита на Латвия (SPPS)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Пълно проучване (на хартиен носител и/или в електронен вид) на всички респонденти — дистрибутори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Литовска статистическа служба</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Пълно проучване на всички производители и притежатели на разрешение</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LU</w:t>
            </w:r>
          </w:p>
        </w:tc>
        <w:tc>
          <w:tcPr>
            <w:tcW w:w="3278" w:type="dxa"/>
            <w:shd w:val="clear" w:color="auto" w:fill="auto"/>
            <w:vAlign w:val="center"/>
            <w:hideMark/>
          </w:tcPr>
          <w:p>
            <w:pPr>
              <w:rPr>
                <w:noProof/>
                <w:color w:val="000000"/>
              </w:rPr>
            </w:pPr>
            <w:r>
              <w:rPr>
                <w:noProof/>
                <w:color w:val="000000"/>
              </w:rPr>
              <w:t>Institut National de la Statistique et des Etudes Economiques (STATEC)</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Преброяване на търговците (на едро или дребно) и кооперативните дружества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HU</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Унгарска централна статистическа служба</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 xml:space="preserve">Националната служба за безопасност на хранителната верига (Министерството на развитието на селските райони) събира данните от притежателите на разрешение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MT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Национална статистическа служба (NSO)</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Онлайн проучване чрез преброяване на оторизирани вносители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NL</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Нидерландска статистическа служба</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Административните данни се получават от Службата за растителна защита (NVWA)</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AT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Австрийска статистическа служба (STAT), австрийска Агенция за здраве и безопасност на храните (AGES)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Разрешение; притежателите на одобрение и дистрибуторите са длъжни да докладват данни пред австрийската Федерална служба за безопасност на храните</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PL</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Централна статистическа служба</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Изчерпателно проучване, което се провежда в сътрудничество с Министерството на земеделието и развитието на селските райони и с Института за растителна защита — Национален институт за научни изследвания</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PT</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Португалска статистическа служба (INE), национален орган (DGAV)</w:t>
            </w:r>
          </w:p>
        </w:tc>
        <w:tc>
          <w:tcPr>
            <w:tcW w:w="5620" w:type="dxa"/>
            <w:shd w:val="clear" w:color="auto" w:fill="auto"/>
            <w:vAlign w:val="center"/>
            <w:hideMark/>
          </w:tcPr>
          <w:p>
            <w:pPr>
              <w:rPr>
                <w:noProof/>
                <w:color w:val="000000"/>
              </w:rPr>
            </w:pPr>
            <w:r>
              <w:rPr>
                <w:rFonts w:cstheme="minorHAnsi"/>
                <w:noProof/>
                <w:color w:val="000000"/>
              </w:rPr>
              <w:t xml:space="preserve">Административните данни се получават от националния орган Direção Geral de Alimentação e Veterinária (DGAV)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RO</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Национален статистически институт</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Проучване чрез преброяване, базирано на лични интервюта, които се провеждат в сътрудничество с Министерството на земеделието и развитието на селските райони (Национална агенция за растителна защита). То обхваща сертифицирани търговски обекти, стопански субекти и физически лица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SI</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Статистическа служба на Република Словения</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Административните данни се докладват на Администрацията на Република Словения за безопасност на храните, ветеринарна медицина и растителна защита (UVHVVR)</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SK</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Статистическа служба на Словашката република (SOSR)</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 данни; Централният институт за контрол и изпитване в селското стопанство (CCTIA) събира данни от притежателите на разрешение или притежателите на разрешително за паралелна търговия</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FI</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Финландска агенция по безопасността и химикалите (Tukes)</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Финландската агенция по безопасността и химикалите (Tukes) събира данните по обикновена или електронна поща от притежателите на разрешение или техни представители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SE</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Шведска агенция по химикалите (Keml)</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Агенцията събира данните от притежателите на разрешение</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UK</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Регулаторна дирекция по химикалите</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Доброволно електронно преброяване на предприятията, което се провежда от Британския съвет за производство на земеделски култури от името на Службата за национални статистически данни (ONS)</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NO</w:t>
            </w:r>
          </w:p>
        </w:tc>
        <w:tc>
          <w:tcPr>
            <w:tcW w:w="3278" w:type="dxa"/>
            <w:shd w:val="clear" w:color="auto" w:fill="auto"/>
            <w:vAlign w:val="center"/>
            <w:hideMark/>
          </w:tcPr>
          <w:p>
            <w:pPr>
              <w:rPr>
                <w:rFonts w:eastAsia="Times New Roman" w:cstheme="minorHAnsi"/>
                <w:noProof/>
                <w:color w:val="000000"/>
              </w:rPr>
            </w:pPr>
            <w:r>
              <w:rPr>
                <w:rFonts w:cstheme="minorHAnsi"/>
                <w:noProof/>
                <w:color w:val="000000"/>
              </w:rPr>
              <w:t>Норвежки орган за безопасност на храните</w:t>
            </w:r>
          </w:p>
        </w:tc>
        <w:tc>
          <w:tcPr>
            <w:tcW w:w="5620" w:type="dxa"/>
            <w:shd w:val="clear" w:color="auto" w:fill="auto"/>
            <w:vAlign w:val="center"/>
            <w:hideMark/>
          </w:tcPr>
          <w:p>
            <w:pPr>
              <w:rPr>
                <w:rFonts w:eastAsia="Times New Roman" w:cstheme="minorHAnsi"/>
                <w:noProof/>
                <w:color w:val="000000"/>
              </w:rPr>
            </w:pPr>
            <w:r>
              <w:rPr>
                <w:rFonts w:cstheme="minorHAnsi"/>
                <w:noProof/>
                <w:color w:val="000000"/>
              </w:rPr>
              <w:t>Административни данни от вносителите и производителите</w:t>
            </w:r>
          </w:p>
        </w:tc>
      </w:tr>
    </w:tbl>
    <w:p>
      <w:pPr>
        <w:spacing w:after="0"/>
        <w:jc w:val="both"/>
        <w:rPr>
          <w:noProof/>
          <w:sz w:val="24"/>
          <w:szCs w:val="24"/>
        </w:rPr>
      </w:pPr>
    </w:p>
    <w:p>
      <w:pPr>
        <w:rPr>
          <w:noProof/>
          <w:sz w:val="24"/>
          <w:szCs w:val="24"/>
        </w:rPr>
      </w:pPr>
      <w:r>
        <w:rPr>
          <w:noProof/>
        </w:rPr>
        <w:br w:type="page"/>
      </w:r>
    </w:p>
    <w:p>
      <w:pPr>
        <w:pStyle w:val="Heading1"/>
        <w:spacing w:before="200" w:after="120"/>
        <w:rPr>
          <w:rFonts w:ascii="Times New Roman Bold" w:eastAsia="Arial Unicode MS" w:hAnsi="Times New Roman Bold" w:cs="Times New Roman"/>
          <w:smallCaps/>
          <w:noProof/>
          <w:color w:val="auto"/>
          <w:sz w:val="24"/>
          <w:szCs w:val="24"/>
        </w:rPr>
      </w:pPr>
      <w:r>
        <w:rPr>
          <w:rFonts w:ascii="Times New Roman Bold" w:hAnsi="Times New Roman Bold"/>
          <w:smallCaps/>
          <w:noProof/>
          <w:color w:val="auto"/>
          <w:sz w:val="24"/>
        </w:rPr>
        <w:t>Приложение II</w:t>
      </w:r>
    </w:p>
    <w:p>
      <w:pPr>
        <w:spacing w:after="0"/>
        <w:jc w:val="both"/>
        <w:rPr>
          <w:rFonts w:ascii="Times New Roman" w:hAnsi="Times New Roman"/>
          <w:noProof/>
          <w:sz w:val="24"/>
          <w:szCs w:val="24"/>
        </w:rPr>
      </w:pPr>
      <w:r>
        <w:rPr>
          <w:noProof/>
          <w:sz w:val="24"/>
        </w:rPr>
        <w:t>Представената в настоящото приложение информация се основава на националните доклади за качеството, представени от държавите съгласно Регламента.</w:t>
      </w:r>
      <w:r>
        <w:rPr>
          <w:rFonts w:ascii="Times New Roman" w:hAnsi="Times New Roman"/>
          <w:noProof/>
          <w:sz w:val="24"/>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4253"/>
        <w:gridCol w:w="4678"/>
      </w:tblGrid>
      <w:tr>
        <w:trPr>
          <w:cantSplit/>
          <w:tblHeader/>
        </w:trPr>
        <w:tc>
          <w:tcPr>
            <w:tcW w:w="582" w:type="dxa"/>
            <w:shd w:val="clear" w:color="auto" w:fill="auto"/>
            <w:vAlign w:val="center"/>
            <w:hideMark/>
          </w:tcPr>
          <w:p>
            <w:pPr>
              <w:rPr>
                <w:rFonts w:eastAsia="Times New Roman" w:cstheme="minorHAnsi"/>
                <w:noProof/>
                <w:color w:val="000000"/>
              </w:rPr>
            </w:pPr>
          </w:p>
        </w:tc>
        <w:tc>
          <w:tcPr>
            <w:tcW w:w="4253" w:type="dxa"/>
            <w:shd w:val="clear" w:color="auto" w:fill="auto"/>
            <w:vAlign w:val="center"/>
            <w:hideMark/>
          </w:tcPr>
          <w:p>
            <w:pPr>
              <w:jc w:val="center"/>
              <w:rPr>
                <w:rFonts w:eastAsia="Times New Roman" w:cstheme="minorHAnsi"/>
                <w:b/>
                <w:bCs/>
                <w:noProof/>
                <w:color w:val="000000"/>
              </w:rPr>
            </w:pPr>
            <w:r>
              <w:rPr>
                <w:rFonts w:cstheme="minorHAnsi"/>
                <w:b/>
                <w:noProof/>
                <w:color w:val="000000"/>
              </w:rPr>
              <w:t xml:space="preserve">КАЧЕСТВО НА ПРЕДАДЕНИТЕ ДАННИ ОТНОСНО ПРОДАЖБИТЕ НА ПЕСТИЦИДИ </w:t>
            </w:r>
          </w:p>
        </w:tc>
        <w:tc>
          <w:tcPr>
            <w:tcW w:w="4678" w:type="dxa"/>
            <w:shd w:val="clear" w:color="auto" w:fill="auto"/>
            <w:vAlign w:val="center"/>
            <w:hideMark/>
          </w:tcPr>
          <w:p>
            <w:pPr>
              <w:jc w:val="center"/>
              <w:rPr>
                <w:rFonts w:eastAsia="Times New Roman" w:cstheme="minorHAnsi"/>
                <w:b/>
                <w:bCs/>
                <w:noProof/>
                <w:color w:val="000000"/>
              </w:rPr>
            </w:pPr>
            <w:r>
              <w:rPr>
                <w:rFonts w:cstheme="minorHAnsi"/>
                <w:b/>
                <w:noProof/>
                <w:color w:val="000000"/>
              </w:rPr>
              <w:t>ПОЛЗА ОТ СТАТИСТИКАТА ОТНОСНО ПРОДАЖБИТЕ НА ПЕСТИЦИДИ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BE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Не се изискват приблизителни изчисления и вероятността от надценяване на данните е много малка, тъй като декларираните данни са свързани с такси</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Данните се използват за определяне на годишната такса за пускане на пестициди на пазара и за изчисляване на общите използвани количества на национално равнище, както и последващите рискове за човека и околната среда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BG</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Данните са всеобхватни и обхващат целия наличен внос и износ</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Данните са конкретни, като потенциалните потребители са малко на брой</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CZ</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Източниците обхващат всички единици, които са задължени по закон да докладват, и всички пуснати на пазара продукти</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Данните се използват най-вече от CISTA за цели, свързани с фитосанитарен контрол и планиране и извършване на проверки за това дали дистрибуторите спазват изискванията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DK</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Обемът на продажбите се докладва като целия обем на продажбите на всеки продукт</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Потребители на данните са политици, селското стопанство, неправителствени организации и обществеността. </w:t>
            </w:r>
            <w:r>
              <w:rPr>
                <w:rFonts w:eastAsia="Times New Roman" w:cstheme="minorHAnsi"/>
                <w:noProof/>
                <w:color w:val="000000"/>
              </w:rPr>
              <w:br/>
            </w:r>
            <w:r>
              <w:rPr>
                <w:rFonts w:cstheme="minorHAnsi"/>
                <w:noProof/>
                <w:color w:val="000000"/>
              </w:rPr>
              <w:t>Използването на данните включва мониторинг, насочен към намаляване на натоварването с пестициди с 40 % до края на 2015 г. в сравнение с 2011 г. (Датска стратегия за пестицидите за периода 2013—2015 г., понастоящем удължена с 1 година)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DE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 xml:space="preserve">Общата точност на данните се счита за задоволителна, въпреки че случаите на липса на отговори, дължащи се най-вече на сгрешени данни за контакт на дружествата за паралелна търговия, биха могли да представляват проблем. Не може да се изчисли какъв процент не е обхванат в резултат на незаконната търговия </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Федералната служба за защита на потребителите и безопасност на храните (BVL) използва данните за задачи, свързани с вътрешен мониторинг след регистрацията. Освен това данните се публикуват в германския Статистически годишник за храните, земеделието и горите и в германския Държавен вестник („Bundesanzeiger“). Julius Kühn Institut (JKI) — Федералният научноизследователски център за култивирани растения — също получава тези данни. Други органи, например Федералната агенция по околна среда (UBA) или научноизследователски институции, получават данни относно продажбите на конкретни вещества при поискване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Качеството на статистическите данни е доста високо, тъй като са обхванати всички дружества за продажби и процентът на отговорилите е висок</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Сред потребителите на данните са Съветът по селското стопанство, Научноизследователският център по селското стопанство, Министерството на земеделието, други министерства, научноизследователски и образователни институции, медиите, други организации и дружества, както и частни лица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IE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Получените данни от притежателите на разрешение за продукт и маркетинговите компании представляват реалните стойности. Поради това се счита, че качеството на данните е високо</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Получавани са малко на брой искания за тези данни. Дружествата и притежателите на разрешение имат достъп до този регистър и могат да разгледат информацията за всеки продукт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EL</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Въвеждането на онлайн системата доведе до повишаване на качеството като цяло. По-специално вследствие на това се увеличи процентът на отговорилите в сравнение с ниските нива, отчитани в миналото</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Министерството на развитието на селските райони и храните, правителството, пресата, медиите и научните работници използват тези данни с цел намаляване на рисковете, свързани с пестицидите</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ES</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Данните подлежат на вътрешен процес, гарантиращ тяхната съгласуваност</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Данните се използват за оценяване на въздействието от обществените политики и изчисляване на съответни показатели за здравето и свързаните с тях рискове за околната среда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FR</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 xml:space="preserve">Системата за деклариране обхваща продажбите на крайни потребители (или покупки в чужбина от крайни потребители). По този начин се избягва двойното отчитане в случай на прехвърляне на разрешението или наличие на посредници по веригата за продажби </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Понастоящем не са ни известни конкретни потребности на потребителите</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HR</w:t>
            </w:r>
          </w:p>
        </w:tc>
        <w:tc>
          <w:tcPr>
            <w:tcW w:w="4253" w:type="dxa"/>
            <w:shd w:val="clear" w:color="auto" w:fill="auto"/>
            <w:vAlign w:val="center"/>
            <w:hideMark/>
          </w:tcPr>
          <w:p>
            <w:pPr>
              <w:rPr>
                <w:rFonts w:eastAsia="Times New Roman" w:cstheme="minorHAnsi"/>
                <w:i/>
                <w:noProof/>
                <w:color w:val="000000"/>
              </w:rPr>
            </w:pPr>
            <w:r>
              <w:rPr>
                <w:rFonts w:cstheme="minorHAnsi"/>
                <w:i/>
                <w:noProof/>
                <w:color w:val="000000"/>
              </w:rPr>
              <w:t>Държавата не е предоставила информация</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Потребители на данните са държавни органи, местни власти, както и физически и юридически лица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IT</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Напълно удовлетворително</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Данните се използват най-вече от Института за опазване на околната среда и научни изследвания (ISPRA) и Министерството на земеделието за извършване на оценка на рисковете за човека и околната среда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CY</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Проучването беше изчерпателно и с пълен обхват, тъй като в страната има малко на брой доставчици</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С данните се задоволяват нуждите на Министерството на земеделието</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LV</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Общото качество на статистическите резултати се оценява като добро. Основното предимство на процеса е, че събирането на данни се основава на законодателството</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Интерес към данните има най-вече от страна на учени, студенти и медиите. Статистическата информация в общи линии задоволява потребностите на потребителите в национален план</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LT</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Данните се събират от надеждни източници, като се прилагат високи методологични стандарти</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Основни потребители на данните са държавните и общинските органи и агенции, международни организации, медиите, научноизследователските и бизнес общностите и студентите. Данните се използват за установяване на потенциални рискове за здравето на човека и за околната среда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LU</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Респондентите също така се приканват да посочат дяловете на национални и чуждестранни доставчици или посредници, за да се елиминира потенциалното двойно отчитане между националните търговци на едро</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Статистическите данни относно продажбите могат да представляват интерес за създателите на политики, Министерството на земеделието, Министерството на околната среда, лобистки групи за околната среда и научноизследователската общност</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HU</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Количествата, предлагани на пазара, се сравняват и съпоставят с данни от предходни години на равнище продукт</w:t>
            </w:r>
          </w:p>
        </w:tc>
        <w:tc>
          <w:tcPr>
            <w:tcW w:w="4678" w:type="dxa"/>
            <w:shd w:val="clear" w:color="auto" w:fill="auto"/>
            <w:vAlign w:val="center"/>
            <w:hideMark/>
          </w:tcPr>
          <w:p>
            <w:pPr>
              <w:rPr>
                <w:rFonts w:eastAsia="Times New Roman" w:cstheme="minorHAnsi"/>
                <w:noProof/>
                <w:color w:val="000000"/>
              </w:rPr>
            </w:pPr>
            <w:r>
              <w:rPr>
                <w:rFonts w:cstheme="minorHAnsi"/>
                <w:i/>
                <w:noProof/>
                <w:color w:val="000000"/>
              </w:rPr>
              <w:t>Държавата не е предоставила информация</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MT</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Общото качество е добро. Събирането на данните е изчерпателно и са въведени подробни процеси за валидиране и анализ на данните</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Основният потребител е Европейската комисия</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NL</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Качеството на данните е обект на рутинни проверки при използване на рамка, основана на определението за качество от Европейската статистическа система</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Данните се използват за оценка на правителствената политика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AT</w:t>
            </w:r>
          </w:p>
        </w:tc>
        <w:tc>
          <w:tcPr>
            <w:tcW w:w="4253" w:type="dxa"/>
            <w:shd w:val="clear" w:color="auto" w:fill="auto"/>
            <w:vAlign w:val="center"/>
            <w:hideMark/>
          </w:tcPr>
          <w:p>
            <w:pPr>
              <w:rPr>
                <w:rFonts w:eastAsia="Times New Roman" w:cstheme="minorHAnsi"/>
                <w:noProof/>
                <w:color w:val="000000"/>
              </w:rPr>
            </w:pPr>
            <w:r>
              <w:rPr>
                <w:rFonts w:cstheme="minorHAnsi"/>
                <w:i/>
                <w:noProof/>
                <w:color w:val="000000"/>
              </w:rPr>
              <w:t>Държавата не е предоставила информация</w:t>
            </w:r>
          </w:p>
        </w:tc>
        <w:tc>
          <w:tcPr>
            <w:tcW w:w="4678" w:type="dxa"/>
            <w:shd w:val="clear" w:color="auto" w:fill="auto"/>
            <w:noWrap/>
            <w:vAlign w:val="bottom"/>
            <w:hideMark/>
          </w:tcPr>
          <w:p>
            <w:pPr>
              <w:rPr>
                <w:rFonts w:eastAsia="Times New Roman" w:cstheme="minorHAnsi"/>
                <w:noProof/>
                <w:color w:val="000000"/>
              </w:rPr>
            </w:pPr>
            <w:r>
              <w:rPr>
                <w:rFonts w:cstheme="minorHAnsi"/>
                <w:noProof/>
                <w:color w:val="000000"/>
              </w:rPr>
              <w:t xml:space="preserve">Надзор и контрол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PL</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Задължително проучване сред производителите, националните дистрибутори и вносителите чрез електронни въпросници</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Потребители на данните са по-специално централните служби, научните и изследователските институти, студенти и дружества, осъществяващи дейност в селскостопанския сектор. Данните могат да се използват за оценка на условията и разходите за селскостопанско производство и на въздействието върху околната среда </w:t>
            </w:r>
            <w:r>
              <w:rPr>
                <w:noProof/>
              </w:rPr>
              <w:br w:type="page"/>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PT</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 xml:space="preserve">Валидиранията се основават на сравнения на обобщени данни с преходни години </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Данните се използват за оценка на пазара и връзката с разрешенията за продажби, издадени от националния орган</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RO</w:t>
            </w:r>
          </w:p>
        </w:tc>
        <w:tc>
          <w:tcPr>
            <w:tcW w:w="4253" w:type="dxa"/>
            <w:shd w:val="clear" w:color="auto" w:fill="auto"/>
            <w:vAlign w:val="center"/>
            <w:hideMark/>
          </w:tcPr>
          <w:p>
            <w:pPr>
              <w:rPr>
                <w:rFonts w:eastAsia="Times New Roman" w:cstheme="minorHAnsi"/>
                <w:noProof/>
                <w:color w:val="000000"/>
              </w:rPr>
            </w:pPr>
            <w:r>
              <w:rPr>
                <w:rFonts w:cstheme="minorHAnsi"/>
                <w:i/>
                <w:noProof/>
                <w:color w:val="000000"/>
              </w:rPr>
              <w:t>Държавата не е предоставила информация</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Потребители на данните са по-специално Министерството на земеделието и развитието на селските райони, Националната агенция за растителна защита, звената за растителна защита, Академията за аграрни и лесовъдни науки, Националният институт за научноизследователска и развойна дейност в областта на промишлената екология, Центърът за приложна биохимия и биотехнология, Министерството на околната среда, водите и горите и Институтът за научноизследователска и развойна дейност в областта на растителната защита</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SI</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Данните обхващат търговците на едро в рамките на националната територия. При все това данните не могат да бъдат разбити на териториални единици на по-ниско равнище, тъй като това не позволява да се направят заключения относно мястото на извършване на продажбите на дребно и на действителната употреба</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Данните се използват като заместител за количествата активни вещества, използвани в селското стопанство</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SK</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Данните са с добро качество, достатъчно точни и пълни</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Основният потребител е Европейската комисия</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FI</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 xml:space="preserve">Качеството на данните може да се счита за добро </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Потребители на данните са органи в областта на земеделието, околната среда, безопасността на храните и здравето, научноизследователски институти и медиите. Подробни данни се предоставят при поискване за научноизследователски и мониторингови цели </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SE</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Данните обхващат всички продукти, пуснати на пазара. Данните се обработват ръчно и поради това може да има грешки в изчисленията</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Разполагаме с много малко информация за потребителите на данните. Тенденциите често са по-интересни от самите данни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UK</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Качеството по отношение на точността се счита за приемливо. Беше отчетено, че едно многонационално дружество, чийто дял на пазара на Обединеното кралство се изчислява на приблизително 8 % в обемно изражение, систематично е отказвало да предостави данни. Другите липсващи отговори не се считат за значими, тъй като повечето неотговорили са сред по-малките участници на пазара</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 xml:space="preserve">Потенциалните национални потребители на данните могат да включват членовете на </w:t>
            </w:r>
            <w:r>
              <w:rPr>
                <w:rFonts w:cstheme="minorHAnsi"/>
                <w:i/>
                <w:noProof/>
                <w:color w:val="000000"/>
              </w:rPr>
              <w:t>Crop Protection Association</w:t>
            </w:r>
            <w:r>
              <w:rPr>
                <w:rFonts w:cstheme="minorHAnsi"/>
                <w:noProof/>
                <w:color w:val="000000"/>
              </w:rPr>
              <w:t>. Това е британското търговско сдружение на дружества, които се занимават с производство, формулиране, разработка и дистрибуция в национален план на пестициди и продукти за защита на земеделски култури, за нуждите на селското стопанство, горското стопанство, градинарството, семейното градинарство, промишлените и общинските търговски обекти</w:t>
            </w:r>
          </w:p>
        </w:tc>
      </w:tr>
      <w:tr>
        <w:trPr>
          <w:cantSplit/>
        </w:trPr>
        <w:tc>
          <w:tcPr>
            <w:tcW w:w="582" w:type="dxa"/>
            <w:shd w:val="clear" w:color="auto" w:fill="auto"/>
            <w:vAlign w:val="center"/>
            <w:hideMark/>
          </w:tcPr>
          <w:p>
            <w:pPr>
              <w:rPr>
                <w:rFonts w:eastAsia="Times New Roman" w:cstheme="minorHAnsi"/>
                <w:noProof/>
                <w:color w:val="000000"/>
              </w:rPr>
            </w:pPr>
            <w:r>
              <w:rPr>
                <w:rFonts w:cstheme="minorHAnsi"/>
                <w:noProof/>
                <w:color w:val="000000"/>
              </w:rPr>
              <w:t>NO</w:t>
            </w:r>
          </w:p>
        </w:tc>
        <w:tc>
          <w:tcPr>
            <w:tcW w:w="4253" w:type="dxa"/>
            <w:shd w:val="clear" w:color="auto" w:fill="auto"/>
            <w:vAlign w:val="center"/>
            <w:hideMark/>
          </w:tcPr>
          <w:p>
            <w:pPr>
              <w:rPr>
                <w:rFonts w:eastAsia="Times New Roman" w:cstheme="minorHAnsi"/>
                <w:noProof/>
                <w:color w:val="000000"/>
              </w:rPr>
            </w:pPr>
            <w:r>
              <w:rPr>
                <w:rFonts w:cstheme="minorHAnsi"/>
                <w:noProof/>
                <w:color w:val="000000"/>
              </w:rPr>
              <w:t>Качеството на данните се счита за много добро. Целият обем на вноса и производството трябва да се докладва и потвърди от счетоводителите на дружествата. Не се изискват приблизителни изчисления на данните</w:t>
            </w:r>
          </w:p>
        </w:tc>
        <w:tc>
          <w:tcPr>
            <w:tcW w:w="4678" w:type="dxa"/>
            <w:shd w:val="clear" w:color="auto" w:fill="auto"/>
            <w:vAlign w:val="center"/>
            <w:hideMark/>
          </w:tcPr>
          <w:p>
            <w:pPr>
              <w:rPr>
                <w:rFonts w:eastAsia="Times New Roman" w:cstheme="minorHAnsi"/>
                <w:noProof/>
                <w:color w:val="000000"/>
              </w:rPr>
            </w:pPr>
            <w:r>
              <w:rPr>
                <w:rFonts w:cstheme="minorHAnsi"/>
                <w:noProof/>
                <w:color w:val="000000"/>
              </w:rPr>
              <w:t>Данните се използват като основа за изчисляване на екологичния данък. Потребители на данните са по-специално държавните органи, сдружения на земеделските стопани, неправителствени организации, промишлеността и др. Достъпни са данните както за активните вещества, така и за продуктите. В коментарите на потребителите се изтъква необходимостта от данни на регионално равнище, а не само на национално равнище. Това обаче не е възможно поради начина, по който се събират данните</w:t>
            </w:r>
          </w:p>
        </w:tc>
      </w:tr>
    </w:tbl>
    <w:p>
      <w:pPr>
        <w:spacing w:after="0"/>
        <w:jc w:val="both"/>
        <w:rPr>
          <w:rFonts w:ascii="Times New Roman" w:hAnsi="Times New Roman"/>
          <w:noProof/>
          <w:sz w:val="24"/>
          <w:szCs w:val="24"/>
        </w:rPr>
      </w:pPr>
    </w:p>
    <w:p>
      <w:pPr>
        <w:spacing w:after="0"/>
        <w:jc w:val="both"/>
        <w:rPr>
          <w:rFonts w:ascii="Times New Roman" w:eastAsia="Arial Unicode MS" w:hAnsi="Times New Roman"/>
          <w:noProof/>
          <w:sz w:val="24"/>
          <w:szCs w:val="24"/>
        </w:rPr>
      </w:pP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36933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olor w:val="auto"/>
        </w:rPr>
      </w:pPr>
      <w:r>
        <w:rPr>
          <w:rStyle w:val="FootnoteReference"/>
        </w:rPr>
        <w:footnoteRef/>
      </w:r>
      <w:r>
        <w:tab/>
      </w:r>
      <w:r>
        <w:rPr>
          <w:rFonts w:ascii="Times New Roman" w:hAnsi="Times New Roman"/>
          <w:color w:val="auto"/>
        </w:rPr>
        <w:t>ОВ L 324, 10.12.2009 г., стр. 4.</w:t>
      </w:r>
    </w:p>
  </w:footnote>
  <w:footnote w:id="2">
    <w:p>
      <w:pPr>
        <w:pStyle w:val="FootnoteText"/>
        <w:ind w:left="720" w:hanging="720"/>
        <w:jc w:val="both"/>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w:t>
      </w:r>
      <w:r>
        <w:tab/>
      </w:r>
      <w:r>
        <w:rPr>
          <w:rFonts w:ascii="Times New Roman" w:hAnsi="Times New Roman"/>
          <w:color w:val="auto"/>
        </w:rPr>
        <w:t>Регламент (ЕО) № 1107/2009 на Европейския парламент и на Съвета от 21 октомври 2009 г. относно пускането на пазара на продукти за растителна защита и за отмяна на директиви 79/117/ЕИО и 91/414/ЕИО на Съвета (OВ L 309, 24.11.2009 г., стр. 1).</w:t>
      </w:r>
    </w:p>
  </w:footnote>
  <w:footnote w:id="3">
    <w:p>
      <w:pPr>
        <w:pStyle w:val="FootnoteText"/>
        <w:ind w:left="720" w:hanging="720"/>
        <w:jc w:val="both"/>
        <w:rPr>
          <w:rFonts w:ascii="Times New Roman" w:hAnsi="Times New Roman"/>
          <w:color w:val="auto"/>
        </w:rPr>
      </w:pPr>
      <w:r>
        <w:rPr>
          <w:rStyle w:val="FootnoteReference"/>
          <w:rFonts w:ascii="Times New Roman" w:hAnsi="Times New Roman"/>
          <w:color w:val="auto"/>
        </w:rPr>
        <w:footnoteRef/>
      </w:r>
      <w:r>
        <w:rPr>
          <w:rFonts w:ascii="Times New Roman" w:hAnsi="Times New Roman"/>
          <w:color w:val="auto"/>
        </w:rPr>
        <w:t xml:space="preserve"> </w:t>
      </w:r>
      <w:r>
        <w:tab/>
      </w:r>
      <w:r>
        <w:rPr>
          <w:rFonts w:ascii="Times New Roman" w:hAnsi="Times New Roman"/>
          <w:color w:val="auto"/>
        </w:rPr>
        <w:t>ОВ L 123, 24.4.1998 г., стр. 1. Моля, имайте предвид, че Директива 98/8/ЕО е отменена, считано от 1 септември 2013 г., с Регламент (ЕС) № 528/2012 на Европейския парламент и на Съвета от 22 май 2012 г. относно предоставянето на пазара и употребата на биоциди (OВ L 167, 27.6.2012 г., стр. 1).</w:t>
      </w:r>
    </w:p>
    <w:p>
      <w:pPr>
        <w:spacing w:after="0" w:line="240" w:lineRule="auto"/>
        <w:ind w:left="720"/>
        <w:jc w:val="both"/>
        <w:rPr>
          <w:rFonts w:ascii="Times New Roman" w:eastAsia="Times New Roman" w:hAnsi="Times New Roman" w:cs="Times New Roman"/>
          <w:bCs/>
          <w:sz w:val="20"/>
          <w:szCs w:val="20"/>
          <w:lang w:eastAsia="fr-FR"/>
        </w:rPr>
      </w:pPr>
      <w:r>
        <w:rPr>
          <w:rFonts w:ascii="Times New Roman" w:hAnsi="Times New Roman"/>
          <w:sz w:val="20"/>
        </w:rPr>
        <w:t>Всяко позоваване на отменената директива се тълкува като позоваване на Регламент (ЕС) №</w:t>
      </w:r>
      <w:r>
        <w:rPr>
          <w:rFonts w:ascii="Times New Roman" w:hAnsi="Times New Roman"/>
          <w:sz w:val="20"/>
          <w:lang w:val="fr-CA"/>
        </w:rPr>
        <w:t> </w:t>
      </w:r>
      <w:r>
        <w:rPr>
          <w:rFonts w:ascii="Times New Roman" w:hAnsi="Times New Roman"/>
          <w:sz w:val="20"/>
        </w:rPr>
        <w:t>528/2012.</w:t>
      </w:r>
    </w:p>
    <w:p>
      <w:pPr>
        <w:pStyle w:val="FootnoteText"/>
        <w:jc w:val="both"/>
        <w:rPr>
          <w:rFonts w:ascii="Times New Roman" w:hAnsi="Times New Roman"/>
          <w:color w:val="auto"/>
        </w:rPr>
      </w:pPr>
    </w:p>
  </w:footnote>
  <w:footnote w:id="4">
    <w:p>
      <w:pPr>
        <w:pStyle w:val="FootnoteText"/>
        <w:ind w:left="720" w:hanging="720"/>
        <w:jc w:val="both"/>
        <w:rPr>
          <w:rFonts w:ascii="Times New Roman" w:hAnsi="Times New Roman"/>
          <w:color w:val="auto"/>
        </w:rPr>
      </w:pPr>
      <w:r>
        <w:rPr>
          <w:rStyle w:val="FootnoteReference"/>
        </w:rPr>
        <w:footnoteRef/>
      </w:r>
      <w:r>
        <w:t xml:space="preserve"> </w:t>
      </w:r>
      <w:r>
        <w:tab/>
      </w:r>
      <w:r>
        <w:rPr>
          <w:rFonts w:ascii="Times New Roman" w:hAnsi="Times New Roman"/>
          <w:color w:val="auto"/>
        </w:rPr>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p>
      <w:pPr>
        <w:pStyle w:val="FootnoteText"/>
        <w:jc w:val="both"/>
        <w:rPr>
          <w:rFonts w:ascii="Times New Roman" w:hAnsi="Times New Roman"/>
          <w:color w:val="auto"/>
        </w:rPr>
      </w:pPr>
    </w:p>
  </w:footnote>
  <w:footnote w:id="5">
    <w:p>
      <w:pPr>
        <w:pStyle w:val="FootnoteText"/>
        <w:ind w:left="720" w:hanging="720"/>
        <w:jc w:val="both"/>
        <w:rPr>
          <w:rFonts w:ascii="Times New Roman" w:hAnsi="Times New Roman"/>
          <w:color w:val="auto"/>
        </w:rPr>
      </w:pPr>
      <w:r>
        <w:rPr>
          <w:rStyle w:val="FootnoteReference"/>
        </w:rPr>
        <w:footnoteRef/>
      </w:r>
      <w:r>
        <w:t xml:space="preserve"> </w:t>
      </w:r>
      <w:r>
        <w:tab/>
      </w:r>
      <w:r>
        <w:rPr>
          <w:rFonts w:ascii="Times New Roman" w:hAnsi="Times New Roman"/>
          <w:color w:val="auto"/>
        </w:rPr>
        <w:t>Директива 2009/128/ЕО на Европейския парламент и на Съвета от 21 октомври 2009 г. за създаване на рамка за действие на Общността за постигане на устойчива употреба на пестициди (ОВ L 309, 24.11.2009 г., стр. 71).</w:t>
      </w:r>
    </w:p>
  </w:footnote>
  <w:footnote w:id="6">
    <w:p>
      <w:pPr>
        <w:pStyle w:val="FootnoteText"/>
      </w:pPr>
      <w:r>
        <w:rPr>
          <w:rStyle w:val="FootnoteReference"/>
        </w:rPr>
        <w:footnoteRef/>
      </w:r>
      <w:r>
        <w:t xml:space="preserve"> </w:t>
      </w:r>
      <w:r>
        <w:tab/>
      </w:r>
      <w:hyperlink r:id="rId1">
        <w:r>
          <w:rPr>
            <w:rStyle w:val="Hyperlink"/>
          </w:rPr>
          <w:t>http://biodiversity.europa.eu/maes</w:t>
        </w:r>
      </w:hyperlink>
    </w:p>
  </w:footnote>
  <w:footnote w:id="7">
    <w:p>
      <w:pPr>
        <w:pStyle w:val="FootnoteText"/>
        <w:rPr>
          <w:rFonts w:ascii="Times New Roman" w:hAnsi="Times New Roman"/>
        </w:rPr>
      </w:pPr>
      <w:r>
        <w:rPr>
          <w:rStyle w:val="FootnoteReference"/>
        </w:rPr>
        <w:footnoteRef/>
      </w:r>
      <w:r>
        <w:tab/>
      </w:r>
      <w:r>
        <w:rPr>
          <w:rFonts w:ascii="Times New Roman" w:hAnsi="Times New Roman"/>
        </w:rPr>
        <w:t>COM(2016) 151</w:t>
      </w:r>
    </w:p>
    <w:p>
      <w:pPr>
        <w:pStyle w:val="FootnoteText"/>
        <w:ind w:firstLine="720"/>
      </w:pPr>
      <w:r>
        <w:rPr>
          <w:rFonts w:ascii="Times New Roman" w:hAnsi="Times New Roman"/>
          <w:sz w:val="24"/>
        </w:rPr>
        <w:t>(</w:t>
      </w:r>
      <w:hyperlink r:id="rId2">
        <w:r>
          <w:rPr>
            <w:rStyle w:val="Hyperlink"/>
          </w:rPr>
          <w:t>https://ec.europa.eu/transparency/regdoc/rep/1/2016/BG/1-2016-151-BG-F1-1.PDF</w:t>
        </w:r>
      </w:hyperlink>
      <w:r>
        <w:rPr>
          <w:rStyle w:val="Hyperlink"/>
        </w:rPr>
        <w:t>.)</w:t>
      </w:r>
    </w:p>
  </w:footnote>
  <w:footnote w:id="8">
    <w:p>
      <w:pPr>
        <w:pStyle w:val="FootnoteText"/>
      </w:pPr>
      <w:r>
        <w:rPr>
          <w:rStyle w:val="FootnoteReference"/>
        </w:rPr>
        <w:footnoteRef/>
      </w:r>
      <w:r>
        <w:t> </w:t>
      </w:r>
      <w:r>
        <w:tab/>
      </w:r>
      <w:hyperlink r:id="rId3">
        <w:r>
          <w:rPr>
            <w:rStyle w:val="Hyperlink"/>
          </w:rPr>
          <w:t>Стратегия за селскостопанска статистика до 2020 г. и след това</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8472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9E5634"/>
    <w:multiLevelType w:val="hybridMultilevel"/>
    <w:tmpl w:val="7F9A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F010E3"/>
    <w:multiLevelType w:val="hybridMultilevel"/>
    <w:tmpl w:val="1474EEA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E680919"/>
    <w:multiLevelType w:val="hybridMultilevel"/>
    <w:tmpl w:val="7B1442F8"/>
    <w:lvl w:ilvl="0" w:tplc="218670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632026"/>
    <w:multiLevelType w:val="hybridMultilevel"/>
    <w:tmpl w:val="0A2A7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672E35"/>
    <w:multiLevelType w:val="hybridMultilevel"/>
    <w:tmpl w:val="2BE0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EA627B7"/>
    <w:multiLevelType w:val="hybridMultilevel"/>
    <w:tmpl w:val="9E268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3C35142"/>
    <w:multiLevelType w:val="hybridMultilevel"/>
    <w:tmpl w:val="9934D0D4"/>
    <w:lvl w:ilvl="0" w:tplc="9D425C90">
      <w:numFmt w:val="bullet"/>
      <w:lvlText w:val="-"/>
      <w:lvlJc w:val="left"/>
      <w:pPr>
        <w:ind w:left="1080" w:hanging="72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6684E12"/>
    <w:multiLevelType w:val="hybridMultilevel"/>
    <w:tmpl w:val="C7C672EE"/>
    <w:lvl w:ilvl="0" w:tplc="F814A108">
      <w:numFmt w:val="bullet"/>
      <w:lvlText w:val="•"/>
      <w:lvlJc w:val="left"/>
      <w:pPr>
        <w:ind w:left="1080" w:hanging="720"/>
      </w:pPr>
      <w:rPr>
        <w:rFonts w:ascii="Times New Roman" w:eastAsia="Arial Unicode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9CD0676"/>
    <w:multiLevelType w:val="hybridMultilevel"/>
    <w:tmpl w:val="1F8C7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E6535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B1D2D6F"/>
    <w:multiLevelType w:val="hybridMultilevel"/>
    <w:tmpl w:val="B6C8A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11E13DE"/>
    <w:multiLevelType w:val="hybridMultilevel"/>
    <w:tmpl w:val="7B1442F8"/>
    <w:lvl w:ilvl="0" w:tplc="218670B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1BD6B5B"/>
    <w:multiLevelType w:val="hybridMultilevel"/>
    <w:tmpl w:val="B1686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23E2C36"/>
    <w:multiLevelType w:val="hybridMultilevel"/>
    <w:tmpl w:val="AF9EEE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B556816"/>
    <w:multiLevelType w:val="hybridMultilevel"/>
    <w:tmpl w:val="B6AEB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C374E72"/>
    <w:multiLevelType w:val="hybridMultilevel"/>
    <w:tmpl w:val="97E0D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FD64503"/>
    <w:multiLevelType w:val="hybridMultilevel"/>
    <w:tmpl w:val="48C87FC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7"/>
  </w:num>
  <w:num w:numId="3">
    <w:abstractNumId w:val="11"/>
  </w:num>
  <w:num w:numId="4">
    <w:abstractNumId w:val="13"/>
  </w:num>
  <w:num w:numId="5">
    <w:abstractNumId w:val="1"/>
  </w:num>
  <w:num w:numId="6">
    <w:abstractNumId w:val="2"/>
  </w:num>
  <w:num w:numId="7">
    <w:abstractNumId w:val="15"/>
  </w:num>
  <w:num w:numId="8">
    <w:abstractNumId w:val="16"/>
  </w:num>
  <w:num w:numId="9">
    <w:abstractNumId w:val="9"/>
  </w:num>
  <w:num w:numId="10">
    <w:abstractNumId w:val="8"/>
  </w:num>
  <w:num w:numId="11">
    <w:abstractNumId w:val="4"/>
  </w:num>
  <w:num w:numId="12">
    <w:abstractNumId w:val="7"/>
  </w:num>
  <w:num w:numId="13">
    <w:abstractNumId w:val="6"/>
  </w:num>
  <w:num w:numId="14">
    <w:abstractNumId w:val="12"/>
  </w:num>
  <w:num w:numId="15">
    <w:abstractNumId w:val="3"/>
  </w:num>
  <w:num w:numId="16">
    <w:abstractNumId w:val="14"/>
  </w:num>
  <w:num w:numId="17">
    <w:abstractNumId w:val="1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FigNum" w:val="3"/>
    <w:docVar w:name="LW_CONFIDENCE" w:val=" "/>
    <w:docVar w:name="LW_CONST_RESTREINT_UE" w:val="RESTREINT UE"/>
    <w:docVar w:name="LW_CORRIGENDUM" w:val="&lt;UNUSED&gt;"/>
    <w:docVar w:name="LW_COVERPAGE_GUID" w:val="27E2B581E1D7470994ED3464AE1372F7"/>
    <w:docVar w:name="LW_CROSSREFERENCE" w:val="&lt;UNUSED&gt;"/>
    <w:docVar w:name="LW_DocType" w:val="NORMAL"/>
    <w:docVar w:name="LW_EMISSION" w:val="3.3.2017"/>
    <w:docVar w:name="LW_EMISSION_ISODATE" w:val="2017-03-03"/>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109"/>
    <w:docVar w:name="LW_REF.INTERNE" w:val="&lt;UNUSED&gt;"/>
    <w:docVar w:name="LW_SOUS.TITRE.OBJ.CP" w:val="&lt;UNUSED&gt;"/>
    <w:docVar w:name="LW_SUPERTITRE" w:val="&lt;UNUSED&gt;"/>
    <w:docVar w:name="LW_TITRE.OBJ.CP" w:val="\u1086?\u1090?\u1085?\u1086?\u1089?\u1085?\u1086? \u1080?\u1079?\u1087?\u1098?\u1083?\u1085?\u1077?\u1085?\u1080?\u1077?\u1090?\u1086? \u1085?\u1072? \u1056?\u1077?\u1075?\u1083?\u1072?\u1084?\u1077?\u1085?\u1090? (\u1045?\u1054?) \u8470? 1185/2009 \u1085?\u1072? \u1045?\u1074?\u1088?\u1086?\u1087?\u1077?\u1081?\u1089?\u1082?\u1080?\u1103? \u1087?\u1072?\u1088?\u1083?\u1072?\u1084?\u1077?\u1085?\u1090? \u1080? \u1085?\u1072? \u1057?\u1098?\u1074?\u1077?\u1090?\u1072? \u1086?\u1090? 25 \u1085?\u1072?\u1077?\u1084?\u1074?\u1088?\u1080? 2009 \u1075?. \u1086?\u1090?\u1085?\u1086?\u1089?\u1085?\u1086? \u1089?\u1090?\u1072?\u1090?\u1080?\u1089?\u1090?\u1080?\u1082?\u1072?\u1090?\u1072? \u1079?\u1072? \u1087?\u1077?\u1089?\u1090?\u1080?\u1094?\u1080?\u1076?\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color w:val="000080"/>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color w:val="000080"/>
      <w:sz w:val="20"/>
      <w:szCs w:val="20"/>
      <w:lang w:eastAsia="bg-BG"/>
    </w:rPr>
  </w:style>
  <w:style w:type="character" w:styleId="FootnoteReference">
    <w:name w:val="footnote reference"/>
    <w:basedOn w:val="DefaultParagraphFont"/>
    <w:uiPriority w:val="99"/>
    <w:unhideWhenUsed/>
    <w:rPr>
      <w:shd w:val="clear" w:color="auto" w:fill="auto"/>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eastAsia="bg-BG"/>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4">
    <w:name w:val="CM4"/>
    <w:basedOn w:val="Default"/>
    <w:next w:val="Default"/>
    <w:uiPriority w:val="99"/>
    <w:rPr>
      <w:rFonts w:cs="Arial Unicode MS"/>
      <w:color w:val="000080"/>
    </w:rPr>
  </w:style>
  <w:style w:type="paragraph" w:styleId="ListParagraph">
    <w:name w:val="List Paragraph"/>
    <w:basedOn w:val="Normal"/>
    <w:uiPriority w:val="34"/>
    <w:qFormat/>
    <w:pPr>
      <w:ind w:left="720"/>
      <w:contextualSpacing/>
    </w:pPr>
    <w:rPr>
      <w:rFonts w:ascii="Calibri" w:eastAsia="Calibri" w:hAnsi="Calibri" w:cs="Times New Roman"/>
      <w:color w:val="000080"/>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color w:val="000080"/>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80"/>
      <w:sz w:val="16"/>
      <w:szCs w:val="16"/>
      <w:lang w:eastAsia="bg-BG"/>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color w:val="000080"/>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color w:val="000080"/>
      <w:sz w:val="20"/>
      <w:szCs w:val="20"/>
      <w:lan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color w:val="000080"/>
      <w:sz w:val="20"/>
      <w:szCs w:val="20"/>
      <w:lang w:eastAsia="bg-BG"/>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color w:val="000080"/>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eastAsia="bg-BG"/>
    </w:rPr>
  </w:style>
  <w:style w:type="paragraph" w:styleId="FootnoteText">
    <w:name w:val="footnote text"/>
    <w:basedOn w:val="Normal"/>
    <w:link w:val="FootnoteTextChar"/>
    <w:uiPriority w:val="99"/>
    <w:semiHidden/>
    <w:unhideWhenUsed/>
    <w:pPr>
      <w:spacing w:after="0" w:line="240" w:lineRule="auto"/>
    </w:pPr>
    <w:rPr>
      <w:rFonts w:ascii="Calibri" w:eastAsia="Calibri" w:hAnsi="Calibri" w:cs="Times New Roman"/>
      <w:color w:val="000080"/>
      <w:sz w:val="20"/>
      <w:szCs w:val="20"/>
    </w:rPr>
  </w:style>
  <w:style w:type="character" w:customStyle="1" w:styleId="FootnoteTextChar">
    <w:name w:val="Footnote Text Char"/>
    <w:basedOn w:val="DefaultParagraphFont"/>
    <w:link w:val="FootnoteText"/>
    <w:uiPriority w:val="99"/>
    <w:semiHidden/>
    <w:rPr>
      <w:rFonts w:ascii="Calibri" w:eastAsia="Calibri" w:hAnsi="Calibri" w:cs="Times New Roman"/>
      <w:color w:val="000080"/>
      <w:sz w:val="20"/>
      <w:szCs w:val="20"/>
      <w:lang w:eastAsia="bg-BG"/>
    </w:rPr>
  </w:style>
  <w:style w:type="character" w:styleId="FootnoteReference">
    <w:name w:val="footnote reference"/>
    <w:basedOn w:val="DefaultParagraphFont"/>
    <w:uiPriority w:val="99"/>
    <w:unhideWhenUsed/>
    <w:rPr>
      <w:shd w:val="clear" w:color="auto" w:fill="auto"/>
      <w:vertAlign w:val="superscript"/>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eastAsia="bg-BG"/>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sz w:val="20"/>
      <w:szCs w:val="20"/>
      <w:lang w:eastAsia="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customStyle="1" w:styleId="CM4">
    <w:name w:val="CM4"/>
    <w:basedOn w:val="Default"/>
    <w:next w:val="Default"/>
    <w:uiPriority w:val="99"/>
    <w:rPr>
      <w:rFonts w:cs="Arial Unicode MS"/>
      <w:color w:val="000080"/>
    </w:rPr>
  </w:style>
  <w:style w:type="paragraph" w:styleId="ListParagraph">
    <w:name w:val="List Paragraph"/>
    <w:basedOn w:val="Normal"/>
    <w:uiPriority w:val="34"/>
    <w:qFormat/>
    <w:pPr>
      <w:ind w:left="720"/>
      <w:contextualSpacing/>
    </w:pPr>
    <w:rPr>
      <w:rFonts w:ascii="Calibri" w:eastAsia="Calibri" w:hAnsi="Calibri" w:cs="Times New Roman"/>
      <w:color w:val="000080"/>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Calibri" w:hAnsi="Tahoma" w:cs="Tahoma"/>
      <w:color w:val="000080"/>
      <w:sz w:val="16"/>
      <w:szCs w:val="16"/>
    </w:rPr>
  </w:style>
  <w:style w:type="character" w:customStyle="1" w:styleId="BalloonTextChar">
    <w:name w:val="Balloon Text Char"/>
    <w:basedOn w:val="DefaultParagraphFont"/>
    <w:link w:val="BalloonText"/>
    <w:uiPriority w:val="99"/>
    <w:semiHidden/>
    <w:rPr>
      <w:rFonts w:ascii="Tahoma" w:eastAsia="Calibri" w:hAnsi="Tahoma" w:cs="Tahoma"/>
      <w:color w:val="000080"/>
      <w:sz w:val="16"/>
      <w:szCs w:val="16"/>
      <w:lang w:eastAsia="bg-BG"/>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rFonts w:ascii="Calibri" w:eastAsia="Calibri" w:hAnsi="Calibri" w:cs="Times New Roman"/>
      <w:color w:val="000080"/>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color w:val="000080"/>
      <w:sz w:val="20"/>
      <w:szCs w:val="20"/>
      <w:lan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color w:val="000080"/>
      <w:sz w:val="20"/>
      <w:szCs w:val="20"/>
      <w:lang w:eastAsia="bg-BG"/>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rPr>
      <w:rFonts w:ascii="Calibri" w:eastAsia="Calibri" w:hAnsi="Calibri" w:cs="Times New Roman"/>
      <w:color w:val="000080"/>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Default"/>
    <w:next w:val="Default"/>
    <w:uiPriority w:val="99"/>
    <w:rPr>
      <w:rFonts w:eastAsiaTheme="minorHAnsi" w:cstheme="minorBidi"/>
      <w:color w:val="auto"/>
    </w:rPr>
  </w:style>
  <w:style w:type="paragraph" w:customStyle="1" w:styleId="CM3">
    <w:name w:val="CM3"/>
    <w:basedOn w:val="Default"/>
    <w:next w:val="Default"/>
    <w:uiPriority w:val="99"/>
    <w:rPr>
      <w:rFonts w:eastAsia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stat/documents/749240/749310/Strategy+on+agricultural+statistics_Final/fed9adb7-00b6-45c5-bf2c-2d7dcf5a6dd9" TargetMode="External"/><Relationship Id="rId2" Type="http://schemas.openxmlformats.org/officeDocument/2006/relationships/hyperlink" Target="https://ec.europa.eu/transparency/regdoc/rep/1/2016/BG/1-2016-151-BG-F1-1.PDF" TargetMode="External"/><Relationship Id="rId1" Type="http://schemas.openxmlformats.org/officeDocument/2006/relationships/hyperlink" Target="http://biodiversity.europa.eu/ma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6D5DF-6A37-4F89-82D8-1EE39A657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23</Pages>
  <Words>6213</Words>
  <Characters>37532</Characters>
  <Application>Microsoft Office Word</Application>
  <DocSecurity>0</DocSecurity>
  <Lines>987</Lines>
  <Paragraphs>314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dcterms:created xsi:type="dcterms:W3CDTF">2017-02-08T11:01:00Z</dcterms:created>
  <dcterms:modified xsi:type="dcterms:W3CDTF">2017-02-22T14:28:00Z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