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6EEC0BD7AC64611B26C315EBCB38593" style="width:450.75pt;height:33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Point0"/>
        <w:rPr>
          <w:noProof/>
        </w:rPr>
      </w:pPr>
      <w:r>
        <w:rPr>
          <w:noProof/>
        </w:rPr>
        <w:t>1.</w:t>
      </w:r>
      <w:r>
        <w:rPr>
          <w:noProof/>
        </w:rPr>
        <w:tab/>
        <w:t>L'annexe I A du règlement (UE) 2017/127 est modifiée comme suit:</w:t>
      </w:r>
    </w:p>
    <w:p>
      <w:pPr>
        <w:pStyle w:val="Point1"/>
        <w:rPr>
          <w:noProof/>
        </w:rPr>
      </w:pPr>
      <w:r>
        <w:rPr>
          <w:noProof/>
        </w:rPr>
        <w:t>a)</w:t>
      </w:r>
      <w:r>
        <w:rPr>
          <w:noProof/>
        </w:rPr>
        <w:tab/>
        <w:t>Dans l’ensemble du texte de l’annexe I A, la phrase «L'article 12, paragraphe 1, du présent règlement s'applique» est remplacée par la phrase «L'article 11, paragraphe 1, du présent règlement s'applique»;</w:t>
      </w:r>
    </w:p>
    <w:p>
      <w:pPr>
        <w:pStyle w:val="Point1"/>
        <w:rPr>
          <w:noProof/>
        </w:rPr>
      </w:pPr>
      <w:r>
        <w:rPr>
          <w:noProof/>
        </w:rPr>
        <w:t xml:space="preserve"> b) </w:t>
      </w:r>
      <w:r>
        <w:rPr>
          <w:noProof/>
        </w:rPr>
        <w:tab/>
        <w:t>Le tableau des possibilités de pêche pour le lançon dans les eaux de l'Union des zones II a, III a et IV est remplacé par le tableau suivant:</w:t>
      </w:r>
    </w:p>
    <w:p>
      <w:pPr>
        <w:pStyle w:val="Point1"/>
        <w:rPr>
          <w:noProof/>
        </w:rPr>
      </w:pPr>
      <w:r>
        <w:rPr>
          <w:noProof/>
        </w:rPr>
        <w:t>«</w:t>
      </w:r>
    </w:p>
    <w:tbl>
      <w:tblPr>
        <w:tblW w:w="9181" w:type="dxa"/>
        <w:tblInd w:w="108" w:type="dxa"/>
        <w:tblLook w:val="04A0" w:firstRow="1" w:lastRow="0" w:firstColumn="1" w:lastColumn="0" w:noHBand="0" w:noVBand="1"/>
      </w:tblPr>
      <w:tblGrid>
        <w:gridCol w:w="1002"/>
        <w:gridCol w:w="1068"/>
        <w:gridCol w:w="1162"/>
        <w:gridCol w:w="1162"/>
        <w:gridCol w:w="1207"/>
        <w:gridCol w:w="1194"/>
        <w:gridCol w:w="1193"/>
        <w:gridCol w:w="1193"/>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Espèce:</w:t>
            </w:r>
          </w:p>
        </w:tc>
        <w:tc>
          <w:tcPr>
            <w:tcW w:w="3377" w:type="dxa"/>
            <w:gridSpan w:val="3"/>
            <w:tcBorders>
              <w:top w:val="single" w:sz="8" w:space="0" w:color="000000"/>
              <w:left w:val="nil"/>
              <w:bottom w:val="nil"/>
              <w:right w:val="nil"/>
            </w:tcBorders>
            <w:noWrap/>
            <w:hideMark/>
          </w:tcPr>
          <w:p>
            <w:pPr>
              <w:spacing w:after="0"/>
              <w:rPr>
                <w:rFonts w:eastAsia="Times New Roman"/>
                <w:noProof/>
                <w:sz w:val="18"/>
                <w:szCs w:val="18"/>
              </w:rPr>
            </w:pPr>
            <w:r>
              <w:rPr>
                <w:noProof/>
                <w:sz w:val="18"/>
              </w:rPr>
              <w:t>Lançons et prises accessoires associées</w:t>
            </w:r>
          </w:p>
        </w:tc>
        <w:tc>
          <w:tcPr>
            <w:tcW w:w="1213"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3598"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Eaux de l'Union des zones II a, III a et IV(1)</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209" w:type="dxa"/>
            <w:gridSpan w:val="2"/>
            <w:tcBorders>
              <w:top w:val="nil"/>
              <w:left w:val="nil"/>
              <w:bottom w:val="single" w:sz="8" w:space="0" w:color="000000"/>
              <w:right w:val="nil"/>
            </w:tcBorders>
            <w:noWrap/>
            <w:hideMark/>
          </w:tcPr>
          <w:p>
            <w:pPr>
              <w:spacing w:after="0"/>
              <w:rPr>
                <w:rFonts w:eastAsia="Times New Roman"/>
                <w:i/>
                <w:iCs/>
                <w:noProof/>
                <w:sz w:val="18"/>
                <w:szCs w:val="18"/>
              </w:rPr>
            </w:pPr>
            <w:r>
              <w:rPr>
                <w:i/>
                <w:noProof/>
                <w:sz w:val="18"/>
              </w:rPr>
              <w:t xml:space="preserve">Ammodytes </w:t>
            </w:r>
            <w:r>
              <w:rPr>
                <w:noProof/>
                <w:sz w:val="18"/>
              </w:rPr>
              <w:t>spp.</w:t>
            </w:r>
          </w:p>
        </w:tc>
        <w:tc>
          <w:tcPr>
            <w:tcW w:w="1168" w:type="dxa"/>
            <w:noWrap/>
            <w:hideMark/>
          </w:tcPr>
          <w:p>
            <w:pPr>
              <w:spacing w:after="0" w:line="276" w:lineRule="auto"/>
              <w:rPr>
                <w:noProof/>
                <w:sz w:val="22"/>
              </w:rPr>
            </w:pPr>
          </w:p>
        </w:tc>
        <w:tc>
          <w:tcPr>
            <w:tcW w:w="1213"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Danemark</w:t>
            </w:r>
          </w:p>
        </w:tc>
        <w:tc>
          <w:tcPr>
            <w:tcW w:w="1041" w:type="dxa"/>
            <w:noWrap/>
            <w:hideMark/>
          </w:tcPr>
          <w:p>
            <w:pPr>
              <w:spacing w:after="0"/>
              <w:rPr>
                <w:rFonts w:eastAsia="Times New Roman"/>
                <w:noProof/>
                <w:sz w:val="18"/>
                <w:szCs w:val="18"/>
              </w:rPr>
            </w:pPr>
            <w:r>
              <w:rPr>
                <w:noProof/>
                <w:sz w:val="18"/>
              </w:rPr>
              <w:t> </w:t>
            </w:r>
          </w:p>
        </w:tc>
        <w:tc>
          <w:tcPr>
            <w:tcW w:w="1168" w:type="dxa"/>
            <w:noWrap/>
            <w:hideMark/>
          </w:tcPr>
          <w:p>
            <w:pPr>
              <w:spacing w:after="0"/>
              <w:jc w:val="right"/>
              <w:rPr>
                <w:rFonts w:eastAsia="Times New Roman"/>
                <w:noProof/>
                <w:color w:val="000000"/>
                <w:sz w:val="18"/>
                <w:szCs w:val="18"/>
              </w:rPr>
            </w:pPr>
            <w:r>
              <w:rPr>
                <w:noProof/>
                <w:color w:val="000000"/>
                <w:sz w:val="18"/>
              </w:rPr>
              <w:t>458 552</w:t>
            </w:r>
          </w:p>
        </w:tc>
        <w:tc>
          <w:tcPr>
            <w:tcW w:w="116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2413"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1199" w:type="dxa"/>
            <w:noWrap/>
            <w:hideMark/>
          </w:tcPr>
          <w:p>
            <w:pPr>
              <w:spacing w:after="0"/>
              <w:rPr>
                <w:rFonts w:eastAsia="Times New Roman"/>
                <w:noProof/>
                <w:color w:val="000000"/>
                <w:sz w:val="18"/>
                <w:szCs w:val="18"/>
              </w:rPr>
            </w:pPr>
            <w:r>
              <w:rPr>
                <w:noProof/>
                <w:color w:val="000000"/>
                <w:sz w:val="18"/>
              </w:rPr>
              <w:t> </w:t>
            </w:r>
          </w:p>
        </w:tc>
        <w:tc>
          <w:tcPr>
            <w:tcW w:w="1199"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2034" w:type="dxa"/>
            <w:gridSpan w:val="2"/>
            <w:noWrap/>
            <w:hideMark/>
          </w:tcPr>
          <w:p>
            <w:pPr>
              <w:spacing w:after="0"/>
              <w:rPr>
                <w:rFonts w:eastAsia="Times New Roman"/>
                <w:noProof/>
                <w:color w:val="000000"/>
                <w:sz w:val="18"/>
                <w:szCs w:val="18"/>
              </w:rPr>
            </w:pPr>
            <w:r>
              <w:rPr>
                <w:noProof/>
                <w:color w:val="000000"/>
                <w:sz w:val="18"/>
              </w:rPr>
              <w:t>Royaume-Uni</w:t>
            </w:r>
          </w:p>
        </w:tc>
        <w:tc>
          <w:tcPr>
            <w:tcW w:w="1168" w:type="dxa"/>
            <w:noWrap/>
            <w:hideMark/>
          </w:tcPr>
          <w:p>
            <w:pPr>
              <w:spacing w:after="0"/>
              <w:jc w:val="right"/>
              <w:rPr>
                <w:rFonts w:eastAsia="Times New Roman"/>
                <w:noProof/>
                <w:color w:val="000000"/>
                <w:sz w:val="18"/>
                <w:szCs w:val="18"/>
              </w:rPr>
            </w:pPr>
            <w:r>
              <w:rPr>
                <w:noProof/>
                <w:color w:val="000000"/>
                <w:sz w:val="18"/>
              </w:rPr>
              <w:t>10 024</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4811" w:type="dxa"/>
            <w:gridSpan w:val="4"/>
            <w:noWrap/>
            <w:hideMark/>
          </w:tcPr>
          <w:p>
            <w:pPr>
              <w:spacing w:after="0"/>
              <w:rPr>
                <w:rFonts w:eastAsia="Times New Roman"/>
                <w:noProof/>
                <w:color w:val="000000"/>
                <w:sz w:val="18"/>
                <w:szCs w:val="18"/>
              </w:rPr>
            </w:pPr>
            <w:r>
              <w:rPr>
                <w:noProof/>
                <w:color w:val="000000"/>
                <w:sz w:val="18"/>
              </w:rPr>
              <w:t>L'article 3 du règlement (CE) n° 847/96 ne s'applique pas.</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Allemagne</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 xml:space="preserve"> 701</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4811" w:type="dxa"/>
            <w:gridSpan w:val="4"/>
            <w:noWrap/>
            <w:hideMark/>
          </w:tcPr>
          <w:p>
            <w:pPr>
              <w:spacing w:after="0"/>
              <w:rPr>
                <w:rFonts w:eastAsia="Times New Roman"/>
                <w:noProof/>
                <w:color w:val="000000"/>
                <w:sz w:val="18"/>
                <w:szCs w:val="18"/>
              </w:rPr>
            </w:pPr>
            <w:r>
              <w:rPr>
                <w:noProof/>
                <w:color w:val="000000"/>
                <w:sz w:val="18"/>
              </w:rPr>
              <w:t>L'article 4 du règlement (CE) n° 847/96 ne s'applique pas.</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Suède</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16 838</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rPr>
                <w:rFonts w:eastAsia="Times New Roman"/>
                <w:noProof/>
                <w:color w:val="000000"/>
                <w:sz w:val="18"/>
                <w:szCs w:val="18"/>
              </w:rPr>
            </w:pPr>
            <w:r>
              <w:rPr>
                <w:noProof/>
                <w:color w:val="000000"/>
                <w:sz w:val="18"/>
              </w:rPr>
              <w:t>Union</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486 115</w:t>
            </w: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rPr>
                <w:rFonts w:eastAsia="Times New Roman"/>
                <w:noProof/>
                <w:color w:val="000000"/>
                <w:sz w:val="18"/>
                <w:szCs w:val="18"/>
              </w:rPr>
            </w:pPr>
            <w:r>
              <w:rPr>
                <w:noProof/>
                <w:color w:val="000000"/>
                <w:sz w:val="18"/>
              </w:rPr>
              <w:t>TAC</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486 115</w:t>
            </w: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rPr>
            </w:pPr>
            <w:r>
              <w:rPr>
                <w:noProof/>
                <w:color w:val="000000"/>
                <w:sz w:val="18"/>
                <w:vertAlign w:val="superscript"/>
              </w:rPr>
              <w:t>(1)</w:t>
            </w:r>
          </w:p>
        </w:tc>
        <w:tc>
          <w:tcPr>
            <w:tcW w:w="5790" w:type="dxa"/>
            <w:gridSpan w:val="5"/>
            <w:noWrap/>
            <w:hideMark/>
          </w:tcPr>
          <w:p>
            <w:pPr>
              <w:spacing w:after="0"/>
              <w:rPr>
                <w:rFonts w:eastAsia="Times New Roman"/>
                <w:noProof/>
                <w:sz w:val="18"/>
                <w:szCs w:val="18"/>
              </w:rPr>
            </w:pPr>
            <w:r>
              <w:rPr>
                <w:noProof/>
                <w:sz w:val="18"/>
                <w:vertAlign w:val="superscript"/>
              </w:rPr>
              <w:t>À l'exclusion des eaux situées à moins de six milles marins des lignes de base du Royaume-Uni aux Shetland, à Fair Isle et à Foula.</w:t>
            </w: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rPr>
            </w:pPr>
            <w:r>
              <w:rPr>
                <w:noProof/>
                <w:color w:val="000000"/>
                <w:sz w:val="18"/>
                <w:vertAlign w:val="superscript"/>
              </w:rPr>
              <w:t>(2)</w:t>
            </w:r>
          </w:p>
        </w:tc>
        <w:tc>
          <w:tcPr>
            <w:tcW w:w="8188" w:type="dxa"/>
            <w:gridSpan w:val="7"/>
            <w:noWrap/>
            <w:hideMark/>
          </w:tcPr>
          <w:p>
            <w:pPr>
              <w:spacing w:after="0"/>
              <w:rPr>
                <w:rFonts w:eastAsia="Times New Roman"/>
                <w:noProof/>
                <w:sz w:val="18"/>
                <w:szCs w:val="18"/>
              </w:rPr>
            </w:pPr>
            <w:r>
              <w:rPr>
                <w:noProof/>
                <w:sz w:val="18"/>
                <w:vertAlign w:val="superscript"/>
              </w:rPr>
              <w:t>Sans préjudice de l'obligation de débarquement, les prises accessoires de limande commune, de merlan et de maquereau peuvent représenter jusqu'à 2 % du quota (OT1/*2A3A4). Lorsqu'un État membre fait usage de cette faculté pour des prises accessoires d'une espèce susmentionnée dans cette pêcherie, il ne peut invoquer la flexibilité interespèces à l'égard des prises accessoires de l'espèce en question.</w:t>
            </w:r>
          </w:p>
        </w:tc>
      </w:tr>
      <w:tr>
        <w:trPr>
          <w:trHeight w:val="255"/>
        </w:trPr>
        <w:tc>
          <w:tcPr>
            <w:tcW w:w="9181" w:type="dxa"/>
            <w:gridSpan w:val="8"/>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Condition particulière: dans le cadre des quotas susmentionnés, les captures sont limitées, dans les zones de gestion du lançon spécifiées à l'annexe II D, aux quantités portées ci-dessous:</w:t>
            </w:r>
          </w:p>
        </w:tc>
      </w:tr>
      <w:tr>
        <w:trPr>
          <w:trHeight w:val="255"/>
        </w:trPr>
        <w:tc>
          <w:tcPr>
            <w:tcW w:w="993" w:type="dxa"/>
            <w:noWrap/>
            <w:hideMark/>
          </w:tcPr>
          <w:p>
            <w:pPr>
              <w:spacing w:after="0" w:line="276" w:lineRule="auto"/>
              <w:rPr>
                <w:noProof/>
                <w:sz w:val="22"/>
              </w:rPr>
            </w:pPr>
          </w:p>
        </w:tc>
        <w:tc>
          <w:tcPr>
            <w:tcW w:w="5790" w:type="dxa"/>
            <w:gridSpan w:val="5"/>
            <w:noWrap/>
            <w:hideMark/>
          </w:tcPr>
          <w:p>
            <w:pPr>
              <w:spacing w:after="0"/>
              <w:rPr>
                <w:rFonts w:eastAsia="Times New Roman"/>
                <w:b/>
                <w:bCs/>
                <w:noProof/>
                <w:sz w:val="18"/>
                <w:szCs w:val="18"/>
              </w:rPr>
            </w:pPr>
            <w:r>
              <w:rPr>
                <w:b/>
                <w:noProof/>
                <w:sz w:val="18"/>
              </w:rPr>
              <w:t>Zone: Eaux de l'Union correspondant aux zones de gestion du lançon</w:t>
            </w: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tcBorders>
              <w:top w:val="single" w:sz="4" w:space="0" w:color="auto"/>
              <w:left w:val="single" w:sz="4" w:space="0" w:color="auto"/>
              <w:bottom w:val="single" w:sz="4" w:space="0" w:color="auto"/>
              <w:right w:val="single" w:sz="4" w:space="0" w:color="auto"/>
            </w:tcBorders>
            <w:noWrap/>
            <w:hideMark/>
          </w:tcPr>
          <w:p>
            <w:pPr>
              <w:spacing w:after="0"/>
              <w:jc w:val="center"/>
              <w:rPr>
                <w:rFonts w:eastAsia="Times New Roman"/>
                <w:noProof/>
                <w:color w:val="000000"/>
                <w:sz w:val="14"/>
                <w:szCs w:val="14"/>
              </w:rPr>
            </w:pPr>
          </w:p>
        </w:tc>
        <w:tc>
          <w:tcPr>
            <w:tcW w:w="1041"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sz w:val="18"/>
                <w:szCs w:val="18"/>
              </w:rPr>
            </w:pPr>
            <w:r>
              <w:rPr>
                <w:b/>
                <w:noProof/>
                <w:sz w:val="18"/>
              </w:rPr>
              <w:t>1r</w:t>
            </w:r>
          </w:p>
        </w:tc>
        <w:tc>
          <w:tcPr>
            <w:tcW w:w="1168"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2r</w:t>
            </w:r>
          </w:p>
        </w:tc>
        <w:tc>
          <w:tcPr>
            <w:tcW w:w="1168"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3r</w:t>
            </w:r>
          </w:p>
        </w:tc>
        <w:tc>
          <w:tcPr>
            <w:tcW w:w="1213"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4</w:t>
            </w:r>
          </w:p>
        </w:tc>
        <w:tc>
          <w:tcPr>
            <w:tcW w:w="1200"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5r</w:t>
            </w:r>
          </w:p>
        </w:tc>
        <w:tc>
          <w:tcPr>
            <w:tcW w:w="1199"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6</w:t>
            </w:r>
          </w:p>
        </w:tc>
        <w:tc>
          <w:tcPr>
            <w:tcW w:w="1199"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7r</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jc w:val="center"/>
              <w:rPr>
                <w:rFonts w:eastAsia="Times New Roman"/>
                <w:noProof/>
                <w:color w:val="000000"/>
                <w:sz w:val="14"/>
                <w:szCs w:val="14"/>
              </w:rPr>
            </w:pPr>
          </w:p>
        </w:tc>
        <w:tc>
          <w:tcPr>
            <w:tcW w:w="1041" w:type="dxa"/>
            <w:tcBorders>
              <w:top w:val="nil"/>
              <w:left w:val="nil"/>
              <w:bottom w:val="single" w:sz="4" w:space="0" w:color="auto"/>
              <w:right w:val="single" w:sz="4" w:space="0" w:color="auto"/>
            </w:tcBorders>
            <w:noWrap/>
            <w:hideMark/>
          </w:tcPr>
          <w:p>
            <w:pPr>
              <w:rPr>
                <w:noProof/>
                <w:sz w:val="14"/>
                <w:szCs w:val="14"/>
              </w:rPr>
            </w:pPr>
            <w:r>
              <w:rPr>
                <w:noProof/>
                <w:sz w:val="14"/>
              </w:rPr>
              <w:t>(SAN/234_1R)</w:t>
            </w:r>
          </w:p>
        </w:tc>
        <w:tc>
          <w:tcPr>
            <w:tcW w:w="1168"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(SAN/234_2R) </w:t>
            </w:r>
          </w:p>
        </w:tc>
        <w:tc>
          <w:tcPr>
            <w:tcW w:w="1168" w:type="dxa"/>
            <w:tcBorders>
              <w:top w:val="nil"/>
              <w:left w:val="nil"/>
              <w:bottom w:val="single" w:sz="4" w:space="0" w:color="auto"/>
              <w:right w:val="single" w:sz="4" w:space="0" w:color="auto"/>
            </w:tcBorders>
            <w:noWrap/>
            <w:hideMark/>
          </w:tcPr>
          <w:p>
            <w:pPr>
              <w:rPr>
                <w:noProof/>
                <w:sz w:val="14"/>
                <w:szCs w:val="14"/>
              </w:rPr>
            </w:pPr>
            <w:r>
              <w:rPr>
                <w:noProof/>
                <w:sz w:val="14"/>
              </w:rPr>
              <w:t>(SAN/234_3R)</w:t>
            </w:r>
          </w:p>
        </w:tc>
        <w:tc>
          <w:tcPr>
            <w:tcW w:w="1213"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(SAN/234_4) </w:t>
            </w:r>
          </w:p>
        </w:tc>
        <w:tc>
          <w:tcPr>
            <w:tcW w:w="1200"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(SAN/234_5R) </w:t>
            </w:r>
          </w:p>
        </w:tc>
        <w:tc>
          <w:tcPr>
            <w:tcW w:w="1199"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(SAN/234_6) </w:t>
            </w:r>
          </w:p>
        </w:tc>
        <w:tc>
          <w:tcPr>
            <w:tcW w:w="1199"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(SAN/234_7R)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Danemark</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241 443</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165 965</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50 979</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165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Royaume-Uni</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5 278</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3 628</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1 114</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4</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Allemagne</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xml:space="preserve"> 369</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254</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78</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Suède</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8 866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6 094</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1 872</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6</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Union</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255 956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175 941</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54 043</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175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Total</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255 956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175 941</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54 043</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175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041" w:type="dxa"/>
            <w:tcBorders>
              <w:top w:val="nil"/>
              <w:left w:val="nil"/>
              <w:bottom w:val="single" w:sz="8" w:space="0" w:color="000000"/>
              <w:right w:val="nil"/>
            </w:tcBorders>
            <w:noWrap/>
            <w:hideMark/>
          </w:tcPr>
          <w:p>
            <w:pPr>
              <w:spacing w:after="0"/>
              <w:rPr>
                <w:rFonts w:eastAsia="Times New Roman"/>
                <w:noProof/>
                <w:sz w:val="18"/>
                <w:szCs w:val="18"/>
              </w:rPr>
            </w:pPr>
            <w:r>
              <w:rPr>
                <w:noProof/>
                <w:sz w:val="18"/>
              </w:rPr>
              <w:t> </w:t>
            </w:r>
          </w:p>
        </w:tc>
        <w:tc>
          <w:tcPr>
            <w:tcW w:w="1168" w:type="dxa"/>
            <w:tcBorders>
              <w:top w:val="nil"/>
              <w:left w:val="nil"/>
              <w:bottom w:val="single" w:sz="8" w:space="0" w:color="000000"/>
              <w:right w:val="nil"/>
            </w:tcBorders>
            <w:noWrap/>
            <w:hideMark/>
          </w:tcPr>
          <w:p>
            <w:pPr>
              <w:spacing w:after="0"/>
              <w:jc w:val="right"/>
              <w:rPr>
                <w:rFonts w:eastAsia="Times New Roman"/>
                <w:noProof/>
                <w:color w:val="000000"/>
                <w:sz w:val="18"/>
                <w:szCs w:val="18"/>
              </w:rPr>
            </w:pPr>
            <w:r>
              <w:rPr>
                <w:noProof/>
                <w:color w:val="000000"/>
                <w:sz w:val="18"/>
              </w:rPr>
              <w:t> </w:t>
            </w:r>
          </w:p>
        </w:tc>
        <w:tc>
          <w:tcPr>
            <w:tcW w:w="116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1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bl>
    <w:p>
      <w:pPr>
        <w:jc w:val="right"/>
        <w:rPr>
          <w:noProof/>
        </w:rPr>
      </w:pPr>
      <w:r>
        <w:rPr>
          <w:noProof/>
        </w:rPr>
        <w:lastRenderedPageBreak/>
        <w:t>»;</w:t>
      </w:r>
    </w:p>
    <w:p>
      <w:pPr>
        <w:pStyle w:val="Point1"/>
        <w:rPr>
          <w:noProof/>
        </w:rPr>
      </w:pPr>
      <w:r>
        <w:rPr>
          <w:noProof/>
        </w:rPr>
        <w:t>c)</w:t>
      </w:r>
      <w:r>
        <w:rPr>
          <w:noProof/>
        </w:rPr>
        <w:tab/>
        <w:t>Dans le tableau des possibilités de pêche pour le lieu noir dans les zones III a et IV; eaux de l'Union de la zone II a, le code de déclaration «(POK/2A3A4.)» est remplacé par le code «(POK/2C3A4)»;</w:t>
      </w:r>
    </w:p>
    <w:p>
      <w:pPr>
        <w:pStyle w:val="Point1"/>
        <w:rPr>
          <w:noProof/>
        </w:rPr>
      </w:pPr>
      <w:r>
        <w:rPr>
          <w:noProof/>
        </w:rPr>
        <w:t>d)</w:t>
      </w:r>
      <w:r>
        <w:rPr>
          <w:noProof/>
        </w:rPr>
        <w:tab/>
        <w:t>Dans la note de bas de page (3) du tableau des possibilités de pêche pour les raies dans les eaux de l'Union des zones VI a, VI b, VII a-c et VII e-k, le code de déclaration «(RJE/7FG)» est remplacé par le code «(RJE/7FG.)»;</w:t>
      </w:r>
    </w:p>
    <w:p>
      <w:pPr>
        <w:pStyle w:val="Point1"/>
        <w:rPr>
          <w:noProof/>
        </w:rPr>
      </w:pPr>
      <w:r>
        <w:rPr>
          <w:noProof/>
        </w:rPr>
        <w:t>e)</w:t>
      </w:r>
      <w:r>
        <w:rPr>
          <w:noProof/>
        </w:rPr>
        <w:tab/>
        <w:t>Dans le tableau des possibilités de pêche pour les raies dans les eaux de l'Union de la zone VII d, les notes de bas de page (1) et (2) sont remplacées par le texte suivant:</w:t>
      </w:r>
    </w:p>
    <w:p>
      <w:pPr>
        <w:pStyle w:val="Point2"/>
        <w:rPr>
          <w:noProof/>
        </w:rPr>
      </w:pPr>
      <w:r>
        <w:rPr>
          <w:noProof/>
        </w:rPr>
        <w:t>«(1)</w:t>
      </w:r>
      <w:r>
        <w:rPr>
          <w:noProof/>
        </w:rPr>
        <w:tab/>
        <w:t>Les captures de raie fleurie (</w:t>
      </w:r>
      <w:r>
        <w:rPr>
          <w:i/>
          <w:noProof/>
        </w:rPr>
        <w:t>Leucoraja naevus</w:t>
      </w:r>
      <w:r>
        <w:rPr>
          <w:noProof/>
        </w:rPr>
        <w:t>) (RJN/07D.), de raie bouclée (</w:t>
      </w:r>
      <w:r>
        <w:rPr>
          <w:i/>
          <w:noProof/>
        </w:rPr>
        <w:t>Raja clavata</w:t>
      </w:r>
      <w:r>
        <w:rPr>
          <w:noProof/>
        </w:rPr>
        <w:t>) (RJC/07D.), de raie lisse (</w:t>
      </w:r>
      <w:r>
        <w:rPr>
          <w:i/>
          <w:noProof/>
        </w:rPr>
        <w:t>Raja brachyura</w:t>
      </w:r>
      <w:r>
        <w:rPr>
          <w:noProof/>
        </w:rPr>
        <w:t>) (RJH/07D.), de raie douce (</w:t>
      </w:r>
      <w:r>
        <w:rPr>
          <w:i/>
          <w:noProof/>
        </w:rPr>
        <w:t>Raja montagui</w:t>
      </w:r>
      <w:r>
        <w:rPr>
          <w:noProof/>
        </w:rPr>
        <w:t>) (RJM/07D.) et de raie mêlée (</w:t>
      </w:r>
      <w:r>
        <w:rPr>
          <w:i/>
          <w:noProof/>
        </w:rPr>
        <w:t>Raja microocellata</w:t>
      </w:r>
      <w:r>
        <w:rPr>
          <w:noProof/>
        </w:rPr>
        <w:t>) (RJE/07D.) sont déclarées séparément.</w:t>
      </w:r>
    </w:p>
    <w:p>
      <w:pPr>
        <w:pStyle w:val="Point2"/>
        <w:rPr>
          <w:noProof/>
          <w:color w:val="000000"/>
          <w:szCs w:val="24"/>
        </w:rPr>
      </w:pPr>
      <w:r>
        <w:rPr>
          <w:noProof/>
        </w:rPr>
        <w:t>(2)</w:t>
      </w:r>
      <w:r>
        <w:rPr>
          <w:noProof/>
        </w:rPr>
        <w:tab/>
      </w:r>
      <w:r>
        <w:rPr>
          <w:noProof/>
          <w:color w:val="000000"/>
        </w:rPr>
        <w:t>Condition particulière: dont 5 %, au plus, peuvent être pêchés dans les eaux de l'Union des zones VI a, VI b, VII a-c et VII e-k (SRX/*67AKD). Les captures de raie fleurie (</w:t>
      </w:r>
      <w:r>
        <w:rPr>
          <w:i/>
          <w:noProof/>
          <w:color w:val="000000"/>
        </w:rPr>
        <w:t>Leucoraja naevus</w:t>
      </w:r>
      <w:r>
        <w:rPr>
          <w:noProof/>
          <w:color w:val="000000"/>
        </w:rPr>
        <w:t>) (RJN/*67AKD), de raie bouclée (</w:t>
      </w:r>
      <w:r>
        <w:rPr>
          <w:i/>
          <w:noProof/>
          <w:color w:val="000000"/>
        </w:rPr>
        <w:t>Raja clavata</w:t>
      </w:r>
      <w:r>
        <w:rPr>
          <w:noProof/>
          <w:color w:val="000000"/>
        </w:rPr>
        <w:t>) (RJC/*67AKD), de raie lisse (</w:t>
      </w:r>
      <w:r>
        <w:rPr>
          <w:i/>
          <w:noProof/>
          <w:color w:val="000000"/>
        </w:rPr>
        <w:t>Raja brachyura</w:t>
      </w:r>
      <w:r>
        <w:rPr>
          <w:noProof/>
          <w:color w:val="000000"/>
        </w:rPr>
        <w:t>) (RJH/*67AKD) et de raie douce (</w:t>
      </w:r>
      <w:r>
        <w:rPr>
          <w:i/>
          <w:noProof/>
          <w:color w:val="000000"/>
        </w:rPr>
        <w:t>Raja montagui</w:t>
      </w:r>
      <w:r>
        <w:rPr>
          <w:noProof/>
          <w:color w:val="000000"/>
        </w:rPr>
        <w:t>) (RJM/*67AKD) sont déclarées séparément. Cette condition particulière ne s'applique pas à la raie mêlée (</w:t>
      </w:r>
      <w:r>
        <w:rPr>
          <w:i/>
          <w:noProof/>
          <w:color w:val="000000"/>
        </w:rPr>
        <w:t>Raja microocellata</w:t>
      </w:r>
      <w:r>
        <w:rPr>
          <w:noProof/>
          <w:color w:val="000000"/>
        </w:rPr>
        <w:t>) ni à la raie brunette (</w:t>
      </w:r>
      <w:r>
        <w:rPr>
          <w:i/>
          <w:noProof/>
          <w:color w:val="000000"/>
        </w:rPr>
        <w:t>Raja undulata</w:t>
      </w:r>
      <w:r>
        <w:rPr>
          <w:noProof/>
          <w:color w:val="000000"/>
        </w:rPr>
        <w:t>).»;</w:t>
      </w:r>
    </w:p>
    <w:p>
      <w:pPr>
        <w:pStyle w:val="Point1"/>
        <w:rPr>
          <w:noProof/>
        </w:rPr>
      </w:pPr>
      <w:r>
        <w:rPr>
          <w:noProof/>
        </w:rPr>
        <w:t>f)</w:t>
      </w:r>
      <w:r>
        <w:rPr>
          <w:noProof/>
        </w:rPr>
        <w:tab/>
        <w:t>Dans le tableau des possibilités de pêche pour le maquereau commun dans les zones III a et IV; eaux de l'Union des zones II a, III b et III c et des sous-divisions 22 à 32, la note de bas de page (3) est remplacée par le texte suivant:</w:t>
      </w:r>
    </w:p>
    <w:p>
      <w:pPr>
        <w:pStyle w:val="Point2"/>
        <w:rPr>
          <w:noProof/>
        </w:rPr>
      </w:pPr>
      <w:r>
        <w:rPr>
          <w:noProof/>
        </w:rPr>
        <w:t>«(3)</w:t>
      </w:r>
      <w:r>
        <w:rPr>
          <w:noProof/>
        </w:rPr>
        <w:tab/>
        <w:t>Condition particulière: y compris le tonnage ci-après à prélever dans les eaux norvégiennes des zones II a et IV a (MAC/*2A4AN):</w:t>
      </w:r>
    </w:p>
    <w:p>
      <w:pPr>
        <w:pStyle w:val="Point2"/>
        <w:rPr>
          <w:noProof/>
        </w:rPr>
      </w:pPr>
      <w:r>
        <w:rPr>
          <w:noProof/>
        </w:rPr>
        <w:tab/>
      </w:r>
      <w:r>
        <w:rPr>
          <w:noProof/>
        </w:rPr>
        <w:tab/>
      </w:r>
      <w:r>
        <w:rPr>
          <w:noProof/>
        </w:rPr>
        <w:tab/>
      </w:r>
      <w:r>
        <w:rPr>
          <w:noProof/>
        </w:rPr>
        <w:tab/>
      </w:r>
      <w:r>
        <w:rPr>
          <w:noProof/>
        </w:rPr>
        <w:tab/>
      </w:r>
      <w:r>
        <w:rPr>
          <w:noProof/>
        </w:rPr>
        <w:tab/>
        <w:t>328</w:t>
      </w:r>
    </w:p>
    <w:p>
      <w:pPr>
        <w:pStyle w:val="Point2"/>
        <w:rPr>
          <w:noProof/>
          <w:szCs w:val="24"/>
        </w:rPr>
      </w:pPr>
      <w:r>
        <w:rPr>
          <w:noProof/>
        </w:rPr>
        <w:tab/>
        <w:t>Lors des activités de pêche au titre de cette condition particulière, les prises accessoires de cabillaud, d'églefin, de lieu jaune, de merlan et de lieu noir sont imputées sur les quotas applicables à ces espèces.».</w:t>
      </w:r>
    </w:p>
    <w:p>
      <w:pPr>
        <w:pStyle w:val="Point0"/>
        <w:rPr>
          <w:noProof/>
        </w:rPr>
      </w:pPr>
      <w:r>
        <w:rPr>
          <w:noProof/>
        </w:rPr>
        <w:t>2.</w:t>
      </w:r>
      <w:r>
        <w:rPr>
          <w:noProof/>
        </w:rPr>
        <w:tab/>
        <w:t>À l'annexe I B du règlement (UE) 2017/127, le tableau des possibilités de pêche pour le capelan dans les eaux groenlandaises des zones V et XIV est remplacé par le tableau suivant:</w:t>
      </w:r>
    </w:p>
    <w:p>
      <w:pPr>
        <w:pStyle w:val="Point0"/>
        <w:rPr>
          <w:noProof/>
        </w:rPr>
      </w:pPr>
      <w:r>
        <w:rPr>
          <w:noProof/>
        </w:rPr>
        <w:t>«</w:t>
      </w:r>
    </w:p>
    <w:tbl>
      <w:tblPr>
        <w:tblW w:w="9097" w:type="dxa"/>
        <w:tblInd w:w="108" w:type="dxa"/>
        <w:tblLook w:val="04A0" w:firstRow="1" w:lastRow="0" w:firstColumn="1" w:lastColumn="0" w:noHBand="0" w:noVBand="1"/>
      </w:tblPr>
      <w:tblGrid>
        <w:gridCol w:w="1560"/>
        <w:gridCol w:w="1559"/>
        <w:gridCol w:w="482"/>
        <w:gridCol w:w="2500"/>
        <w:gridCol w:w="2996"/>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1559"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Capelan</w:t>
            </w:r>
          </w:p>
        </w:tc>
        <w:tc>
          <w:tcPr>
            <w:tcW w:w="482"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2500"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2996"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Eaux groenlandaises des zones V et XIV</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41"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2500"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99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Danemark</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Allemagne</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L'article 3 du règlement (CE) n°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Suède</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L'article 4 du règlement (CE) n°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Royaume-Uni</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lastRenderedPageBreak/>
              <w:t>Tous les États membres</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Norvège</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4 389</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2500" w:type="dxa"/>
            <w:noWrap/>
            <w:vAlign w:val="bottom"/>
            <w:hideMark/>
          </w:tcPr>
          <w:p>
            <w:pPr>
              <w:spacing w:after="0" w:line="276" w:lineRule="auto"/>
              <w:rPr>
                <w:noProof/>
                <w:sz w:val="22"/>
              </w:rPr>
            </w:pPr>
          </w:p>
        </w:tc>
        <w:tc>
          <w:tcPr>
            <w:tcW w:w="2996"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559" w:type="dxa"/>
            <w:noWrap/>
            <w:vAlign w:val="bottom"/>
            <w:hideMark/>
          </w:tcPr>
          <w:p>
            <w:pPr>
              <w:spacing w:after="0" w:line="276" w:lineRule="auto"/>
              <w:rPr>
                <w:noProof/>
                <w:sz w:val="22"/>
              </w:rPr>
            </w:pP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559" w:type="dxa"/>
            <w:noWrap/>
            <w:vAlign w:val="bottom"/>
            <w:hideMark/>
          </w:tcPr>
          <w:p>
            <w:pPr>
              <w:spacing w:after="0"/>
              <w:jc w:val="right"/>
              <w:rPr>
                <w:rFonts w:eastAsia="Times New Roman"/>
                <w:noProof/>
                <w:color w:val="000000"/>
                <w:sz w:val="18"/>
                <w:szCs w:val="18"/>
              </w:rPr>
            </w:pPr>
            <w:r>
              <w:rPr>
                <w:noProof/>
                <w:color w:val="000000"/>
                <w:sz w:val="18"/>
              </w:rPr>
              <w:t>Sans objet</w:t>
            </w: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537" w:type="dxa"/>
            <w:gridSpan w:val="4"/>
            <w:noWrap/>
            <w:hideMark/>
          </w:tcPr>
          <w:p>
            <w:pPr>
              <w:spacing w:after="0"/>
              <w:rPr>
                <w:rFonts w:eastAsia="Times New Roman"/>
                <w:noProof/>
                <w:color w:val="000000"/>
                <w:sz w:val="18"/>
                <w:szCs w:val="18"/>
              </w:rPr>
            </w:pPr>
            <w:r>
              <w:rPr>
                <w:noProof/>
                <w:color w:val="000000"/>
                <w:sz w:val="18"/>
                <w:vertAlign w:val="superscript"/>
              </w:rPr>
              <w:t>Le Danemark, l'Allemagne, la Suède et le Royaume-Uni ne peuvent accéder au quota destiné à “tous les États membres” qu'après avoir épuisé leur propre quota. Toutefois, les États membres disposant de plus de 10 % du quota de l'Union n'ont, en aucun cas, accès au quota destiné à “tous les États membres”.</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537"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Pour la campagne de pêche allant du 20 juin au 30 avril de l'année suivante.</w:t>
            </w:r>
          </w:p>
        </w:tc>
      </w:tr>
      <w:tr>
        <w:trPr>
          <w:trHeight w:val="270"/>
        </w:trPr>
        <w:tc>
          <w:tcPr>
            <w:tcW w:w="1560" w:type="dxa"/>
            <w:noWrap/>
            <w:vAlign w:val="bottom"/>
            <w:hideMark/>
          </w:tcPr>
          <w:p>
            <w:pPr>
              <w:spacing w:after="0" w:line="276" w:lineRule="auto"/>
              <w:rPr>
                <w:noProof/>
                <w:sz w:val="22"/>
              </w:rPr>
            </w:pPr>
          </w:p>
        </w:tc>
        <w:tc>
          <w:tcPr>
            <w:tcW w:w="1559" w:type="dxa"/>
            <w:noWrap/>
            <w:vAlign w:val="bottom"/>
            <w:hideMark/>
          </w:tcPr>
          <w:p>
            <w:pPr>
              <w:spacing w:after="0" w:line="276" w:lineRule="auto"/>
              <w:rPr>
                <w:noProof/>
                <w:sz w:val="22"/>
              </w:rPr>
            </w:pPr>
          </w:p>
        </w:tc>
        <w:tc>
          <w:tcPr>
            <w:tcW w:w="482" w:type="dxa"/>
            <w:noWrap/>
            <w:vAlign w:val="bottom"/>
            <w:hideMark/>
          </w:tcPr>
          <w:p>
            <w:pPr>
              <w:spacing w:after="0" w:line="276" w:lineRule="auto"/>
              <w:rPr>
                <w:noProof/>
                <w:sz w:val="22"/>
              </w:rPr>
            </w:pPr>
          </w:p>
        </w:tc>
        <w:tc>
          <w:tcPr>
            <w:tcW w:w="2500" w:type="dxa"/>
            <w:noWrap/>
            <w:vAlign w:val="bottom"/>
            <w:hideMark/>
          </w:tcPr>
          <w:p>
            <w:pPr>
              <w:spacing w:after="0" w:line="276" w:lineRule="auto"/>
              <w:rPr>
                <w:noProof/>
                <w:sz w:val="22"/>
              </w:rPr>
            </w:pPr>
          </w:p>
        </w:tc>
        <w:tc>
          <w:tcPr>
            <w:tcW w:w="2996" w:type="dxa"/>
            <w:noWrap/>
            <w:vAlign w:val="bottom"/>
            <w:hideMark/>
          </w:tcPr>
          <w:p>
            <w:pPr>
              <w:spacing w:after="0" w:line="276" w:lineRule="auto"/>
              <w:rPr>
                <w:noProof/>
                <w:sz w:val="22"/>
              </w:rPr>
            </w:pPr>
          </w:p>
        </w:tc>
      </w:tr>
    </w:tbl>
    <w:p>
      <w:pPr>
        <w:pStyle w:val="Point0"/>
        <w:jc w:val="right"/>
        <w:rPr>
          <w:noProof/>
        </w:rPr>
      </w:pPr>
      <w:r>
        <w:rPr>
          <w:noProof/>
        </w:rPr>
        <w:t>».</w:t>
      </w:r>
    </w:p>
    <w:p>
      <w:pPr>
        <w:pStyle w:val="Point0"/>
        <w:rPr>
          <w:noProof/>
        </w:rPr>
      </w:pPr>
      <w:r>
        <w:rPr>
          <w:noProof/>
        </w:rPr>
        <w:t>3.</w:t>
      </w:r>
      <w:r>
        <w:rPr>
          <w:noProof/>
        </w:rPr>
        <w:tab/>
        <w:t>L'annexe I D du règlement (UE) 2017/127 est modifiée comme suit:</w:t>
      </w:r>
    </w:p>
    <w:p>
      <w:pPr>
        <w:pStyle w:val="Point1"/>
        <w:rPr>
          <w:noProof/>
        </w:rPr>
      </w:pPr>
      <w:r>
        <w:rPr>
          <w:noProof/>
        </w:rPr>
        <w:t>a)</w:t>
      </w:r>
      <w:r>
        <w:rPr>
          <w:noProof/>
        </w:rPr>
        <w:tab/>
        <w:t>Dans le tableau des possibilités de pêche pour le voilier dans l’océan Atlantique, à l'est de 45° O, le code de déclaration «(SAIL/AE45 W)» est remplacé par le code «(SAI/AE45W)»;</w:t>
      </w:r>
    </w:p>
    <w:p>
      <w:pPr>
        <w:pStyle w:val="Point1"/>
        <w:rPr>
          <w:noProof/>
        </w:rPr>
      </w:pPr>
      <w:r>
        <w:rPr>
          <w:noProof/>
        </w:rPr>
        <w:t>b)</w:t>
      </w:r>
      <w:r>
        <w:rPr>
          <w:noProof/>
        </w:rPr>
        <w:tab/>
        <w:t>Dans le tableau des possibilités de pêche pour le voilier dans l’océan Atlantique, à l'ouest de 45° O, le code de déclaration «(SAIL/AW45 W)» est remplacé par le code «(SAI/AW45W)»;</w:t>
      </w:r>
    </w:p>
    <w:p>
      <w:pPr>
        <w:pStyle w:val="Point1"/>
        <w:rPr>
          <w:noProof/>
        </w:rPr>
      </w:pPr>
      <w:r>
        <w:rPr>
          <w:noProof/>
        </w:rPr>
        <w:t>c)</w:t>
      </w:r>
      <w:r>
        <w:rPr>
          <w:noProof/>
        </w:rPr>
        <w:tab/>
        <w:t>Dans le tableau des possibilités de pêche pour l’espadon dans la Méditerranée, le code de déclaration («SWO/M)» est remplacé par le code «(SWO/MED)».</w:t>
      </w:r>
    </w:p>
    <w:p>
      <w:pPr>
        <w:pStyle w:val="Point0"/>
        <w:rPr>
          <w:noProof/>
        </w:rPr>
      </w:pPr>
      <w:r>
        <w:rPr>
          <w:noProof/>
        </w:rPr>
        <w:t>4.</w:t>
      </w:r>
      <w:r>
        <w:rPr>
          <w:noProof/>
        </w:rPr>
        <w:tab/>
        <w:t>À l’annexe I E du règlement (UE) 2017/127, dans le tableau des possibilités de pêche pour les grenadiers dans la zone FAO 48.3 Antarctique, le code de déclaration «(SRX/F483.)» est remplacé par le code «(GRV/F483.)».</w:t>
      </w:r>
    </w:p>
    <w:p>
      <w:pPr>
        <w:pStyle w:val="Point0"/>
        <w:rPr>
          <w:noProof/>
        </w:rPr>
      </w:pPr>
      <w:r>
        <w:rPr>
          <w:noProof/>
        </w:rPr>
        <w:t>5.</w:t>
      </w:r>
      <w:r>
        <w:rPr>
          <w:noProof/>
        </w:rPr>
        <w:tab/>
        <w:t>À l'annexe I J du règlement (UE) 2017/127, le tableau des possibilités de pêche pour le chinchard du Chili dans la zone de la convention ORGPPS est remplacé par le tableau suivant:</w:t>
      </w:r>
    </w:p>
    <w:p>
      <w:pPr>
        <w:pStyle w:val="Point0"/>
        <w:rPr>
          <w:noProof/>
        </w:rPr>
      </w:pPr>
      <w:r>
        <w:rPr>
          <w:noProof/>
        </w:rPr>
        <w:t>«</w:t>
      </w:r>
    </w:p>
    <w:tbl>
      <w:tblPr>
        <w:tblW w:w="9180" w:type="dxa"/>
        <w:tblInd w:w="108" w:type="dxa"/>
        <w:tblLook w:val="04A0" w:firstRow="1" w:lastRow="0" w:firstColumn="1" w:lastColumn="0" w:noHBand="0" w:noVBand="1"/>
      </w:tblPr>
      <w:tblGrid>
        <w:gridCol w:w="1560"/>
        <w:gridCol w:w="1275"/>
        <w:gridCol w:w="1204"/>
        <w:gridCol w:w="781"/>
        <w:gridCol w:w="4360"/>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479"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Chinchard du Chili</w:t>
            </w:r>
          </w:p>
        </w:tc>
        <w:tc>
          <w:tcPr>
            <w:tcW w:w="781"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3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Zone de la convention ORGPPS</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479"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Trachurus murphyi</w:t>
            </w:r>
          </w:p>
        </w:tc>
        <w:tc>
          <w:tcPr>
            <w:tcW w:w="781"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3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(CJM/SPRFMO)</w:t>
            </w:r>
          </w:p>
        </w:tc>
      </w:tr>
      <w:tr>
        <w:trPr>
          <w:trHeight w:val="270"/>
        </w:trPr>
        <w:tc>
          <w:tcPr>
            <w:tcW w:w="1560" w:type="dxa"/>
            <w:noWrap/>
            <w:vAlign w:val="bottom"/>
            <w:hideMark/>
          </w:tcPr>
          <w:p>
            <w:pPr>
              <w:spacing w:after="0"/>
              <w:rPr>
                <w:rFonts w:eastAsia="Times New Roman"/>
                <w:noProof/>
                <w:sz w:val="18"/>
                <w:szCs w:val="18"/>
              </w:rPr>
            </w:pPr>
            <w:r>
              <w:rPr>
                <w:noProof/>
                <w:sz w:val="18"/>
              </w:rPr>
              <w:t>Allemagne</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7 583,98</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Pays-Bas</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8 220,25</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L'article 3 du règlement (CE) n°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Lituanie</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5 277,13</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L'article 4 du règlement (CE) n° 847/96 ne s'applique pas.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Pologne</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9 073,64</w:t>
            </w: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Union</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30 155</w:t>
            </w:r>
          </w:p>
        </w:tc>
        <w:tc>
          <w:tcPr>
            <w:tcW w:w="1204" w:type="dxa"/>
            <w:noWrap/>
            <w:vAlign w:val="bottom"/>
            <w:hideMark/>
          </w:tcPr>
          <w:p>
            <w:pPr>
              <w:spacing w:after="0" w:line="276" w:lineRule="auto"/>
              <w:rPr>
                <w:noProof/>
                <w:sz w:val="22"/>
              </w:rPr>
            </w:pPr>
          </w:p>
        </w:tc>
        <w:tc>
          <w:tcPr>
            <w:tcW w:w="781" w:type="dxa"/>
            <w:noWrap/>
            <w:vAlign w:val="bottom"/>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275" w:type="dxa"/>
            <w:noWrap/>
            <w:vAlign w:val="center"/>
            <w:hideMark/>
          </w:tcPr>
          <w:p>
            <w:pPr>
              <w:spacing w:after="0" w:line="276" w:lineRule="auto"/>
              <w:rPr>
                <w:noProof/>
                <w:sz w:val="22"/>
              </w:rPr>
            </w:pP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TAC</w:t>
            </w:r>
          </w:p>
        </w:tc>
        <w:tc>
          <w:tcPr>
            <w:tcW w:w="1275" w:type="dxa"/>
            <w:noWrap/>
            <w:vAlign w:val="center"/>
            <w:hideMark/>
          </w:tcPr>
          <w:p>
            <w:pPr>
              <w:spacing w:after="0"/>
              <w:jc w:val="right"/>
              <w:rPr>
                <w:rFonts w:eastAsia="Times New Roman"/>
                <w:noProof/>
                <w:sz w:val="18"/>
                <w:szCs w:val="18"/>
              </w:rPr>
            </w:pPr>
            <w:r>
              <w:rPr>
                <w:noProof/>
                <w:sz w:val="18"/>
              </w:rPr>
              <w:t>Sans objet</w:t>
            </w: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275" w:type="dxa"/>
            <w:tcBorders>
              <w:top w:val="nil"/>
              <w:left w:val="nil"/>
              <w:bottom w:val="single" w:sz="8" w:space="0" w:color="auto"/>
              <w:right w:val="nil"/>
            </w:tcBorders>
            <w:noWrap/>
            <w:vAlign w:val="bottom"/>
            <w:hideMark/>
          </w:tcPr>
          <w:p>
            <w:pPr>
              <w:spacing w:after="0"/>
              <w:rPr>
                <w:rFonts w:eastAsia="Times New Roman"/>
                <w:noProof/>
                <w:sz w:val="18"/>
                <w:szCs w:val="18"/>
              </w:rPr>
            </w:pPr>
            <w:r>
              <w:rPr>
                <w:noProof/>
                <w:sz w:val="18"/>
                <w:vertAlign w:val="superscript"/>
              </w:rPr>
              <w:t> </w:t>
            </w:r>
          </w:p>
        </w:tc>
        <w:tc>
          <w:tcPr>
            <w:tcW w:w="1204"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8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3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bl>
    <w:p>
      <w:pPr>
        <w:pStyle w:val="Point0"/>
        <w:jc w:val="right"/>
        <w:rPr>
          <w:noProof/>
        </w:rPr>
      </w:pPr>
      <w:r>
        <w:rPr>
          <w:noProof/>
        </w:rPr>
        <w:lastRenderedPageBreak/>
        <w:t>».</w:t>
      </w:r>
    </w:p>
    <w:p>
      <w:pPr>
        <w:pStyle w:val="Point0"/>
        <w:rPr>
          <w:noProof/>
        </w:rPr>
      </w:pPr>
      <w:r>
        <w:rPr>
          <w:noProof/>
        </w:rPr>
        <w:t>6.</w:t>
      </w:r>
      <w:r>
        <w:rPr>
          <w:noProof/>
        </w:rPr>
        <w:tab/>
        <w:t>L’annexe II D du règlement (UE) 2017/127 et l’appendice 1 de cette annexe sont remplacés par le texte suivant:</w:t>
      </w:r>
    </w:p>
    <w:p>
      <w:pPr>
        <w:jc w:val="center"/>
        <w:rPr>
          <w:i/>
          <w:iCs/>
          <w:noProof/>
          <w:szCs w:val="24"/>
        </w:rPr>
      </w:pPr>
    </w:p>
    <w:p>
      <w:pPr>
        <w:jc w:val="center"/>
        <w:rPr>
          <w:i/>
          <w:iCs/>
          <w:noProof/>
          <w:szCs w:val="24"/>
        </w:rPr>
      </w:pPr>
      <w:r>
        <w:rPr>
          <w:i/>
          <w:noProof/>
        </w:rPr>
        <w:t>«ANNEXE II D</w:t>
      </w:r>
    </w:p>
    <w:p>
      <w:pPr>
        <w:jc w:val="center"/>
        <w:rPr>
          <w:b/>
          <w:bCs/>
          <w:noProof/>
          <w:szCs w:val="24"/>
        </w:rPr>
      </w:pPr>
      <w:r>
        <w:rPr>
          <w:b/>
          <w:noProof/>
        </w:rPr>
        <w:t>ZONES DE GESTION DU LANÇON DANS LES DIVISIONS CIEM II a ET III a ET DANS LA SOUS-ZONE CIEM IV</w:t>
      </w:r>
    </w:p>
    <w:p>
      <w:pPr>
        <w:rPr>
          <w:noProof/>
          <w:szCs w:val="24"/>
        </w:rPr>
      </w:pPr>
      <w:r>
        <w:rPr>
          <w:noProof/>
        </w:rPr>
        <w:t>Aux fins de la gestion des possibilités de pêche pour le lançon dans les divisions CIEM II a et III a et dans la sous-zone CIEM IV fixées à l'annexe I A, les zones de gestion à l'intérieur desquelles des limites de captures spécifiques s'appliquent sont spécifiées ci-dessous et dans l'appendice de la présente annexe:</w:t>
      </w:r>
    </w:p>
    <w:tbl>
      <w:tblPr>
        <w:tblStyle w:val="TableGrid"/>
        <w:tblW w:w="0" w:type="auto"/>
        <w:tblLook w:val="04A0" w:firstRow="1" w:lastRow="0" w:firstColumn="1" w:lastColumn="0" w:noHBand="0" w:noVBand="1"/>
      </w:tblPr>
      <w:tblGrid>
        <w:gridCol w:w="4644"/>
        <w:gridCol w:w="4644"/>
      </w:tblGrid>
      <w:tr>
        <w:tc>
          <w:tcPr>
            <w:tcW w:w="4644" w:type="dxa"/>
          </w:tcPr>
          <w:p>
            <w:pPr>
              <w:jc w:val="center"/>
              <w:rPr>
                <w:noProof/>
                <w:szCs w:val="24"/>
              </w:rPr>
            </w:pPr>
            <w:r>
              <w:rPr>
                <w:noProof/>
              </w:rPr>
              <w:t>Zone de gestion du lançon</w:t>
            </w:r>
          </w:p>
        </w:tc>
        <w:tc>
          <w:tcPr>
            <w:tcW w:w="4644" w:type="dxa"/>
          </w:tcPr>
          <w:p>
            <w:pPr>
              <w:jc w:val="center"/>
              <w:rPr>
                <w:noProof/>
                <w:szCs w:val="24"/>
              </w:rPr>
            </w:pPr>
            <w:r>
              <w:rPr>
                <w:noProof/>
              </w:rPr>
              <w:t>Rectangles statistiques CIEM</w:t>
            </w:r>
          </w:p>
        </w:tc>
      </w:tr>
      <w:tr>
        <w:tc>
          <w:tcPr>
            <w:tcW w:w="4644" w:type="dxa"/>
          </w:tcPr>
          <w:p>
            <w:pPr>
              <w:rPr>
                <w:noProof/>
                <w:szCs w:val="24"/>
              </w:rPr>
            </w:pPr>
            <w:r>
              <w:rPr>
                <w:noProof/>
              </w:rPr>
              <w:t>1r</w:t>
            </w:r>
          </w:p>
        </w:tc>
        <w:tc>
          <w:tcPr>
            <w:tcW w:w="4644" w:type="dxa"/>
          </w:tcPr>
          <w:p>
            <w:pPr>
              <w:jc w:val="left"/>
              <w:rPr>
                <w:noProof/>
                <w:szCs w:val="24"/>
              </w:rPr>
            </w:pPr>
            <w:r>
              <w:rPr>
                <w:noProof/>
              </w:rPr>
              <w:t>31–33 E9–F4; 33 F5; 34–37 E9–F6; 38–40 F0–F5; 41 F4–F5</w:t>
            </w:r>
          </w:p>
        </w:tc>
      </w:tr>
      <w:tr>
        <w:tc>
          <w:tcPr>
            <w:tcW w:w="4644" w:type="dxa"/>
          </w:tcPr>
          <w:p>
            <w:pPr>
              <w:rPr>
                <w:noProof/>
                <w:szCs w:val="24"/>
              </w:rPr>
            </w:pPr>
            <w:r>
              <w:rPr>
                <w:noProof/>
              </w:rPr>
              <w:t>2r</w:t>
            </w:r>
          </w:p>
        </w:tc>
        <w:tc>
          <w:tcPr>
            <w:tcW w:w="4644" w:type="dxa"/>
          </w:tcPr>
          <w:p>
            <w:pPr>
              <w:jc w:val="left"/>
              <w:rPr>
                <w:noProof/>
                <w:szCs w:val="24"/>
              </w:rPr>
            </w:pPr>
            <w:r>
              <w:rPr>
                <w:noProof/>
              </w:rPr>
              <w:t xml:space="preserve">35 F7–F8; 36 F7–F9; 37 F7–F8; 38-41 F6–F8; 42 F6–F9; 43 F7–F9; 44 F9–G0; 45 G0–G1; 46 G1 </w:t>
            </w:r>
          </w:p>
        </w:tc>
      </w:tr>
      <w:tr>
        <w:tc>
          <w:tcPr>
            <w:tcW w:w="4644" w:type="dxa"/>
          </w:tcPr>
          <w:p>
            <w:pPr>
              <w:rPr>
                <w:noProof/>
                <w:szCs w:val="24"/>
              </w:rPr>
            </w:pPr>
            <w:r>
              <w:rPr>
                <w:noProof/>
              </w:rPr>
              <w:t>3r</w:t>
            </w:r>
          </w:p>
        </w:tc>
        <w:tc>
          <w:tcPr>
            <w:tcW w:w="4644" w:type="dxa"/>
          </w:tcPr>
          <w:p>
            <w:pPr>
              <w:jc w:val="left"/>
              <w:rPr>
                <w:noProof/>
                <w:szCs w:val="24"/>
                <w:lang w:val="en-GB"/>
              </w:rPr>
            </w:pPr>
            <w:r>
              <w:rPr>
                <w:noProof/>
                <w:lang w:val="en-GB"/>
              </w:rPr>
              <w:t xml:space="preserve">41–46 F1–F3; 42–46 F4–F5; 43–46 F6; 44–46 F7–F8; 45–46 F9; 46–47 G0; 47 G1 and 48 G0 </w:t>
            </w:r>
          </w:p>
        </w:tc>
      </w:tr>
      <w:tr>
        <w:tc>
          <w:tcPr>
            <w:tcW w:w="4644" w:type="dxa"/>
          </w:tcPr>
          <w:p>
            <w:pPr>
              <w:rPr>
                <w:noProof/>
                <w:szCs w:val="24"/>
              </w:rPr>
            </w:pPr>
            <w:r>
              <w:rPr>
                <w:noProof/>
              </w:rPr>
              <w:t>4</w:t>
            </w:r>
          </w:p>
        </w:tc>
        <w:tc>
          <w:tcPr>
            <w:tcW w:w="4644" w:type="dxa"/>
          </w:tcPr>
          <w:p>
            <w:pPr>
              <w:jc w:val="left"/>
              <w:rPr>
                <w:noProof/>
                <w:szCs w:val="24"/>
              </w:rPr>
            </w:pPr>
            <w:r>
              <w:rPr>
                <w:noProof/>
              </w:rPr>
              <w:t xml:space="preserve">38–40 E7–E9 and 41–46 E6–F0 </w:t>
            </w:r>
          </w:p>
        </w:tc>
      </w:tr>
      <w:tr>
        <w:tc>
          <w:tcPr>
            <w:tcW w:w="4644" w:type="dxa"/>
          </w:tcPr>
          <w:p>
            <w:pPr>
              <w:rPr>
                <w:noProof/>
                <w:szCs w:val="24"/>
              </w:rPr>
            </w:pPr>
            <w:r>
              <w:rPr>
                <w:noProof/>
              </w:rPr>
              <w:t>5r</w:t>
            </w:r>
          </w:p>
        </w:tc>
        <w:tc>
          <w:tcPr>
            <w:tcW w:w="4644" w:type="dxa"/>
          </w:tcPr>
          <w:p>
            <w:pPr>
              <w:jc w:val="left"/>
              <w:rPr>
                <w:noProof/>
                <w:szCs w:val="24"/>
              </w:rPr>
            </w:pPr>
            <w:r>
              <w:rPr>
                <w:noProof/>
              </w:rPr>
              <w:t>47–52 F1–F5</w:t>
            </w:r>
          </w:p>
        </w:tc>
      </w:tr>
      <w:tr>
        <w:tc>
          <w:tcPr>
            <w:tcW w:w="4644" w:type="dxa"/>
          </w:tcPr>
          <w:p>
            <w:pPr>
              <w:rPr>
                <w:noProof/>
                <w:szCs w:val="24"/>
              </w:rPr>
            </w:pPr>
            <w:r>
              <w:rPr>
                <w:noProof/>
              </w:rPr>
              <w:t>6</w:t>
            </w:r>
          </w:p>
        </w:tc>
        <w:tc>
          <w:tcPr>
            <w:tcW w:w="4644" w:type="dxa"/>
          </w:tcPr>
          <w:p>
            <w:pPr>
              <w:jc w:val="left"/>
              <w:rPr>
                <w:noProof/>
                <w:szCs w:val="24"/>
              </w:rPr>
            </w:pPr>
            <w:r>
              <w:rPr>
                <w:noProof/>
              </w:rPr>
              <w:t xml:space="preserve">41–43 G0–G3; 44 G1 </w:t>
            </w:r>
          </w:p>
        </w:tc>
      </w:tr>
      <w:tr>
        <w:tc>
          <w:tcPr>
            <w:tcW w:w="4644" w:type="dxa"/>
          </w:tcPr>
          <w:p>
            <w:pPr>
              <w:rPr>
                <w:noProof/>
                <w:szCs w:val="24"/>
              </w:rPr>
            </w:pPr>
            <w:r>
              <w:rPr>
                <w:noProof/>
              </w:rPr>
              <w:t>7r</w:t>
            </w:r>
          </w:p>
        </w:tc>
        <w:tc>
          <w:tcPr>
            <w:tcW w:w="4644" w:type="dxa"/>
          </w:tcPr>
          <w:p>
            <w:pPr>
              <w:jc w:val="left"/>
              <w:rPr>
                <w:noProof/>
                <w:szCs w:val="24"/>
              </w:rPr>
            </w:pPr>
            <w:r>
              <w:rPr>
                <w:noProof/>
              </w:rPr>
              <w:t>47–52 E6–F0</w:t>
            </w:r>
          </w:p>
        </w:tc>
      </w:tr>
    </w:tbl>
    <w:p>
      <w:pPr>
        <w:rPr>
          <w:noProof/>
          <w:szCs w:val="24"/>
        </w:rPr>
      </w:pPr>
    </w:p>
    <w:p>
      <w:pPr>
        <w:jc w:val="center"/>
        <w:rPr>
          <w:i/>
          <w:iCs/>
          <w:noProof/>
          <w:szCs w:val="24"/>
        </w:rPr>
      </w:pPr>
      <w:r>
        <w:rPr>
          <w:i/>
          <w:noProof/>
        </w:rPr>
        <w:t>Appendice 1 de l'annexe II D</w:t>
      </w:r>
    </w:p>
    <w:p>
      <w:pPr>
        <w:jc w:val="center"/>
        <w:rPr>
          <w:noProof/>
          <w:szCs w:val="24"/>
        </w:rPr>
      </w:pPr>
      <w:r>
        <w:rPr>
          <w:noProof/>
        </w:rPr>
        <w:t>ZONES DE GESTION DU LANÇON</w:t>
      </w:r>
    </w:p>
    <w:p>
      <w:pPr>
        <w:rPr>
          <w:noProof/>
          <w:szCs w:val="24"/>
        </w:rPr>
      </w:pPr>
      <w:r>
        <w:rPr>
          <w:noProof/>
          <w:szCs w:val="24"/>
          <w:lang w:val="en-US" w:eastAsia="en-US" w:bidi="ar-SA"/>
        </w:rPr>
        <w:lastRenderedPageBreak/>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rPr>
          <w:noProof/>
          <w:szCs w:val="24"/>
        </w:rPr>
      </w:pPr>
      <w:r>
        <w:rPr>
          <w:noProof/>
        </w:rPr>
        <w:t>».</w:t>
      </w:r>
    </w:p>
    <w:p>
      <w:pPr>
        <w:pStyle w:val="Point0"/>
        <w:rPr>
          <w:noProof/>
        </w:rPr>
      </w:pPr>
      <w:r>
        <w:rPr>
          <w:noProof/>
        </w:rPr>
        <w:t>7.</w:t>
      </w:r>
      <w:r>
        <w:rPr>
          <w:noProof/>
        </w:rPr>
        <w:tab/>
        <w:t>À l'annexe III du règlement (UE) 2017/127, le texte de la rubrique concernant le maquereau commun dans les eaux des Îles Féroé est remplacé par le texte suivant:</w:t>
      </w:r>
    </w:p>
    <w:p>
      <w:pPr>
        <w:pStyle w:val="Point0"/>
        <w:rPr>
          <w:noProof/>
        </w:rPr>
      </w:pPr>
      <w:r>
        <w:rPr>
          <w:noProof/>
        </w:rPr>
        <w:t>«</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650"/>
        <w:gridCol w:w="1559"/>
        <w:gridCol w:w="1417"/>
        <w:gridCol w:w="1274"/>
        <w:gridCol w:w="1559"/>
      </w:tblGrid>
      <w:tr>
        <w:trPr>
          <w:trHeight w:val="20"/>
        </w:trPr>
        <w:tc>
          <w:tcPr>
            <w:tcW w:w="937" w:type="pct"/>
            <w:vMerge w:val="restart"/>
            <w:tcBorders>
              <w:top w:val="single" w:sz="4" w:space="0" w:color="auto"/>
            </w:tcBorders>
            <w:shd w:val="clear" w:color="auto" w:fill="auto"/>
          </w:tcPr>
          <w:p>
            <w:pPr>
              <w:pageBreakBefore/>
              <w:spacing w:before="100" w:beforeAutospacing="1" w:after="100" w:afterAutospacing="1"/>
              <w:jc w:val="center"/>
              <w:rPr>
                <w:noProof/>
              </w:rPr>
            </w:pPr>
            <w:r>
              <w:rPr>
                <w:noProof/>
              </w:rPr>
              <w:lastRenderedPageBreak/>
              <w:t>Eaux des Îles Féroé</w:t>
            </w:r>
          </w:p>
        </w:tc>
        <w:tc>
          <w:tcPr>
            <w:tcW w:w="899" w:type="pct"/>
            <w:vMerge w:val="restart"/>
            <w:tcBorders>
              <w:top w:val="single" w:sz="4" w:space="0" w:color="auto"/>
            </w:tcBorders>
            <w:shd w:val="clear" w:color="auto" w:fill="auto"/>
          </w:tcPr>
          <w:p>
            <w:pPr>
              <w:spacing w:before="100" w:beforeAutospacing="1" w:after="100" w:afterAutospacing="1"/>
              <w:jc w:val="center"/>
              <w:rPr>
                <w:noProof/>
              </w:rPr>
            </w:pPr>
            <w:r>
              <w:rPr>
                <w:noProof/>
              </w:rPr>
              <w:t>Maquereau commun</w:t>
            </w:r>
          </w:p>
        </w:tc>
        <w:tc>
          <w:tcPr>
            <w:tcW w:w="849" w:type="pct"/>
            <w:vMerge w:val="restart"/>
            <w:shd w:val="clear" w:color="auto" w:fill="auto"/>
          </w:tcPr>
          <w:p>
            <w:pPr>
              <w:spacing w:before="100" w:beforeAutospacing="1" w:after="100" w:afterAutospacing="1"/>
              <w:jc w:val="center"/>
              <w:rPr>
                <w:noProof/>
              </w:rPr>
            </w:pPr>
            <w:r>
              <w:rPr>
                <w:noProof/>
              </w:rPr>
              <w:t>20</w:t>
            </w:r>
          </w:p>
        </w:tc>
        <w:tc>
          <w:tcPr>
            <w:tcW w:w="772" w:type="pct"/>
            <w:shd w:val="clear" w:color="auto" w:fill="auto"/>
          </w:tcPr>
          <w:p>
            <w:pPr>
              <w:spacing w:before="100" w:beforeAutospacing="1" w:after="100" w:afterAutospacing="1"/>
              <w:rPr>
                <w:noProof/>
              </w:rPr>
            </w:pPr>
            <w:r>
              <w:rPr>
                <w:noProof/>
              </w:rPr>
              <w:t>DK</w:t>
            </w:r>
          </w:p>
        </w:tc>
        <w:tc>
          <w:tcPr>
            <w:tcW w:w="694" w:type="pct"/>
            <w:shd w:val="clear" w:color="auto" w:fill="auto"/>
          </w:tcPr>
          <w:p>
            <w:pPr>
              <w:spacing w:before="100" w:beforeAutospacing="1" w:after="100" w:afterAutospacing="1"/>
              <w:jc w:val="center"/>
              <w:rPr>
                <w:noProof/>
              </w:rPr>
            </w:pPr>
            <w:r>
              <w:rPr>
                <w:noProof/>
              </w:rPr>
              <w:t>p.m.</w:t>
            </w:r>
          </w:p>
        </w:tc>
        <w:tc>
          <w:tcPr>
            <w:tcW w:w="849" w:type="pct"/>
            <w:vMerge w:val="restart"/>
            <w:shd w:val="clear" w:color="auto" w:fill="auto"/>
          </w:tcPr>
          <w:p>
            <w:pPr>
              <w:spacing w:before="100" w:beforeAutospacing="1" w:after="100" w:afterAutospacing="1"/>
              <w:jc w:val="center"/>
              <w:rPr>
                <w:noProof/>
              </w:rPr>
            </w:pPr>
            <w:r>
              <w:rPr>
                <w:noProof/>
              </w:rPr>
              <w:t>14</w:t>
            </w: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BE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 xml:space="preserve">DE </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FR</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IE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NL</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SE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tcBorders>
              <w:bottom w:val="single" w:sz="4" w:space="0" w:color="auto"/>
            </w:tcBorders>
            <w:shd w:val="clear" w:color="auto" w:fill="auto"/>
          </w:tcPr>
          <w:p>
            <w:pPr>
              <w:spacing w:before="100" w:beforeAutospacing="1" w:after="100" w:afterAutospacing="1"/>
              <w:rPr>
                <w:noProof/>
              </w:rPr>
            </w:pPr>
          </w:p>
        </w:tc>
        <w:tc>
          <w:tcPr>
            <w:tcW w:w="899" w:type="pct"/>
            <w:vMerge/>
            <w:tcBorders>
              <w:bottom w:val="single" w:sz="4" w:space="0" w:color="auto"/>
            </w:tcBorders>
            <w:shd w:val="clear" w:color="auto" w:fill="auto"/>
          </w:tcPr>
          <w:p>
            <w:pPr>
              <w:spacing w:before="100" w:beforeAutospacing="1" w:after="100" w:afterAutospacing="1"/>
              <w:rPr>
                <w:noProof/>
              </w:rPr>
            </w:pPr>
          </w:p>
        </w:tc>
        <w:tc>
          <w:tcPr>
            <w:tcW w:w="849" w:type="pct"/>
            <w:vMerge/>
            <w:tcBorders>
              <w:bottom w:val="single" w:sz="4" w:space="0" w:color="auto"/>
            </w:tcBorders>
            <w:shd w:val="clear" w:color="auto" w:fill="auto"/>
          </w:tcPr>
          <w:p>
            <w:pPr>
              <w:spacing w:before="100" w:beforeAutospacing="1" w:after="100" w:afterAutospacing="1"/>
              <w:rPr>
                <w:noProof/>
              </w:rPr>
            </w:pPr>
          </w:p>
        </w:tc>
        <w:tc>
          <w:tcPr>
            <w:tcW w:w="772" w:type="pct"/>
            <w:tcBorders>
              <w:bottom w:val="single" w:sz="4" w:space="0" w:color="auto"/>
            </w:tcBorders>
            <w:shd w:val="clear" w:color="auto" w:fill="auto"/>
          </w:tcPr>
          <w:p>
            <w:pPr>
              <w:spacing w:before="100" w:beforeAutospacing="1" w:after="100" w:afterAutospacing="1"/>
              <w:rPr>
                <w:noProof/>
              </w:rPr>
            </w:pPr>
            <w:r>
              <w:rPr>
                <w:noProof/>
              </w:rPr>
              <w:t>UK</w:t>
            </w:r>
          </w:p>
        </w:tc>
        <w:tc>
          <w:tcPr>
            <w:tcW w:w="694" w:type="pct"/>
            <w:tcBorders>
              <w:bottom w:val="single" w:sz="4" w:space="0" w:color="auto"/>
            </w:tcBorders>
            <w:shd w:val="clear" w:color="auto" w:fill="auto"/>
          </w:tcPr>
          <w:p>
            <w:pPr>
              <w:spacing w:before="100" w:beforeAutospacing="1" w:after="100" w:afterAutospacing="1"/>
              <w:jc w:val="center"/>
              <w:rPr>
                <w:noProof/>
              </w:rPr>
            </w:pPr>
            <w:r>
              <w:rPr>
                <w:noProof/>
              </w:rPr>
              <w:t>p.m.</w:t>
            </w:r>
          </w:p>
        </w:tc>
        <w:tc>
          <w:tcPr>
            <w:tcW w:w="849" w:type="pct"/>
            <w:vMerge/>
            <w:tcBorders>
              <w:bottom w:val="single" w:sz="4" w:space="0" w:color="auto"/>
            </w:tcBorders>
            <w:shd w:val="clear" w:color="auto" w:fill="auto"/>
          </w:tcPr>
          <w:p>
            <w:pPr>
              <w:spacing w:before="100" w:beforeAutospacing="1" w:after="100" w:afterAutospacing="1"/>
              <w:rPr>
                <w:noProof/>
              </w:rPr>
            </w:pPr>
          </w:p>
        </w:tc>
      </w:tr>
    </w:tbl>
    <w:p>
      <w:pPr>
        <w:pStyle w:val="Point0"/>
        <w:rPr>
          <w:noProof/>
        </w:rPr>
      </w:pPr>
      <w:r>
        <w:rPr>
          <w:noProof/>
        </w:rPr>
        <w:t>».</w:t>
      </w:r>
    </w:p>
    <w:p>
      <w:pPr>
        <w:pStyle w:val="Point0"/>
        <w:rPr>
          <w:noProof/>
        </w:rPr>
      </w:pPr>
      <w:r>
        <w:rPr>
          <w:noProof/>
        </w:rPr>
        <w:t>8.</w:t>
      </w:r>
      <w:r>
        <w:rPr>
          <w:noProof/>
        </w:rPr>
        <w:tab/>
        <w:t>À l'annexe VIII du règlement (UE) 2017/127, le texte de la rubrique concernant le maquereau commun et les chinchards dans les eaux des Îles Féroé est remplacé par le texte suivant:</w:t>
      </w:r>
    </w:p>
    <w:p>
      <w:pPr>
        <w:pStyle w:val="NormalCentered"/>
        <w:jc w:val="left"/>
        <w:rPr>
          <w:noProof/>
        </w:rPr>
      </w:pPr>
      <w:r>
        <w:rPr>
          <w:noProof/>
        </w:rPr>
        <w:t>«</w:t>
      </w:r>
    </w:p>
    <w:tbl>
      <w:tblPr>
        <w:tblW w:w="5000" w:type="pct"/>
        <w:tblLook w:val="0000" w:firstRow="0" w:lastRow="0" w:firstColumn="0" w:lastColumn="0" w:noHBand="0" w:noVBand="0"/>
      </w:tblPr>
      <w:tblGrid>
        <w:gridCol w:w="1486"/>
        <w:gridCol w:w="3649"/>
        <w:gridCol w:w="2071"/>
        <w:gridCol w:w="2083"/>
      </w:tblGrid>
      <w:tr>
        <w:trPr>
          <w:cantSplit/>
          <w:tblHeader/>
        </w:trPr>
        <w:tc>
          <w:tcPr>
            <w:tcW w:w="800" w:type="pct"/>
            <w:vMerge w:val="restart"/>
            <w:tcBorders>
              <w:top w:val="single" w:sz="4" w:space="0" w:color="000000"/>
              <w:left w:val="single" w:sz="4" w:space="0" w:color="000000"/>
            </w:tcBorders>
            <w:shd w:val="clear" w:color="auto" w:fill="auto"/>
          </w:tcPr>
          <w:p>
            <w:pPr>
              <w:keepNext/>
              <w:keepLines/>
              <w:spacing w:before="60" w:after="60"/>
              <w:jc w:val="left"/>
              <w:rPr>
                <w:noProof/>
              </w:rPr>
            </w:pPr>
            <w:r>
              <w:rPr>
                <w:noProof/>
              </w:rPr>
              <w:t>Îles Féroé</w:t>
            </w:r>
          </w:p>
        </w:tc>
        <w:tc>
          <w:tcPr>
            <w:tcW w:w="1964" w:type="pct"/>
            <w:tcBorders>
              <w:top w:val="single" w:sz="4" w:space="0" w:color="000000"/>
              <w:left w:val="single" w:sz="4" w:space="0" w:color="000000"/>
              <w:bottom w:val="single" w:sz="4" w:space="0" w:color="000000"/>
            </w:tcBorders>
            <w:shd w:val="clear" w:color="auto" w:fill="auto"/>
            <w:vAlign w:val="center"/>
          </w:tcPr>
          <w:p>
            <w:pPr>
              <w:keepNext/>
              <w:keepLines/>
              <w:spacing w:before="60" w:after="60"/>
              <w:rPr>
                <w:noProof/>
              </w:rPr>
            </w:pPr>
            <w:r>
              <w:rPr>
                <w:noProof/>
              </w:rPr>
              <w:t>Maquereau commun, zones VI a (au nord de 56° 30′ N), II a, IV a (au nord de 59° N)</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jc w:val="center"/>
              <w:rPr>
                <w:noProof/>
              </w:rPr>
            </w:pPr>
            <w:r>
              <w:rPr>
                <w:noProof/>
              </w:rPr>
              <w:t>20</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jc w:val="center"/>
              <w:rPr>
                <w:noProof/>
              </w:rPr>
            </w:pPr>
            <w:r>
              <w:rPr>
                <w:noProof/>
              </w:rPr>
              <w:t>14</w:t>
            </w:r>
          </w:p>
        </w:tc>
      </w:tr>
      <w:tr>
        <w:trPr>
          <w:cantSplit/>
          <w:tblHeader/>
        </w:trPr>
        <w:tc>
          <w:tcPr>
            <w:tcW w:w="800" w:type="pct"/>
            <w:vMerge/>
            <w:tcBorders>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Chinchards, zones IV, VI a (au nord de 56° 30′ N), VII e, VII f, VII h</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jc w:val="center"/>
              <w:rPr>
                <w:noProof/>
              </w:rPr>
            </w:pPr>
            <w:r>
              <w:rPr>
                <w:noProof/>
              </w:rPr>
              <w:t>14</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jc w:val="center"/>
              <w:rPr>
                <w:noProof/>
              </w:rPr>
            </w:pPr>
            <w:r>
              <w:rPr>
                <w:noProof/>
              </w:rPr>
              <w:t>14</w:t>
            </w:r>
          </w:p>
        </w:tc>
      </w:tr>
    </w:tbl>
    <w:p>
      <w:pPr>
        <w:jc w:val="right"/>
        <w:rPr>
          <w:noProof/>
        </w:rPr>
      </w:pPr>
      <w:r>
        <w:rPr>
          <w:noProof/>
        </w:rPr>
        <w:t>».</w:t>
      </w:r>
    </w:p>
    <w:p>
      <w:pPr>
        <w:pStyle w:val="Lignefinal"/>
        <w:ind w:left="3402"/>
        <w:jc w:val="right"/>
        <w:rPr>
          <w:b w:val="0"/>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EDF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4435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0B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10 13:45: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C6EEC0BD7AC64611B26C315EBCB38593"/>
    <w:docVar w:name="LW_CROSSREFERENCE" w:val="&lt;UNUSED&gt;"/>
    <w:docVar w:name="LW_DocType" w:val="ANNEX"/>
    <w:docVar w:name="LW_EMISSION" w:val="14.3.2017"/>
    <w:docVar w:name="LW_EMISSION_ISODATE" w:val="2017-03-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126"/>
    <w:docVar w:name="LW_REF.INTERNE" w:val="&lt;UNUSED&gt;"/>
    <w:docVar w:name="LW_SUPERTITRE" w:val="&lt;UNUSED&gt;"/>
    <w:docVar w:name="LW_TITRE.OBJ.CP" w:val="à la_x000b_proposition de RÈGLEMENT DU CONSEIL_x000b_modifiant le règlement (UE) 2017/127 en ce qui concerne certaines possibilités de pêch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7166">
      <w:bodyDiv w:val="1"/>
      <w:marLeft w:val="0"/>
      <w:marRight w:val="0"/>
      <w:marTop w:val="0"/>
      <w:marBottom w:val="0"/>
      <w:divBdr>
        <w:top w:val="none" w:sz="0" w:space="0" w:color="auto"/>
        <w:left w:val="none" w:sz="0" w:space="0" w:color="auto"/>
        <w:bottom w:val="none" w:sz="0" w:space="0" w:color="auto"/>
        <w:right w:val="none" w:sz="0" w:space="0" w:color="auto"/>
      </w:divBdr>
    </w:div>
    <w:div w:id="477963717">
      <w:bodyDiv w:val="1"/>
      <w:marLeft w:val="0"/>
      <w:marRight w:val="0"/>
      <w:marTop w:val="0"/>
      <w:marBottom w:val="0"/>
      <w:divBdr>
        <w:top w:val="none" w:sz="0" w:space="0" w:color="auto"/>
        <w:left w:val="none" w:sz="0" w:space="0" w:color="auto"/>
        <w:bottom w:val="none" w:sz="0" w:space="0" w:color="auto"/>
        <w:right w:val="none" w:sz="0" w:space="0" w:color="auto"/>
      </w:divBdr>
    </w:div>
    <w:div w:id="5581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989D-5E1F-472E-B0EE-53B217DB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1473</Words>
  <Characters>6615</Characters>
  <Application>Microsoft Office Word</Application>
  <DocSecurity>0</DocSecurity>
  <Lines>508</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2017-02-27T10:09:00Z</cp:lastPrinted>
  <dcterms:created xsi:type="dcterms:W3CDTF">2017-03-09T13:16:00Z</dcterms:created>
  <dcterms:modified xsi:type="dcterms:W3CDTF">2017-03-10T12:45:00Z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