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674B0538E2F45C4B8B076F92D2599F0" style="width:450.45pt;height:351.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Point0"/>
        <w:rPr>
          <w:noProof/>
        </w:rPr>
      </w:pPr>
      <w:r>
        <w:rPr>
          <w:noProof/>
        </w:rPr>
        <w:t>1.</w:t>
      </w:r>
      <w:r>
        <w:rPr>
          <w:noProof/>
        </w:rPr>
        <w:tab/>
        <w:t>Приложение IА към Регламент (ЕС) 2017/127 се изменя, както следва:</w:t>
      </w:r>
    </w:p>
    <w:p>
      <w:pPr>
        <w:pStyle w:val="Point1"/>
        <w:rPr>
          <w:noProof/>
        </w:rPr>
      </w:pPr>
      <w:r>
        <w:rPr>
          <w:noProof/>
        </w:rPr>
        <w:t>а)</w:t>
      </w:r>
      <w:r>
        <w:rPr>
          <w:noProof/>
        </w:rPr>
        <w:tab/>
        <w:t>в целия текст на приложение IA формулировката „Прилага се член 12, параграф 1 от настоящия регламент.“ се заменя с „Прилага се член 11, параграф 1 от настоящия регламент.“;</w:t>
      </w:r>
    </w:p>
    <w:p>
      <w:pPr>
        <w:pStyle w:val="Point1"/>
        <w:rPr>
          <w:noProof/>
        </w:rPr>
      </w:pPr>
      <w:r>
        <w:rPr>
          <w:noProof/>
        </w:rPr>
        <w:t xml:space="preserve"> б) </w:t>
      </w:r>
      <w:r>
        <w:rPr>
          <w:noProof/>
        </w:rPr>
        <w:tab/>
        <w:t>таблицата за възможностите за риболов на пясъчница във водите на Съюза от IIа, IIIa и IV се заменя със следната таблица:</w:t>
      </w:r>
    </w:p>
    <w:p>
      <w:pPr>
        <w:pStyle w:val="Point1"/>
        <w:rPr>
          <w:noProof/>
        </w:rPr>
      </w:pPr>
      <w:r>
        <w:rPr>
          <w:noProof/>
        </w:rPr>
        <w:t>„</w:t>
      </w:r>
    </w:p>
    <w:tbl>
      <w:tblPr>
        <w:tblW w:w="9181" w:type="dxa"/>
        <w:tblInd w:w="108" w:type="dxa"/>
        <w:tblLook w:val="04A0" w:firstRow="1" w:lastRow="0" w:firstColumn="1" w:lastColumn="0" w:noHBand="0" w:noVBand="1"/>
      </w:tblPr>
      <w:tblGrid>
        <w:gridCol w:w="990"/>
        <w:gridCol w:w="1068"/>
        <w:gridCol w:w="1164"/>
        <w:gridCol w:w="1164"/>
        <w:gridCol w:w="1209"/>
        <w:gridCol w:w="1196"/>
        <w:gridCol w:w="1195"/>
        <w:gridCol w:w="1195"/>
      </w:tblGrid>
      <w:tr>
        <w:trPr>
          <w:trHeight w:val="255"/>
        </w:trPr>
        <w:tc>
          <w:tcPr>
            <w:tcW w:w="993"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Вид:</w:t>
            </w:r>
          </w:p>
        </w:tc>
        <w:tc>
          <w:tcPr>
            <w:tcW w:w="3377" w:type="dxa"/>
            <w:gridSpan w:val="3"/>
            <w:tcBorders>
              <w:top w:val="single" w:sz="8" w:space="0" w:color="000000"/>
              <w:left w:val="nil"/>
              <w:bottom w:val="nil"/>
              <w:right w:val="nil"/>
            </w:tcBorders>
            <w:noWrap/>
            <w:hideMark/>
          </w:tcPr>
          <w:p>
            <w:pPr>
              <w:spacing w:after="0"/>
              <w:rPr>
                <w:rFonts w:eastAsia="Times New Roman"/>
                <w:noProof/>
                <w:sz w:val="18"/>
                <w:szCs w:val="18"/>
              </w:rPr>
            </w:pPr>
            <w:r>
              <w:rPr>
                <w:noProof/>
                <w:sz w:val="18"/>
              </w:rPr>
              <w:t>Пясъчница и свързан с нея прилов</w:t>
            </w:r>
          </w:p>
        </w:tc>
        <w:tc>
          <w:tcPr>
            <w:tcW w:w="1213"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Зона:</w:t>
            </w:r>
          </w:p>
        </w:tc>
        <w:tc>
          <w:tcPr>
            <w:tcW w:w="3598"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Води на Съюза от IIa, IIIa и IV(1)</w:t>
            </w:r>
          </w:p>
        </w:tc>
      </w:tr>
      <w:tr>
        <w:trPr>
          <w:trHeight w:val="270"/>
        </w:trPr>
        <w:tc>
          <w:tcPr>
            <w:tcW w:w="99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209" w:type="dxa"/>
            <w:gridSpan w:val="2"/>
            <w:tcBorders>
              <w:top w:val="nil"/>
              <w:left w:val="nil"/>
              <w:bottom w:val="single" w:sz="8" w:space="0" w:color="000000"/>
              <w:right w:val="nil"/>
            </w:tcBorders>
            <w:noWrap/>
            <w:hideMark/>
          </w:tcPr>
          <w:p>
            <w:pPr>
              <w:spacing w:after="0"/>
              <w:rPr>
                <w:rFonts w:eastAsia="Times New Roman"/>
                <w:i/>
                <w:iCs/>
                <w:noProof/>
                <w:sz w:val="18"/>
                <w:szCs w:val="18"/>
              </w:rPr>
            </w:pPr>
            <w:r>
              <w:rPr>
                <w:i/>
                <w:noProof/>
                <w:sz w:val="18"/>
              </w:rPr>
              <w:t xml:space="preserve">Ammodytes </w:t>
            </w:r>
            <w:r>
              <w:rPr>
                <w:noProof/>
                <w:sz w:val="18"/>
              </w:rPr>
              <w:t>spp.</w:t>
            </w:r>
          </w:p>
        </w:tc>
        <w:tc>
          <w:tcPr>
            <w:tcW w:w="1168" w:type="dxa"/>
            <w:noWrap/>
            <w:hideMark/>
          </w:tcPr>
          <w:p>
            <w:pPr>
              <w:spacing w:after="0" w:line="276" w:lineRule="auto"/>
              <w:rPr>
                <w:noProof/>
                <w:sz w:val="22"/>
              </w:rPr>
            </w:pPr>
          </w:p>
        </w:tc>
        <w:tc>
          <w:tcPr>
            <w:tcW w:w="1213"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200"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9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9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993" w:type="dxa"/>
            <w:noWrap/>
            <w:hideMark/>
          </w:tcPr>
          <w:p>
            <w:pPr>
              <w:spacing w:after="0"/>
              <w:rPr>
                <w:rFonts w:eastAsia="Times New Roman"/>
                <w:noProof/>
                <w:color w:val="000000"/>
                <w:sz w:val="18"/>
                <w:szCs w:val="18"/>
              </w:rPr>
            </w:pPr>
            <w:r>
              <w:rPr>
                <w:noProof/>
                <w:color w:val="000000"/>
                <w:sz w:val="18"/>
              </w:rPr>
              <w:t>Дания</w:t>
            </w:r>
          </w:p>
        </w:tc>
        <w:tc>
          <w:tcPr>
            <w:tcW w:w="1041" w:type="dxa"/>
            <w:noWrap/>
            <w:hideMark/>
          </w:tcPr>
          <w:p>
            <w:pPr>
              <w:spacing w:after="0"/>
              <w:rPr>
                <w:rFonts w:eastAsia="Times New Roman"/>
                <w:noProof/>
                <w:sz w:val="18"/>
                <w:szCs w:val="18"/>
              </w:rPr>
            </w:pPr>
            <w:r>
              <w:rPr>
                <w:noProof/>
                <w:sz w:val="18"/>
              </w:rPr>
              <w:t> </w:t>
            </w:r>
          </w:p>
        </w:tc>
        <w:tc>
          <w:tcPr>
            <w:tcW w:w="1168" w:type="dxa"/>
            <w:noWrap/>
            <w:hideMark/>
          </w:tcPr>
          <w:p>
            <w:pPr>
              <w:spacing w:after="0"/>
              <w:jc w:val="right"/>
              <w:rPr>
                <w:rFonts w:eastAsia="Times New Roman"/>
                <w:noProof/>
                <w:color w:val="000000"/>
                <w:sz w:val="18"/>
                <w:szCs w:val="18"/>
              </w:rPr>
            </w:pPr>
            <w:r>
              <w:rPr>
                <w:noProof/>
                <w:color w:val="000000"/>
                <w:sz w:val="18"/>
              </w:rPr>
              <w:t>458 552</w:t>
            </w:r>
          </w:p>
        </w:tc>
        <w:tc>
          <w:tcPr>
            <w:tcW w:w="1168"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2413"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Аналитичен ОДУ</w:t>
            </w:r>
          </w:p>
        </w:tc>
        <w:tc>
          <w:tcPr>
            <w:tcW w:w="1199" w:type="dxa"/>
            <w:noWrap/>
            <w:hideMark/>
          </w:tcPr>
          <w:p>
            <w:pPr>
              <w:spacing w:after="0"/>
              <w:rPr>
                <w:rFonts w:eastAsia="Times New Roman"/>
                <w:noProof/>
                <w:color w:val="000000"/>
                <w:sz w:val="18"/>
                <w:szCs w:val="18"/>
              </w:rPr>
            </w:pPr>
            <w:r>
              <w:rPr>
                <w:noProof/>
                <w:color w:val="000000"/>
                <w:sz w:val="18"/>
              </w:rPr>
              <w:t> </w:t>
            </w:r>
          </w:p>
        </w:tc>
        <w:tc>
          <w:tcPr>
            <w:tcW w:w="1199" w:type="dxa"/>
            <w:noWrap/>
            <w:hideMark/>
          </w:tcPr>
          <w:p>
            <w:pPr>
              <w:spacing w:after="0"/>
              <w:rPr>
                <w:rFonts w:eastAsia="Times New Roman"/>
                <w:noProof/>
                <w:color w:val="000000"/>
                <w:sz w:val="18"/>
                <w:szCs w:val="18"/>
              </w:rPr>
            </w:pPr>
            <w:r>
              <w:rPr>
                <w:noProof/>
                <w:color w:val="000000"/>
                <w:sz w:val="18"/>
              </w:rPr>
              <w:t> </w:t>
            </w:r>
          </w:p>
        </w:tc>
      </w:tr>
      <w:tr>
        <w:trPr>
          <w:trHeight w:val="270"/>
        </w:trPr>
        <w:tc>
          <w:tcPr>
            <w:tcW w:w="2034" w:type="dxa"/>
            <w:gridSpan w:val="2"/>
            <w:noWrap/>
            <w:hideMark/>
          </w:tcPr>
          <w:p>
            <w:pPr>
              <w:spacing w:after="0"/>
              <w:rPr>
                <w:rFonts w:eastAsia="Times New Roman"/>
                <w:noProof/>
                <w:color w:val="000000"/>
                <w:sz w:val="18"/>
                <w:szCs w:val="18"/>
              </w:rPr>
            </w:pPr>
            <w:r>
              <w:rPr>
                <w:noProof/>
                <w:color w:val="000000"/>
                <w:sz w:val="18"/>
              </w:rPr>
              <w:t>Обединено кралство</w:t>
            </w:r>
          </w:p>
        </w:tc>
        <w:tc>
          <w:tcPr>
            <w:tcW w:w="1168" w:type="dxa"/>
            <w:noWrap/>
            <w:hideMark/>
          </w:tcPr>
          <w:p>
            <w:pPr>
              <w:spacing w:after="0"/>
              <w:jc w:val="right"/>
              <w:rPr>
                <w:rFonts w:eastAsia="Times New Roman"/>
                <w:noProof/>
                <w:color w:val="000000"/>
                <w:sz w:val="18"/>
                <w:szCs w:val="18"/>
              </w:rPr>
            </w:pPr>
            <w:r>
              <w:rPr>
                <w:noProof/>
                <w:color w:val="000000"/>
                <w:sz w:val="18"/>
              </w:rPr>
              <w:t>10 024</w:t>
            </w:r>
          </w:p>
        </w:tc>
        <w:tc>
          <w:tcPr>
            <w:tcW w:w="1168" w:type="dxa"/>
            <w:noWrap/>
            <w:hideMark/>
          </w:tcPr>
          <w:p>
            <w:pPr>
              <w:spacing w:after="0"/>
              <w:rPr>
                <w:rFonts w:eastAsia="Times New Roman"/>
                <w:noProof/>
                <w:color w:val="000000"/>
                <w:sz w:val="18"/>
                <w:szCs w:val="18"/>
              </w:rPr>
            </w:pPr>
            <w:r>
              <w:rPr>
                <w:noProof/>
                <w:color w:val="000000"/>
                <w:sz w:val="18"/>
                <w:vertAlign w:val="superscript"/>
              </w:rPr>
              <w:t>(2)</w:t>
            </w:r>
          </w:p>
        </w:tc>
        <w:tc>
          <w:tcPr>
            <w:tcW w:w="4811" w:type="dxa"/>
            <w:gridSpan w:val="4"/>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993" w:type="dxa"/>
            <w:noWrap/>
            <w:hideMark/>
          </w:tcPr>
          <w:p>
            <w:pPr>
              <w:spacing w:after="0"/>
              <w:rPr>
                <w:rFonts w:eastAsia="Times New Roman"/>
                <w:noProof/>
                <w:color w:val="000000"/>
                <w:sz w:val="18"/>
                <w:szCs w:val="18"/>
              </w:rPr>
            </w:pPr>
            <w:r>
              <w:rPr>
                <w:noProof/>
                <w:color w:val="000000"/>
                <w:sz w:val="18"/>
              </w:rPr>
              <w:t>Германия</w:t>
            </w:r>
          </w:p>
        </w:tc>
        <w:tc>
          <w:tcPr>
            <w:tcW w:w="1041" w:type="dxa"/>
            <w:noWrap/>
            <w:hideMark/>
          </w:tcPr>
          <w:p>
            <w:pPr>
              <w:spacing w:after="0" w:line="276" w:lineRule="auto"/>
              <w:rPr>
                <w:noProof/>
                <w:sz w:val="22"/>
              </w:rPr>
            </w:pPr>
          </w:p>
        </w:tc>
        <w:tc>
          <w:tcPr>
            <w:tcW w:w="1168" w:type="dxa"/>
            <w:noWrap/>
            <w:hideMark/>
          </w:tcPr>
          <w:p>
            <w:pPr>
              <w:spacing w:after="0"/>
              <w:jc w:val="right"/>
              <w:rPr>
                <w:rFonts w:eastAsia="Times New Roman"/>
                <w:noProof/>
                <w:color w:val="000000"/>
                <w:sz w:val="18"/>
                <w:szCs w:val="18"/>
              </w:rPr>
            </w:pPr>
            <w:r>
              <w:rPr>
                <w:noProof/>
                <w:color w:val="000000"/>
                <w:sz w:val="18"/>
              </w:rPr>
              <w:t xml:space="preserve"> 701</w:t>
            </w:r>
          </w:p>
        </w:tc>
        <w:tc>
          <w:tcPr>
            <w:tcW w:w="1168" w:type="dxa"/>
            <w:noWrap/>
            <w:hideMark/>
          </w:tcPr>
          <w:p>
            <w:pPr>
              <w:spacing w:after="0"/>
              <w:rPr>
                <w:rFonts w:eastAsia="Times New Roman"/>
                <w:noProof/>
                <w:color w:val="000000"/>
                <w:sz w:val="18"/>
                <w:szCs w:val="18"/>
              </w:rPr>
            </w:pPr>
            <w:r>
              <w:rPr>
                <w:noProof/>
                <w:color w:val="000000"/>
                <w:sz w:val="18"/>
                <w:vertAlign w:val="superscript"/>
              </w:rPr>
              <w:t>(2)</w:t>
            </w:r>
          </w:p>
        </w:tc>
        <w:tc>
          <w:tcPr>
            <w:tcW w:w="4811" w:type="dxa"/>
            <w:gridSpan w:val="4"/>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993" w:type="dxa"/>
            <w:noWrap/>
            <w:hideMark/>
          </w:tcPr>
          <w:p>
            <w:pPr>
              <w:spacing w:after="0"/>
              <w:rPr>
                <w:rFonts w:eastAsia="Times New Roman"/>
                <w:noProof/>
                <w:color w:val="000000"/>
                <w:sz w:val="18"/>
                <w:szCs w:val="18"/>
              </w:rPr>
            </w:pPr>
            <w:r>
              <w:rPr>
                <w:noProof/>
                <w:color w:val="000000"/>
                <w:sz w:val="18"/>
              </w:rPr>
              <w:t>Швеция</w:t>
            </w:r>
          </w:p>
        </w:tc>
        <w:tc>
          <w:tcPr>
            <w:tcW w:w="1041" w:type="dxa"/>
            <w:noWrap/>
            <w:hideMark/>
          </w:tcPr>
          <w:p>
            <w:pPr>
              <w:spacing w:after="0" w:line="276" w:lineRule="auto"/>
              <w:rPr>
                <w:noProof/>
                <w:sz w:val="22"/>
              </w:rPr>
            </w:pPr>
          </w:p>
        </w:tc>
        <w:tc>
          <w:tcPr>
            <w:tcW w:w="1168" w:type="dxa"/>
            <w:noWrap/>
            <w:hideMark/>
          </w:tcPr>
          <w:p>
            <w:pPr>
              <w:spacing w:after="0"/>
              <w:jc w:val="right"/>
              <w:rPr>
                <w:rFonts w:eastAsia="Times New Roman"/>
                <w:noProof/>
                <w:color w:val="000000"/>
                <w:sz w:val="18"/>
                <w:szCs w:val="18"/>
              </w:rPr>
            </w:pPr>
            <w:r>
              <w:rPr>
                <w:noProof/>
                <w:color w:val="000000"/>
                <w:sz w:val="18"/>
              </w:rPr>
              <w:t>16 838</w:t>
            </w:r>
          </w:p>
        </w:tc>
        <w:tc>
          <w:tcPr>
            <w:tcW w:w="1168" w:type="dxa"/>
            <w:noWrap/>
            <w:hideMark/>
          </w:tcPr>
          <w:p>
            <w:pPr>
              <w:spacing w:after="0"/>
              <w:rPr>
                <w:rFonts w:eastAsia="Times New Roman"/>
                <w:noProof/>
                <w:color w:val="000000"/>
                <w:sz w:val="18"/>
                <w:szCs w:val="18"/>
              </w:rPr>
            </w:pPr>
            <w:r>
              <w:rPr>
                <w:noProof/>
                <w:color w:val="000000"/>
                <w:sz w:val="18"/>
                <w:vertAlign w:val="superscript"/>
              </w:rPr>
              <w:t>(2)</w:t>
            </w: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noWrap/>
            <w:hideMark/>
          </w:tcPr>
          <w:p>
            <w:pPr>
              <w:spacing w:after="0"/>
              <w:rPr>
                <w:rFonts w:eastAsia="Times New Roman"/>
                <w:noProof/>
                <w:color w:val="000000"/>
                <w:sz w:val="18"/>
                <w:szCs w:val="18"/>
              </w:rPr>
            </w:pPr>
            <w:r>
              <w:rPr>
                <w:noProof/>
                <w:color w:val="000000"/>
                <w:sz w:val="18"/>
              </w:rPr>
              <w:t>Съюз</w:t>
            </w:r>
          </w:p>
        </w:tc>
        <w:tc>
          <w:tcPr>
            <w:tcW w:w="1041" w:type="dxa"/>
            <w:noWrap/>
            <w:hideMark/>
          </w:tcPr>
          <w:p>
            <w:pPr>
              <w:spacing w:after="0" w:line="276" w:lineRule="auto"/>
              <w:rPr>
                <w:noProof/>
                <w:sz w:val="22"/>
              </w:rPr>
            </w:pPr>
          </w:p>
        </w:tc>
        <w:tc>
          <w:tcPr>
            <w:tcW w:w="1168" w:type="dxa"/>
            <w:noWrap/>
            <w:hideMark/>
          </w:tcPr>
          <w:p>
            <w:pPr>
              <w:spacing w:after="0"/>
              <w:jc w:val="right"/>
              <w:rPr>
                <w:rFonts w:eastAsia="Times New Roman"/>
                <w:noProof/>
                <w:color w:val="000000"/>
                <w:sz w:val="18"/>
                <w:szCs w:val="18"/>
              </w:rPr>
            </w:pPr>
            <w:r>
              <w:rPr>
                <w:noProof/>
                <w:color w:val="000000"/>
                <w:sz w:val="18"/>
              </w:rPr>
              <w:t>486 115</w:t>
            </w: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noWrap/>
            <w:hideMark/>
          </w:tcPr>
          <w:p>
            <w:pPr>
              <w:spacing w:after="0" w:line="276" w:lineRule="auto"/>
              <w:rPr>
                <w:noProof/>
                <w:sz w:val="22"/>
              </w:rPr>
            </w:pPr>
          </w:p>
        </w:tc>
        <w:tc>
          <w:tcPr>
            <w:tcW w:w="1041"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noWrap/>
            <w:hideMark/>
          </w:tcPr>
          <w:p>
            <w:pPr>
              <w:spacing w:after="0" w:line="276" w:lineRule="auto"/>
              <w:rPr>
                <w:noProof/>
                <w:sz w:val="22"/>
              </w:rPr>
            </w:pPr>
          </w:p>
        </w:tc>
        <w:tc>
          <w:tcPr>
            <w:tcW w:w="1041"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noWrap/>
            <w:hideMark/>
          </w:tcPr>
          <w:p>
            <w:pPr>
              <w:spacing w:after="0"/>
              <w:rPr>
                <w:rFonts w:eastAsia="Times New Roman"/>
                <w:noProof/>
                <w:color w:val="000000"/>
                <w:sz w:val="18"/>
                <w:szCs w:val="18"/>
              </w:rPr>
            </w:pPr>
            <w:r>
              <w:rPr>
                <w:noProof/>
                <w:color w:val="000000"/>
                <w:sz w:val="18"/>
              </w:rPr>
              <w:t>ОДУ</w:t>
            </w:r>
          </w:p>
        </w:tc>
        <w:tc>
          <w:tcPr>
            <w:tcW w:w="1041" w:type="dxa"/>
            <w:noWrap/>
            <w:hideMark/>
          </w:tcPr>
          <w:p>
            <w:pPr>
              <w:spacing w:after="0" w:line="276" w:lineRule="auto"/>
              <w:rPr>
                <w:noProof/>
                <w:sz w:val="22"/>
              </w:rPr>
            </w:pPr>
          </w:p>
        </w:tc>
        <w:tc>
          <w:tcPr>
            <w:tcW w:w="1168" w:type="dxa"/>
            <w:noWrap/>
            <w:hideMark/>
          </w:tcPr>
          <w:p>
            <w:pPr>
              <w:spacing w:after="0"/>
              <w:jc w:val="right"/>
              <w:rPr>
                <w:rFonts w:eastAsia="Times New Roman"/>
                <w:noProof/>
                <w:color w:val="000000"/>
                <w:sz w:val="18"/>
                <w:szCs w:val="18"/>
              </w:rPr>
            </w:pPr>
            <w:r>
              <w:rPr>
                <w:noProof/>
                <w:color w:val="000000"/>
                <w:sz w:val="18"/>
              </w:rPr>
              <w:t>486 115</w:t>
            </w: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rPr>
            </w:pPr>
            <w:r>
              <w:rPr>
                <w:noProof/>
                <w:color w:val="000000"/>
                <w:sz w:val="18"/>
                <w:vertAlign w:val="superscript"/>
              </w:rPr>
              <w:t>(1)</w:t>
            </w:r>
          </w:p>
        </w:tc>
        <w:tc>
          <w:tcPr>
            <w:tcW w:w="5790" w:type="dxa"/>
            <w:gridSpan w:val="5"/>
            <w:noWrap/>
            <w:hideMark/>
          </w:tcPr>
          <w:p>
            <w:pPr>
              <w:spacing w:after="0"/>
              <w:rPr>
                <w:rFonts w:eastAsia="Times New Roman"/>
                <w:noProof/>
                <w:sz w:val="18"/>
                <w:szCs w:val="18"/>
              </w:rPr>
            </w:pPr>
            <w:r>
              <w:rPr>
                <w:noProof/>
                <w:sz w:val="18"/>
                <w:vertAlign w:val="superscript"/>
              </w:rPr>
              <w:t>С изключение на водите в шестмилната зона от изходните линии на Обединеното кралство при Shetland, Fair Isle и Foula.</w:t>
            </w: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70"/>
        </w:trPr>
        <w:tc>
          <w:tcPr>
            <w:tcW w:w="993" w:type="dxa"/>
            <w:noWrap/>
            <w:hideMark/>
          </w:tcPr>
          <w:p>
            <w:pPr>
              <w:spacing w:after="0"/>
              <w:rPr>
                <w:rFonts w:eastAsia="Times New Roman"/>
                <w:noProof/>
                <w:color w:val="000000"/>
                <w:sz w:val="18"/>
                <w:szCs w:val="18"/>
              </w:rPr>
            </w:pPr>
            <w:r>
              <w:rPr>
                <w:noProof/>
                <w:color w:val="000000"/>
                <w:sz w:val="18"/>
                <w:vertAlign w:val="superscript"/>
              </w:rPr>
              <w:t>(2)</w:t>
            </w:r>
          </w:p>
        </w:tc>
        <w:tc>
          <w:tcPr>
            <w:tcW w:w="8188" w:type="dxa"/>
            <w:gridSpan w:val="7"/>
            <w:noWrap/>
            <w:hideMark/>
          </w:tcPr>
          <w:p>
            <w:pPr>
              <w:spacing w:after="0"/>
              <w:rPr>
                <w:rFonts w:eastAsia="Times New Roman"/>
                <w:noProof/>
                <w:sz w:val="18"/>
                <w:szCs w:val="18"/>
              </w:rPr>
            </w:pPr>
            <w:r>
              <w:rPr>
                <w:noProof/>
                <w:sz w:val="18"/>
                <w:vertAlign w:val="superscript"/>
              </w:rPr>
              <w:t>Без да се засяга задължението за разтоварване, приловът на лиманда, меджид и скумрия може да бъде до 2 % от квотата (OT1/*2A3A4). Когато държава членка използва тази разпоредба по отношение на прилова на видове при този риболов, тя не може да използва разпоредба за гъвкавост за отделните видове по отношение на прилова на тези видове.</w:t>
            </w:r>
          </w:p>
        </w:tc>
      </w:tr>
      <w:tr>
        <w:trPr>
          <w:trHeight w:val="255"/>
        </w:trPr>
        <w:tc>
          <w:tcPr>
            <w:tcW w:w="9181" w:type="dxa"/>
            <w:gridSpan w:val="8"/>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в следните зони за управление на запасите от пясъчница, определени в приложение IIГ, не може да се ловят повече от посочените по-долу количества:</w:t>
            </w:r>
          </w:p>
        </w:tc>
      </w:tr>
      <w:tr>
        <w:trPr>
          <w:trHeight w:val="255"/>
        </w:trPr>
        <w:tc>
          <w:tcPr>
            <w:tcW w:w="993" w:type="dxa"/>
            <w:noWrap/>
            <w:hideMark/>
          </w:tcPr>
          <w:p>
            <w:pPr>
              <w:spacing w:after="0" w:line="276" w:lineRule="auto"/>
              <w:rPr>
                <w:noProof/>
                <w:sz w:val="22"/>
              </w:rPr>
            </w:pPr>
          </w:p>
        </w:tc>
        <w:tc>
          <w:tcPr>
            <w:tcW w:w="5790" w:type="dxa"/>
            <w:gridSpan w:val="5"/>
            <w:noWrap/>
            <w:hideMark/>
          </w:tcPr>
          <w:p>
            <w:pPr>
              <w:spacing w:after="0"/>
              <w:rPr>
                <w:rFonts w:eastAsia="Times New Roman"/>
                <w:b/>
                <w:bCs/>
                <w:noProof/>
                <w:sz w:val="18"/>
                <w:szCs w:val="18"/>
              </w:rPr>
            </w:pPr>
            <w:r>
              <w:rPr>
                <w:b/>
                <w:noProof/>
                <w:sz w:val="18"/>
              </w:rPr>
              <w:t>Зона: Води на Съюза в зоните за управление на запасите от пясъчница</w:t>
            </w: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r>
        <w:trPr>
          <w:trHeight w:val="255"/>
        </w:trPr>
        <w:tc>
          <w:tcPr>
            <w:tcW w:w="993" w:type="dxa"/>
            <w:tcBorders>
              <w:top w:val="single" w:sz="4" w:space="0" w:color="auto"/>
              <w:left w:val="single" w:sz="4" w:space="0" w:color="auto"/>
              <w:bottom w:val="single" w:sz="4" w:space="0" w:color="auto"/>
              <w:right w:val="single" w:sz="4" w:space="0" w:color="auto"/>
            </w:tcBorders>
            <w:noWrap/>
            <w:hideMark/>
          </w:tcPr>
          <w:p>
            <w:pPr>
              <w:spacing w:after="0"/>
              <w:jc w:val="center"/>
              <w:rPr>
                <w:rFonts w:eastAsia="Times New Roman"/>
                <w:noProof/>
                <w:color w:val="000000"/>
                <w:sz w:val="14"/>
                <w:szCs w:val="14"/>
              </w:rPr>
            </w:pPr>
          </w:p>
        </w:tc>
        <w:tc>
          <w:tcPr>
            <w:tcW w:w="1041"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sz w:val="18"/>
                <w:szCs w:val="18"/>
              </w:rPr>
            </w:pPr>
            <w:r>
              <w:rPr>
                <w:b/>
                <w:noProof/>
                <w:sz w:val="18"/>
              </w:rPr>
              <w:t>1r</w:t>
            </w:r>
          </w:p>
        </w:tc>
        <w:tc>
          <w:tcPr>
            <w:tcW w:w="1168"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2r</w:t>
            </w:r>
          </w:p>
        </w:tc>
        <w:tc>
          <w:tcPr>
            <w:tcW w:w="1168"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3r</w:t>
            </w:r>
          </w:p>
        </w:tc>
        <w:tc>
          <w:tcPr>
            <w:tcW w:w="1213"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4</w:t>
            </w:r>
          </w:p>
        </w:tc>
        <w:tc>
          <w:tcPr>
            <w:tcW w:w="1200"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5r</w:t>
            </w:r>
          </w:p>
        </w:tc>
        <w:tc>
          <w:tcPr>
            <w:tcW w:w="1199"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6</w:t>
            </w:r>
          </w:p>
        </w:tc>
        <w:tc>
          <w:tcPr>
            <w:tcW w:w="1199" w:type="dxa"/>
            <w:tcBorders>
              <w:top w:val="single" w:sz="4" w:space="0" w:color="auto"/>
              <w:left w:val="nil"/>
              <w:bottom w:val="single" w:sz="4" w:space="0" w:color="auto"/>
              <w:right w:val="single" w:sz="4" w:space="0" w:color="auto"/>
            </w:tcBorders>
            <w:noWrap/>
            <w:hideMark/>
          </w:tcPr>
          <w:p>
            <w:pPr>
              <w:spacing w:after="0"/>
              <w:jc w:val="center"/>
              <w:rPr>
                <w:rFonts w:eastAsia="Times New Roman"/>
                <w:b/>
                <w:bCs/>
                <w:noProof/>
                <w:color w:val="000000"/>
                <w:sz w:val="18"/>
                <w:szCs w:val="18"/>
              </w:rPr>
            </w:pPr>
            <w:r>
              <w:rPr>
                <w:b/>
                <w:noProof/>
                <w:color w:val="000000"/>
                <w:sz w:val="18"/>
              </w:rPr>
              <w:t>7r</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jc w:val="center"/>
              <w:rPr>
                <w:rFonts w:eastAsia="Times New Roman"/>
                <w:noProof/>
                <w:color w:val="000000"/>
                <w:sz w:val="14"/>
                <w:szCs w:val="14"/>
              </w:rPr>
            </w:pPr>
          </w:p>
        </w:tc>
        <w:tc>
          <w:tcPr>
            <w:tcW w:w="1041" w:type="dxa"/>
            <w:tcBorders>
              <w:top w:val="nil"/>
              <w:left w:val="nil"/>
              <w:bottom w:val="single" w:sz="4" w:space="0" w:color="auto"/>
              <w:right w:val="single" w:sz="4" w:space="0" w:color="auto"/>
            </w:tcBorders>
            <w:noWrap/>
            <w:hideMark/>
          </w:tcPr>
          <w:p>
            <w:pPr>
              <w:rPr>
                <w:noProof/>
                <w:sz w:val="14"/>
                <w:szCs w:val="14"/>
              </w:rPr>
            </w:pPr>
            <w:r>
              <w:rPr>
                <w:noProof/>
                <w:sz w:val="14"/>
              </w:rPr>
              <w:t>(SAN/234_1R)</w:t>
            </w:r>
          </w:p>
        </w:tc>
        <w:tc>
          <w:tcPr>
            <w:tcW w:w="1168"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(SAN/234_2R) </w:t>
            </w:r>
          </w:p>
        </w:tc>
        <w:tc>
          <w:tcPr>
            <w:tcW w:w="1168" w:type="dxa"/>
            <w:tcBorders>
              <w:top w:val="nil"/>
              <w:left w:val="nil"/>
              <w:bottom w:val="single" w:sz="4" w:space="0" w:color="auto"/>
              <w:right w:val="single" w:sz="4" w:space="0" w:color="auto"/>
            </w:tcBorders>
            <w:noWrap/>
            <w:hideMark/>
          </w:tcPr>
          <w:p>
            <w:pPr>
              <w:rPr>
                <w:noProof/>
                <w:sz w:val="14"/>
                <w:szCs w:val="14"/>
              </w:rPr>
            </w:pPr>
            <w:r>
              <w:rPr>
                <w:noProof/>
                <w:sz w:val="14"/>
              </w:rPr>
              <w:t>(SAN/234_3R)</w:t>
            </w:r>
          </w:p>
        </w:tc>
        <w:tc>
          <w:tcPr>
            <w:tcW w:w="1213"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(SAN/234_4) </w:t>
            </w:r>
          </w:p>
        </w:tc>
        <w:tc>
          <w:tcPr>
            <w:tcW w:w="1200"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(SAN/234_5R) </w:t>
            </w:r>
          </w:p>
        </w:tc>
        <w:tc>
          <w:tcPr>
            <w:tcW w:w="1199"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(SAN/234_6) </w:t>
            </w:r>
          </w:p>
        </w:tc>
        <w:tc>
          <w:tcPr>
            <w:tcW w:w="1199" w:type="dxa"/>
            <w:tcBorders>
              <w:top w:val="nil"/>
              <w:left w:val="nil"/>
              <w:bottom w:val="single" w:sz="4" w:space="0" w:color="auto"/>
              <w:right w:val="single" w:sz="4" w:space="0" w:color="auto"/>
            </w:tcBorders>
            <w:noWrap/>
            <w:hideMark/>
          </w:tcPr>
          <w:p>
            <w:pPr>
              <w:rPr>
                <w:noProof/>
                <w:sz w:val="14"/>
                <w:szCs w:val="14"/>
              </w:rPr>
            </w:pPr>
            <w:r>
              <w:rPr>
                <w:noProof/>
                <w:sz w:val="14"/>
              </w:rPr>
              <w:t xml:space="preserve">(SAN/234_7R) </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Дания</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241 443</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165 965</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50 979</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165</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Обединено кралство</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5 278</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3 628</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1 114</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4</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Германия</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xml:space="preserve"> 369</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254</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78</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Швеция</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8 866</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6 094</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1 872</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6</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Съюз</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255 956</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175 941</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54 043</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175</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 </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 </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 </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w:t>
            </w:r>
          </w:p>
        </w:tc>
      </w:tr>
      <w:tr>
        <w:trPr>
          <w:trHeight w:val="255"/>
        </w:trPr>
        <w:tc>
          <w:tcPr>
            <w:tcW w:w="993" w:type="dxa"/>
            <w:tcBorders>
              <w:top w:val="nil"/>
              <w:left w:val="single" w:sz="4" w:space="0" w:color="auto"/>
              <w:bottom w:val="single" w:sz="4" w:space="0" w:color="auto"/>
              <w:right w:val="single" w:sz="4" w:space="0" w:color="auto"/>
            </w:tcBorders>
            <w:noWrap/>
            <w:hideMark/>
          </w:tcPr>
          <w:p>
            <w:pPr>
              <w:spacing w:after="0"/>
              <w:rPr>
                <w:rFonts w:eastAsia="Times New Roman"/>
                <w:noProof/>
                <w:color w:val="000000"/>
                <w:sz w:val="14"/>
                <w:szCs w:val="14"/>
              </w:rPr>
            </w:pPr>
            <w:r>
              <w:rPr>
                <w:noProof/>
                <w:color w:val="000000"/>
                <w:sz w:val="14"/>
              </w:rPr>
              <w:t>Общо</w:t>
            </w:r>
          </w:p>
        </w:tc>
        <w:tc>
          <w:tcPr>
            <w:tcW w:w="1041" w:type="dxa"/>
            <w:tcBorders>
              <w:top w:val="nil"/>
              <w:left w:val="nil"/>
              <w:bottom w:val="single" w:sz="4" w:space="0" w:color="auto"/>
              <w:right w:val="single" w:sz="4" w:space="0" w:color="auto"/>
            </w:tcBorders>
            <w:noWrap/>
            <w:hideMark/>
          </w:tcPr>
          <w:p>
            <w:pPr>
              <w:spacing w:after="0"/>
              <w:jc w:val="right"/>
              <w:rPr>
                <w:rFonts w:eastAsia="Times New Roman"/>
                <w:noProof/>
                <w:sz w:val="14"/>
                <w:szCs w:val="14"/>
              </w:rPr>
            </w:pPr>
            <w:r>
              <w:rPr>
                <w:noProof/>
                <w:sz w:val="14"/>
              </w:rPr>
              <w:t>255 956</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175 941</w:t>
            </w:r>
          </w:p>
        </w:tc>
        <w:tc>
          <w:tcPr>
            <w:tcW w:w="1168"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213"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54 043</w:t>
            </w:r>
          </w:p>
        </w:tc>
        <w:tc>
          <w:tcPr>
            <w:tcW w:w="1200"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175</w:t>
            </w:r>
          </w:p>
        </w:tc>
        <w:tc>
          <w:tcPr>
            <w:tcW w:w="1199" w:type="dxa"/>
            <w:tcBorders>
              <w:top w:val="nil"/>
              <w:left w:val="nil"/>
              <w:bottom w:val="single" w:sz="4" w:space="0" w:color="auto"/>
              <w:right w:val="single" w:sz="4" w:space="0" w:color="auto"/>
            </w:tcBorders>
            <w:noWrap/>
            <w:hideMark/>
          </w:tcPr>
          <w:p>
            <w:pPr>
              <w:spacing w:after="0"/>
              <w:jc w:val="right"/>
              <w:rPr>
                <w:rFonts w:eastAsia="Times New Roman"/>
                <w:noProof/>
                <w:color w:val="000000"/>
                <w:sz w:val="14"/>
                <w:szCs w:val="14"/>
              </w:rPr>
            </w:pPr>
            <w:r>
              <w:rPr>
                <w:noProof/>
                <w:color w:val="000000"/>
                <w:sz w:val="14"/>
              </w:rPr>
              <w:t xml:space="preserve"> 0</w:t>
            </w:r>
          </w:p>
        </w:tc>
      </w:tr>
      <w:tr>
        <w:trPr>
          <w:trHeight w:val="270"/>
        </w:trPr>
        <w:tc>
          <w:tcPr>
            <w:tcW w:w="99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041" w:type="dxa"/>
            <w:tcBorders>
              <w:top w:val="nil"/>
              <w:left w:val="nil"/>
              <w:bottom w:val="single" w:sz="8" w:space="0" w:color="000000"/>
              <w:right w:val="nil"/>
            </w:tcBorders>
            <w:noWrap/>
            <w:hideMark/>
          </w:tcPr>
          <w:p>
            <w:pPr>
              <w:spacing w:after="0"/>
              <w:rPr>
                <w:rFonts w:eastAsia="Times New Roman"/>
                <w:noProof/>
                <w:sz w:val="18"/>
                <w:szCs w:val="18"/>
              </w:rPr>
            </w:pPr>
            <w:r>
              <w:rPr>
                <w:noProof/>
                <w:sz w:val="18"/>
              </w:rPr>
              <w:t> </w:t>
            </w:r>
          </w:p>
        </w:tc>
        <w:tc>
          <w:tcPr>
            <w:tcW w:w="1168" w:type="dxa"/>
            <w:tcBorders>
              <w:top w:val="nil"/>
              <w:left w:val="nil"/>
              <w:bottom w:val="single" w:sz="8" w:space="0" w:color="000000"/>
              <w:right w:val="nil"/>
            </w:tcBorders>
            <w:noWrap/>
            <w:hideMark/>
          </w:tcPr>
          <w:p>
            <w:pPr>
              <w:spacing w:after="0"/>
              <w:jc w:val="right"/>
              <w:rPr>
                <w:rFonts w:eastAsia="Times New Roman"/>
                <w:noProof/>
                <w:color w:val="000000"/>
                <w:sz w:val="18"/>
                <w:szCs w:val="18"/>
              </w:rPr>
            </w:pPr>
            <w:r>
              <w:rPr>
                <w:noProof/>
                <w:color w:val="000000"/>
                <w:sz w:val="18"/>
              </w:rPr>
              <w:t> </w:t>
            </w:r>
          </w:p>
        </w:tc>
        <w:tc>
          <w:tcPr>
            <w:tcW w:w="1168"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213"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200"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9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199"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55"/>
        </w:trPr>
        <w:tc>
          <w:tcPr>
            <w:tcW w:w="993" w:type="dxa"/>
            <w:noWrap/>
            <w:hideMark/>
          </w:tcPr>
          <w:p>
            <w:pPr>
              <w:spacing w:after="0" w:line="276" w:lineRule="auto"/>
              <w:rPr>
                <w:noProof/>
                <w:sz w:val="22"/>
              </w:rPr>
            </w:pPr>
          </w:p>
        </w:tc>
        <w:tc>
          <w:tcPr>
            <w:tcW w:w="1041"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168" w:type="dxa"/>
            <w:noWrap/>
            <w:hideMark/>
          </w:tcPr>
          <w:p>
            <w:pPr>
              <w:spacing w:after="0" w:line="276" w:lineRule="auto"/>
              <w:rPr>
                <w:noProof/>
                <w:sz w:val="22"/>
              </w:rPr>
            </w:pPr>
          </w:p>
        </w:tc>
        <w:tc>
          <w:tcPr>
            <w:tcW w:w="1213" w:type="dxa"/>
            <w:noWrap/>
            <w:hideMark/>
          </w:tcPr>
          <w:p>
            <w:pPr>
              <w:spacing w:after="0" w:line="276" w:lineRule="auto"/>
              <w:rPr>
                <w:noProof/>
                <w:sz w:val="22"/>
              </w:rPr>
            </w:pPr>
          </w:p>
        </w:tc>
        <w:tc>
          <w:tcPr>
            <w:tcW w:w="1200" w:type="dxa"/>
            <w:noWrap/>
            <w:hideMark/>
          </w:tcPr>
          <w:p>
            <w:pPr>
              <w:spacing w:after="0" w:line="276" w:lineRule="auto"/>
              <w:rPr>
                <w:noProof/>
                <w:sz w:val="22"/>
              </w:rPr>
            </w:pPr>
          </w:p>
        </w:tc>
        <w:tc>
          <w:tcPr>
            <w:tcW w:w="1199" w:type="dxa"/>
            <w:noWrap/>
            <w:hideMark/>
          </w:tcPr>
          <w:p>
            <w:pPr>
              <w:spacing w:after="0" w:line="276" w:lineRule="auto"/>
              <w:rPr>
                <w:noProof/>
                <w:sz w:val="22"/>
              </w:rPr>
            </w:pPr>
          </w:p>
        </w:tc>
        <w:tc>
          <w:tcPr>
            <w:tcW w:w="1199" w:type="dxa"/>
            <w:noWrap/>
            <w:hideMark/>
          </w:tcPr>
          <w:p>
            <w:pPr>
              <w:spacing w:after="0" w:line="276" w:lineRule="auto"/>
              <w:rPr>
                <w:noProof/>
                <w:sz w:val="22"/>
              </w:rPr>
            </w:pPr>
          </w:p>
        </w:tc>
      </w:tr>
    </w:tbl>
    <w:p>
      <w:pPr>
        <w:jc w:val="right"/>
        <w:rPr>
          <w:noProof/>
        </w:rPr>
      </w:pPr>
      <w:r>
        <w:rPr>
          <w:noProof/>
        </w:rPr>
        <w:lastRenderedPageBreak/>
        <w:t>“</w:t>
      </w:r>
    </w:p>
    <w:p>
      <w:pPr>
        <w:pStyle w:val="Point1"/>
        <w:rPr>
          <w:noProof/>
        </w:rPr>
      </w:pPr>
      <w:r>
        <w:rPr>
          <w:noProof/>
        </w:rPr>
        <w:t>в)</w:t>
      </w:r>
      <w:r>
        <w:rPr>
          <w:noProof/>
        </w:rPr>
        <w:tab/>
        <w:t>в таблицата за възможностите за риболов на сайда в IIIa и IV; води на Съюза от IIa кодът за отчитане (POK/2A3A4.) се заменя с (POK/2C3A4);</w:t>
      </w:r>
    </w:p>
    <w:p>
      <w:pPr>
        <w:pStyle w:val="Point1"/>
        <w:rPr>
          <w:noProof/>
        </w:rPr>
      </w:pPr>
      <w:r>
        <w:rPr>
          <w:noProof/>
        </w:rPr>
        <w:t>г)</w:t>
      </w:r>
      <w:r>
        <w:rPr>
          <w:noProof/>
        </w:rPr>
        <w:tab/>
        <w:t>в бележка под линия (3) към таблицата за възможностите за риболов на скатоподобни във води на Съюза от VIa, VIb, VIIa—VIIc и VIIe—VIIk кодът за отчитане (RJE/7FG) се заменя с (RJE/7FG.);</w:t>
      </w:r>
    </w:p>
    <w:p>
      <w:pPr>
        <w:pStyle w:val="Point1"/>
        <w:rPr>
          <w:noProof/>
        </w:rPr>
      </w:pPr>
      <w:r>
        <w:rPr>
          <w:noProof/>
        </w:rPr>
        <w:t>д)</w:t>
      </w:r>
      <w:r>
        <w:rPr>
          <w:noProof/>
        </w:rPr>
        <w:tab/>
        <w:t>в таблицата за възможностите за риболов на скатоподобни във води на Съюза от VIId бележки под линия (1) и (2) се заменят със следното:</w:t>
      </w:r>
    </w:p>
    <w:p>
      <w:pPr>
        <w:pStyle w:val="Point2"/>
        <w:rPr>
          <w:noProof/>
        </w:rPr>
      </w:pPr>
      <w:r>
        <w:rPr>
          <w:noProof/>
        </w:rPr>
        <w:t>„(1)</w:t>
      </w:r>
      <w:r>
        <w:rPr>
          <w:noProof/>
        </w:rPr>
        <w:tab/>
        <w:t>Уловът на кукувичев скат (</w:t>
      </w:r>
      <w:r>
        <w:rPr>
          <w:i/>
          <w:noProof/>
        </w:rPr>
        <w:t>Leucoraja naevus</w:t>
      </w:r>
      <w:r>
        <w:rPr>
          <w:noProof/>
        </w:rPr>
        <w:t>) (RJN/07D.), морска лисица (</w:t>
      </w:r>
      <w:r>
        <w:rPr>
          <w:i/>
          <w:noProof/>
        </w:rPr>
        <w:t>Raja clavata</w:t>
      </w:r>
      <w:r>
        <w:rPr>
          <w:noProof/>
        </w:rPr>
        <w:t>) (RJC/07D.), късоопашат скат (</w:t>
      </w:r>
      <w:r>
        <w:rPr>
          <w:i/>
          <w:noProof/>
        </w:rPr>
        <w:t>Raja brachyura</w:t>
      </w:r>
      <w:r>
        <w:rPr>
          <w:noProof/>
        </w:rPr>
        <w:t>) (RJH/07D.), петнист скат (</w:t>
      </w:r>
      <w:r>
        <w:rPr>
          <w:i/>
          <w:noProof/>
        </w:rPr>
        <w:t>Raja montagui</w:t>
      </w:r>
      <w:r>
        <w:rPr>
          <w:noProof/>
        </w:rPr>
        <w:t>) (RJM/07D.) и дребноок скат (</w:t>
      </w:r>
      <w:r>
        <w:rPr>
          <w:i/>
          <w:noProof/>
        </w:rPr>
        <w:t>Raja microocellata</w:t>
      </w:r>
      <w:r>
        <w:rPr>
          <w:noProof/>
        </w:rPr>
        <w:t>) (RJE/07D.) се отчита отделно.</w:t>
      </w:r>
    </w:p>
    <w:p>
      <w:pPr>
        <w:pStyle w:val="Point2"/>
        <w:rPr>
          <w:noProof/>
          <w:color w:val="000000"/>
          <w:szCs w:val="24"/>
        </w:rPr>
      </w:pPr>
      <w:r>
        <w:rPr>
          <w:noProof/>
        </w:rPr>
        <w:t>(2)</w:t>
      </w:r>
      <w:r>
        <w:rPr>
          <w:noProof/>
        </w:rPr>
        <w:tab/>
      </w:r>
      <w:r>
        <w:rPr>
          <w:noProof/>
          <w:color w:val="000000"/>
        </w:rPr>
        <w:t>Специално условие: от които до 5 % може да се ловят във водите на Съюза от VIa, VIb, VIIa—c и VIIe—k (SRX/*67AKD). Уловът на кукувичев скат (</w:t>
      </w:r>
      <w:r>
        <w:rPr>
          <w:i/>
          <w:noProof/>
          <w:color w:val="000000"/>
        </w:rPr>
        <w:t>Leucoraja naevus</w:t>
      </w:r>
      <w:r>
        <w:rPr>
          <w:noProof/>
          <w:color w:val="000000"/>
        </w:rPr>
        <w:t>) (RJN/*67AKD), морска лисица (</w:t>
      </w:r>
      <w:r>
        <w:rPr>
          <w:i/>
          <w:noProof/>
          <w:color w:val="000000"/>
        </w:rPr>
        <w:t>Raja clavata</w:t>
      </w:r>
      <w:r>
        <w:rPr>
          <w:noProof/>
          <w:color w:val="000000"/>
        </w:rPr>
        <w:t>) (RJC/*67AKD), късоопашат скат (</w:t>
      </w:r>
      <w:r>
        <w:rPr>
          <w:i/>
          <w:noProof/>
          <w:color w:val="000000"/>
        </w:rPr>
        <w:t>Raja brachyura</w:t>
      </w:r>
      <w:r>
        <w:rPr>
          <w:noProof/>
          <w:color w:val="000000"/>
        </w:rPr>
        <w:t>) (RJH/*67AKD) и петнист скат (</w:t>
      </w:r>
      <w:r>
        <w:rPr>
          <w:i/>
          <w:noProof/>
          <w:color w:val="000000"/>
        </w:rPr>
        <w:t>Raja montagui</w:t>
      </w:r>
      <w:r>
        <w:rPr>
          <w:noProof/>
          <w:color w:val="000000"/>
        </w:rPr>
        <w:t>) (RJM/*67AKD) се отчита отделно. Това специално условие не се прилага за дребноок скат (</w:t>
      </w:r>
      <w:r>
        <w:rPr>
          <w:i/>
          <w:noProof/>
          <w:color w:val="000000"/>
        </w:rPr>
        <w:t>Raja microocellata</w:t>
      </w:r>
      <w:r>
        <w:rPr>
          <w:noProof/>
          <w:color w:val="000000"/>
        </w:rPr>
        <w:t>) и за вълнист скат (</w:t>
      </w:r>
      <w:r>
        <w:rPr>
          <w:i/>
          <w:noProof/>
          <w:color w:val="000000"/>
        </w:rPr>
        <w:t>Raja undulata</w:t>
      </w:r>
      <w:r>
        <w:rPr>
          <w:noProof/>
          <w:color w:val="000000"/>
        </w:rPr>
        <w:t>).“;</w:t>
      </w:r>
    </w:p>
    <w:p>
      <w:pPr>
        <w:pStyle w:val="Point1"/>
        <w:rPr>
          <w:noProof/>
        </w:rPr>
      </w:pPr>
      <w:r>
        <w:rPr>
          <w:noProof/>
        </w:rPr>
        <w:t>е)</w:t>
      </w:r>
      <w:r>
        <w:rPr>
          <w:noProof/>
        </w:rPr>
        <w:tab/>
        <w:t>в таблицата за възможностите за риболов на скумрия в IIIa и IV; води на Съюза от IIа, IIIb, IIIc и подучастъци 22—32 бележка под линия (3) се заменя със следното:</w:t>
      </w:r>
    </w:p>
    <w:p>
      <w:pPr>
        <w:pStyle w:val="Point2"/>
        <w:rPr>
          <w:noProof/>
        </w:rPr>
      </w:pPr>
      <w:r>
        <w:rPr>
          <w:noProof/>
        </w:rPr>
        <w:t>„(3)</w:t>
      </w:r>
      <w:r>
        <w:rPr>
          <w:noProof/>
        </w:rPr>
        <w:tab/>
        <w:t>Специално условие: в това число следното количество в тонове, което да се лови в норвежки води от IIa и IVa (MAC/*2A4AN):</w:t>
      </w:r>
    </w:p>
    <w:p>
      <w:pPr>
        <w:pStyle w:val="Point2"/>
        <w:rPr>
          <w:noProof/>
        </w:rPr>
      </w:pPr>
      <w:r>
        <w:rPr>
          <w:noProof/>
        </w:rPr>
        <w:tab/>
      </w:r>
      <w:r>
        <w:rPr>
          <w:noProof/>
        </w:rPr>
        <w:tab/>
      </w:r>
      <w:r>
        <w:rPr>
          <w:noProof/>
        </w:rPr>
        <w:tab/>
      </w:r>
      <w:r>
        <w:rPr>
          <w:noProof/>
        </w:rPr>
        <w:tab/>
      </w:r>
      <w:r>
        <w:rPr>
          <w:noProof/>
        </w:rPr>
        <w:tab/>
      </w:r>
      <w:r>
        <w:rPr>
          <w:noProof/>
        </w:rPr>
        <w:tab/>
        <w:t>328</w:t>
      </w:r>
    </w:p>
    <w:p>
      <w:pPr>
        <w:pStyle w:val="Point2"/>
        <w:rPr>
          <w:noProof/>
          <w:szCs w:val="24"/>
        </w:rPr>
      </w:pPr>
      <w:r>
        <w:rPr>
          <w:noProof/>
        </w:rPr>
        <w:tab/>
        <w:t>Когато се извършва риболов по това специално условие, приловът на атлантическа треска, пикша, сребриста сайда, меджид и сайда се приспада от квотите за тези видове.“</w:t>
      </w:r>
    </w:p>
    <w:p>
      <w:pPr>
        <w:pStyle w:val="Point0"/>
        <w:rPr>
          <w:noProof/>
        </w:rPr>
      </w:pPr>
      <w:r>
        <w:rPr>
          <w:noProof/>
        </w:rPr>
        <w:t>2.</w:t>
      </w:r>
      <w:r>
        <w:rPr>
          <w:noProof/>
        </w:rPr>
        <w:tab/>
        <w:t>В приложение IБ към Регламент (ЕС) 2017/127 таблицата за възможностите за риболов на мойва в гренландски води от V и XIV се заменя със следната таблица:</w:t>
      </w:r>
    </w:p>
    <w:p>
      <w:pPr>
        <w:pStyle w:val="Point0"/>
        <w:rPr>
          <w:noProof/>
        </w:rPr>
      </w:pPr>
      <w:r>
        <w:rPr>
          <w:noProof/>
        </w:rPr>
        <w:t>„</w:t>
      </w:r>
    </w:p>
    <w:tbl>
      <w:tblPr>
        <w:tblW w:w="9097" w:type="dxa"/>
        <w:tblInd w:w="108" w:type="dxa"/>
        <w:tblLook w:val="04A0" w:firstRow="1" w:lastRow="0" w:firstColumn="1" w:lastColumn="0" w:noHBand="0" w:noVBand="1"/>
      </w:tblPr>
      <w:tblGrid>
        <w:gridCol w:w="1560"/>
        <w:gridCol w:w="1559"/>
        <w:gridCol w:w="482"/>
        <w:gridCol w:w="2500"/>
        <w:gridCol w:w="2996"/>
      </w:tblGrid>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559"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Мойва</w:t>
            </w:r>
          </w:p>
        </w:tc>
        <w:tc>
          <w:tcPr>
            <w:tcW w:w="482"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2500"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2996"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V и XIV</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41"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Mallotus villosus</w:t>
            </w:r>
          </w:p>
        </w:tc>
        <w:tc>
          <w:tcPr>
            <w:tcW w:w="2500"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996"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(CAP/514GRN)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Дания</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line="276" w:lineRule="auto"/>
              <w:rPr>
                <w:noProof/>
                <w:sz w:val="22"/>
              </w:rPr>
            </w:pPr>
          </w:p>
        </w:tc>
        <w:tc>
          <w:tcPr>
            <w:tcW w:w="5496"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line="276" w:lineRule="auto"/>
              <w:rPr>
                <w:noProof/>
                <w:sz w:val="22"/>
              </w:rPr>
            </w:pPr>
          </w:p>
        </w:tc>
        <w:tc>
          <w:tcPr>
            <w:tcW w:w="5496"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Швеция</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line="276" w:lineRule="auto"/>
              <w:rPr>
                <w:noProof/>
                <w:sz w:val="22"/>
              </w:rPr>
            </w:pPr>
          </w:p>
        </w:tc>
        <w:tc>
          <w:tcPr>
            <w:tcW w:w="5496"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line="276" w:lineRule="auto"/>
              <w:rPr>
                <w:noProof/>
                <w:sz w:val="22"/>
              </w:rPr>
            </w:pP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Всички държави членки</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lastRenderedPageBreak/>
              <w:t>Съюз</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0</w:t>
            </w:r>
          </w:p>
        </w:tc>
        <w:tc>
          <w:tcPr>
            <w:tcW w:w="482"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Норвегия</w:t>
            </w:r>
          </w:p>
        </w:tc>
        <w:tc>
          <w:tcPr>
            <w:tcW w:w="1559" w:type="dxa"/>
            <w:noWrap/>
            <w:vAlign w:val="center"/>
            <w:hideMark/>
          </w:tcPr>
          <w:p>
            <w:pPr>
              <w:spacing w:after="0"/>
              <w:jc w:val="right"/>
              <w:rPr>
                <w:rFonts w:eastAsia="Times New Roman"/>
                <w:noProof/>
                <w:color w:val="000000"/>
                <w:sz w:val="18"/>
                <w:szCs w:val="18"/>
              </w:rPr>
            </w:pPr>
            <w:r>
              <w:rPr>
                <w:noProof/>
                <w:color w:val="000000"/>
                <w:sz w:val="18"/>
              </w:rPr>
              <w:t xml:space="preserve"> 4 389</w:t>
            </w:r>
          </w:p>
        </w:tc>
        <w:tc>
          <w:tcPr>
            <w:tcW w:w="482"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2500" w:type="dxa"/>
            <w:noWrap/>
            <w:vAlign w:val="bottom"/>
            <w:hideMark/>
          </w:tcPr>
          <w:p>
            <w:pPr>
              <w:spacing w:after="0" w:line="276" w:lineRule="auto"/>
              <w:rPr>
                <w:noProof/>
                <w:sz w:val="22"/>
              </w:rPr>
            </w:pPr>
          </w:p>
        </w:tc>
        <w:tc>
          <w:tcPr>
            <w:tcW w:w="2996"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559" w:type="dxa"/>
            <w:noWrap/>
            <w:vAlign w:val="bottom"/>
            <w:hideMark/>
          </w:tcPr>
          <w:p>
            <w:pPr>
              <w:spacing w:after="0" w:line="276" w:lineRule="auto"/>
              <w:rPr>
                <w:noProof/>
                <w:sz w:val="22"/>
              </w:rPr>
            </w:pPr>
          </w:p>
        </w:tc>
        <w:tc>
          <w:tcPr>
            <w:tcW w:w="482" w:type="dxa"/>
            <w:noWrap/>
            <w:vAlign w:val="bottom"/>
            <w:hideMark/>
          </w:tcPr>
          <w:p>
            <w:pPr>
              <w:spacing w:after="0" w:line="276" w:lineRule="auto"/>
              <w:rPr>
                <w:noProof/>
                <w:sz w:val="22"/>
              </w:rPr>
            </w:pP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559" w:type="dxa"/>
            <w:noWrap/>
            <w:vAlign w:val="bottom"/>
            <w:hideMark/>
          </w:tcPr>
          <w:p>
            <w:pPr>
              <w:spacing w:after="0"/>
              <w:jc w:val="right"/>
              <w:rPr>
                <w:rFonts w:eastAsia="Times New Roman"/>
                <w:noProof/>
                <w:color w:val="000000"/>
                <w:sz w:val="18"/>
                <w:szCs w:val="18"/>
              </w:rPr>
            </w:pPr>
            <w:r>
              <w:rPr>
                <w:noProof/>
                <w:color w:val="000000"/>
                <w:sz w:val="18"/>
              </w:rPr>
              <w:t>Не се прилага</w:t>
            </w:r>
          </w:p>
        </w:tc>
        <w:tc>
          <w:tcPr>
            <w:tcW w:w="482" w:type="dxa"/>
            <w:noWrap/>
            <w:vAlign w:val="bottom"/>
            <w:hideMark/>
          </w:tcPr>
          <w:p>
            <w:pPr>
              <w:spacing w:after="0" w:line="276" w:lineRule="auto"/>
              <w:rPr>
                <w:noProof/>
                <w:sz w:val="22"/>
              </w:rPr>
            </w:pPr>
          </w:p>
        </w:tc>
        <w:tc>
          <w:tcPr>
            <w:tcW w:w="2500" w:type="dxa"/>
            <w:noWrap/>
            <w:vAlign w:val="center"/>
            <w:hideMark/>
          </w:tcPr>
          <w:p>
            <w:pPr>
              <w:spacing w:after="0" w:line="276" w:lineRule="auto"/>
              <w:rPr>
                <w:noProof/>
                <w:sz w:val="22"/>
              </w:rPr>
            </w:pPr>
          </w:p>
        </w:tc>
        <w:tc>
          <w:tcPr>
            <w:tcW w:w="2996"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537" w:type="dxa"/>
            <w:gridSpan w:val="4"/>
            <w:noWrap/>
            <w:hideMark/>
          </w:tcPr>
          <w:p>
            <w:pPr>
              <w:spacing w:after="0"/>
              <w:rPr>
                <w:rFonts w:eastAsia="Times New Roman"/>
                <w:noProof/>
                <w:color w:val="000000"/>
                <w:sz w:val="18"/>
                <w:szCs w:val="18"/>
              </w:rPr>
            </w:pPr>
            <w:r>
              <w:rPr>
                <w:noProof/>
                <w:color w:val="000000"/>
                <w:sz w:val="18"/>
                <w:vertAlign w:val="superscript"/>
              </w:rPr>
              <w:t>Дания, Германия, Швеция и Обединеното кралство имат достъп до квотата за всички държави членки единствено след като са изчерпали своята собствена квота. Държавите членки с повече от 10 % от квотата на Съюза обаче въобще нямат достъп до квотата за всички държави членки.</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7537"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За риболовен период от 20 юни до 30 април на следващата година.</w:t>
            </w:r>
          </w:p>
        </w:tc>
      </w:tr>
      <w:tr>
        <w:trPr>
          <w:trHeight w:val="270"/>
        </w:trPr>
        <w:tc>
          <w:tcPr>
            <w:tcW w:w="1560" w:type="dxa"/>
            <w:noWrap/>
            <w:vAlign w:val="bottom"/>
            <w:hideMark/>
          </w:tcPr>
          <w:p>
            <w:pPr>
              <w:spacing w:after="0" w:line="276" w:lineRule="auto"/>
              <w:rPr>
                <w:noProof/>
                <w:sz w:val="22"/>
              </w:rPr>
            </w:pPr>
          </w:p>
        </w:tc>
        <w:tc>
          <w:tcPr>
            <w:tcW w:w="1559" w:type="dxa"/>
            <w:noWrap/>
            <w:vAlign w:val="bottom"/>
            <w:hideMark/>
          </w:tcPr>
          <w:p>
            <w:pPr>
              <w:spacing w:after="0" w:line="276" w:lineRule="auto"/>
              <w:rPr>
                <w:noProof/>
                <w:sz w:val="22"/>
              </w:rPr>
            </w:pPr>
          </w:p>
        </w:tc>
        <w:tc>
          <w:tcPr>
            <w:tcW w:w="482" w:type="dxa"/>
            <w:noWrap/>
            <w:vAlign w:val="bottom"/>
            <w:hideMark/>
          </w:tcPr>
          <w:p>
            <w:pPr>
              <w:spacing w:after="0" w:line="276" w:lineRule="auto"/>
              <w:rPr>
                <w:noProof/>
                <w:sz w:val="22"/>
              </w:rPr>
            </w:pPr>
          </w:p>
        </w:tc>
        <w:tc>
          <w:tcPr>
            <w:tcW w:w="2500" w:type="dxa"/>
            <w:noWrap/>
            <w:vAlign w:val="bottom"/>
            <w:hideMark/>
          </w:tcPr>
          <w:p>
            <w:pPr>
              <w:spacing w:after="0" w:line="276" w:lineRule="auto"/>
              <w:rPr>
                <w:noProof/>
                <w:sz w:val="22"/>
              </w:rPr>
            </w:pPr>
          </w:p>
        </w:tc>
        <w:tc>
          <w:tcPr>
            <w:tcW w:w="2996" w:type="dxa"/>
            <w:noWrap/>
            <w:vAlign w:val="bottom"/>
            <w:hideMark/>
          </w:tcPr>
          <w:p>
            <w:pPr>
              <w:spacing w:after="0" w:line="276" w:lineRule="auto"/>
              <w:rPr>
                <w:noProof/>
                <w:sz w:val="22"/>
              </w:rPr>
            </w:pPr>
          </w:p>
        </w:tc>
      </w:tr>
    </w:tbl>
    <w:p>
      <w:pPr>
        <w:pStyle w:val="Point0"/>
        <w:jc w:val="right"/>
        <w:rPr>
          <w:noProof/>
        </w:rPr>
      </w:pPr>
      <w:r>
        <w:rPr>
          <w:noProof/>
        </w:rPr>
        <w:t>“</w:t>
      </w:r>
    </w:p>
    <w:p>
      <w:pPr>
        <w:pStyle w:val="Point0"/>
        <w:rPr>
          <w:noProof/>
        </w:rPr>
      </w:pPr>
      <w:r>
        <w:rPr>
          <w:noProof/>
        </w:rPr>
        <w:t>3.</w:t>
      </w:r>
      <w:r>
        <w:rPr>
          <w:noProof/>
        </w:rPr>
        <w:tab/>
        <w:t>Приложение IГ към Регламент (ЕС) 2017/127 се изменя, както следва:</w:t>
      </w:r>
    </w:p>
    <w:p>
      <w:pPr>
        <w:pStyle w:val="Point1"/>
        <w:rPr>
          <w:noProof/>
        </w:rPr>
      </w:pPr>
      <w:r>
        <w:rPr>
          <w:noProof/>
        </w:rPr>
        <w:t>а)</w:t>
      </w:r>
      <w:r>
        <w:rPr>
          <w:noProof/>
        </w:rPr>
        <w:tab/>
        <w:t>в таблицата за възможностите за риболов на риба ветроход в Атлантически океан на изток от 45°з.д. кодът за отчитане (SAIL/AE45W) се заменя с (SAI/AE45W);</w:t>
      </w:r>
    </w:p>
    <w:p>
      <w:pPr>
        <w:pStyle w:val="Point1"/>
        <w:rPr>
          <w:noProof/>
        </w:rPr>
      </w:pPr>
      <w:r>
        <w:rPr>
          <w:noProof/>
        </w:rPr>
        <w:t>б)</w:t>
      </w:r>
      <w:r>
        <w:rPr>
          <w:noProof/>
        </w:rPr>
        <w:tab/>
        <w:t>в таблицата за възможностите за риболов на риба ветроход в Атлантически океан на запад от 45°з.д. кодът за отчитане (SAIL/AW45W) се заменя с (SAI/AW45W);</w:t>
      </w:r>
    </w:p>
    <w:p>
      <w:pPr>
        <w:pStyle w:val="Point1"/>
        <w:rPr>
          <w:noProof/>
        </w:rPr>
      </w:pPr>
      <w:r>
        <w:rPr>
          <w:noProof/>
        </w:rPr>
        <w:t>в)</w:t>
      </w:r>
      <w:r>
        <w:rPr>
          <w:noProof/>
        </w:rPr>
        <w:tab/>
        <w:t>в таблицата за възможностите за риболов на риба меч в Средиземноморския басейн кодът за отчитане (SWO/M) се заменя с (SWO/MED).</w:t>
      </w:r>
    </w:p>
    <w:p>
      <w:pPr>
        <w:pStyle w:val="Point0"/>
        <w:rPr>
          <w:noProof/>
        </w:rPr>
      </w:pPr>
      <w:r>
        <w:rPr>
          <w:noProof/>
        </w:rPr>
        <w:t>4.</w:t>
      </w:r>
      <w:r>
        <w:rPr>
          <w:noProof/>
        </w:rPr>
        <w:tab/>
        <w:t>В приложение IД към Регламент (ЕС) 2017/127 в таблицата за възможностите за риболов на гренадир във ФАО 48.3 Антарктика кодът за отчитане (SRX/F483.) се заменя с (GRV/F483.).</w:t>
      </w:r>
    </w:p>
    <w:p>
      <w:pPr>
        <w:pStyle w:val="Point0"/>
        <w:rPr>
          <w:noProof/>
        </w:rPr>
      </w:pPr>
      <w:r>
        <w:rPr>
          <w:noProof/>
        </w:rPr>
        <w:t>5.</w:t>
      </w:r>
      <w:r>
        <w:rPr>
          <w:noProof/>
        </w:rPr>
        <w:tab/>
        <w:t>В приложение IЙ към Регламент (ЕС) 2017/127 таблицата за възможностите за риболов на чилийски сафрид в зоната на Конвенцията SPRFMO се заменя със следната таблица:</w:t>
      </w:r>
    </w:p>
    <w:p>
      <w:pPr>
        <w:pStyle w:val="Point0"/>
        <w:rPr>
          <w:noProof/>
        </w:rPr>
      </w:pPr>
      <w:r>
        <w:rPr>
          <w:noProof/>
        </w:rPr>
        <w:t>„</w:t>
      </w:r>
    </w:p>
    <w:tbl>
      <w:tblPr>
        <w:tblW w:w="9180" w:type="dxa"/>
        <w:tblInd w:w="108" w:type="dxa"/>
        <w:tblLook w:val="04A0" w:firstRow="1" w:lastRow="0" w:firstColumn="1" w:lastColumn="0" w:noHBand="0" w:noVBand="1"/>
      </w:tblPr>
      <w:tblGrid>
        <w:gridCol w:w="1560"/>
        <w:gridCol w:w="1275"/>
        <w:gridCol w:w="1204"/>
        <w:gridCol w:w="781"/>
        <w:gridCol w:w="4360"/>
      </w:tblGrid>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479"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Чилийски сафрид</w:t>
            </w:r>
          </w:p>
        </w:tc>
        <w:tc>
          <w:tcPr>
            <w:tcW w:w="781"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3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Зона на Конвенцията SPRFMO</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479"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Trachurus murphyi</w:t>
            </w:r>
          </w:p>
        </w:tc>
        <w:tc>
          <w:tcPr>
            <w:tcW w:w="781"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3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(CJM/SPRFMO)</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7 583,98</w:t>
            </w:r>
          </w:p>
        </w:tc>
        <w:tc>
          <w:tcPr>
            <w:tcW w:w="1204" w:type="dxa"/>
            <w:noWrap/>
            <w:vAlign w:val="bottom"/>
            <w:hideMark/>
          </w:tcPr>
          <w:p>
            <w:pPr>
              <w:spacing w:after="0" w:line="276" w:lineRule="auto"/>
              <w:rPr>
                <w:noProof/>
                <w:sz w:val="22"/>
              </w:rPr>
            </w:pPr>
          </w:p>
        </w:tc>
        <w:tc>
          <w:tcPr>
            <w:tcW w:w="5141"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Нидерландия</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8 220,25</w:t>
            </w:r>
          </w:p>
        </w:tc>
        <w:tc>
          <w:tcPr>
            <w:tcW w:w="1204" w:type="dxa"/>
            <w:noWrap/>
            <w:vAlign w:val="bottom"/>
            <w:hideMark/>
          </w:tcPr>
          <w:p>
            <w:pPr>
              <w:spacing w:after="0" w:line="276" w:lineRule="auto"/>
              <w:rPr>
                <w:noProof/>
                <w:sz w:val="22"/>
              </w:rPr>
            </w:pPr>
          </w:p>
        </w:tc>
        <w:tc>
          <w:tcPr>
            <w:tcW w:w="5141"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Литва</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5 277,13</w:t>
            </w:r>
          </w:p>
        </w:tc>
        <w:tc>
          <w:tcPr>
            <w:tcW w:w="1204" w:type="dxa"/>
            <w:noWrap/>
            <w:vAlign w:val="bottom"/>
            <w:hideMark/>
          </w:tcPr>
          <w:p>
            <w:pPr>
              <w:spacing w:after="0" w:line="276" w:lineRule="auto"/>
              <w:rPr>
                <w:noProof/>
                <w:sz w:val="22"/>
              </w:rPr>
            </w:pPr>
          </w:p>
        </w:tc>
        <w:tc>
          <w:tcPr>
            <w:tcW w:w="5141"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Полша</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9 073,64</w:t>
            </w:r>
          </w:p>
        </w:tc>
        <w:tc>
          <w:tcPr>
            <w:tcW w:w="1204" w:type="dxa"/>
            <w:noWrap/>
            <w:vAlign w:val="bottom"/>
            <w:hideMark/>
          </w:tcPr>
          <w:p>
            <w:pPr>
              <w:spacing w:after="0" w:line="276" w:lineRule="auto"/>
              <w:rPr>
                <w:noProof/>
                <w:sz w:val="22"/>
              </w:rPr>
            </w:pPr>
          </w:p>
        </w:tc>
        <w:tc>
          <w:tcPr>
            <w:tcW w:w="781" w:type="dxa"/>
            <w:noWrap/>
            <w:vAlign w:val="center"/>
            <w:hideMark/>
          </w:tcPr>
          <w:p>
            <w:pPr>
              <w:spacing w:after="0" w:line="276" w:lineRule="auto"/>
              <w:rPr>
                <w:noProof/>
                <w:sz w:val="22"/>
              </w:rPr>
            </w:pPr>
          </w:p>
        </w:tc>
        <w:tc>
          <w:tcPr>
            <w:tcW w:w="4360"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275" w:type="dxa"/>
            <w:noWrap/>
            <w:vAlign w:val="center"/>
            <w:hideMark/>
          </w:tcPr>
          <w:p>
            <w:pPr>
              <w:spacing w:after="0"/>
              <w:jc w:val="right"/>
              <w:rPr>
                <w:rFonts w:eastAsia="Times New Roman"/>
                <w:noProof/>
                <w:color w:val="000000"/>
                <w:sz w:val="18"/>
                <w:szCs w:val="18"/>
              </w:rPr>
            </w:pPr>
            <w:r>
              <w:rPr>
                <w:noProof/>
                <w:color w:val="000000"/>
                <w:sz w:val="18"/>
              </w:rPr>
              <w:t xml:space="preserve"> 30 155</w:t>
            </w:r>
          </w:p>
        </w:tc>
        <w:tc>
          <w:tcPr>
            <w:tcW w:w="1204" w:type="dxa"/>
            <w:noWrap/>
            <w:vAlign w:val="bottom"/>
            <w:hideMark/>
          </w:tcPr>
          <w:p>
            <w:pPr>
              <w:spacing w:after="0" w:line="276" w:lineRule="auto"/>
              <w:rPr>
                <w:noProof/>
                <w:sz w:val="22"/>
              </w:rPr>
            </w:pPr>
          </w:p>
        </w:tc>
        <w:tc>
          <w:tcPr>
            <w:tcW w:w="781" w:type="dxa"/>
            <w:noWrap/>
            <w:vAlign w:val="bottom"/>
            <w:hideMark/>
          </w:tcPr>
          <w:p>
            <w:pPr>
              <w:spacing w:after="0" w:line="276" w:lineRule="auto"/>
              <w:rPr>
                <w:noProof/>
                <w:sz w:val="22"/>
              </w:rPr>
            </w:pPr>
          </w:p>
        </w:tc>
        <w:tc>
          <w:tcPr>
            <w:tcW w:w="4360"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275" w:type="dxa"/>
            <w:noWrap/>
            <w:vAlign w:val="center"/>
            <w:hideMark/>
          </w:tcPr>
          <w:p>
            <w:pPr>
              <w:spacing w:after="0" w:line="276" w:lineRule="auto"/>
              <w:rPr>
                <w:noProof/>
                <w:sz w:val="22"/>
              </w:rPr>
            </w:pPr>
          </w:p>
        </w:tc>
        <w:tc>
          <w:tcPr>
            <w:tcW w:w="1204" w:type="dxa"/>
            <w:noWrap/>
            <w:vAlign w:val="bottom"/>
            <w:hideMark/>
          </w:tcPr>
          <w:p>
            <w:pPr>
              <w:spacing w:after="0" w:line="276" w:lineRule="auto"/>
              <w:rPr>
                <w:noProof/>
                <w:sz w:val="22"/>
              </w:rPr>
            </w:pPr>
          </w:p>
        </w:tc>
        <w:tc>
          <w:tcPr>
            <w:tcW w:w="781" w:type="dxa"/>
            <w:noWrap/>
            <w:vAlign w:val="center"/>
            <w:hideMark/>
          </w:tcPr>
          <w:p>
            <w:pPr>
              <w:spacing w:after="0" w:line="276" w:lineRule="auto"/>
              <w:rPr>
                <w:noProof/>
                <w:sz w:val="22"/>
              </w:rPr>
            </w:pPr>
          </w:p>
        </w:tc>
        <w:tc>
          <w:tcPr>
            <w:tcW w:w="4360"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275" w:type="dxa"/>
            <w:noWrap/>
            <w:vAlign w:val="center"/>
            <w:hideMark/>
          </w:tcPr>
          <w:p>
            <w:pPr>
              <w:spacing w:after="0"/>
              <w:jc w:val="right"/>
              <w:rPr>
                <w:rFonts w:eastAsia="Times New Roman"/>
                <w:noProof/>
                <w:sz w:val="18"/>
                <w:szCs w:val="18"/>
              </w:rPr>
            </w:pPr>
            <w:r>
              <w:rPr>
                <w:noProof/>
                <w:sz w:val="18"/>
              </w:rPr>
              <w:t>Не се прилага</w:t>
            </w:r>
          </w:p>
        </w:tc>
        <w:tc>
          <w:tcPr>
            <w:tcW w:w="1204" w:type="dxa"/>
            <w:noWrap/>
            <w:vAlign w:val="bottom"/>
            <w:hideMark/>
          </w:tcPr>
          <w:p>
            <w:pPr>
              <w:spacing w:after="0" w:line="276" w:lineRule="auto"/>
              <w:rPr>
                <w:noProof/>
                <w:sz w:val="22"/>
              </w:rPr>
            </w:pPr>
          </w:p>
        </w:tc>
        <w:tc>
          <w:tcPr>
            <w:tcW w:w="781" w:type="dxa"/>
            <w:noWrap/>
            <w:vAlign w:val="center"/>
            <w:hideMark/>
          </w:tcPr>
          <w:p>
            <w:pPr>
              <w:spacing w:after="0" w:line="276" w:lineRule="auto"/>
              <w:rPr>
                <w:noProof/>
                <w:sz w:val="22"/>
              </w:rPr>
            </w:pPr>
          </w:p>
        </w:tc>
        <w:tc>
          <w:tcPr>
            <w:tcW w:w="4360"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275" w:type="dxa"/>
            <w:tcBorders>
              <w:top w:val="nil"/>
              <w:left w:val="nil"/>
              <w:bottom w:val="single" w:sz="8" w:space="0" w:color="auto"/>
              <w:right w:val="nil"/>
            </w:tcBorders>
            <w:noWrap/>
            <w:vAlign w:val="bottom"/>
            <w:hideMark/>
          </w:tcPr>
          <w:p>
            <w:pPr>
              <w:spacing w:after="0"/>
              <w:rPr>
                <w:rFonts w:eastAsia="Times New Roman"/>
                <w:noProof/>
                <w:sz w:val="18"/>
                <w:szCs w:val="18"/>
              </w:rPr>
            </w:pPr>
            <w:r>
              <w:rPr>
                <w:noProof/>
                <w:sz w:val="18"/>
                <w:vertAlign w:val="superscript"/>
              </w:rPr>
              <w:t> </w:t>
            </w:r>
          </w:p>
        </w:tc>
        <w:tc>
          <w:tcPr>
            <w:tcW w:w="1204"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8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3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bl>
    <w:p>
      <w:pPr>
        <w:pStyle w:val="Point0"/>
        <w:jc w:val="right"/>
        <w:rPr>
          <w:noProof/>
        </w:rPr>
      </w:pPr>
      <w:r>
        <w:rPr>
          <w:noProof/>
        </w:rPr>
        <w:lastRenderedPageBreak/>
        <w:t>“</w:t>
      </w:r>
    </w:p>
    <w:p>
      <w:pPr>
        <w:pStyle w:val="Point0"/>
        <w:rPr>
          <w:noProof/>
        </w:rPr>
      </w:pPr>
      <w:r>
        <w:rPr>
          <w:noProof/>
        </w:rPr>
        <w:t>6.</w:t>
      </w:r>
      <w:r>
        <w:rPr>
          <w:noProof/>
        </w:rPr>
        <w:tab/>
        <w:t>Приложение IIГ към Регламент (ЕС) 2017/127 и допълнение 1 към посоченото приложение се заменят със следното:</w:t>
      </w:r>
    </w:p>
    <w:p>
      <w:pPr>
        <w:jc w:val="center"/>
        <w:rPr>
          <w:i/>
          <w:iCs/>
          <w:noProof/>
          <w:szCs w:val="24"/>
        </w:rPr>
      </w:pPr>
    </w:p>
    <w:p>
      <w:pPr>
        <w:jc w:val="center"/>
        <w:rPr>
          <w:i/>
          <w:iCs/>
          <w:noProof/>
          <w:szCs w:val="24"/>
        </w:rPr>
      </w:pPr>
      <w:r>
        <w:rPr>
          <w:i/>
          <w:noProof/>
        </w:rPr>
        <w:t>„ПРИЛОЖЕНИЕ IIГ</w:t>
      </w:r>
    </w:p>
    <w:p>
      <w:pPr>
        <w:jc w:val="center"/>
        <w:rPr>
          <w:b/>
          <w:bCs/>
          <w:noProof/>
          <w:szCs w:val="24"/>
        </w:rPr>
      </w:pPr>
      <w:r>
        <w:rPr>
          <w:b/>
          <w:noProof/>
        </w:rPr>
        <w:t>ЗОНИ ЗА УПРАВЛЕНИЕ НА ПЯСЪЧНИЦА В УЧАСТЪЦИ IIa И IIIa НА ICES И ПОДЗОНА IV НА ICES</w:t>
      </w:r>
    </w:p>
    <w:p>
      <w:pPr>
        <w:rPr>
          <w:noProof/>
          <w:szCs w:val="24"/>
        </w:rPr>
      </w:pPr>
      <w:r>
        <w:rPr>
          <w:noProof/>
        </w:rPr>
        <w:t>За целите на управлението на определените в приложение IA възможности за риболов на пясъчница в участъци IIa и IIIa на ICES и подзона IV на ICES зоните на управление, в които се прилагат специални ограничения на улова, се определят по-долу и в допълнението към настоящото приложение:</w:t>
      </w:r>
    </w:p>
    <w:tbl>
      <w:tblPr>
        <w:tblStyle w:val="TableGrid"/>
        <w:tblW w:w="0" w:type="auto"/>
        <w:tblLook w:val="04A0" w:firstRow="1" w:lastRow="0" w:firstColumn="1" w:lastColumn="0" w:noHBand="0" w:noVBand="1"/>
      </w:tblPr>
      <w:tblGrid>
        <w:gridCol w:w="4644"/>
        <w:gridCol w:w="4644"/>
      </w:tblGrid>
      <w:tr>
        <w:tc>
          <w:tcPr>
            <w:tcW w:w="4644" w:type="dxa"/>
          </w:tcPr>
          <w:p>
            <w:pPr>
              <w:jc w:val="center"/>
              <w:rPr>
                <w:noProof/>
                <w:szCs w:val="24"/>
              </w:rPr>
            </w:pPr>
            <w:r>
              <w:rPr>
                <w:noProof/>
              </w:rPr>
              <w:t>Зона за управление на запасите от пясъчница</w:t>
            </w:r>
          </w:p>
        </w:tc>
        <w:tc>
          <w:tcPr>
            <w:tcW w:w="4644" w:type="dxa"/>
          </w:tcPr>
          <w:p>
            <w:pPr>
              <w:jc w:val="center"/>
              <w:rPr>
                <w:noProof/>
                <w:szCs w:val="24"/>
              </w:rPr>
            </w:pPr>
            <w:r>
              <w:rPr>
                <w:noProof/>
              </w:rPr>
              <w:t>Статистически квадранти на ICES</w:t>
            </w:r>
          </w:p>
        </w:tc>
      </w:tr>
      <w:tr>
        <w:tc>
          <w:tcPr>
            <w:tcW w:w="4644" w:type="dxa"/>
          </w:tcPr>
          <w:p>
            <w:pPr>
              <w:rPr>
                <w:noProof/>
                <w:szCs w:val="24"/>
              </w:rPr>
            </w:pPr>
            <w:r>
              <w:rPr>
                <w:noProof/>
              </w:rPr>
              <w:t>1r</w:t>
            </w:r>
          </w:p>
        </w:tc>
        <w:tc>
          <w:tcPr>
            <w:tcW w:w="4644" w:type="dxa"/>
          </w:tcPr>
          <w:p>
            <w:pPr>
              <w:jc w:val="left"/>
              <w:rPr>
                <w:noProof/>
                <w:szCs w:val="24"/>
              </w:rPr>
            </w:pPr>
            <w:r>
              <w:rPr>
                <w:noProof/>
              </w:rPr>
              <w:t>31–33 E9–F4; 33 F5; 34-37 E9–F6; 38-40 F0–F5; 41 F4–F5</w:t>
            </w:r>
          </w:p>
        </w:tc>
      </w:tr>
      <w:tr>
        <w:tc>
          <w:tcPr>
            <w:tcW w:w="4644" w:type="dxa"/>
          </w:tcPr>
          <w:p>
            <w:pPr>
              <w:rPr>
                <w:noProof/>
                <w:szCs w:val="24"/>
              </w:rPr>
            </w:pPr>
            <w:r>
              <w:rPr>
                <w:noProof/>
              </w:rPr>
              <w:t>2r</w:t>
            </w:r>
          </w:p>
        </w:tc>
        <w:tc>
          <w:tcPr>
            <w:tcW w:w="4644" w:type="dxa"/>
          </w:tcPr>
          <w:p>
            <w:pPr>
              <w:jc w:val="left"/>
              <w:rPr>
                <w:noProof/>
                <w:szCs w:val="24"/>
              </w:rPr>
            </w:pPr>
            <w:r>
              <w:rPr>
                <w:noProof/>
              </w:rPr>
              <w:t xml:space="preserve">35 F7–F8; 36 F7–F9; 37 F7–F8; 38-41 F6–F8; 42 F6–F9; 43 F7–F9; 44 F9–G0; 45 G0–G1; 46 G1 </w:t>
            </w:r>
          </w:p>
        </w:tc>
      </w:tr>
      <w:tr>
        <w:tc>
          <w:tcPr>
            <w:tcW w:w="4644" w:type="dxa"/>
          </w:tcPr>
          <w:p>
            <w:pPr>
              <w:rPr>
                <w:noProof/>
                <w:szCs w:val="24"/>
              </w:rPr>
            </w:pPr>
            <w:r>
              <w:rPr>
                <w:noProof/>
              </w:rPr>
              <w:t>3r</w:t>
            </w:r>
          </w:p>
        </w:tc>
        <w:tc>
          <w:tcPr>
            <w:tcW w:w="4644" w:type="dxa"/>
          </w:tcPr>
          <w:p>
            <w:pPr>
              <w:jc w:val="left"/>
              <w:rPr>
                <w:noProof/>
                <w:szCs w:val="24"/>
              </w:rPr>
            </w:pPr>
            <w:r>
              <w:rPr>
                <w:noProof/>
              </w:rPr>
              <w:t xml:space="preserve">41-46 F1–F3; 42-46 F4–F5; 43-46 F6; 44-46 F7–F8; 45-46 F9; 46-47 G0; 47 G1 и 48 G0 </w:t>
            </w:r>
          </w:p>
        </w:tc>
      </w:tr>
      <w:tr>
        <w:tc>
          <w:tcPr>
            <w:tcW w:w="4644" w:type="dxa"/>
          </w:tcPr>
          <w:p>
            <w:pPr>
              <w:rPr>
                <w:noProof/>
                <w:szCs w:val="24"/>
              </w:rPr>
            </w:pPr>
            <w:r>
              <w:rPr>
                <w:noProof/>
              </w:rPr>
              <w:t>4</w:t>
            </w:r>
          </w:p>
        </w:tc>
        <w:tc>
          <w:tcPr>
            <w:tcW w:w="4644" w:type="dxa"/>
          </w:tcPr>
          <w:p>
            <w:pPr>
              <w:jc w:val="left"/>
              <w:rPr>
                <w:noProof/>
                <w:szCs w:val="24"/>
              </w:rPr>
            </w:pPr>
            <w:r>
              <w:rPr>
                <w:noProof/>
              </w:rPr>
              <w:t xml:space="preserve">38–40 E7–E9 и 41–46 E6–F0 </w:t>
            </w:r>
          </w:p>
        </w:tc>
      </w:tr>
      <w:tr>
        <w:tc>
          <w:tcPr>
            <w:tcW w:w="4644" w:type="dxa"/>
          </w:tcPr>
          <w:p>
            <w:pPr>
              <w:rPr>
                <w:noProof/>
                <w:szCs w:val="24"/>
              </w:rPr>
            </w:pPr>
            <w:r>
              <w:rPr>
                <w:noProof/>
              </w:rPr>
              <w:t>5r</w:t>
            </w:r>
          </w:p>
        </w:tc>
        <w:tc>
          <w:tcPr>
            <w:tcW w:w="4644" w:type="dxa"/>
          </w:tcPr>
          <w:p>
            <w:pPr>
              <w:jc w:val="left"/>
              <w:rPr>
                <w:noProof/>
                <w:szCs w:val="24"/>
              </w:rPr>
            </w:pPr>
            <w:r>
              <w:rPr>
                <w:noProof/>
              </w:rPr>
              <w:t>47–52 F1–F5</w:t>
            </w:r>
          </w:p>
        </w:tc>
      </w:tr>
      <w:tr>
        <w:tc>
          <w:tcPr>
            <w:tcW w:w="4644" w:type="dxa"/>
          </w:tcPr>
          <w:p>
            <w:pPr>
              <w:rPr>
                <w:noProof/>
                <w:szCs w:val="24"/>
              </w:rPr>
            </w:pPr>
            <w:r>
              <w:rPr>
                <w:noProof/>
              </w:rPr>
              <w:t>6</w:t>
            </w:r>
          </w:p>
        </w:tc>
        <w:tc>
          <w:tcPr>
            <w:tcW w:w="4644" w:type="dxa"/>
          </w:tcPr>
          <w:p>
            <w:pPr>
              <w:jc w:val="left"/>
              <w:rPr>
                <w:noProof/>
                <w:szCs w:val="24"/>
              </w:rPr>
            </w:pPr>
            <w:r>
              <w:rPr>
                <w:noProof/>
              </w:rPr>
              <w:t xml:space="preserve">41-43 G0–G3; 44 G1 </w:t>
            </w:r>
          </w:p>
        </w:tc>
      </w:tr>
      <w:tr>
        <w:tc>
          <w:tcPr>
            <w:tcW w:w="4644" w:type="dxa"/>
          </w:tcPr>
          <w:p>
            <w:pPr>
              <w:rPr>
                <w:noProof/>
                <w:szCs w:val="24"/>
              </w:rPr>
            </w:pPr>
            <w:r>
              <w:rPr>
                <w:noProof/>
              </w:rPr>
              <w:t>7r</w:t>
            </w:r>
          </w:p>
        </w:tc>
        <w:tc>
          <w:tcPr>
            <w:tcW w:w="4644" w:type="dxa"/>
          </w:tcPr>
          <w:p>
            <w:pPr>
              <w:jc w:val="left"/>
              <w:rPr>
                <w:noProof/>
                <w:szCs w:val="24"/>
              </w:rPr>
            </w:pPr>
            <w:r>
              <w:rPr>
                <w:noProof/>
              </w:rPr>
              <w:t>47–52 E6–F0</w:t>
            </w:r>
          </w:p>
        </w:tc>
      </w:tr>
    </w:tbl>
    <w:p>
      <w:pPr>
        <w:rPr>
          <w:noProof/>
          <w:szCs w:val="24"/>
        </w:rPr>
      </w:pPr>
    </w:p>
    <w:p>
      <w:pPr>
        <w:jc w:val="center"/>
        <w:rPr>
          <w:i/>
          <w:iCs/>
          <w:noProof/>
          <w:szCs w:val="24"/>
        </w:rPr>
      </w:pPr>
      <w:r>
        <w:rPr>
          <w:i/>
          <w:noProof/>
        </w:rPr>
        <w:t>Допълнение 1 към приложение IIГ</w:t>
      </w:r>
    </w:p>
    <w:p>
      <w:pPr>
        <w:jc w:val="center"/>
        <w:rPr>
          <w:noProof/>
          <w:szCs w:val="24"/>
        </w:rPr>
      </w:pPr>
      <w:r>
        <w:rPr>
          <w:noProof/>
        </w:rPr>
        <w:t>ЗОНИ ЗА УПРАВЛЕНИЕ НА ЗАПАСИТЕ ОТ ПЯСЪЧНИЦА</w:t>
      </w:r>
    </w:p>
    <w:p>
      <w:pPr>
        <w:rPr>
          <w:noProof/>
          <w:szCs w:val="24"/>
        </w:rPr>
      </w:pPr>
      <w:r>
        <w:rPr>
          <w:noProof/>
          <w:szCs w:val="24"/>
          <w:lang w:val="en-US" w:eastAsia="en-US" w:bidi="ar-SA"/>
        </w:rPr>
        <w:lastRenderedPageBreak/>
        <w:drawing>
          <wp:inline distT="0" distB="0" distL="0" distR="0">
            <wp:extent cx="5761355"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066540"/>
                    </a:xfrm>
                    <a:prstGeom prst="rect">
                      <a:avLst/>
                    </a:prstGeom>
                    <a:noFill/>
                  </pic:spPr>
                </pic:pic>
              </a:graphicData>
            </a:graphic>
          </wp:inline>
        </w:drawing>
      </w:r>
    </w:p>
    <w:p>
      <w:pPr>
        <w:ind w:left="8640"/>
        <w:rPr>
          <w:noProof/>
          <w:szCs w:val="24"/>
        </w:rPr>
      </w:pPr>
      <w:r>
        <w:rPr>
          <w:noProof/>
        </w:rPr>
        <w:t>“</w:t>
      </w:r>
    </w:p>
    <w:p>
      <w:pPr>
        <w:pStyle w:val="Point0"/>
        <w:rPr>
          <w:noProof/>
        </w:rPr>
      </w:pPr>
      <w:r>
        <w:rPr>
          <w:noProof/>
        </w:rPr>
        <w:t>7.</w:t>
      </w:r>
      <w:r>
        <w:rPr>
          <w:noProof/>
        </w:rPr>
        <w:tab/>
        <w:t>В приложение III към Регламент (ЕС) 2017/127 данните относно скумрията във фарьорски води се заменят със следното:</w:t>
      </w:r>
    </w:p>
    <w:p>
      <w:pPr>
        <w:pStyle w:val="Point0"/>
        <w:rPr>
          <w:noProof/>
        </w:rPr>
      </w:pPr>
      <w:r>
        <w:rPr>
          <w:noProof/>
        </w:rPr>
        <w:t>„</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650"/>
        <w:gridCol w:w="1559"/>
        <w:gridCol w:w="1417"/>
        <w:gridCol w:w="1274"/>
        <w:gridCol w:w="1559"/>
      </w:tblGrid>
      <w:tr>
        <w:trPr>
          <w:trHeight w:val="20"/>
        </w:trPr>
        <w:tc>
          <w:tcPr>
            <w:tcW w:w="937" w:type="pct"/>
            <w:vMerge w:val="restart"/>
            <w:tcBorders>
              <w:top w:val="single" w:sz="4" w:space="0" w:color="auto"/>
            </w:tcBorders>
            <w:shd w:val="clear" w:color="auto" w:fill="auto"/>
          </w:tcPr>
          <w:p>
            <w:pPr>
              <w:pageBreakBefore/>
              <w:spacing w:before="100" w:beforeAutospacing="1" w:after="100" w:afterAutospacing="1"/>
              <w:jc w:val="center"/>
              <w:rPr>
                <w:noProof/>
              </w:rPr>
            </w:pPr>
            <w:r>
              <w:rPr>
                <w:noProof/>
              </w:rPr>
              <w:lastRenderedPageBreak/>
              <w:t>Фарьорски води</w:t>
            </w:r>
          </w:p>
        </w:tc>
        <w:tc>
          <w:tcPr>
            <w:tcW w:w="899" w:type="pct"/>
            <w:vMerge w:val="restart"/>
            <w:tcBorders>
              <w:top w:val="single" w:sz="4" w:space="0" w:color="auto"/>
            </w:tcBorders>
            <w:shd w:val="clear" w:color="auto" w:fill="auto"/>
          </w:tcPr>
          <w:p>
            <w:pPr>
              <w:spacing w:before="100" w:beforeAutospacing="1" w:after="100" w:afterAutospacing="1"/>
              <w:jc w:val="center"/>
              <w:rPr>
                <w:noProof/>
              </w:rPr>
            </w:pPr>
            <w:r>
              <w:rPr>
                <w:noProof/>
              </w:rPr>
              <w:t>Скумрия</w:t>
            </w:r>
          </w:p>
        </w:tc>
        <w:tc>
          <w:tcPr>
            <w:tcW w:w="849" w:type="pct"/>
            <w:vMerge w:val="restart"/>
            <w:shd w:val="clear" w:color="auto" w:fill="auto"/>
          </w:tcPr>
          <w:p>
            <w:pPr>
              <w:spacing w:before="100" w:beforeAutospacing="1" w:after="100" w:afterAutospacing="1"/>
              <w:jc w:val="center"/>
              <w:rPr>
                <w:noProof/>
              </w:rPr>
            </w:pPr>
            <w:r>
              <w:rPr>
                <w:noProof/>
              </w:rPr>
              <w:t>20</w:t>
            </w:r>
          </w:p>
        </w:tc>
        <w:tc>
          <w:tcPr>
            <w:tcW w:w="772" w:type="pct"/>
            <w:shd w:val="clear" w:color="auto" w:fill="auto"/>
          </w:tcPr>
          <w:p>
            <w:pPr>
              <w:spacing w:before="100" w:beforeAutospacing="1" w:after="100" w:afterAutospacing="1"/>
              <w:rPr>
                <w:noProof/>
              </w:rPr>
            </w:pPr>
            <w:r>
              <w:rPr>
                <w:noProof/>
              </w:rPr>
              <w:t>DK</w:t>
            </w:r>
          </w:p>
        </w:tc>
        <w:tc>
          <w:tcPr>
            <w:tcW w:w="694" w:type="pct"/>
            <w:shd w:val="clear" w:color="auto" w:fill="auto"/>
          </w:tcPr>
          <w:p>
            <w:pPr>
              <w:spacing w:before="100" w:beforeAutospacing="1" w:after="100" w:afterAutospacing="1"/>
              <w:jc w:val="center"/>
              <w:rPr>
                <w:noProof/>
              </w:rPr>
            </w:pPr>
            <w:r>
              <w:rPr>
                <w:noProof/>
              </w:rPr>
              <w:t>pm</w:t>
            </w:r>
          </w:p>
        </w:tc>
        <w:tc>
          <w:tcPr>
            <w:tcW w:w="849" w:type="pct"/>
            <w:vMerge w:val="restart"/>
            <w:shd w:val="clear" w:color="auto" w:fill="auto"/>
          </w:tcPr>
          <w:p>
            <w:pPr>
              <w:spacing w:before="100" w:beforeAutospacing="1" w:after="100" w:afterAutospacing="1"/>
              <w:jc w:val="center"/>
              <w:rPr>
                <w:noProof/>
              </w:rPr>
            </w:pPr>
            <w:r>
              <w:rPr>
                <w:noProof/>
              </w:rPr>
              <w:t>14</w:t>
            </w: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BE</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 xml:space="preserve">DE </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FR</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IE</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NL</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shd w:val="clear" w:color="auto" w:fill="auto"/>
          </w:tcPr>
          <w:p>
            <w:pPr>
              <w:spacing w:before="100" w:beforeAutospacing="1" w:after="100" w:afterAutospacing="1"/>
              <w:rPr>
                <w:noProof/>
              </w:rPr>
            </w:pPr>
          </w:p>
        </w:tc>
        <w:tc>
          <w:tcPr>
            <w:tcW w:w="899" w:type="pct"/>
            <w:vMerge/>
            <w:shd w:val="clear" w:color="auto" w:fill="auto"/>
          </w:tcPr>
          <w:p>
            <w:pPr>
              <w:spacing w:before="100" w:beforeAutospacing="1" w:after="100" w:afterAutospacing="1"/>
              <w:rPr>
                <w:noProof/>
              </w:rPr>
            </w:pPr>
          </w:p>
        </w:tc>
        <w:tc>
          <w:tcPr>
            <w:tcW w:w="849" w:type="pct"/>
            <w:vMerge/>
            <w:shd w:val="clear" w:color="auto" w:fill="auto"/>
          </w:tcPr>
          <w:p>
            <w:pPr>
              <w:spacing w:before="100" w:beforeAutospacing="1" w:after="100" w:afterAutospacing="1"/>
              <w:rPr>
                <w:noProof/>
              </w:rPr>
            </w:pPr>
          </w:p>
        </w:tc>
        <w:tc>
          <w:tcPr>
            <w:tcW w:w="772" w:type="pct"/>
            <w:shd w:val="clear" w:color="auto" w:fill="auto"/>
          </w:tcPr>
          <w:p>
            <w:pPr>
              <w:spacing w:before="100" w:beforeAutospacing="1" w:after="100" w:afterAutospacing="1"/>
              <w:rPr>
                <w:noProof/>
              </w:rPr>
            </w:pPr>
            <w:r>
              <w:rPr>
                <w:noProof/>
              </w:rPr>
              <w:t>SE</w:t>
            </w:r>
          </w:p>
        </w:tc>
        <w:tc>
          <w:tcPr>
            <w:tcW w:w="694" w:type="pct"/>
            <w:shd w:val="clear" w:color="auto" w:fill="auto"/>
          </w:tcPr>
          <w:p>
            <w:pPr>
              <w:spacing w:before="100" w:beforeAutospacing="1" w:after="100" w:afterAutospacing="1"/>
              <w:jc w:val="center"/>
              <w:rPr>
                <w:noProof/>
              </w:rPr>
            </w:pPr>
            <w:r>
              <w:rPr>
                <w:noProof/>
              </w:rPr>
              <w:t>pm</w:t>
            </w:r>
          </w:p>
        </w:tc>
        <w:tc>
          <w:tcPr>
            <w:tcW w:w="849" w:type="pct"/>
            <w:vMerge/>
            <w:shd w:val="clear" w:color="auto" w:fill="auto"/>
          </w:tcPr>
          <w:p>
            <w:pPr>
              <w:spacing w:before="100" w:beforeAutospacing="1" w:after="100" w:afterAutospacing="1"/>
              <w:rPr>
                <w:noProof/>
              </w:rPr>
            </w:pPr>
          </w:p>
        </w:tc>
      </w:tr>
      <w:tr>
        <w:trPr>
          <w:trHeight w:val="20"/>
        </w:trPr>
        <w:tc>
          <w:tcPr>
            <w:tcW w:w="937" w:type="pct"/>
            <w:vMerge/>
            <w:tcBorders>
              <w:bottom w:val="single" w:sz="4" w:space="0" w:color="auto"/>
            </w:tcBorders>
            <w:shd w:val="clear" w:color="auto" w:fill="auto"/>
          </w:tcPr>
          <w:p>
            <w:pPr>
              <w:spacing w:before="100" w:beforeAutospacing="1" w:after="100" w:afterAutospacing="1"/>
              <w:rPr>
                <w:noProof/>
              </w:rPr>
            </w:pPr>
          </w:p>
        </w:tc>
        <w:tc>
          <w:tcPr>
            <w:tcW w:w="899" w:type="pct"/>
            <w:vMerge/>
            <w:tcBorders>
              <w:bottom w:val="single" w:sz="4" w:space="0" w:color="auto"/>
            </w:tcBorders>
            <w:shd w:val="clear" w:color="auto" w:fill="auto"/>
          </w:tcPr>
          <w:p>
            <w:pPr>
              <w:spacing w:before="100" w:beforeAutospacing="1" w:after="100" w:afterAutospacing="1"/>
              <w:rPr>
                <w:noProof/>
              </w:rPr>
            </w:pPr>
          </w:p>
        </w:tc>
        <w:tc>
          <w:tcPr>
            <w:tcW w:w="849" w:type="pct"/>
            <w:vMerge/>
            <w:tcBorders>
              <w:bottom w:val="single" w:sz="4" w:space="0" w:color="auto"/>
            </w:tcBorders>
            <w:shd w:val="clear" w:color="auto" w:fill="auto"/>
          </w:tcPr>
          <w:p>
            <w:pPr>
              <w:spacing w:before="100" w:beforeAutospacing="1" w:after="100" w:afterAutospacing="1"/>
              <w:rPr>
                <w:noProof/>
              </w:rPr>
            </w:pPr>
          </w:p>
        </w:tc>
        <w:tc>
          <w:tcPr>
            <w:tcW w:w="772" w:type="pct"/>
            <w:tcBorders>
              <w:bottom w:val="single" w:sz="4" w:space="0" w:color="auto"/>
            </w:tcBorders>
            <w:shd w:val="clear" w:color="auto" w:fill="auto"/>
          </w:tcPr>
          <w:p>
            <w:pPr>
              <w:spacing w:before="100" w:beforeAutospacing="1" w:after="100" w:afterAutospacing="1"/>
              <w:rPr>
                <w:noProof/>
              </w:rPr>
            </w:pPr>
            <w:r>
              <w:rPr>
                <w:noProof/>
              </w:rPr>
              <w:t>UK</w:t>
            </w:r>
          </w:p>
        </w:tc>
        <w:tc>
          <w:tcPr>
            <w:tcW w:w="694" w:type="pct"/>
            <w:tcBorders>
              <w:bottom w:val="single" w:sz="4" w:space="0" w:color="auto"/>
            </w:tcBorders>
            <w:shd w:val="clear" w:color="auto" w:fill="auto"/>
          </w:tcPr>
          <w:p>
            <w:pPr>
              <w:spacing w:before="100" w:beforeAutospacing="1" w:after="100" w:afterAutospacing="1"/>
              <w:jc w:val="center"/>
              <w:rPr>
                <w:noProof/>
              </w:rPr>
            </w:pPr>
            <w:r>
              <w:rPr>
                <w:noProof/>
              </w:rPr>
              <w:t>pm</w:t>
            </w:r>
          </w:p>
        </w:tc>
        <w:tc>
          <w:tcPr>
            <w:tcW w:w="849" w:type="pct"/>
            <w:vMerge/>
            <w:tcBorders>
              <w:bottom w:val="single" w:sz="4" w:space="0" w:color="auto"/>
            </w:tcBorders>
            <w:shd w:val="clear" w:color="auto" w:fill="auto"/>
          </w:tcPr>
          <w:p>
            <w:pPr>
              <w:spacing w:before="100" w:beforeAutospacing="1" w:after="100" w:afterAutospacing="1"/>
              <w:rPr>
                <w:noProof/>
              </w:rPr>
            </w:pPr>
          </w:p>
        </w:tc>
      </w:tr>
    </w:tbl>
    <w:p>
      <w:pPr>
        <w:pStyle w:val="Point0"/>
        <w:ind w:left="8640" w:firstLine="0"/>
        <w:rPr>
          <w:noProof/>
        </w:rPr>
      </w:pPr>
      <w:r>
        <w:rPr>
          <w:noProof/>
        </w:rPr>
        <w:t>“</w:t>
      </w:r>
    </w:p>
    <w:p>
      <w:pPr>
        <w:pStyle w:val="Point0"/>
        <w:rPr>
          <w:noProof/>
        </w:rPr>
      </w:pPr>
      <w:r>
        <w:rPr>
          <w:noProof/>
        </w:rPr>
        <w:t>8.</w:t>
      </w:r>
      <w:r>
        <w:rPr>
          <w:noProof/>
        </w:rPr>
        <w:tab/>
        <w:t>В приложение VIII към Регламент (ЕС) 2017/127 данните относно скумрията и сафрида във връзка с Фарьорските острови се заменят със следното:</w:t>
      </w:r>
    </w:p>
    <w:p>
      <w:pPr>
        <w:pStyle w:val="NormalCentered"/>
        <w:jc w:val="left"/>
        <w:rPr>
          <w:noProof/>
        </w:rPr>
      </w:pPr>
      <w:r>
        <w:rPr>
          <w:noProof/>
        </w:rPr>
        <w:t>„</w:t>
      </w:r>
    </w:p>
    <w:tbl>
      <w:tblPr>
        <w:tblW w:w="5000" w:type="pct"/>
        <w:tblLook w:val="0000" w:firstRow="0" w:lastRow="0" w:firstColumn="0" w:lastColumn="0" w:noHBand="0" w:noVBand="0"/>
      </w:tblPr>
      <w:tblGrid>
        <w:gridCol w:w="1486"/>
        <w:gridCol w:w="3649"/>
        <w:gridCol w:w="2071"/>
        <w:gridCol w:w="2083"/>
      </w:tblGrid>
      <w:tr>
        <w:trPr>
          <w:cantSplit/>
          <w:tblHeader/>
        </w:trPr>
        <w:tc>
          <w:tcPr>
            <w:tcW w:w="800" w:type="pct"/>
            <w:vMerge w:val="restart"/>
            <w:tcBorders>
              <w:top w:val="single" w:sz="4" w:space="0" w:color="000000"/>
              <w:left w:val="single" w:sz="4" w:space="0" w:color="000000"/>
            </w:tcBorders>
            <w:shd w:val="clear" w:color="auto" w:fill="auto"/>
          </w:tcPr>
          <w:p>
            <w:pPr>
              <w:keepNext/>
              <w:keepLines/>
              <w:spacing w:before="60" w:after="60"/>
              <w:jc w:val="left"/>
              <w:rPr>
                <w:noProof/>
              </w:rPr>
            </w:pPr>
            <w:r>
              <w:rPr>
                <w:noProof/>
              </w:rPr>
              <w:t>Фарьорски острови</w:t>
            </w:r>
          </w:p>
        </w:tc>
        <w:tc>
          <w:tcPr>
            <w:tcW w:w="1964" w:type="pct"/>
            <w:tcBorders>
              <w:top w:val="single" w:sz="4" w:space="0" w:color="000000"/>
              <w:left w:val="single" w:sz="4" w:space="0" w:color="000000"/>
              <w:bottom w:val="single" w:sz="4" w:space="0" w:color="000000"/>
            </w:tcBorders>
            <w:shd w:val="clear" w:color="auto" w:fill="auto"/>
            <w:vAlign w:val="center"/>
          </w:tcPr>
          <w:p>
            <w:pPr>
              <w:keepNext/>
              <w:keepLines/>
              <w:spacing w:before="60" w:after="60"/>
              <w:rPr>
                <w:noProof/>
              </w:rPr>
            </w:pPr>
            <w:r>
              <w:rPr>
                <w:noProof/>
              </w:rPr>
              <w:t>Скумрия, VIa (на север от 56° 30′ с.ш.), IIa, IVa (на север от 59° с.ш.)</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jc w:val="center"/>
              <w:rPr>
                <w:noProof/>
              </w:rPr>
            </w:pPr>
            <w:r>
              <w:rPr>
                <w:noProof/>
              </w:rPr>
              <w:t>20</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jc w:val="center"/>
              <w:rPr>
                <w:noProof/>
              </w:rPr>
            </w:pPr>
            <w:r>
              <w:rPr>
                <w:noProof/>
              </w:rPr>
              <w:t>14</w:t>
            </w:r>
          </w:p>
        </w:tc>
      </w:tr>
      <w:tr>
        <w:trPr>
          <w:cantSplit/>
          <w:tblHeader/>
        </w:trPr>
        <w:tc>
          <w:tcPr>
            <w:tcW w:w="800" w:type="pct"/>
            <w:vMerge/>
            <w:tcBorders>
              <w:left w:val="single" w:sz="4" w:space="0" w:color="000000"/>
              <w:bottom w:val="single" w:sz="4" w:space="0" w:color="000000"/>
            </w:tcBorders>
            <w:shd w:val="clear" w:color="auto" w:fill="auto"/>
          </w:tcPr>
          <w:p>
            <w:pPr>
              <w:keepNext/>
              <w:keepLines/>
              <w:spacing w:before="60" w:after="60"/>
              <w:rPr>
                <w:noProof/>
              </w:rPr>
            </w:pPr>
          </w:p>
        </w:tc>
        <w:tc>
          <w:tcPr>
            <w:tcW w:w="1964" w:type="pct"/>
            <w:tcBorders>
              <w:top w:val="single" w:sz="4" w:space="0" w:color="000000"/>
              <w:left w:val="single" w:sz="4" w:space="0" w:color="000000"/>
              <w:bottom w:val="single" w:sz="4" w:space="0" w:color="000000"/>
            </w:tcBorders>
            <w:shd w:val="clear" w:color="auto" w:fill="auto"/>
          </w:tcPr>
          <w:p>
            <w:pPr>
              <w:keepNext/>
              <w:keepLines/>
              <w:spacing w:before="60" w:after="60"/>
              <w:rPr>
                <w:noProof/>
              </w:rPr>
            </w:pPr>
            <w:r>
              <w:rPr>
                <w:noProof/>
              </w:rPr>
              <w:t>Сафрид, IV, VIa (на север от 56° 30′ с.ш.), VIIe, VIIf, VIIh</w:t>
            </w:r>
          </w:p>
        </w:tc>
        <w:tc>
          <w:tcPr>
            <w:tcW w:w="1115" w:type="pct"/>
            <w:tcBorders>
              <w:top w:val="single" w:sz="4" w:space="0" w:color="000000"/>
              <w:left w:val="single" w:sz="4" w:space="0" w:color="000000"/>
              <w:bottom w:val="single" w:sz="4" w:space="0" w:color="000000"/>
            </w:tcBorders>
            <w:shd w:val="clear" w:color="auto" w:fill="auto"/>
          </w:tcPr>
          <w:p>
            <w:pPr>
              <w:keepNext/>
              <w:keepLines/>
              <w:spacing w:before="60" w:after="60"/>
              <w:jc w:val="center"/>
              <w:rPr>
                <w:noProof/>
              </w:rPr>
            </w:pPr>
            <w:r>
              <w:rPr>
                <w:noProof/>
              </w:rPr>
              <w:t>14</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keepNext/>
              <w:keepLines/>
              <w:spacing w:before="60" w:after="60"/>
              <w:jc w:val="center"/>
              <w:rPr>
                <w:noProof/>
              </w:rPr>
            </w:pPr>
            <w:r>
              <w:rPr>
                <w:noProof/>
              </w:rPr>
              <w:t>14</w:t>
            </w:r>
          </w:p>
        </w:tc>
      </w:tr>
    </w:tbl>
    <w:p>
      <w:pPr>
        <w:jc w:val="right"/>
        <w:rPr>
          <w:noProof/>
        </w:rPr>
      </w:pPr>
      <w:r>
        <w:rPr>
          <w:noProof/>
        </w:rPr>
        <w:t>“</w:t>
      </w:r>
    </w:p>
    <w:p>
      <w:pPr>
        <w:pStyle w:val="Lignefinal"/>
        <w:ind w:left="3402"/>
        <w:jc w:val="right"/>
        <w:rPr>
          <w:b w:val="0"/>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3EDF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4435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90B0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721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926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0B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57ACFC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10 13:45: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8674B0538E2F45C4B8B076F92D2599F0"/>
    <w:docVar w:name="LW_CROSSREFERENCE" w:val="&lt;UNUSED&gt;"/>
    <w:docVar w:name="LW_DocType" w:val="ANNEX"/>
    <w:docVar w:name="LW_EMISSION" w:val="14.3.2017"/>
    <w:docVar w:name="LW_EMISSION_ISODATE" w:val="2017-03-1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126"/>
    <w:docVar w:name="LW_REF.INTERNE" w:val="&lt;UNUSED&gt;"/>
    <w:docVar w:name="LW_SUPERTITRE" w:val="&lt;UNUSED&gt;"/>
    <w:docVar w:name="LW_TITRE.OBJ.CP" w:val="\u1082?\u1098?\u1084?_x000b_\u1055?\u1088?\u1077?\u1076?\u1083?\u1086?\u1078?\u1077?\u1085?\u1080?\u1077? \u1079?\u1072? \u1056?\u1045?\u1043?\u1051?\u1040?\u1052?\u1045?\u1053?\u1058? \u1053?\u1040? \u1057?\u1066?\u1042?\u1045?\u1058?\u1040?_x000b_\u1079?\u1072? \u1080?\u1079?\u1084?\u1077?\u1085?\u1077?\u1085?\u1080?\u1077? \u1085?\u1072? \u1056?\u1077?\u1075?\u1083?\u1072?\u1084?\u1077?\u1085?\u1090? (\u1045?\u1057?) 2017/127 \u1087?\u1086? \u1086?\u1090?\u1085?\u1086?\u1096?\u1077?\u1085?\u1080?\u1077? \u1085?\u1072? \u1085?\u1103?\u1082?\u1086?\u1080? \u1074?\u1098?\u1079?\u1084?\u1086?\u1078?\u1085?\u1086?\u1089?\u1090?\u1080? \u1079?\u1072? \u1088?\u1080?\u1073?\u1086?\u1083?\u1086?\u1074?"/>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customStyle="1" w:styleId="st">
    <w:name w:val="st"/>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customStyle="1" w:styleId="st">
    <w:name w:val="st"/>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7166">
      <w:bodyDiv w:val="1"/>
      <w:marLeft w:val="0"/>
      <w:marRight w:val="0"/>
      <w:marTop w:val="0"/>
      <w:marBottom w:val="0"/>
      <w:divBdr>
        <w:top w:val="none" w:sz="0" w:space="0" w:color="auto"/>
        <w:left w:val="none" w:sz="0" w:space="0" w:color="auto"/>
        <w:bottom w:val="none" w:sz="0" w:space="0" w:color="auto"/>
        <w:right w:val="none" w:sz="0" w:space="0" w:color="auto"/>
      </w:divBdr>
    </w:div>
    <w:div w:id="477963717">
      <w:bodyDiv w:val="1"/>
      <w:marLeft w:val="0"/>
      <w:marRight w:val="0"/>
      <w:marTop w:val="0"/>
      <w:marBottom w:val="0"/>
      <w:divBdr>
        <w:top w:val="none" w:sz="0" w:space="0" w:color="auto"/>
        <w:left w:val="none" w:sz="0" w:space="0" w:color="auto"/>
        <w:bottom w:val="none" w:sz="0" w:space="0" w:color="auto"/>
        <w:right w:val="none" w:sz="0" w:space="0" w:color="auto"/>
      </w:divBdr>
    </w:div>
    <w:div w:id="558173802">
      <w:bodyDiv w:val="1"/>
      <w:marLeft w:val="0"/>
      <w:marRight w:val="0"/>
      <w:marTop w:val="0"/>
      <w:marBottom w:val="0"/>
      <w:divBdr>
        <w:top w:val="none" w:sz="0" w:space="0" w:color="auto"/>
        <w:left w:val="none" w:sz="0" w:space="0" w:color="auto"/>
        <w:bottom w:val="none" w:sz="0" w:space="0" w:color="auto"/>
        <w:right w:val="none" w:sz="0" w:space="0" w:color="auto"/>
      </w:divBdr>
    </w:div>
    <w:div w:id="18468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7FBD-F2E8-424A-90EB-45AEB124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1273</Words>
  <Characters>5911</Characters>
  <Application>Microsoft Office Word</Application>
  <DocSecurity>0</DocSecurity>
  <Lines>492</Lines>
  <Paragraphs>287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cp:lastPrinted>2017-02-27T10:09:00Z</cp:lastPrinted>
  <dcterms:created xsi:type="dcterms:W3CDTF">2017-03-09T13:51:00Z</dcterms:created>
  <dcterms:modified xsi:type="dcterms:W3CDTF">2017-03-10T12:45:00Z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