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2F1C691B068457EA47C5344D4678047" style="width:450.45pt;height:393.4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 Регламент (ЕС) 2015/2192 на Съвета между държавите членки се разпределят възможностите за риболов, определени в прилагания между 2015 г. и 2019 г. протокол към Споразумението за партньорство в областта на рибарството между Европейския съюз и Мавритания.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 време на проведеното на 15 и 16 ноември 2016 г. в Нуакшот заседание на съвместния комитет, създаден съгласно член 10 от споразумението за партньорство, бе взето решение за предоставяне — в рамките на наличния остатък — на нови възможности за риболов на хладилните траулери на ЕС, извършващи улов на черна мерлуза като основен целеви вид (3500 тона), както и на калмари (1450 тона) и сепия (600 тона) като вторични целеви видове.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Целта на предложението е тези нови възможности за риболов да бъдат разпределени между държавите членки.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е изцяло съобразено с принципа на устойчива експлоатация на рибните ресурси и морските екосистеми и с протокола, в който се предвижда, че въз основа на наличните научни становища двете страни могат да постигнат съгласие в съвместния комитет относно разпределянето на възможностите за риболов за хладилните траулери за риболов на дънни видове, за които се е получил остатък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също така е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Съответствие с политиките на Съюза в други области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Преговорите във връзка с възможностите за риболов в рамките на Споразумението за партньорство в областта на рибарството с Мавритания са в съответствие с външната дейност на ЕС, насочена към държавите от Африка, Карибите и Тихоокеанския басейн.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Макар и в ограничен локален мащаб посоченото споразумение допълва подхода, основан на новата рамка за партньорство в областта на миграцията, като активизирането на икономическата дейност в сектора на рибарството допринася за отстраняване на причините за емиграцията от Мавритания.</w:t>
      </w:r>
    </w:p>
    <w:p>
      <w:pPr>
        <w:pStyle w:val="ManualHeading1"/>
        <w:rPr>
          <w:noProof/>
        </w:rPr>
      </w:pPr>
      <w:r>
        <w:rPr>
          <w:noProof/>
        </w:rPr>
        <w:t xml:space="preserve"> 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на регламента е член 43, параграф 3 от Договора за функционирането на Европейския съюз, в който се установява процедурата за определяне и разпределяне на възможностите за риболов.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 — изключителна компетентност.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пропорционално на целта.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обосновката във връзка с правното основание.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През януари 2014 г. бе извършена предварителна и последваща оценка на предишния протокол</w:t>
      </w:r>
      <w:r>
        <w:rPr>
          <w:rStyle w:val="FootnoteReference"/>
          <w:noProof/>
        </w:rPr>
        <w:footnoteReference w:id="2"/>
      </w:r>
      <w:r>
        <w:rPr>
          <w:noProof/>
        </w:rPr>
        <w:t>, прилаган от 2012 г. до 2014 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Консултации със заинтересованите страни бяха извършени в рамките на оценката на протокола, прилаган от 2012 г. до 2014 г. Бяха проведени технически заседания, по време на които бяха събрани становищата на експерти от държавите членки и представители на сектора в ЕС. В резултат на тези консултации бе формулирано заключението, че съществува силен интерес към риболова в рамките на наличния остатък на черна мерлуза, калмари и сепия в Мавритания от страна на хладилни траулери на 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 време на заседанието на съвместния комитет, проведено на 15 и 16 ноември 2016 г. в Нуакшот, мавританската страна потвърди готовността си да предостави на Европейския съюз достъп до наличния остатък.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експертен опит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От 5 до 7 септември 2016 г. в Нуакшот се проведе петото годишно заседание на Независимия съвместен научен комитет, който бе създаден съгласно член 4 от протокола и в който членуват учени от двете страни. Докладът от това заседание е публикуван на интернет страницата на генерална дирекция „Морско дело и рибарство“.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Комитетът взе под внимание наличните научни оценки, и по-специално тези на Комитета по риболова в централната източна част на Атлантическия океан (CECAF) и на Института за океанографски изследвания и рибарство на Мавритания. Въз основа на тези оценки комитетът установи наличието на излишък от 3550 тона черна мерлуза, 1450 тона калмари и 600 тона сепия.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член 9, параграф 1, буква в) от протокола се предвижда възможност за временно прекратяване на прилагането на протокола в случай на задействане на механизмите за консултации, предвидени в член 96 от Споразумението от Котону, във връзка с нарушение на съществени и основни елементи на правата на човека, определени в член 9 от това споразумение.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Годишното финансово участие за новата категория риболов е определено на 2 500 000 EUR. Годишното финансово участие във връзка с достъпа, посочено в член 2, параграф 1 от протокола, съответно се увеличава от 55 000 000 EUR на 57 500 000 EUR.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2017/0053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изменение на Регламент (ЕС) 2015/2192 относно разпределянето на възможностите за риболов съгласно протокола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Европейския съюз и Ислямска република Мавритания 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30 ноември 2006 г. Съветът прие Регламент (ЕО) № 1801/2006 относно сключването на Споразумението за партньорство в областта на рибарството между Европейската общност и Ислямска република Мавритания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(„споразумението за партньорство“).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На 24 май 2016 г. Съветът прие Решение (ЕС) 2016/870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относно сключването, от името на Европейския съюз, на протокола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(„протокола“)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 Регламент (ЕС) 2015/2192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между държавите членки се разпределят възможностите за риболов, определени в протокола.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становището на независимия Съвместен научен комитет, създаден съгласно член 4 от протокола, се посочва наличието на остатък от черна мерлуза и се взема под внимание научното становище от 2014 г. на Института за океанографски изследвания и рибарство на Мавритания, потвърждаващо наличието на остатък от калмари и сепия.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своето заседание, проведено на 15 и 16 ноември 2016 г. в Нуакшот, съвместният комитет, създаден съгласно член 10 от споразумението за партньорство, реши — в съответствие с член 6, параграф 1, буква а) от протокола — да изменени протокола чрез въвеждане на нови възможности за риболов в рамките на наличния остатък за хладилните траулери, извършващи улов на черна мерлуза като основен целеви вид и на калмари и сепия като вторични целеви видове.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новите възможности за риболов да се разпределят между държавите членки за оставащата част от периода на прилагане на протокола.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Тъй като въвеждането на нови възможности за риболов оказва влияние върху икономическите дейности на корабите на Съюза и планирането на риболовните сезони, настоящият регламент следва да влезе в сила незабавно след публикуването му.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Регламент (ЕС) 2015/2192 следва да бъде съответно изменен,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 1, параграф 1 от Регламент (ЕС) 2015/2192 се добавя следната буква з):</w:t>
      </w:r>
    </w:p>
    <w:p>
      <w:pPr>
        <w:rPr>
          <w:noProof/>
        </w:rPr>
      </w:pPr>
      <w:r>
        <w:rPr>
          <w:noProof/>
        </w:rPr>
        <w:t xml:space="preserve">„з) </w:t>
      </w:r>
      <w:r>
        <w:rPr>
          <w:noProof/>
        </w:rPr>
        <w:tab/>
        <w:t>Категория 2а — Траулери (хладилни) за черна мерлуза:</w:t>
      </w:r>
    </w:p>
    <w:p>
      <w:pPr>
        <w:rPr>
          <w:noProof/>
        </w:rPr>
      </w:pPr>
      <w:r>
        <w:rPr>
          <w:noProof/>
        </w:rPr>
        <w:t>Испания</w:t>
      </w:r>
      <w:r>
        <w:rPr>
          <w:noProof/>
        </w:rPr>
        <w:tab/>
      </w:r>
      <w:r>
        <w:rPr>
          <w:noProof/>
        </w:rPr>
        <w:tab/>
        <w:t xml:space="preserve">Черна мерлуза </w:t>
      </w:r>
      <w:r>
        <w:rPr>
          <w:noProof/>
        </w:rPr>
        <w:tab/>
        <w:t>3500 тона</w:t>
      </w:r>
    </w:p>
    <w:p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Калмари</w:t>
      </w:r>
      <w:r>
        <w:rPr>
          <w:noProof/>
        </w:rPr>
        <w:tab/>
      </w:r>
      <w:r>
        <w:rPr>
          <w:noProof/>
        </w:rPr>
        <w:tab/>
        <w:t>1450 тона</w:t>
      </w:r>
    </w:p>
    <w:p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Сепия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ru-RU"/>
        </w:rPr>
        <w:t xml:space="preserve"> </w:t>
      </w:r>
      <w:r>
        <w:rPr>
          <w:noProof/>
        </w:rPr>
        <w:t>600 тона</w:t>
      </w:r>
    </w:p>
    <w:p>
      <w:pPr>
        <w:rPr>
          <w:noProof/>
        </w:rPr>
      </w:pPr>
      <w:r>
        <w:rPr>
          <w:noProof/>
        </w:rPr>
        <w:t xml:space="preserve">В тази категория могат да бъдат разположени до 6 кораба едновременно във водите на Мавритания.“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r>
        <w:rPr>
          <w:noProof/>
        </w:rPr>
        <w:t>ЗАКОНОДАТЕЛНА ФИНАНСОВА ОБОСНОВКА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РАМКА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Наименование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Съответни области на политиката в структурата на УД/БД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Естество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Цели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Мотиви за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 xml:space="preserve">Срок на действие и финансово отражение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1.7.</w:t>
      </w:r>
      <w:r>
        <w:rPr>
          <w:noProof/>
        </w:rPr>
        <w:tab/>
      </w:r>
      <w:r>
        <w:rPr>
          <w:b w:val="0"/>
          <w:noProof/>
        </w:rPr>
        <w:t xml:space="preserve">Предвидени методи на управление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Правила за мониторинг и докладване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 xml:space="preserve">Система за управление и контрол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 xml:space="preserve">Мерки за предотвратяване на измами и нередности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ОЧАКВАНО ФИНАНСОВО ОТРАЖЕНИЕ НА ПРЕДЛОЖЕНИЕТО / 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Очаквано отражение върху разходите</w:t>
      </w:r>
      <w:r>
        <w:rPr>
          <w:noProof/>
        </w:rPr>
        <w:t xml:space="preserve"> </w:t>
      </w:r>
    </w:p>
    <w:p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разходите </w:t>
      </w:r>
    </w:p>
    <w:p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 xml:space="preserve">Очаквано отражение върху бюджетните кредити за оперативни разходи </w:t>
      </w:r>
    </w:p>
    <w:p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Очаквано отражение върху бюджетните кредити за административни разходи</w:t>
      </w:r>
    </w:p>
    <w:p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Участие на трети страни във финансирането </w:t>
      </w:r>
    </w:p>
    <w:p>
      <w:pPr>
        <w:pStyle w:val="ManualHeading2"/>
        <w:jc w:val="left"/>
        <w:rPr>
          <w:b w:val="0"/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Очаквано отражение върху приходите</w:t>
      </w:r>
    </w:p>
    <w:p>
      <w:pPr>
        <w:jc w:val="center"/>
        <w:rPr>
          <w:noProof/>
        </w:rPr>
      </w:pPr>
      <w:r>
        <w:rPr>
          <w:b/>
          <w:noProof/>
          <w:u w:val="single"/>
        </w:rPr>
        <w:t>ЗАКОНОДАТЕЛНА ФИНАНСОВА ОБОСНОВКА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РАМКА НА ПРЕДЛОЖЕНИЕТО/ИНИЦИАТИВАТА 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Наименование на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Предложение за Регламент на Съвета за изменение на Регламент (ЕС) 2015/2192 относно разпределянето на възможностите за риболов съгласно протокола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Европейския съюз и Ислямска република Мавритания</w:t>
      </w:r>
    </w:p>
    <w:p>
      <w:pPr>
        <w:pStyle w:val="ManualHeading2"/>
        <w:rPr>
          <w:noProof/>
          <w:szCs w:val="24"/>
        </w:rPr>
      </w:pPr>
      <w:r>
        <w:t>1.2.</w:t>
      </w:r>
      <w:r>
        <w:tab/>
      </w:r>
      <w:r>
        <w:rPr>
          <w:noProof/>
        </w:rPr>
        <w:t>Съответни области на политиката в структурата на УД/БД</w:t>
      </w:r>
      <w:r>
        <w:rPr>
          <w:rStyle w:val="FootnoteReference"/>
          <w:noProof/>
        </w:rPr>
        <w:footnoteReference w:id="7"/>
      </w:r>
      <w:r>
        <w:rPr>
          <w:i/>
          <w:noProof/>
        </w:rPr>
        <w:t xml:space="preserve">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11. — Морско дело и рибарство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11.03 — Задължителни вноски в регионалните организации за управление на рибарството и в други международни организации и споразумения за устойчиво рибарство</w:t>
      </w:r>
    </w:p>
    <w:p>
      <w:pPr>
        <w:pStyle w:val="ManualHeading2"/>
        <w:rPr>
          <w:bCs/>
          <w:noProof/>
          <w:szCs w:val="24"/>
        </w:rPr>
      </w:pPr>
      <w:r>
        <w:t>1.3.</w:t>
      </w:r>
      <w:r>
        <w:tab/>
      </w:r>
      <w:r>
        <w:rPr>
          <w:noProof/>
        </w:rPr>
        <w:t xml:space="preserve">Естество на предложението/инициативата </w:t>
      </w:r>
    </w:p>
    <w:p>
      <w:pPr>
        <w:pStyle w:val="Text1"/>
        <w:rPr>
          <w:b/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b/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нова дейност</w:t>
      </w:r>
      <w:r>
        <w:rPr>
          <w:b/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нова дейност след пилотен проект/подготвителна дейност</w:t>
      </w:r>
      <w:r>
        <w:rPr>
          <w:rStyle w:val="FootnoteReference"/>
          <w:b/>
          <w:noProof/>
        </w:rPr>
        <w:footnoteReference w:id="8"/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b/>
          <w:noProof/>
          <w:sz w:val="22"/>
        </w:rPr>
        <w:t>X</w:t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продължаване на съществуваща дейност</w:t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дейност, пренасочена към нова дейност</w:t>
      </w:r>
      <w:r>
        <w:rPr>
          <w:noProof/>
        </w:rPr>
        <w:t xml:space="preserve"> </w:t>
      </w:r>
    </w:p>
    <w:p>
      <w:pPr>
        <w:pStyle w:val="ManualHeading2"/>
        <w:rPr>
          <w:bCs/>
          <w:noProof/>
          <w:szCs w:val="24"/>
        </w:rPr>
      </w:pPr>
      <w:r>
        <w:t>1.4.</w:t>
      </w:r>
      <w:r>
        <w:tab/>
      </w:r>
      <w:r>
        <w:rPr>
          <w:noProof/>
        </w:rPr>
        <w:t>Цел(и)</w:t>
      </w:r>
    </w:p>
    <w:p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Договарянето и сключването на споразумения в областта на устойчивото рибарство (СПОУР) с трети държави отговаря на общата цел за осигуряване на достъп на риболовните кораби на ЕС до риболовни зони, разположени в изключителните икономически зони на трети държави, и за развиване на партньорство с тези държави с оглед засилване на устойчивото използване на рибните ресурси извън водите на ЕС.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СПОУР осигуряват също така съгласуваност между принципите, уреждащи общата политика в областта на рибарството, и ангажиментите, залегнали в други европейски политики (устойчива експлоатация на ресурсите на трети държави, борба срещу незаконния, недеклариран и нерегулиран риболов, интегриране на държавите партньори в световната икономика, както и по-добро политическо и финансово управление на рибарството).</w:t>
      </w:r>
    </w:p>
    <w:p>
      <w:pPr>
        <w:pStyle w:val="ManualHeading3"/>
        <w:rPr>
          <w:bCs/>
          <w:noProof/>
          <w:szCs w:val="24"/>
        </w:rPr>
      </w:pPr>
      <w:r>
        <w:t>1.4.2.</w:t>
      </w:r>
      <w:r>
        <w:tab/>
      </w:r>
      <w:r>
        <w:rPr>
          <w:noProof/>
        </w:rPr>
        <w:t xml:space="preserve">Конкретни цели и съответни дейности във връзка с УД/БД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Конкретни цели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Да се допринесе за устойчивия риболов извън водите на ЕС,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Съответни дейности във връзка с УД/БД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Морско дело и рибарство — установяване на рамка за управление на риболовните дейности, извършвани от риболовните кораби на Съюза във водите на трети държави (споразумения за устойчиво рибарство) (бюджетен ред 11.0301).</w:t>
      </w:r>
    </w:p>
    <w:p>
      <w:pPr>
        <w:pStyle w:val="ManualHeading3"/>
        <w:rPr>
          <w:bCs/>
          <w:noProof/>
          <w:szCs w:val="24"/>
        </w:rPr>
      </w:pPr>
      <w:r>
        <w:rPr>
          <w:noProof/>
        </w:rPr>
        <w:br w:type="page"/>
      </w:r>
      <w:r>
        <w:t>1.4.3.</w:t>
      </w:r>
      <w:r>
        <w:tab/>
      </w:r>
      <w:r>
        <w:rPr>
          <w:noProof/>
        </w:rPr>
        <w:t>Очаквани резултати и отражение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въздействието, което предложението/инициативата следва да окаже по отношение на бенефициерите/целевите групи.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Разпределянето между държавите членки на нови възможности за риболов за хладилните траулери на ЕС за черна мерлуза и някои видове главоноги (калмари и сепия) съгласно прилагания в периода 2015—2019 г. протокол към Споразумението за партньорство в областта на рибарството с Ислямска република Мавритания спомага за запазването и разширяването на възможностите за риболов за корабите на ЕС в риболовната зона на Мавритания.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Допълнителното финансово участие от 2 500 000 EUR на година, което Съюзът изплаща за тези нови риболовни възможности, би спомогнало за постигането на по-добро управление и опазване на риболовните ресурси, тъй като мавританската страна може да реши да го използва за изпълнение на националната секторна стратегия за устойчиво развитие на рибарството, в допълнение към специалното финансово участие за развитие на рибарството, което получава съгласно протокола („секторна подкрепа“).</w:t>
      </w:r>
    </w:p>
    <w:p>
      <w:pPr>
        <w:pStyle w:val="ManualHeading3"/>
        <w:rPr>
          <w:bCs/>
          <w:noProof/>
          <w:szCs w:val="24"/>
        </w:rPr>
      </w:pPr>
      <w:r>
        <w:t>1.4.4.</w:t>
      </w:r>
      <w:r>
        <w:tab/>
      </w:r>
      <w:r>
        <w:rPr>
          <w:noProof/>
        </w:rPr>
        <w:t xml:space="preserve">Показатели за резултатите и за отражението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Процент на оползотворяване на възможностите за риболов (процентен дял на годишно използваните разрешения за риболов спрямо наличните възможности съгласно протокола);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Събиране и анализиране на данните за улова и търговската стойност на споразумението;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Принос към заетостта и добавената стойност в ЕС и към стабилизиране на пазара на ЕС (заедно с други СПОУР);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Брой на техническите заседания и на заседанията на съвместния комитет.</w:t>
      </w:r>
    </w:p>
    <w:p>
      <w:pPr>
        <w:pStyle w:val="ManualHeading2"/>
        <w:rPr>
          <w:bCs/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Мотиви за предложението/инициативата </w:t>
      </w:r>
    </w:p>
    <w:p>
      <w:pPr>
        <w:pStyle w:val="ManualHeading3"/>
        <w:rPr>
          <w:noProof/>
        </w:rPr>
      </w:pPr>
      <w:r>
        <w:t>1.5.1.</w:t>
      </w:r>
      <w:r>
        <w:tab/>
      </w: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Прилаганият в периода 2015—2019 г. протокол към Споразумението за партньорство в областта на рибарството с Мавритания предвижда рамка за риболовните дейности на флота на Европейския съюз в риболовната зона на Мавритания и укрепва сътрудничеството с тази държава с цел да се насърчи развитието на устойчива политика в областта на рибарството.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протокола се предвижда, че въз основа на наличните научни становища двете страни могат да постигнат съгласие в съвместния комитет относно разпределянето на възможностите за риболов за хладилните траулери за риболов на дънни видове, за които се е получил остатък.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По време на проведеното на 15 и 16 ноември 2016 г. в Нуакшот заседание на съвместния комитет, създаден съгласно член 10 от споразумението, бе взето решение за предоставяне — в рамките на наличния остатък — на нови възможности за риболов на хладилните траулери, извършващи улов на черна мерлуза като основен целеви вид, както и на калмари и сепия като вторични целеви видове.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 настоящото решение се позволява на онези кораби на ЕС, които не са били в състояние да извършват риболов във водите на Мавритания след изключването на главоногите от обхвата на прилаганите през 2012—2014 г. и 2015—2019 г. протоколи, да възобновят риболовните си дейности в Мавритания.</w:t>
      </w:r>
    </w:p>
    <w:p>
      <w:pPr>
        <w:pStyle w:val="ManualHeading3"/>
        <w:rPr>
          <w:bCs/>
          <w:noProof/>
          <w:szCs w:val="24"/>
        </w:rPr>
      </w:pPr>
      <w:r>
        <w:t>1.5.2.</w:t>
      </w:r>
      <w:r>
        <w:tab/>
      </w:r>
      <w:r>
        <w:rPr>
          <w:noProof/>
        </w:rPr>
        <w:t>Добавена стойност от намесата на ЕС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 цел да се гарантира устойчивост на риболовните дейности клаузата за изключителни права от Споразумението за партньорство в областта на рибарството с Мавритания (член 6) предвижда, че корабите на ЕС могат да извършват риболов в Мавритания (включително по силата на частни споразумения) само ако притежават разрешения за риболов, издадени по силата на споразумението.</w:t>
      </w:r>
    </w:p>
    <w:p>
      <w:pPr>
        <w:pStyle w:val="ManualHeading3"/>
        <w:rPr>
          <w:bCs/>
          <w:noProof/>
          <w:szCs w:val="24"/>
        </w:rPr>
      </w:pPr>
      <w:r>
        <w:t>1.5.3.</w:t>
      </w:r>
      <w:r>
        <w:tab/>
      </w:r>
      <w:r>
        <w:rPr>
          <w:noProof/>
        </w:rPr>
        <w:t>Изводи от подобен опит в миналото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Въз основа на наличните научни становища и оценки двете страни определиха следните количества на разрешения улов за новата риболовна категория 2а: 3500 тона черна мерлуза, 1450 тона калмари и 600 тона сепия. В тази категория могат да бъдат разположени до 6 кораба едновременно във водите на Мавритания.</w:t>
      </w:r>
    </w:p>
    <w:p>
      <w:pPr>
        <w:pStyle w:val="ManualHeading3"/>
        <w:rPr>
          <w:bCs/>
          <w:noProof/>
          <w:szCs w:val="24"/>
        </w:rPr>
      </w:pPr>
      <w:r>
        <w:t>1.5.4.</w:t>
      </w:r>
      <w:r>
        <w:tab/>
      </w:r>
      <w:r>
        <w:rPr>
          <w:noProof/>
        </w:rPr>
        <w:t>Съгласуваност и евентуална синергия с други актове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1.6.</w:t>
      </w:r>
      <w:r>
        <w:tab/>
      </w:r>
      <w:r>
        <w:rPr>
          <w:noProof/>
        </w:rPr>
        <w:t xml:space="preserve">Срок на действие и финансово отражение </w:t>
      </w:r>
    </w:p>
    <w:p>
      <w:pPr>
        <w:pStyle w:val="Text1"/>
        <w:rPr>
          <w:noProof/>
        </w:rPr>
      </w:pPr>
      <w:r>
        <w:rPr>
          <w:b/>
          <w:noProof/>
        </w:rPr>
        <w:t>X</w:t>
      </w:r>
      <w:r>
        <w:rPr>
          <w:b/>
          <w:i/>
          <w:noProof/>
        </w:rPr>
        <w:t xml:space="preserve"> </w:t>
      </w:r>
      <w:r>
        <w:rPr>
          <w:noProof/>
        </w:rPr>
        <w:t xml:space="preserve">Предложение/инициатива с </w:t>
      </w:r>
      <w:r>
        <w:rPr>
          <w:b/>
          <w:noProof/>
        </w:rPr>
        <w:t xml:space="preserve">ограничен срок на действие </w:t>
      </w:r>
    </w:p>
    <w:p>
      <w:pPr>
        <w:pStyle w:val="ListDash2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Предложение/инициатива в сила от 2017 г. до 2019 г.</w:t>
      </w:r>
    </w:p>
    <w:p>
      <w:pPr>
        <w:pStyle w:val="ListDash2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Финансово отражение от 2017 г. до 2019 г.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noProof/>
        </w:rPr>
        <w:t xml:space="preserve">Предложение/инициатива с </w:t>
      </w:r>
      <w:r>
        <w:rPr>
          <w:b/>
          <w:noProof/>
        </w:rPr>
        <w:t>неограничен срок на действие</w:t>
      </w:r>
    </w:p>
    <w:p>
      <w:pPr>
        <w:pStyle w:val="ListDash1"/>
        <w:rPr>
          <w:noProof/>
        </w:rPr>
      </w:pPr>
      <w:r>
        <w:rPr>
          <w:noProof/>
        </w:rPr>
        <w:t>Осъществяване с период на започване на дейност от ГГГГ до ГГГГ,</w:t>
      </w:r>
    </w:p>
    <w:p>
      <w:pPr>
        <w:pStyle w:val="ListDash1"/>
        <w:rPr>
          <w:noProof/>
        </w:rPr>
      </w:pPr>
      <w:r>
        <w:rPr>
          <w:noProof/>
        </w:rPr>
        <w:t>последван от функциониране с пълен капацитет.</w:t>
      </w:r>
    </w:p>
    <w:p>
      <w:pPr>
        <w:pStyle w:val="ManualHeading2"/>
        <w:rPr>
          <w:bCs/>
          <w:noProof/>
          <w:szCs w:val="24"/>
        </w:rPr>
      </w:pPr>
      <w:r>
        <w:t>1.7.</w:t>
      </w:r>
      <w:r>
        <w:tab/>
      </w:r>
      <w:r>
        <w:rPr>
          <w:noProof/>
        </w:rPr>
        <w:t>Предвидени методи на управление</w:t>
      </w:r>
      <w:r>
        <w:rPr>
          <w:rStyle w:val="FootnoteReference"/>
          <w:noProof/>
        </w:rPr>
        <w:footnoteReference w:id="9"/>
      </w:r>
      <w:r>
        <w:rPr>
          <w:rStyle w:val="FootnoteReference"/>
          <w:noProof/>
        </w:rPr>
        <w:t xml:space="preserve"> </w:t>
      </w:r>
    </w:p>
    <w:p>
      <w:pPr>
        <w:pStyle w:val="Text1"/>
        <w:rPr>
          <w:noProof/>
        </w:rPr>
      </w:pPr>
      <w:r>
        <w:rPr>
          <w:b/>
          <w:noProof/>
        </w:rPr>
        <w:t>X</w:t>
      </w:r>
      <w:r>
        <w:rPr>
          <w:i/>
          <w:noProof/>
        </w:rPr>
        <w:t xml:space="preserve">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>
      <w:pPr>
        <w:pStyle w:val="ListDash2"/>
        <w:rPr>
          <w:rFonts w:cs="EUAlbertina"/>
          <w:noProof/>
        </w:rPr>
      </w:pPr>
      <w:r>
        <w:rPr>
          <w:b/>
          <w:noProof/>
        </w:rPr>
        <w:t>X</w:t>
      </w:r>
      <w:r>
        <w:rPr>
          <w:noProof/>
        </w:rPr>
        <w:t xml:space="preserve"> от нейните служби, включително от нейния персонал в делегациите на Съюза;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делегиране на задачи по изпълнението на бюджета на: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органите, определени от тях;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 208 и 209 от Финансовия регламент;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организации;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уредени в частното право на държава членка, на които е възложено осъществяването на публично-частно партньорство и които предоставят подходящи финансови гаранции;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 V от ДЕС и които са посочени в съответния основен акт.</w:t>
      </w:r>
    </w:p>
    <w:p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Ако е посочен повече от един метод на управление, пояснете в частта „Забележки“.</w:t>
      </w:r>
    </w:p>
    <w:p>
      <w:pPr>
        <w:rPr>
          <w:noProof/>
        </w:rPr>
      </w:pPr>
      <w:r>
        <w:rPr>
          <w:noProof/>
        </w:rPr>
        <w:t xml:space="preserve">Забележки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2.</w:t>
      </w:r>
      <w:r>
        <w:tab/>
      </w:r>
      <w:r>
        <w:rPr>
          <w:noProof/>
        </w:rPr>
        <w:t xml:space="preserve">МЕРКИ ЗА УПРАВЛЕНИЕ 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Правила за мониторинг и докладване </w:t>
      </w:r>
    </w:p>
    <w:p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Да се посочат честотата и условията.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Комисията (ГД „Морско дело и рибарство“ в сътрудничество със своя аташе по въпросите на рибарството, установен в Мавритания, и с Делегацията на Европейския съюз в Нуакшот) осигурява редовен мониторинг на изпълнението на сегашния протокол, по-специално по отношение на оползотворяването на възможностите за риболов от страна на операторите и по отношение на данните за улова.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споразумението за партньорство също така се предвижда провеждането на поне едно годишно заседание на съвместния комитет, на което да се извършва преглед на изпълнението на споразумението и на протокола към него и, ако е необходимо, да се коригират възможностите за риболов и финансовото участие.</w:t>
      </w:r>
    </w:p>
    <w:p>
      <w:pPr>
        <w:pStyle w:val="ManualHeading2"/>
        <w:rPr>
          <w:bCs/>
          <w:noProof/>
          <w:szCs w:val="24"/>
        </w:rPr>
      </w:pPr>
      <w:r>
        <w:t>2.2.</w:t>
      </w:r>
      <w:r>
        <w:tab/>
      </w:r>
      <w:r>
        <w:rPr>
          <w:noProof/>
        </w:rPr>
        <w:t xml:space="preserve">Система за управление и контрол </w:t>
      </w:r>
    </w:p>
    <w:p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 xml:space="preserve">Установени рискове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прилага.</w:t>
      </w:r>
    </w:p>
    <w:p>
      <w:pPr>
        <w:pStyle w:val="ManualHeading3"/>
        <w:rPr>
          <w:bCs/>
          <w:noProof/>
          <w:szCs w:val="24"/>
        </w:rPr>
      </w:pPr>
      <w:r>
        <w:t>2.2.2.</w:t>
      </w:r>
      <w:r>
        <w:tab/>
      </w:r>
      <w:r>
        <w:rPr>
          <w:noProof/>
        </w:rPr>
        <w:t>Информация за изградената система за вътрешен контрол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прилага.</w:t>
      </w:r>
    </w:p>
    <w:p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 xml:space="preserve">Оценка на разходите и ползите от проверките и на очаквания риск от грешка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bCs/>
          <w:noProof/>
          <w:szCs w:val="24"/>
        </w:rPr>
      </w:pPr>
      <w:r>
        <w:t>2.3.</w:t>
      </w:r>
      <w:r>
        <w:tab/>
      </w:r>
      <w:r>
        <w:rPr>
          <w:noProof/>
        </w:rPr>
        <w:t xml:space="preserve">Мерки за предотвратяване на измами и нередности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превенция и защита.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Комисията поддържа политически диалог и редовно съгласуване с Мавритания с цел да се гарантира правилното управление на споразумението и протокола. Във всички случаи плащанията, които Комисията извършва съгласно дадено СПОУР, са подчинени на нейните правила и обичайните ѝ бюджетни и финансови процедури. Това по-специално позволява да се идентифицират напълно банковите сметки на третите държави, по които се превеждат сумите за финансовото участие. В член 2, параграф 8 от протокола се постановява, че финансовото участие във връзка с достъпа трябва да се превежда по сметка на Министерството на финансите в Централната банка на Мавритания.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3.</w:t>
      </w:r>
      <w:r>
        <w:tab/>
      </w:r>
      <w:r>
        <w:rPr>
          <w:noProof/>
        </w:rPr>
        <w:t xml:space="preserve">ОЧАКВАНО ФИНАНСОВО ОТРАЖЕНИЕ НА ПРЕДЛОЖЕНИЕТО / ИНИЦИАТИВАТА 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ListBullet1"/>
        <w:rPr>
          <w:noProof/>
        </w:rPr>
      </w:pPr>
      <w:r>
        <w:rPr>
          <w:noProof/>
        </w:rPr>
        <w:t xml:space="preserve">Съществуващи бюджетни редове </w:t>
      </w:r>
    </w:p>
    <w:p>
      <w:pPr>
        <w:pStyle w:val="Text1"/>
        <w:rPr>
          <w:noProof/>
        </w:rPr>
      </w:pPr>
      <w:r>
        <w:rPr>
          <w:noProof/>
          <w:u w:val="single"/>
        </w:rPr>
        <w:t>По реда</w:t>
      </w:r>
      <w:r>
        <w:rPr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 xml:space="preserve">Вид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[Наименование…………………………….]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Многогод./едногод.</w:t>
            </w:r>
            <w:r>
              <w:rPr>
                <w:rStyle w:val="FootnoteReference"/>
                <w:noProof/>
                <w:sz w:val="18"/>
              </w:rPr>
              <w:footnoteReference w:id="10"/>
            </w:r>
            <w:r>
              <w:rPr>
                <w:noProof/>
              </w:rPr>
              <w:t>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от държави от ЕАСТ</w:t>
            </w:r>
            <w:r>
              <w:rPr>
                <w:rStyle w:val="FootnoteReference"/>
                <w:noProof/>
                <w:sz w:val="18"/>
              </w:rPr>
              <w:footnoteReference w:id="11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sz w:val="18"/>
              </w:rPr>
              <w:footnoteReference w:id="12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11.03 01</w:t>
            </w:r>
          </w:p>
          <w:p>
            <w:pPr>
              <w:spacing w:before="60"/>
              <w:rPr>
                <w:noProof/>
                <w:sz w:val="22"/>
              </w:rPr>
            </w:pPr>
            <w:r>
              <w:rPr>
                <w:noProof/>
              </w:rPr>
              <w:t>Установяване на рамка за управление на риболовните дейности, извършвани от риболовните кораби на Съюза във водите на трети държави (СУР)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</w:tr>
    </w:tbl>
    <w:p>
      <w:pPr>
        <w:pStyle w:val="ListBullet1"/>
        <w:rPr>
          <w:noProof/>
        </w:rPr>
      </w:pPr>
      <w:r>
        <w:rPr>
          <w:noProof/>
        </w:rPr>
        <w:t xml:space="preserve">Поискани нови бюджетни редове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u w:val="single"/>
        </w:rPr>
        <w:t>По реда</w:t>
      </w:r>
      <w:r>
        <w:rPr>
          <w:i/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 xml:space="preserve">Вид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</w:rPr>
              <w:t>[…]</w:t>
            </w:r>
            <w:r>
              <w:rPr>
                <w:noProof/>
                <w:sz w:val="20"/>
              </w:rPr>
              <w:t>[Наименование…………………………….]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Многогод./едногод.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от ЕАСТ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кандидатки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sz w:val="22"/>
              </w:rPr>
            </w:pPr>
            <w:r>
              <w:rPr>
                <w:noProof/>
              </w:rPr>
              <w:t>[…]</w:t>
            </w:r>
            <w:r>
              <w:rPr>
                <w:noProof/>
                <w:sz w:val="22"/>
              </w:rPr>
              <w:t>[XX.YY.YY.YY]</w:t>
            </w:r>
          </w:p>
          <w:p>
            <w:pPr>
              <w:spacing w:after="60"/>
              <w:rPr>
                <w:noProof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ДА/НЕ</w:t>
            </w:r>
          </w:p>
        </w:tc>
      </w:tr>
    </w:tbl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bCs/>
          <w:noProof/>
          <w:szCs w:val="24"/>
        </w:rPr>
      </w:pPr>
      <w:r>
        <w:t>3.2.</w:t>
      </w:r>
      <w:r>
        <w:tab/>
      </w:r>
      <w:r>
        <w:rPr>
          <w:noProof/>
        </w:rPr>
        <w:t xml:space="preserve">Очаквано отражение върху разходите </w:t>
      </w:r>
    </w:p>
    <w:p>
      <w:pPr>
        <w:pStyle w:val="ManualHeading3"/>
        <w:rPr>
          <w:noProof/>
          <w:u w:val="single"/>
        </w:rPr>
      </w:pPr>
      <w:r>
        <w:t>3.2.1.</w:t>
      </w:r>
      <w:r>
        <w:tab/>
      </w:r>
      <w:r>
        <w:rPr>
          <w:noProof/>
        </w:rPr>
        <w:t xml:space="preserve">Обобщение на очакваното отражение върху разходите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млн. EUR (до 3-тия знак след десетичната запетая)</w:t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Функция от многогодишната финансова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Номер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</w:rPr>
              <w:t>2 — Устойчив растеж: Природни ресурси</w:t>
            </w:r>
          </w:p>
        </w:tc>
      </w:tr>
    </w:tbl>
    <w:p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ГД: „Морско дело и рибарство“</w:t>
            </w:r>
          </w:p>
        </w:tc>
        <w:tc>
          <w:tcPr>
            <w:tcW w:w="1560" w:type="dxa"/>
            <w:gridSpan w:val="2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2017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2019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trHeight w:val="213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  <w:sz w:val="21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Бюджетни кредити за оперативни разходи </w:t>
            </w: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Номер на бюджетния ред 11.0301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 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231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1"/>
              </w:rPr>
              <w:t>Бюджетни кредити за административни разходи, финансирани от пакета за определени програми</w:t>
            </w:r>
            <w:r>
              <w:rPr>
                <w:rStyle w:val="FootnoteReference"/>
                <w:noProof/>
                <w:sz w:val="21"/>
              </w:rPr>
              <w:footnoteReference w:id="13"/>
            </w:r>
            <w:r>
              <w:rPr>
                <w:noProof/>
                <w:sz w:val="21"/>
              </w:rPr>
              <w:t xml:space="preserve"> </w:t>
            </w:r>
          </w:p>
          <w:p>
            <w:pPr>
              <w:spacing w:before="0" w:after="0"/>
              <w:rPr>
                <w:noProof/>
                <w:sz w:val="22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319"/>
        </w:trPr>
        <w:tc>
          <w:tcPr>
            <w:tcW w:w="3960" w:type="dxa"/>
            <w:vAlign w:val="center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ГД „Морско дело и рибарство“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=1+1a 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c>
          <w:tcPr>
            <w:tcW w:w="3960" w:type="dxa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=2+2a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</w:tbl>
    <w:p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оперативни разходи </w:t>
            </w: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  <w:sz w:val="22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ОБЩО бюджетни кредити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2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c>
          <w:tcPr>
            <w:tcW w:w="3960" w:type="dxa"/>
            <w:vMerge/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</w:tbl>
    <w:p>
      <w:pPr>
        <w:spacing w:after="4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Ако предложението/инициативата има отражение върху повече от една функция: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оперативни разходи 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FF0000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FF0000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  <w:sz w:val="22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ОБЩО бюджетни кредити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 1—4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(Референтна стойност)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FF0000"/>
            </w:tcBorders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bottom w:val="single" w:sz="4" w:space="0" w:color="FF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FF0000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 xml:space="preserve">Функция от многогодишната финансова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„Административни разходи“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 EUR (до 3-тия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необходимо, за да се обхване продължителността на отражението (вж. точка 1.6) 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gridAfter w:val="10"/>
          <w:wAfter w:w="9947" w:type="dxa"/>
        </w:trPr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ГД: &lt;…….&gt;</w:t>
            </w:r>
          </w:p>
        </w:tc>
      </w:tr>
      <w:tr>
        <w:trPr>
          <w:trHeight w:val="313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Човешки ресурси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351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Други административни разходи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ОБЩО ГД </w:t>
            </w:r>
            <w:r>
              <w:rPr>
                <w:noProof/>
                <w:sz w:val="22"/>
              </w:rPr>
              <w:t>&lt;…….&gt;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 xml:space="preserve">Бюджетни кредити 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>
            <w:pPr>
              <w:spacing w:before="40" w:after="40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(Общо поети задължения = Общо плащания)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 EUR (до 3-тия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2017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2019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c>
          <w:tcPr>
            <w:tcW w:w="3960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ОБЩО бюджетни кредити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 1—5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  <w:tr>
        <w:tc>
          <w:tcPr>
            <w:tcW w:w="3960" w:type="dxa"/>
            <w:vMerge/>
            <w:shd w:val="clear" w:color="auto" w:fill="C0C0C0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7,500</w:t>
            </w:r>
          </w:p>
        </w:tc>
      </w:tr>
    </w:tbl>
    <w:p>
      <w:pPr>
        <w:rPr>
          <w:noProof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3.2.2.</w:t>
      </w:r>
      <w:r>
        <w:tab/>
      </w:r>
      <w:r>
        <w:rPr>
          <w:noProof/>
        </w:rPr>
        <w:t xml:space="preserve">Очаквано отражение върху бюджетните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оперативни разходи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Предложението/инициативата налага използване на бюджетни кредити за оперативни разходи съгласно обяснението по-долу: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за поети задължения в млн. EUR (до 3-тия знак след десетичната запетая)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20"/>
        <w:gridCol w:w="701"/>
        <w:gridCol w:w="504"/>
        <w:gridCol w:w="720"/>
        <w:gridCol w:w="540"/>
        <w:gridCol w:w="720"/>
        <w:gridCol w:w="720"/>
        <w:gridCol w:w="720"/>
        <w:gridCol w:w="900"/>
        <w:gridCol w:w="72"/>
        <w:gridCol w:w="648"/>
        <w:gridCol w:w="540"/>
        <w:gridCol w:w="648"/>
        <w:gridCol w:w="432"/>
        <w:gridCol w:w="720"/>
        <w:gridCol w:w="540"/>
        <w:gridCol w:w="720"/>
        <w:gridCol w:w="720"/>
        <w:gridCol w:w="900"/>
      </w:tblGrid>
      <w:tr>
        <w:trPr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Да се посочат целите и резултатите </w:t>
            </w:r>
          </w:p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720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2018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2019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</w:tr>
      <w:tr>
        <w:trPr>
          <w:jc w:val="center"/>
        </w:trPr>
        <w:tc>
          <w:tcPr>
            <w:tcW w:w="1423" w:type="dxa"/>
            <w:vMerge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185" w:type="dxa"/>
            <w:gridSpan w:val="19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РЕЗУЛТАТИ</w:t>
            </w:r>
          </w:p>
        </w:tc>
      </w:tr>
      <w:tr>
        <w:trPr>
          <w:cantSplit/>
          <w:trHeight w:val="1134"/>
          <w:jc w:val="center"/>
        </w:trPr>
        <w:tc>
          <w:tcPr>
            <w:tcW w:w="1423" w:type="dxa"/>
            <w:vMerge/>
            <w:vAlign w:val="center"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 резултат</w:t>
            </w:r>
            <w:r>
              <w:rPr>
                <w:rStyle w:val="FootnoteReference"/>
                <w:noProof/>
                <w:sz w:val="18"/>
              </w:rPr>
              <w:footnoteReference w:id="14"/>
            </w:r>
          </w:p>
          <w:p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Среден разход за резултата</w:t>
            </w:r>
          </w:p>
        </w:tc>
        <w:tc>
          <w:tcPr>
            <w:tcW w:w="504" w:type="dxa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648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 брой на резултатите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Общо разходи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1</w:t>
            </w:r>
            <w:r>
              <w:rPr>
                <w:rStyle w:val="FootnoteReference"/>
                <w:noProof/>
                <w:sz w:val="18"/>
              </w:rPr>
              <w:footnoteReference w:id="15"/>
            </w:r>
            <w:r>
              <w:rPr>
                <w:noProof/>
                <w:sz w:val="18"/>
              </w:rPr>
              <w:t>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— Брой на разрешенията за кораби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0,417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5,000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2,500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7,500</w:t>
            </w: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— Резултат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— Резултат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 1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5,000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2,500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7,500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2…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— Резултат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 2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 РАЗХОДИ</w:t>
            </w:r>
            <w:r>
              <w:rPr>
                <w:rStyle w:val="FootnoteReference"/>
                <w:b/>
                <w:noProof/>
                <w:sz w:val="18"/>
              </w:rPr>
              <w:footnoteReference w:id="16"/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5,000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2,500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7,500</w:t>
            </w:r>
          </w:p>
        </w:tc>
      </w:tr>
    </w:tbl>
    <w:p>
      <w:pPr>
        <w:rPr>
          <w:noProof/>
        </w:rPr>
        <w:sectPr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3.2.3.</w:t>
      </w:r>
      <w:r>
        <w:tab/>
      </w:r>
      <w:r>
        <w:rPr>
          <w:noProof/>
        </w:rPr>
        <w:t>Очаквано отражение върху бюджетните кредити за административни разходи</w:t>
      </w:r>
    </w:p>
    <w:p>
      <w:pPr>
        <w:pStyle w:val="ManualHeading4"/>
        <w:rPr>
          <w:noProof/>
        </w:rPr>
      </w:pPr>
      <w:r>
        <w:t>3.2.3.1.</w:t>
      </w:r>
      <w:r>
        <w:tab/>
      </w:r>
      <w:r>
        <w:rPr>
          <w:noProof/>
        </w:rPr>
        <w:t xml:space="preserve">Обобщение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 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rPr>
          <w:noProof/>
          <w:sz w:val="20"/>
        </w:rPr>
      </w:pPr>
      <w:r>
        <w:rPr>
          <w:noProof/>
          <w:sz w:val="20"/>
        </w:rPr>
        <w:t>млн. EUR (до 3-тия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3240"/>
        <w:gridCol w:w="1080"/>
      </w:tblGrid>
      <w:tr>
        <w:trPr>
          <w:trHeight w:val="585"/>
        </w:trPr>
        <w:tc>
          <w:tcPr>
            <w:tcW w:w="1980" w:type="dxa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N </w:t>
            </w:r>
            <w:r>
              <w:rPr>
                <w:rStyle w:val="FootnoteReference"/>
                <w:b/>
                <w:noProof/>
                <w:sz w:val="16"/>
              </w:rPr>
              <w:footnoteReference w:id="17"/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N+3</w:t>
            </w:r>
          </w:p>
        </w:tc>
        <w:tc>
          <w:tcPr>
            <w:tcW w:w="324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Междинен сбор за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rStyle w:val="FootnoteReference"/>
                <w:b/>
                <w:noProof/>
                <w:sz w:val="16"/>
              </w:rPr>
              <w:footnoteReference w:id="18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разходи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rPr>
          <w:noProof/>
          <w:sz w:val="18"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18"/>
        </w:rPr>
        <w:t>Нуждите от бюджетни кредити за човешки ресурси и за другите разходи с административен характер ще бъдат покрити с бюджетните кредити на ГД, които вече са отпуснати за управлението на дейността и/или които са преразпределени в рамките на ГД, при необходимост заедно с всички допълнителни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pStyle w:val="ManualHeading4"/>
        <w:rPr>
          <w:bCs/>
          <w:noProof/>
          <w:szCs w:val="24"/>
        </w:rPr>
      </w:pPr>
      <w:r>
        <w:t>3.2.3.2.</w:t>
      </w:r>
      <w:r>
        <w:tab/>
      </w:r>
      <w:r>
        <w:rPr>
          <w:noProof/>
        </w:rPr>
        <w:t>Очаквани нужди от човешки ресурси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 xml:space="preserve">Предложението/инициативата налага използване на човешки ресурси съгласно обяснението по-долу: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човешки ресурси съгласно обяснението по-долу: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Оценката се посочва в еквиваленти на пълно работно време</w:t>
      </w:r>
    </w:p>
    <w:tbl>
      <w:tblPr>
        <w:tblW w:w="5544" w:type="pct"/>
        <w:jc w:val="center"/>
        <w:tblInd w:w="-2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952"/>
        <w:gridCol w:w="1954"/>
        <w:gridCol w:w="655"/>
        <w:gridCol w:w="655"/>
        <w:gridCol w:w="3894"/>
        <w:gridCol w:w="465"/>
        <w:gridCol w:w="237"/>
        <w:gridCol w:w="237"/>
        <w:gridCol w:w="236"/>
      </w:tblGrid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</w:tcPr>
          <w:p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Година </w:t>
            </w:r>
            <w:r>
              <w:rPr>
                <w:b/>
                <w:noProof/>
                <w:sz w:val="16"/>
              </w:rPr>
              <w:t>N+2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Година </w:t>
            </w:r>
            <w:r>
              <w:rPr>
                <w:b/>
                <w:noProof/>
                <w:sz w:val="16"/>
              </w:rPr>
              <w:t>N+3</w:t>
            </w:r>
          </w:p>
        </w:tc>
        <w:tc>
          <w:tcPr>
            <w:tcW w:w="3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4424" w:type="pct"/>
            <w:gridSpan w:val="5"/>
            <w:shd w:val="clear" w:color="auto" w:fill="auto"/>
          </w:tcPr>
          <w:p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Длъжности в щатното разписание (длъжностни лица и временно наети лица)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01 (Централа и представителства на Комисията)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02 (Делегации)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05 01 (Непреки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01 (Преки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After w:val="4"/>
          <w:wAfter w:w="570" w:type="pct"/>
          <w:trHeight w:val="248"/>
          <w:jc w:val="center"/>
        </w:trPr>
        <w:tc>
          <w:tcPr>
            <w:tcW w:w="4430" w:type="pct"/>
            <w:gridSpan w:val="6"/>
            <w:shd w:val="clear" w:color="auto" w:fill="auto"/>
            <w:vAlign w:val="center"/>
          </w:tcPr>
          <w:p>
            <w:pPr>
              <w:pStyle w:val="Text1"/>
              <w:spacing w:before="60" w:after="60"/>
              <w:ind w:left="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Външен персонал (в еквивалент на пълно работно време: ЕПРВ)</w:t>
            </w:r>
            <w:r>
              <w:rPr>
                <w:rStyle w:val="FootnoteReference"/>
                <w:b/>
                <w:noProof/>
                <w:sz w:val="16"/>
              </w:rPr>
              <w:footnoteReference w:id="19"/>
            </w:r>
          </w:p>
          <w:p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(ДНП, КНЕ, ПНА от общия финансов пакет)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02 (ДНП, МП, КНЕ, ПНА и МЕД в делегациите)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01 04 </w:t>
            </w:r>
            <w:r>
              <w:rPr>
                <w:b/>
                <w:noProof/>
                <w:sz w:val="16"/>
              </w:rPr>
              <w:t>yy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rStyle w:val="FootnoteReference"/>
                <w:b/>
                <w:i/>
                <w:noProof/>
                <w:sz w:val="16"/>
              </w:rPr>
              <w:footnoteReference w:id="20"/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— в централата</w:t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948" w:type="pct"/>
            <w:vMerge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— в делегациите 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05 02 (ДНП, КНЕ, ПНА — 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02 (ДНП, КНЕ, ПНА — 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бюджетни редове (да се посочат)</w:t>
            </w: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pStyle w:val="Text1"/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</w:rPr>
        <w:t>XX</w:t>
      </w:r>
      <w:r>
        <w:rPr>
          <w:noProof/>
          <w:sz w:val="18"/>
        </w:rPr>
        <w:t xml:space="preserve"> е съответната област на политиката или бюджетен дял.</w:t>
      </w:r>
    </w:p>
    <w:p>
      <w:pPr>
        <w:pStyle w:val="Text1"/>
        <w:rPr>
          <w:noProof/>
          <w:sz w:val="18"/>
          <w:szCs w:val="18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>
        <w:tc>
          <w:tcPr>
            <w:tcW w:w="324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лица и временно наети лица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</w:p>
        </w:tc>
      </w:tr>
    </w:tbl>
    <w:p>
      <w:pPr>
        <w:rPr>
          <w:noProof/>
        </w:rPr>
        <w:sectPr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3.2.4.</w:t>
      </w:r>
      <w:r>
        <w:tab/>
      </w:r>
      <w:r>
        <w:rPr>
          <w:noProof/>
        </w:rPr>
        <w:t xml:space="preserve">Съвместимост с настоящата многогодишна финансова рамка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Предложението/инициативата е съвместимо(а) с настоящата многогодишна финансова рамка.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препрограмиране на съответната функция от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препрограмиране е необходимо, като посочите съответните бюджетни редове и суми.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>
      <w:pPr>
        <w:pStyle w:val="ManualHeading3"/>
        <w:rPr>
          <w:bCs/>
          <w:noProof/>
          <w:szCs w:val="24"/>
        </w:rPr>
      </w:pPr>
      <w:r>
        <w:t>3.2.5.</w:t>
      </w:r>
      <w:r>
        <w:tab/>
      </w:r>
      <w:r>
        <w:rPr>
          <w:noProof/>
        </w:rPr>
        <w:t xml:space="preserve">Участие на трети страни във финансирането </w:t>
      </w:r>
    </w:p>
    <w:p>
      <w:pPr>
        <w:pStyle w:val="ListDash1"/>
        <w:rPr>
          <w:noProof/>
        </w:rPr>
      </w:pPr>
      <w:r>
        <w:rPr>
          <w:noProof/>
        </w:rPr>
        <w:t xml:space="preserve">Предложението/инициативата не предвижда съфинансиране от трети страни. </w:t>
      </w:r>
    </w:p>
    <w:p>
      <w:pPr>
        <w:pStyle w:val="ListDash1"/>
        <w:rPr>
          <w:noProof/>
        </w:rPr>
      </w:pPr>
      <w:r>
        <w:rPr>
          <w:noProof/>
        </w:rPr>
        <w:t>Предложението/инициативата предвижда съфинансиране съгласно следните прогнози: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в млн. EUR (до 3-тия знак 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>
        <w:trPr>
          <w:cantSplit/>
        </w:trPr>
        <w:tc>
          <w:tcPr>
            <w:tcW w:w="2340" w:type="dxa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/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3.3.</w:t>
      </w:r>
      <w:r>
        <w:tab/>
      </w:r>
      <w:r>
        <w:rPr>
          <w:noProof/>
        </w:rPr>
        <w:t xml:space="preserve">Очаквано отражение върху приходите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има следното финансово отражение: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собствените ресурси 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разните приходи </w:t>
      </w:r>
    </w:p>
    <w:p>
      <w:pPr>
        <w:jc w:val="right"/>
        <w:rPr>
          <w:i/>
          <w:noProof/>
          <w:sz w:val="20"/>
        </w:rPr>
      </w:pPr>
      <w:r>
        <w:rPr>
          <w:noProof/>
        </w:rPr>
        <w:t>млн. EUR (до 3-тия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финансова година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Отражение на предложението/инициативата</w:t>
            </w:r>
            <w:r>
              <w:rPr>
                <w:rStyle w:val="FootnoteReference"/>
                <w:noProof/>
                <w:sz w:val="18"/>
              </w:rPr>
              <w:footnoteReference w:id="21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…………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pStyle w:val="Text1"/>
        <w:rPr>
          <w:noProof/>
          <w:sz w:val="20"/>
        </w:rPr>
      </w:pPr>
      <w:r>
        <w:rPr>
          <w:noProof/>
          <w:sz w:val="20"/>
        </w:rPr>
        <w:t>За разните целеви приходи да се посочат съответните разходни бюджетни редове.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>
      <w:pPr>
        <w:pStyle w:val="Text1"/>
        <w:rPr>
          <w:noProof/>
          <w:sz w:val="20"/>
        </w:rPr>
      </w:pPr>
      <w:r>
        <w:rPr>
          <w:noProof/>
          <w:sz w:val="20"/>
        </w:rPr>
        <w:t>Да се посочи методът за изчисляване на отражението върху приходите.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sect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Вж. таблицата на категориите риболов, приложена към протокола (ОВ L 315, 1.12.2015 г., стр. 13).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COFREPECHE, NFDS, POSEIDON et MRAG, 2014 г. — „Évaluation rétrospective et prospective du protocole de l’accord de partenariat dans le secteur de la pêche entre l'Union européenne et la République islamique de Mauritanie“ (Предварителна и последваща оценка на протокола към Споразумението за партньорство в областта на рибарството между Европейския съюз и Ислямска република Мавритания) по рамков договор MARE/2011/01 — партида 3, индивидуален договор 8. Брюксел, стр. </w:t>
      </w:r>
      <w:r>
        <w:fldChar w:fldCharType="begin"/>
      </w:r>
      <w:r>
        <w:instrText xml:space="preserve"> NUMPAGES   \* MERGEFORMAT </w:instrText>
      </w:r>
      <w:r>
        <w:fldChar w:fldCharType="separate"/>
      </w:r>
      <w:r>
        <w:t>176</w:t>
      </w:r>
      <w:r>
        <w:fldChar w:fldCharType="end"/>
      </w:r>
      <w:r>
        <w:t>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343, 8.12.2006 г., стр. 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2016/870 на Съвета от 24 май 2016 г. относно сключването, от името на Европейския съюз, на протокола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(ОВ L 145, 2.6.2016 г., стр. 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 315, 1.12.2015 г., стр. 3.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2015/2192 на Съвета от 10 ноември 2015 г. относно разпределянето на възможностите за риболов съгласно протокола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(ОВ L 315, 1.12.2015 г., стр. 72).</w:t>
      </w:r>
    </w:p>
  </w:footnote>
  <w:footnote w:id="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УД — управление по дейности; БД — бюджетиране по дейности.</w:t>
      </w:r>
    </w:p>
  </w:footnote>
  <w:footnote w:id="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54, параграф 2, буква а) или б) от Финансовия регламент.</w:t>
      </w:r>
    </w:p>
  </w:footnote>
  <w:footnote w:id="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Подробности във връзка с методите на управление и позоваванията на Финансовия регламент могат да бъдат намерени на уебсайта BudgWeb: </w:t>
      </w:r>
      <w:hyperlink r:id="rId1">
        <w:r>
          <w:rPr>
            <w:rStyle w:val="Hyperlink"/>
            <w:sz w:val="18"/>
          </w:rPr>
          <w:t>http://www.cc.cec/budg/man/budgmanag/budgmanag_en.html</w:t>
        </w:r>
      </w:hyperlink>
    </w:p>
  </w:footnote>
  <w:footnote w:id="1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Многогод. = многогодишни бюджетни кредити / едногод. = едногодишни бюджетни кредити.</w:t>
      </w:r>
    </w:p>
  </w:footnote>
  <w:footnote w:id="1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ЕАСТ: Европейска асоциация за свободна търговия. </w:t>
      </w:r>
    </w:p>
  </w:footnote>
  <w:footnote w:id="1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Държави кандидатки и ако е приложимо, държави потенциални кандидатки от Западните Балкани.</w:t>
      </w:r>
    </w:p>
  </w:footnote>
  <w:footnote w:id="1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14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Резултатите представляват продуктите и услугите, които ще бъдат доставени (напр. брой финансирани обмени на студенти, брой построени пътища в километри и т.н.).</w:t>
      </w:r>
    </w:p>
  </w:footnote>
  <w:footnote w:id="15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Съгласно описанието в част 1.4.2. „Конкретни цели…“. 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През 2017 г. плащането от страна на Комисията ще се отнася за периодите на прилагане на протокола 2016—2017 г. и 2017—2018 г. През 2018 г. то ще се отнася за прилагането на протокола през 2018—2019 г. Това се дължи на изискването плащанията във връзка с достъпа да бъдат извършвани не по-късно от датата на годишнината на протокола — 16 ноември. Така например до 16 ноември 2018 г. Комисията трябва да извърши плащането във връзка с достъпа за периода на прилагане на протокола 2018—2019 г.</w:t>
      </w:r>
    </w:p>
  </w:footnote>
  <w:footnote w:id="1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1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2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Подтаван за външния персонал, покрит с бюджетните кредити за оперативни разходи (предишни редове BA).</w:t>
      </w:r>
    </w:p>
  </w:footnote>
  <w:footnote w:id="2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50A67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EBE1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4EF5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AFA4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3D6CA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2"/>
  </w:num>
  <w:num w:numId="5">
    <w:abstractNumId w:val="19"/>
  </w:num>
  <w:num w:numId="6">
    <w:abstractNumId w:val="23"/>
  </w:num>
  <w:num w:numId="7">
    <w:abstractNumId w:val="4"/>
  </w:num>
  <w:num w:numId="8">
    <w:abstractNumId w:val="3"/>
  </w:num>
  <w:num w:numId="9">
    <w:abstractNumId w:val="24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21"/>
  </w:num>
  <w:num w:numId="17">
    <w:abstractNumId w:val="9"/>
  </w:num>
  <w:num w:numId="18">
    <w:abstractNumId w:val="11"/>
  </w:num>
  <w:num w:numId="19">
    <w:abstractNumId w:val="7"/>
  </w:num>
  <w:num w:numId="20">
    <w:abstractNumId w:val="20"/>
  </w:num>
  <w:num w:numId="21">
    <w:abstractNumId w:val="6"/>
  </w:num>
  <w:num w:numId="22">
    <w:abstractNumId w:val="12"/>
  </w:num>
  <w:num w:numId="23">
    <w:abstractNumId w:val="16"/>
  </w:num>
  <w:num w:numId="24">
    <w:abstractNumId w:val="17"/>
  </w:num>
  <w:num w:numId="25">
    <w:abstractNumId w:val="8"/>
  </w:num>
  <w:num w:numId="26">
    <w:abstractNumId w:val="15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3-09 10:33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52F1C691B068457EA47C5344D4678047"/>
    <w:docVar w:name="LW_CROSSREFERENCE" w:val="&lt;UNUSED&gt;"/>
    <w:docVar w:name="LW_DocType" w:val="COM"/>
    <w:docVar w:name="LW_EMISSION" w:val="15.3.2017"/>
    <w:docVar w:name="LW_EMISSION_ISODATE" w:val="2017-03-15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3"/>
    <w:docVar w:name="LW_REF.II.NEW.CP_YEAR" w:val="2017"/>
    <w:docVar w:name="LW_REF.INST.NEW" w:val="COM"/>
    <w:docVar w:name="LW_REF.INST.NEW_ADOPTED" w:val="final"/>
    <w:docVar w:name="LW_REF.INST.NEW_TEXT" w:val="(2017) 12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5/2192 \u1086?\u1090?\u1085?\u1086?\u1089?\u1085?\u1086? \u1088?\u1072?\u1079?\u1087?\u1088?\u1077?\u1076?\u1077?\u1083?\u1103?\u1085?\u1077?\u1090?\u1086? \u1085?\u1072? \u1074?\u1098?\u1079?\u1084?\u1086?\u1078?\u1085?\u1086?\u1089?\u1090?\u1080?\u1090?\u1077? \u1079?\u1072? \u1088?\u1080?\u1073?\u1086?\u1083?\u1086?\u1074? \u1089?\u1098?\u1075?\u1083?\u1072?\u1089?\u1085?\u1086? \u1087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85?\u1072? \u1092?\u1080?\u1085?\u1072?\u1085?\u1089?\u1086?\u1074?\u1086?\u1090?\u1086? \u1091?\u1095?\u1072?\u1089?\u1090?\u1080?\u1077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.cec/budg/man/budgmanag/budgmanag_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951A-B064-4032-8D5E-53209D4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25</Pages>
  <Words>4223</Words>
  <Characters>25048</Characters>
  <Application>Microsoft Office Word</Application>
  <DocSecurity>0</DocSecurity>
  <Lines>1565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2017-03-08T11:50:00Z</dcterms:created>
  <dcterms:modified xsi:type="dcterms:W3CDTF">2017-03-09T09:33:00Z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