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77851C60A44228A2CD9489B5B6C17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Council Regulation (EU) 2015/2192 allocates among the Member States the fishing opportunities set out in the 2015-2019 Protocol to the Fisheries Partnership Agreement between the European Union and Mauritania. </w:t>
      </w:r>
    </w:p>
    <w:p>
      <w:pPr>
        <w:pBdr>
          <w:top w:val="nil"/>
          <w:left w:val="nil"/>
          <w:bottom w:val="nil"/>
          <w:right w:val="nil"/>
          <w:between w:val="nil"/>
          <w:bar w:val="nil"/>
        </w:pBdr>
        <w:spacing w:before="0" w:after="240"/>
        <w:rPr>
          <w:noProof/>
        </w:rPr>
      </w:pPr>
      <w:r>
        <w:rPr>
          <w:noProof/>
        </w:rPr>
        <w:t>During its meeting in Nouakchott on 15 and 16 November 2016, the Joint Committee established under Article 10 of the Partnership Agreement decided to grant new fishing opportunities to EU freezer trawlers targeting black hake as the main targeted species (3 500 tonnes) as well as squid (1 450 tonnes) and cuttlefish (600 tonnes) as secondary targeted species, within the limits of the available surplus.</w:t>
      </w:r>
    </w:p>
    <w:p>
      <w:pPr>
        <w:pBdr>
          <w:top w:val="nil"/>
          <w:left w:val="nil"/>
          <w:bottom w:val="nil"/>
          <w:right w:val="nil"/>
          <w:between w:val="nil"/>
          <w:bar w:val="nil"/>
        </w:pBdr>
        <w:spacing w:before="0" w:after="240"/>
        <w:rPr>
          <w:noProof/>
        </w:rPr>
      </w:pPr>
      <w:r>
        <w:rPr>
          <w:noProof/>
        </w:rPr>
        <w:t xml:space="preserve">The objective of the proposal is to allocate these new fishing opportunities to the Member States.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proposal fully respects the principle of the sustainable exploitation of fishery resources and marine ecosystems and is consistent with the Protocol which provides that, on the basis of the scientific advice available, the two parties may agree within the Joint Committee on the allocation of fishing opportunities for freezer trawlers targeting demersal species in respect of which a surplus has been identified</w:t>
      </w:r>
      <w:r>
        <w:rPr>
          <w:rStyle w:val="FootnoteReference"/>
          <w:rFonts w:eastAsia="Arial Unicode MS"/>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The proposal is also in line with Regulation (EU) No 1380/2013 on the Common Fisheries Policy and the Council Conclusions of 19 March 2012 on a Communication from the Commission on the External dimension of the Common Fisheries Policy.</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negotiation of fishing opportunities in the framework of the Fisheries Partnership Agreement with Mauritania is in line with the EU’s external action towards African, Caribbean and Pacific (ACP) countries.</w:t>
      </w:r>
    </w:p>
    <w:p>
      <w:pPr>
        <w:pBdr>
          <w:top w:val="nil"/>
          <w:left w:val="nil"/>
          <w:bottom w:val="nil"/>
          <w:right w:val="nil"/>
          <w:between w:val="nil"/>
          <w:bar w:val="nil"/>
        </w:pBdr>
        <w:spacing w:before="0" w:after="240"/>
        <w:rPr>
          <w:rFonts w:eastAsia="Arial Unicode MS"/>
          <w:noProof/>
        </w:rPr>
      </w:pPr>
      <w:r>
        <w:rPr>
          <w:rFonts w:eastAsia="Arial Unicode MS"/>
          <w:noProof/>
        </w:rPr>
        <w:t>While at a very local scale, the Fisheries Partnership Agreement complements the New Migration Partnership Framework approach and the generation of economic in fisheries contributes to addressing the causes of emigration from Mauritania.</w:t>
      </w:r>
    </w:p>
    <w:p>
      <w:pPr>
        <w:pStyle w:val="ManualHeading1"/>
        <w:rPr>
          <w:noProof/>
        </w:rPr>
      </w:pPr>
      <w:r>
        <w:rPr>
          <w:noProof/>
        </w:rPr>
        <w:t xml:space="preserve"> 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the Regulation is provided by Article 43(3) of the Treaty on the Functioning of the European Union (TFEU) which sets out the procedure for the fixing and allocation of fishing opportunities.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Not applicable, exclusive competence.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proportional to the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See explanation under legal basis.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A retroactive and prospective evaluation of the previous 2012-2014 Protocol was completed in January 2014</w:t>
      </w:r>
      <w:r>
        <w:rPr>
          <w:rStyle w:val="FootnoteReference"/>
          <w:rFonts w:eastAsia="Arial Unicode MS"/>
          <w:noProof/>
        </w:rPr>
        <w:footnoteReference w:id="2"/>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interested parties were consulted during the evaluation of the 2012-2014 Protocol. Experts from the Member States and EU industry representatives were also consulted in technical meetings. These consultations led to the conclusion that there is a clear interest from Union freezer trawlers to fish for black hake and squid and cuttlefish in Mauritania, within the limits of the available surplus.</w:t>
      </w:r>
    </w:p>
    <w:p>
      <w:pPr>
        <w:pBdr>
          <w:top w:val="nil"/>
          <w:left w:val="nil"/>
          <w:bottom w:val="nil"/>
          <w:right w:val="nil"/>
          <w:between w:val="nil"/>
          <w:bar w:val="nil"/>
        </w:pBdr>
        <w:spacing w:before="0" w:after="240"/>
        <w:rPr>
          <w:rFonts w:eastAsia="Arial Unicode MS"/>
          <w:noProof/>
        </w:rPr>
      </w:pPr>
      <w:r>
        <w:rPr>
          <w:noProof/>
        </w:rPr>
        <w:t>During the Joint Committee meeting held in Nouakchott on 15 and 16 November 2016, Mauritania confirmed its willingness to give the European Union access to the available surplus.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 independent Joint Scientific Committee set up under Article 4 of the Protocol and composed of scientists from both parties held its fifth annual meeting in Nouakchott from 5 to 7 September 2016. The report of the meeting has been published on the website of the Directorate General for Maritime Affairs and Fisheries. </w:t>
      </w:r>
    </w:p>
    <w:p>
      <w:pPr>
        <w:pBdr>
          <w:top w:val="nil"/>
          <w:left w:val="nil"/>
          <w:bottom w:val="nil"/>
          <w:right w:val="nil"/>
          <w:between w:val="nil"/>
          <w:bar w:val="nil"/>
        </w:pBdr>
        <w:spacing w:before="0" w:after="240"/>
        <w:rPr>
          <w:rFonts w:eastAsia="Arial Unicode MS"/>
          <w:noProof/>
        </w:rPr>
      </w:pPr>
      <w:r>
        <w:rPr>
          <w:noProof/>
        </w:rPr>
        <w:t>The Committee took into account available scientific assessments, in particular those of the Fishery Committee for the Eastern Central Atlantic (CECAF) and of the Mauritanian Institute for Oceanographic and Fisheries Research (IMROP). On this basis, the Committee identified an available surplus of 3 550 tonnes of black hake, 1 450 tonnes of squid and 600 tonnes of cuttlefish.</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Article 9, paragraph 1, point (c) of the Protocol provides for the possibility of suspending its implementation in the event of activation of the consultation mechanism laid down in Article 96 of the Cotonou Agreement owing to a violation of essential and fundamental elements regarding human rights set out in Article 9 of that Agreement.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annual financial contribution for the new fishing category has been set at EUR 2 500 000 per year. In this respect, the annual financial contribution for access as specified in Article 2, paragraph 1 of the Protocol is increased from 55 000 000 euro to 57 500 000 euro.</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2017/0053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2015/2192 on the allocation of the fishing opportunities under the Protocol setting out the fishing opportunities and financial contribution provided for in the Fisheries Partnership Agreement between the European Union and the Islamic Republic of Mauritania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30 November 2006, the Council adopted Regulation (EC) No 1801/2006 on the conclusion of the Fisheries Partnership Agreement between the European Community and the Islamic Republic of Mauritania</w:t>
      </w:r>
      <w:r>
        <w:rPr>
          <w:rStyle w:val="FootnoteReference"/>
          <w:noProof/>
        </w:rPr>
        <w:footnoteReference w:id="3"/>
      </w:r>
      <w:r>
        <w:rPr>
          <w:noProof/>
        </w:rPr>
        <w:t xml:space="preserve"> ('the Partnership Agreement').</w:t>
      </w:r>
    </w:p>
    <w:p>
      <w:pPr>
        <w:pStyle w:val="ManualConsidrant"/>
        <w:rPr>
          <w:noProof/>
        </w:rPr>
      </w:pPr>
      <w:r>
        <w:t>(2)</w:t>
      </w:r>
      <w:r>
        <w:tab/>
      </w:r>
      <w:r>
        <w:rPr>
          <w:noProof/>
        </w:rPr>
        <w:t>On 24 May 2016, the Council adopted Decision (EU) 2016/870</w:t>
      </w:r>
      <w:r>
        <w:rPr>
          <w:rStyle w:val="FootnoteReference"/>
          <w:noProof/>
        </w:rPr>
        <w:footnoteReference w:id="4"/>
      </w:r>
      <w:r>
        <w:rPr>
          <w:noProof/>
        </w:rPr>
        <w:t xml:space="preserve"> on the conclusion, on behalf of the European Union, of the Protocol setting out the fishing opportunities and financial contribution provided for in the Fisheries Partnership Agreement between the European Community and the Islamic Republic of Mauritania for a period of four years from 16 November 2015</w:t>
      </w:r>
      <w:r>
        <w:rPr>
          <w:rStyle w:val="FootnoteReference"/>
          <w:noProof/>
        </w:rPr>
        <w:footnoteReference w:id="5"/>
      </w:r>
      <w:r>
        <w:rPr>
          <w:noProof/>
        </w:rPr>
        <w:t xml:space="preserve"> ('the Protocol').</w:t>
      </w:r>
    </w:p>
    <w:p>
      <w:pPr>
        <w:pStyle w:val="ManualConsidrant"/>
        <w:rPr>
          <w:noProof/>
        </w:rPr>
      </w:pPr>
      <w:r>
        <w:t>(3)</w:t>
      </w:r>
      <w:r>
        <w:tab/>
      </w:r>
      <w:r>
        <w:rPr>
          <w:noProof/>
        </w:rPr>
        <w:t>Council Regulation (EU) 2015/2192</w:t>
      </w:r>
      <w:r>
        <w:rPr>
          <w:rStyle w:val="FootnoteReference"/>
          <w:noProof/>
        </w:rPr>
        <w:footnoteReference w:id="6"/>
      </w:r>
      <w:r>
        <w:rPr>
          <w:noProof/>
        </w:rPr>
        <w:t xml:space="preserve"> allocates among the Member States the fishing opportunities provided for under the Protocol.</w:t>
      </w:r>
    </w:p>
    <w:p>
      <w:pPr>
        <w:pStyle w:val="ManualConsidrant"/>
        <w:rPr>
          <w:noProof/>
        </w:rPr>
      </w:pPr>
      <w:r>
        <w:t>(4)</w:t>
      </w:r>
      <w:r>
        <w:tab/>
      </w:r>
      <w:r>
        <w:rPr>
          <w:noProof/>
        </w:rPr>
        <w:t>Scientific advice by the independent Joint Scientific Committee established under Article 4 of the Protocol identified a surplus of black hake and took note of the 2014 scientific advice of the Mauritanian Institute for Oceanographic and Fisheries Research (IMROP) confirming a surplus of squid and cuttlefish.</w:t>
      </w:r>
    </w:p>
    <w:p>
      <w:pPr>
        <w:pStyle w:val="ManualConsidrant"/>
        <w:rPr>
          <w:noProof/>
        </w:rPr>
      </w:pPr>
      <w:r>
        <w:t>(5)</w:t>
      </w:r>
      <w:r>
        <w:tab/>
      </w:r>
      <w:r>
        <w:rPr>
          <w:noProof/>
        </w:rPr>
        <w:t>In accordance with Article 6(1)(a) of the Protocol, the Joint Committee established under Article 10 of the Partnership Agreement decided at its meeting in Nouakchott on 15 and 16 November 2016 to modify the Protocol by introducing new fishing opportunities, within the available surplus, for freezer trawlers targeting black hake as a primary species and squid and cuttlefish as secondary species.</w:t>
      </w:r>
    </w:p>
    <w:p>
      <w:pPr>
        <w:pStyle w:val="ManualConsidrant"/>
        <w:rPr>
          <w:noProof/>
        </w:rPr>
      </w:pPr>
      <w:r>
        <w:t>(6)</w:t>
      </w:r>
      <w:r>
        <w:tab/>
      </w:r>
      <w:r>
        <w:rPr>
          <w:noProof/>
        </w:rPr>
        <w:t>It is appropriate to allocate these new fishing opportunities among the Member States for the remainder of the period of application of the Protocol.</w:t>
      </w:r>
    </w:p>
    <w:p>
      <w:pPr>
        <w:pStyle w:val="ManualConsidrant"/>
        <w:rPr>
          <w:noProof/>
        </w:rPr>
      </w:pPr>
      <w:r>
        <w:t>(7)</w:t>
      </w:r>
      <w:r>
        <w:tab/>
      </w:r>
      <w:r>
        <w:rPr>
          <w:noProof/>
        </w:rPr>
        <w:t>Since the introduction of new fishing opportunities has an impact on Union vessels' economic activities and planning of fishing seasons, this Regulation should enter into force immediately after its publication.</w:t>
      </w:r>
    </w:p>
    <w:p>
      <w:pPr>
        <w:pStyle w:val="ManualConsidrant"/>
        <w:rPr>
          <w:noProof/>
        </w:rPr>
      </w:pPr>
      <w:r>
        <w:t>(8)</w:t>
      </w:r>
      <w:r>
        <w:tab/>
      </w:r>
      <w:r>
        <w:rPr>
          <w:noProof/>
        </w:rPr>
        <w:t>Regulation (EU) 2015/2192 should be modified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In Article 1(1), of Regulation (EU) 2015/2192, the following point (h) is added:</w:t>
      </w:r>
    </w:p>
    <w:p>
      <w:pPr>
        <w:rPr>
          <w:noProof/>
        </w:rPr>
      </w:pPr>
      <w:r>
        <w:rPr>
          <w:noProof/>
        </w:rPr>
        <w:t xml:space="preserve">'(h) </w:t>
      </w:r>
      <w:r>
        <w:rPr>
          <w:noProof/>
        </w:rPr>
        <w:tab/>
        <w:t>Category 2bis – Black hake (freezer) trawlers:</w:t>
      </w:r>
    </w:p>
    <w:p>
      <w:pPr>
        <w:rPr>
          <w:noProof/>
        </w:rPr>
      </w:pPr>
      <w:r>
        <w:rPr>
          <w:noProof/>
        </w:rPr>
        <w:t>Spain</w:t>
      </w:r>
      <w:r>
        <w:rPr>
          <w:noProof/>
        </w:rPr>
        <w:tab/>
      </w:r>
      <w:r>
        <w:rPr>
          <w:noProof/>
        </w:rPr>
        <w:tab/>
      </w:r>
      <w:r>
        <w:rPr>
          <w:noProof/>
        </w:rPr>
        <w:tab/>
        <w:t xml:space="preserve">Black hake </w:t>
      </w:r>
      <w:r>
        <w:rPr>
          <w:noProof/>
        </w:rPr>
        <w:tab/>
        <w:t>3 500 tonnes</w:t>
      </w:r>
    </w:p>
    <w:p>
      <w:pPr>
        <w:rPr>
          <w:noProof/>
        </w:rPr>
      </w:pPr>
      <w:r>
        <w:rPr>
          <w:noProof/>
        </w:rPr>
        <w:tab/>
      </w:r>
      <w:r>
        <w:rPr>
          <w:noProof/>
        </w:rPr>
        <w:tab/>
      </w:r>
      <w:r>
        <w:rPr>
          <w:noProof/>
        </w:rPr>
        <w:tab/>
        <w:t>Squid</w:t>
      </w:r>
      <w:r>
        <w:rPr>
          <w:noProof/>
        </w:rPr>
        <w:tab/>
      </w:r>
      <w:r>
        <w:rPr>
          <w:noProof/>
        </w:rPr>
        <w:tab/>
        <w:t>1 450 tonnes</w:t>
      </w:r>
    </w:p>
    <w:p>
      <w:pPr>
        <w:rPr>
          <w:noProof/>
        </w:rPr>
      </w:pPr>
      <w:r>
        <w:rPr>
          <w:noProof/>
        </w:rPr>
        <w:tab/>
      </w:r>
      <w:r>
        <w:rPr>
          <w:noProof/>
        </w:rPr>
        <w:tab/>
      </w:r>
      <w:r>
        <w:rPr>
          <w:noProof/>
        </w:rPr>
        <w:tab/>
        <w:t>Cuttlefish</w:t>
      </w:r>
      <w:r>
        <w:rPr>
          <w:noProof/>
        </w:rPr>
        <w:tab/>
        <w:t>600 tonnes</w:t>
      </w:r>
    </w:p>
    <w:p>
      <w:pPr>
        <w:rPr>
          <w:noProof/>
        </w:rPr>
      </w:pPr>
      <w:r>
        <w:rPr>
          <w:noProof/>
        </w:rPr>
        <w:t xml:space="preserve">Within this category, a maximum of 6 vessels may be deployed in Mauritanian waters at any given time.' </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Regulation amending Regulation (EU) 2015/2192 on the allocation of the fishing opportunities under the Protocol setting out the fishing opportunities and financial contribution provided for in the Fisheries Partnership Agreement between the European Union and the Islamic Republic of Mauritania</w:t>
      </w:r>
    </w:p>
    <w:p>
      <w:pPr>
        <w:pStyle w:val="ManualHeading2"/>
        <w:rPr>
          <w:noProof/>
          <w:szCs w:val="24"/>
        </w:rPr>
      </w:pPr>
      <w:r>
        <w:t>1.2.</w:t>
      </w:r>
      <w:r>
        <w:tab/>
      </w:r>
      <w:r>
        <w:rPr>
          <w:noProof/>
        </w:rPr>
        <w:t>Policy area(s) concerned in the ABM/ABB structure</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 policies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8"/>
      </w:r>
      <w:r>
        <w:rPr>
          <w:noProof/>
          <w:sz w:val="22"/>
        </w:rPr>
        <w:t xml:space="preserve"> </w:t>
      </w:r>
    </w:p>
    <w:p>
      <w:pPr>
        <w:pStyle w:val="Text1"/>
        <w:rPr>
          <w:noProof/>
          <w:sz w:val="22"/>
        </w:rPr>
      </w:pPr>
      <w:r>
        <w:rPr>
          <w:b/>
          <w:noProof/>
          <w:sz w:val="22"/>
        </w:rPr>
        <w:t>X</w:t>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agreements with third countries meets the general objective of giving EU fishing vessels access to fishing zones located in third countries’ Exclusive Economic Zones (EEZ) and developing partnerships with those countries with a view to strengthening the sustainable exploitation of fisheries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Sustainable Fisheries Partnership Agreements (SFPAs) also ensure consistency between the principles governing the Common Fisheries Policy and the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Maritime affairs and fisheries, to establish a governance framework for fishing activities carried out by Union fishing vessels in third country waters (SFAs) (budget line 11.0301).</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allocation among the Member States of new fishing opportunities for EU freezer trawlers targeting black hake and some cephalopod species (squid and cuttlefish) under the 2015-2019 Protocol to the Fisheries Partnership Agreement with the Islamic Republic of Mauritania helps to maintain and expand fishing opportunities for EU vessels in the fishing zone of Mauritania.</w:t>
      </w:r>
    </w:p>
    <w:p>
      <w:pPr>
        <w:pStyle w:val="Text1"/>
        <w:pBdr>
          <w:top w:val="single" w:sz="4" w:space="1" w:color="auto"/>
          <w:left w:val="single" w:sz="4" w:space="4" w:color="auto"/>
          <w:bottom w:val="single" w:sz="4" w:space="1" w:color="auto"/>
          <w:right w:val="single" w:sz="4" w:space="4" w:color="auto"/>
        </w:pBdr>
        <w:rPr>
          <w:noProof/>
        </w:rPr>
      </w:pPr>
      <w:r>
        <w:rPr>
          <w:noProof/>
        </w:rPr>
        <w:t>The additional annual financial contribution of 2 500 000 euro to be paid by the Union in return for these new fishing opportunities could contribute to better management and conservation of fishery resources as Mauritania may decide to use it for the implementation of its national sectoral strategy for ensuring the sustainable development of its fisheries sector, in addition to the dedicated financial contribution it receives under the Protocol for the development of its fisheries sector ('sectoral support').</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Rates of utilisation of fishing opportunities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Gathering and analysing data on catches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EU and to stabilising the EU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Number of technical meetings and meetings of the Joint Committee.</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The 2015-2019 Protocol to the Fisheries Partnership Agreement with Mauritania provides a framework for the fishing activities of the European Union’s fleet within Mauritania’s fishing zone and enhances cooperation with Mauritania with a view to promoting the development of a sustainable fisheries policy.</w:t>
      </w:r>
    </w:p>
    <w:p>
      <w:pPr>
        <w:pStyle w:val="Text1"/>
        <w:pBdr>
          <w:top w:val="single" w:sz="4" w:space="1" w:color="auto"/>
          <w:left w:val="single" w:sz="4" w:space="4" w:color="auto"/>
          <w:bottom w:val="single" w:sz="4" w:space="1" w:color="auto"/>
          <w:right w:val="single" w:sz="4" w:space="4" w:color="auto"/>
        </w:pBdr>
        <w:rPr>
          <w:noProof/>
        </w:rPr>
      </w:pPr>
      <w:r>
        <w:rPr>
          <w:noProof/>
        </w:rPr>
        <w:t>The Protocol provides for the possibility that, on the basis of the scientific advice available, the two parties may agree within the Joint Committee on the allocation of fishing opportunities for freezer trawlers targeting demersal species in respect of which a surplus has been identified.</w:t>
      </w:r>
    </w:p>
    <w:p>
      <w:pPr>
        <w:pStyle w:val="Text1"/>
        <w:pBdr>
          <w:top w:val="single" w:sz="4" w:space="1" w:color="auto"/>
          <w:left w:val="single" w:sz="4" w:space="4" w:color="auto"/>
          <w:bottom w:val="single" w:sz="4" w:space="1" w:color="auto"/>
          <w:right w:val="single" w:sz="4" w:space="4" w:color="auto"/>
        </w:pBdr>
        <w:rPr>
          <w:noProof/>
        </w:rPr>
      </w:pPr>
      <w:r>
        <w:rPr>
          <w:noProof/>
        </w:rPr>
        <w:t>During its meeting in Nouakchott on 15 and 16 November 2016, the Joint Committee established under Article 10 of the Agreement decided to grant new fishing opportunities for freezer trawlers targeting black hake as a primary species as well as squid and cuttlefish as secondary species in Mauritanian waters, within the limits of the available surplus.</w:t>
      </w:r>
    </w:p>
    <w:p>
      <w:pPr>
        <w:pStyle w:val="Text1"/>
        <w:pBdr>
          <w:top w:val="single" w:sz="4" w:space="1" w:color="auto"/>
          <w:left w:val="single" w:sz="4" w:space="4" w:color="auto"/>
          <w:bottom w:val="single" w:sz="4" w:space="1" w:color="auto"/>
          <w:right w:val="single" w:sz="4" w:space="4" w:color="auto"/>
        </w:pBdr>
        <w:rPr>
          <w:noProof/>
        </w:rPr>
      </w:pPr>
      <w:r>
        <w:rPr>
          <w:noProof/>
        </w:rPr>
        <w:t>This decision allows those EU vessels which have been unable to fish in the waters of Mauritania since the exclusion of cephalopods from the 2012-2014 and 2015-2019 Protocols, to resume fishing in Mauritania.</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In order to ensure the sustainability of fishing activities, the exclusivity clause included in the Fisheries Partnership Agreement with Mauritania (Article 6) provides that EU vessels may not fish in Mauritania (including under private agreements) except if they are in the possession of a fishing authorisation issued in the framework of the Agreement.</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On the basis of the available scientific advice and assessments, the two parties have set an authorised catch volume for the new fishing category 2bis of 3 500 tonnes of black hake, 1 450 tonnes of squid and 600 tonnes of cuttlefish. Within this category, a maximum of 6 vessels may be deployed in Mauritanian waters at any one time.</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b/>
          <w:noProof/>
        </w:rPr>
        <w:t>X</w:t>
      </w:r>
      <w:r>
        <w:rPr>
          <w:b/>
          <w:i/>
          <w:noProof/>
        </w:rPr>
        <w:t xml:space="preserve"> </w:t>
      </w:r>
      <w:r>
        <w:rPr>
          <w:noProof/>
        </w:rPr>
        <w:t xml:space="preserve">Proposal/initiative of </w:t>
      </w:r>
      <w:r>
        <w:rPr>
          <w:b/>
          <w:noProof/>
        </w:rPr>
        <w:t xml:space="preserve">limited duration </w:t>
      </w:r>
    </w:p>
    <w:p>
      <w:pPr>
        <w:pStyle w:val="ListDash2"/>
        <w:rPr>
          <w:noProof/>
        </w:rPr>
      </w:pPr>
      <w:r>
        <w:rPr>
          <w:b/>
          <w:noProof/>
        </w:rPr>
        <w:t>X</w:t>
      </w:r>
      <w:r>
        <w:rPr>
          <w:noProof/>
        </w:rPr>
        <w:tab/>
        <w:t>Proposal/initiative in effect from 2017 to 2019</w:t>
      </w:r>
    </w:p>
    <w:p>
      <w:pPr>
        <w:pStyle w:val="ListDash2"/>
        <w:rPr>
          <w:noProof/>
        </w:rPr>
      </w:pPr>
      <w:r>
        <w:rPr>
          <w:b/>
          <w:noProof/>
        </w:rPr>
        <w:t>X</w:t>
      </w:r>
      <w:r>
        <w:rPr>
          <w:noProof/>
        </w:rPr>
        <w:tab/>
        <w:t>Financial impact from 2017 to 2019</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9"/>
      </w:r>
      <w:r>
        <w:rPr>
          <w:rStyle w:val="FootnoteReference"/>
          <w:noProof/>
        </w:rPr>
        <w:t xml:space="preserve"> </w:t>
      </w:r>
    </w:p>
    <w:p>
      <w:pPr>
        <w:pStyle w:val="Text1"/>
        <w:rPr>
          <w:noProof/>
        </w:rPr>
      </w:pPr>
      <w:r>
        <w:rPr>
          <w:b/>
          <w:noProof/>
        </w:rPr>
        <w:t>X</w:t>
      </w:r>
      <w:r>
        <w:rPr>
          <w:i/>
          <w:noProof/>
        </w:rPr>
        <w:t xml:space="preserve"> </w:t>
      </w:r>
      <w:r>
        <w:rPr>
          <w:b/>
          <w:noProof/>
        </w:rPr>
        <w:t>Direct management</w:t>
      </w:r>
      <w:r>
        <w:rPr>
          <w:noProof/>
        </w:rPr>
        <w:t xml:space="preserve"> by the Commission</w:t>
      </w:r>
    </w:p>
    <w:p>
      <w:pPr>
        <w:pStyle w:val="ListDash2"/>
        <w:rPr>
          <w:rFonts w:cs="EUAlbertina"/>
          <w:noProof/>
        </w:rPr>
      </w:pPr>
      <w:r>
        <w:rPr>
          <w:b/>
          <w:noProof/>
        </w:rPr>
        <w:t>X</w:t>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in collaboration with its fisheries counsellor in Mauritania and the European Union’s Delegation in Nouakchott) ensures regular monitoring of the implementation of this Protocol, particularly as regards operators’ use of fishing opportunities and in terms of catch data. </w:t>
      </w:r>
    </w:p>
    <w:p>
      <w:pPr>
        <w:pStyle w:val="Text1"/>
        <w:pBdr>
          <w:top w:val="single" w:sz="4" w:space="1" w:color="auto"/>
          <w:left w:val="single" w:sz="4" w:space="4" w:color="auto"/>
          <w:bottom w:val="single" w:sz="4" w:space="1" w:color="auto"/>
          <w:right w:val="single" w:sz="4" w:space="4" w:color="auto"/>
        </w:pBdr>
        <w:rPr>
          <w:noProof/>
        </w:rPr>
      </w:pPr>
      <w:r>
        <w:rPr>
          <w:noProof/>
        </w:rPr>
        <w:t>The Fisheries Partnership Agreement also provides for at least one annual meeting of the Joint Committee to review the implementation of the Agreement and Protocol and, if necessary, adjust the fishing opportunities and financial contribution.</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Commission maintains a political dialogue and regular coordination with the Mauritania in order to ensure the proper management of the Agreement and Protocol. In any event, any payment which the Commission makes under an SFPA is subject to the Commission’s standard rules and budgetary and financial procedures. This makes it possible, in particular, to fully identify the bank accounts of the third countries into which the financial contribution is paid. Article 2, paragraph 8 of the Protocol stipulates that the financial contribution for access must be paid into an account held by the Public Treasury with the Mauritanian Central Bank.</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r>
              <w:rPr>
                <w:rStyle w:val="FootnoteReference"/>
                <w:noProof/>
                <w:sz w:val="18"/>
              </w:rPr>
              <w:footnoteReference w:id="10"/>
            </w:r>
          </w:p>
        </w:tc>
        <w:tc>
          <w:tcPr>
            <w:tcW w:w="956" w:type="dxa"/>
            <w:vAlign w:val="center"/>
          </w:tcPr>
          <w:p>
            <w:pPr>
              <w:jc w:val="center"/>
              <w:rPr>
                <w:noProof/>
                <w:sz w:val="22"/>
              </w:rPr>
            </w:pPr>
            <w:r>
              <w:rPr>
                <w:noProof/>
                <w:sz w:val="18"/>
              </w:rPr>
              <w:t>from EFTA countries</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sz w:val="22"/>
              </w:rPr>
            </w:pPr>
            <w:r>
              <w:rPr>
                <w:noProof/>
                <w:sz w:val="22"/>
              </w:rPr>
              <w:t>2</w:t>
            </w:r>
          </w:p>
        </w:tc>
        <w:tc>
          <w:tcPr>
            <w:tcW w:w="3960" w:type="dxa"/>
            <w:vAlign w:val="center"/>
          </w:tcPr>
          <w:p>
            <w:pPr>
              <w:spacing w:before="60"/>
              <w:rPr>
                <w:noProof/>
              </w:rPr>
            </w:pPr>
            <w:r>
              <w:rPr>
                <w:noProof/>
              </w:rPr>
              <w:t>11.03 01</w:t>
            </w:r>
          </w:p>
          <w:p>
            <w:pPr>
              <w:spacing w:before="60"/>
              <w:rPr>
                <w:noProof/>
                <w:sz w:val="22"/>
              </w:rPr>
            </w:pPr>
            <w:r>
              <w:rPr>
                <w:noProof/>
              </w:rPr>
              <w:t>To establish a governance framework for fishing activities carried out by fishing Union vessels in third country waters (SFAs)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rPr>
              <w:t>[…]</w:t>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sz w:val="22"/>
              </w:rPr>
            </w:pPr>
          </w:p>
        </w:tc>
        <w:tc>
          <w:tcPr>
            <w:tcW w:w="3960" w:type="dxa"/>
            <w:vAlign w:val="center"/>
          </w:tcPr>
          <w:p>
            <w:pPr>
              <w:spacing w:before="60"/>
              <w:rPr>
                <w:noProof/>
                <w:sz w:val="22"/>
              </w:rPr>
            </w:pPr>
            <w:r>
              <w:rPr>
                <w:noProof/>
              </w:rPr>
              <w:t>[…]</w:t>
            </w:r>
            <w:r>
              <w:rPr>
                <w:noProof/>
                <w:sz w:val="22"/>
              </w:rPr>
              <w:t>[XX.YY.YY.YY]</w:t>
            </w:r>
          </w:p>
          <w:p>
            <w:pPr>
              <w:spacing w:after="60"/>
              <w:rPr>
                <w:noProof/>
                <w:sz w:val="22"/>
              </w:rPr>
            </w:pPr>
          </w:p>
        </w:tc>
        <w:tc>
          <w:tcPr>
            <w:tcW w:w="1080" w:type="dxa"/>
            <w:vAlign w:val="center"/>
          </w:tcPr>
          <w:p>
            <w:pPr>
              <w:jc w:val="center"/>
              <w:rPr>
                <w:noProo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sz w:val="18"/>
              </w:rPr>
            </w:pPr>
            <w:r>
              <w:rPr>
                <w:noProof/>
                <w:sz w:val="22"/>
              </w:rPr>
              <w:t>YES/NO</w:t>
            </w:r>
          </w:p>
        </w:tc>
        <w:tc>
          <w:tcPr>
            <w:tcW w:w="956" w:type="dxa"/>
            <w:vAlign w:val="center"/>
          </w:tcPr>
          <w:p>
            <w:pPr>
              <w:jc w:val="center"/>
              <w:rPr>
                <w:noProo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before="60" w:after="60"/>
              <w:rPr>
                <w:noProof/>
                <w:sz w:val="22"/>
              </w:rPr>
            </w:pPr>
            <w:r>
              <w:rPr>
                <w:noProof/>
              </w:rPr>
              <w:t>2 - Sustainable growth: Natural Resources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2017</w:t>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 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3"/>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2017</w:t>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5.000</w:t>
            </w:r>
          </w:p>
        </w:tc>
        <w:tc>
          <w:tcPr>
            <w:tcW w:w="868" w:type="dxa"/>
            <w:vAlign w:val="center"/>
          </w:tcPr>
          <w:p>
            <w:pPr>
              <w:spacing w:before="60" w:after="60"/>
              <w:jc w:val="right"/>
              <w:rPr>
                <w:noProof/>
                <w:sz w:val="20"/>
              </w:rPr>
            </w:pPr>
            <w:r>
              <w:rPr>
                <w:noProof/>
                <w:sz w:val="20"/>
              </w:rPr>
              <w:t>2.500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7.500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5.000</w:t>
            </w:r>
          </w:p>
        </w:tc>
        <w:tc>
          <w:tcPr>
            <w:tcW w:w="868" w:type="dxa"/>
            <w:vAlign w:val="center"/>
          </w:tcPr>
          <w:p>
            <w:pPr>
              <w:spacing w:before="60" w:after="60"/>
              <w:jc w:val="right"/>
              <w:rPr>
                <w:noProof/>
                <w:sz w:val="20"/>
              </w:rPr>
            </w:pPr>
            <w:r>
              <w:rPr>
                <w:noProof/>
                <w:sz w:val="20"/>
              </w:rPr>
              <w:t>2.500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7.500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b/>
          <w:noProof/>
        </w:rPr>
        <w:t>X</w:t>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
        <w:gridCol w:w="648"/>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2017</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2018</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2019</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Nr of vessels licences</w:t>
            </w:r>
          </w:p>
        </w:tc>
        <w:tc>
          <w:tcPr>
            <w:tcW w:w="720" w:type="dxa"/>
          </w:tcPr>
          <w:p>
            <w:pPr>
              <w:ind w:right="-29"/>
              <w:jc w:val="center"/>
              <w:rPr>
                <w:noProof/>
                <w:sz w:val="18"/>
                <w:szCs w:val="18"/>
              </w:rPr>
            </w:pPr>
          </w:p>
        </w:tc>
        <w:tc>
          <w:tcPr>
            <w:tcW w:w="701" w:type="dxa"/>
          </w:tcPr>
          <w:p>
            <w:pPr>
              <w:ind w:right="-29"/>
              <w:jc w:val="center"/>
              <w:rPr>
                <w:noProof/>
                <w:sz w:val="18"/>
                <w:szCs w:val="18"/>
              </w:rPr>
            </w:pPr>
            <w:r>
              <w:rPr>
                <w:noProof/>
                <w:sz w:val="18"/>
                <w:szCs w:val="18"/>
              </w:rPr>
              <w:t>0.417</w:t>
            </w:r>
          </w:p>
        </w:tc>
        <w:tc>
          <w:tcPr>
            <w:tcW w:w="504" w:type="dxa"/>
            <w:tcBorders>
              <w:right w:val="dashSmallGap" w:sz="4" w:space="0" w:color="auto"/>
            </w:tcBorders>
          </w:tcPr>
          <w:p>
            <w:pPr>
              <w:ind w:right="-29"/>
              <w:jc w:val="center"/>
              <w:rPr>
                <w:noProof/>
                <w:sz w:val="18"/>
                <w:szCs w:val="18"/>
              </w:rPr>
            </w:pPr>
            <w:r>
              <w:rPr>
                <w:noProof/>
                <w:sz w:val="18"/>
                <w:szCs w:val="18"/>
              </w:rPr>
              <w:t>12</w:t>
            </w:r>
          </w:p>
        </w:tc>
        <w:tc>
          <w:tcPr>
            <w:tcW w:w="720" w:type="dxa"/>
            <w:tcBorders>
              <w:left w:val="dashSmallGap" w:sz="4" w:space="0" w:color="auto"/>
            </w:tcBorders>
          </w:tcPr>
          <w:p>
            <w:pPr>
              <w:ind w:right="-29"/>
              <w:jc w:val="center"/>
              <w:rPr>
                <w:noProof/>
                <w:sz w:val="18"/>
                <w:szCs w:val="18"/>
              </w:rPr>
            </w:pPr>
            <w:r>
              <w:rPr>
                <w:noProof/>
                <w:sz w:val="18"/>
                <w:szCs w:val="18"/>
              </w:rPr>
              <w:t>5.000</w:t>
            </w:r>
          </w:p>
        </w:tc>
        <w:tc>
          <w:tcPr>
            <w:tcW w:w="540" w:type="dxa"/>
            <w:tcBorders>
              <w:right w:val="dashSmallGap" w:sz="4" w:space="0" w:color="auto"/>
            </w:tcBorders>
          </w:tcPr>
          <w:p>
            <w:pPr>
              <w:ind w:right="-29"/>
              <w:jc w:val="center"/>
              <w:rPr>
                <w:noProof/>
                <w:sz w:val="18"/>
                <w:szCs w:val="18"/>
              </w:rPr>
            </w:pPr>
            <w:r>
              <w:rPr>
                <w:noProof/>
                <w:sz w:val="18"/>
                <w:szCs w:val="18"/>
              </w:rPr>
              <w:t>6</w:t>
            </w:r>
          </w:p>
        </w:tc>
        <w:tc>
          <w:tcPr>
            <w:tcW w:w="720" w:type="dxa"/>
            <w:tcBorders>
              <w:left w:val="dashSmallGap" w:sz="4" w:space="0" w:color="auto"/>
            </w:tcBorders>
          </w:tcPr>
          <w:p>
            <w:pPr>
              <w:ind w:right="-29"/>
              <w:jc w:val="center"/>
              <w:rPr>
                <w:noProof/>
                <w:sz w:val="18"/>
                <w:szCs w:val="18"/>
              </w:rPr>
            </w:pPr>
            <w:r>
              <w:rPr>
                <w:noProof/>
                <w:sz w:val="18"/>
                <w:szCs w:val="18"/>
              </w:rPr>
              <w:t>2.500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r>
              <w:rPr>
                <w:noProof/>
                <w:sz w:val="18"/>
                <w:szCs w:val="18"/>
              </w:rPr>
              <w:t>18</w:t>
            </w:r>
          </w:p>
        </w:tc>
        <w:tc>
          <w:tcPr>
            <w:tcW w:w="900" w:type="dxa"/>
          </w:tcPr>
          <w:p>
            <w:pPr>
              <w:ind w:right="-29"/>
              <w:jc w:val="center"/>
              <w:rPr>
                <w:noProof/>
                <w:sz w:val="18"/>
                <w:szCs w:val="18"/>
              </w:rPr>
            </w:pPr>
            <w:r>
              <w:rPr>
                <w:noProof/>
                <w:sz w:val="18"/>
                <w:szCs w:val="18"/>
              </w:rPr>
              <w:t>7.500</w:t>
            </w: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r>
              <w:rPr>
                <w:noProof/>
                <w:sz w:val="18"/>
                <w:szCs w:val="18"/>
              </w:rPr>
              <w:t>12</w:t>
            </w:r>
          </w:p>
        </w:tc>
        <w:tc>
          <w:tcPr>
            <w:tcW w:w="720" w:type="dxa"/>
            <w:tcBorders>
              <w:bottom w:val="single" w:sz="12" w:space="0" w:color="auto"/>
            </w:tcBorders>
          </w:tcPr>
          <w:p>
            <w:pPr>
              <w:ind w:right="-29"/>
              <w:jc w:val="center"/>
              <w:rPr>
                <w:noProof/>
                <w:sz w:val="18"/>
                <w:szCs w:val="18"/>
              </w:rPr>
            </w:pPr>
            <w:r>
              <w:rPr>
                <w:noProof/>
                <w:sz w:val="18"/>
                <w:szCs w:val="18"/>
              </w:rPr>
              <w:t>5.000</w:t>
            </w:r>
          </w:p>
        </w:tc>
        <w:tc>
          <w:tcPr>
            <w:tcW w:w="540" w:type="dxa"/>
            <w:tcBorders>
              <w:bottom w:val="single" w:sz="12" w:space="0" w:color="auto"/>
            </w:tcBorders>
          </w:tcPr>
          <w:p>
            <w:pPr>
              <w:ind w:right="-29"/>
              <w:jc w:val="center"/>
              <w:rPr>
                <w:noProof/>
                <w:sz w:val="18"/>
                <w:szCs w:val="18"/>
              </w:rPr>
            </w:pPr>
            <w:r>
              <w:rPr>
                <w:noProof/>
                <w:sz w:val="18"/>
                <w:szCs w:val="18"/>
              </w:rPr>
              <w:t>6</w:t>
            </w:r>
          </w:p>
        </w:tc>
        <w:tc>
          <w:tcPr>
            <w:tcW w:w="720" w:type="dxa"/>
            <w:tcBorders>
              <w:bottom w:val="single" w:sz="12" w:space="0" w:color="auto"/>
            </w:tcBorders>
          </w:tcPr>
          <w:p>
            <w:pPr>
              <w:ind w:right="-29"/>
              <w:jc w:val="center"/>
              <w:rPr>
                <w:noProof/>
                <w:sz w:val="18"/>
                <w:szCs w:val="18"/>
              </w:rPr>
            </w:pPr>
            <w:r>
              <w:rPr>
                <w:noProof/>
                <w:sz w:val="18"/>
                <w:szCs w:val="18"/>
              </w:rPr>
              <w:t>2.500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18</w:t>
            </w:r>
          </w:p>
        </w:tc>
        <w:tc>
          <w:tcPr>
            <w:tcW w:w="900" w:type="dxa"/>
            <w:tcBorders>
              <w:bottom w:val="single" w:sz="12" w:space="0" w:color="auto"/>
            </w:tcBorders>
          </w:tcPr>
          <w:p>
            <w:pPr>
              <w:ind w:right="-29"/>
              <w:jc w:val="center"/>
              <w:rPr>
                <w:noProof/>
                <w:sz w:val="18"/>
                <w:szCs w:val="18"/>
              </w:rPr>
            </w:pPr>
            <w:r>
              <w:rPr>
                <w:noProof/>
                <w:sz w:val="18"/>
                <w:szCs w:val="18"/>
              </w:rPr>
              <w:t>7.500</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72" w:type="dxa"/>
            <w:gridSpan w:val="2"/>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r>
              <w:rPr>
                <w:rStyle w:val="FootnoteReference"/>
                <w:b/>
                <w:noProof/>
                <w:sz w:val="18"/>
              </w:rPr>
              <w:footnoteReference w:id="16"/>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12</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5.000</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6</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18</w:t>
            </w: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7.500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b/>
          <w:noProof/>
        </w:rPr>
        <w:t>X</w:t>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8"/>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b/>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9"/>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b/>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b/>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the table of categories of fishing attached to the Protocol (OJ L 315, 1.12.2015, p. 13).</w:t>
      </w:r>
    </w:p>
  </w:footnote>
  <w:footnote w:id="2">
    <w:p>
      <w:pPr>
        <w:pStyle w:val="FootnoteText"/>
      </w:pPr>
      <w:r>
        <w:rPr>
          <w:rStyle w:val="FootnoteReference"/>
        </w:rPr>
        <w:footnoteRef/>
      </w:r>
      <w:r>
        <w:rPr>
          <w:lang w:val="fr-BE"/>
        </w:rPr>
        <w:tab/>
        <w:t xml:space="preserve">COFREPECHE, NFDS, POSEIDON et MRAG, 2014. Évaluation rétrospective et prospective du protocole de l’accord de partenariat dans le secteur de la pêche entre l'Union européenne et la République islamique de Mauritanie (sous le Contrat cadre MARE/2011/01 - Lot 3, contrat spécifique 8). </w:t>
      </w:r>
      <w:r>
        <w:t xml:space="preserve">Bruxelles, </w:t>
      </w:r>
      <w:r>
        <w:fldChar w:fldCharType="begin"/>
      </w:r>
      <w:r>
        <w:instrText xml:space="preserve"> NUMPAGES   \* MERGEFORMAT </w:instrText>
      </w:r>
      <w:r>
        <w:fldChar w:fldCharType="separate"/>
      </w:r>
      <w:r>
        <w:t>176</w:t>
      </w:r>
      <w:r>
        <w:fldChar w:fldCharType="end"/>
      </w:r>
      <w:r>
        <w:t xml:space="preserve"> p.</w:t>
      </w:r>
    </w:p>
  </w:footnote>
  <w:footnote w:id="3">
    <w:p>
      <w:pPr>
        <w:pStyle w:val="FootnoteText"/>
      </w:pPr>
      <w:r>
        <w:rPr>
          <w:rStyle w:val="FootnoteReference"/>
        </w:rPr>
        <w:footnoteRef/>
      </w:r>
      <w:r>
        <w:tab/>
        <w:t>OJ L 343, 8.12.2006, p. 4.</w:t>
      </w:r>
    </w:p>
  </w:footnote>
  <w:footnote w:id="4">
    <w:p>
      <w:pPr>
        <w:pStyle w:val="FootnoteText"/>
      </w:pPr>
      <w:r>
        <w:rPr>
          <w:rStyle w:val="FootnoteReference"/>
        </w:rPr>
        <w:footnoteRef/>
      </w:r>
      <w:r>
        <w:tab/>
        <w:t>Council Decision (EU) 2016/870 of 24 May 2016 on the conclusion, on behalf of the European Union, of the Protocol setting out the fishing opportunities and financial contribution provided for in the Fisheries Partnership Agreement between the European Community and the Islamic Republic of Mauritania for a period of four years (OJ L 145, 2.6.2016, p. 1).</w:t>
      </w:r>
    </w:p>
  </w:footnote>
  <w:footnote w:id="5">
    <w:p>
      <w:pPr>
        <w:pStyle w:val="FootnoteText"/>
      </w:pPr>
      <w:r>
        <w:rPr>
          <w:rStyle w:val="FootnoteReference"/>
        </w:rPr>
        <w:footnoteRef/>
      </w:r>
      <w:r>
        <w:tab/>
        <w:t>OJ L 315, 1.12.2015, p. 3.</w:t>
      </w:r>
    </w:p>
  </w:footnote>
  <w:footnote w:id="6">
    <w:p>
      <w:pPr>
        <w:pStyle w:val="FootnoteText"/>
      </w:pPr>
      <w:r>
        <w:rPr>
          <w:rStyle w:val="FootnoteReference"/>
        </w:rPr>
        <w:footnoteRef/>
      </w:r>
      <w:r>
        <w:tab/>
        <w:t>Council Regulation (EU) 2015/2192 of 10 November 2015 on the allocation of the fishing opportunities under the Protocol setting out the fishing opportunities and financial contribution provided for in the Fisheries Partnership Agreement between the European Community and the Islamic Republic of Mauritania for a period of four years (OJ L 315, 1.12.2015, p. 72).</w:t>
      </w:r>
    </w:p>
  </w:footnote>
  <w:footnote w:id="7">
    <w:p>
      <w:pPr>
        <w:pStyle w:val="FootnoteText"/>
        <w:rPr>
          <w:szCs w:val="24"/>
        </w:rPr>
      </w:pPr>
      <w:r>
        <w:rPr>
          <w:rStyle w:val="FootnoteReference"/>
        </w:rPr>
        <w:footnoteRef/>
      </w:r>
      <w:r>
        <w:tab/>
        <w:t>ABM: activity-based management; ABB: activity-based budgeting.</w:t>
      </w:r>
    </w:p>
  </w:footnote>
  <w:footnote w:id="8">
    <w:p>
      <w:pPr>
        <w:pStyle w:val="FootnoteText"/>
        <w:rPr>
          <w:szCs w:val="24"/>
        </w:rPr>
      </w:pPr>
      <w:r>
        <w:rPr>
          <w:rStyle w:val="FootnoteReference"/>
        </w:rPr>
        <w:footnoteRef/>
      </w:r>
      <w:r>
        <w:tab/>
        <w:t>As referred to in Article 54(2)(a) or (b) of the Financial Regulation.</w:t>
      </w:r>
    </w:p>
  </w:footnote>
  <w:footnote w:id="9">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0">
    <w:p>
      <w:pPr>
        <w:pStyle w:val="FootnoteText"/>
        <w:rPr>
          <w:szCs w:val="24"/>
        </w:rPr>
      </w:pPr>
      <w:r>
        <w:rPr>
          <w:rStyle w:val="FootnoteReference"/>
        </w:rPr>
        <w:footnoteRef/>
      </w:r>
      <w:r>
        <w:tab/>
        <w:t>Diff. = Differentiated appropriations / Non-diff. = Non-differentiated appropriations.</w:t>
      </w:r>
    </w:p>
  </w:footnote>
  <w:footnote w:id="11">
    <w:p>
      <w:pPr>
        <w:pStyle w:val="FootnoteText"/>
        <w:rPr>
          <w:szCs w:val="24"/>
        </w:rPr>
      </w:pPr>
      <w:r>
        <w:rPr>
          <w:rStyle w:val="FootnoteReference"/>
        </w:rPr>
        <w:footnoteRef/>
      </w:r>
      <w:r>
        <w:tab/>
        <w:t xml:space="preserve">EFTA: European Free Trade Association. </w:t>
      </w:r>
    </w:p>
  </w:footnote>
  <w:footnote w:id="12">
    <w:p>
      <w:pPr>
        <w:pStyle w:val="FootnoteText"/>
        <w:rPr>
          <w:szCs w:val="24"/>
        </w:rPr>
      </w:pPr>
      <w:r>
        <w:rPr>
          <w:rStyle w:val="FootnoteReference"/>
        </w:rPr>
        <w:footnoteRef/>
      </w:r>
      <w:r>
        <w:tab/>
        <w:t>Candidate countries and, where applicable, potential candidate countries from the Western Balkans.</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5">
    <w:p>
      <w:pPr>
        <w:pStyle w:val="FootnoteText"/>
        <w:rPr>
          <w:szCs w:val="24"/>
        </w:rPr>
      </w:pPr>
      <w:r>
        <w:rPr>
          <w:rStyle w:val="FootnoteReference"/>
        </w:rPr>
        <w:footnoteRef/>
      </w:r>
      <w:r>
        <w:tab/>
        <w:t xml:space="preserve">As described in point 1.4.2. ‘Specific objective(s)…’ </w:t>
      </w:r>
    </w:p>
  </w:footnote>
  <w:footnote w:id="16">
    <w:p>
      <w:pPr>
        <w:pStyle w:val="FootnoteText"/>
      </w:pPr>
      <w:r>
        <w:rPr>
          <w:rStyle w:val="FootnoteReference"/>
        </w:rPr>
        <w:footnoteRef/>
      </w:r>
      <w:r>
        <w:tab/>
        <w:t>In 2017, the Commission will pay for the years of application of the Protocol 2016/2017 and 2017/2018. In the year 2018, the Commission will pay for the year of application 2018/2019. This is due to the fact that payments for access have to be made by the anniversary date of the Protocol which is 16 November. For instance, by 16 November 2018, the Commission will have to pay the access payment for the year of application 2018/2019.</w:t>
      </w:r>
    </w:p>
  </w:footnote>
  <w:footnote w:id="17">
    <w:p>
      <w:pPr>
        <w:pStyle w:val="FootnoteText"/>
        <w:rPr>
          <w:szCs w:val="24"/>
        </w:rPr>
      </w:pPr>
      <w:r>
        <w:rPr>
          <w:rStyle w:val="FootnoteReference"/>
        </w:rPr>
        <w:footnoteRef/>
      </w:r>
      <w:r>
        <w:tab/>
        <w:t>Year N is the year in which implementation of the proposal/initiative starts.</w:t>
      </w:r>
    </w:p>
  </w:footnote>
  <w:footnote w:id="1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9">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0">
    <w:p>
      <w:pPr>
        <w:pStyle w:val="FootnoteText"/>
        <w:rPr>
          <w:szCs w:val="24"/>
        </w:rPr>
      </w:pPr>
      <w:r>
        <w:rPr>
          <w:rStyle w:val="FootnoteReference"/>
        </w:rPr>
        <w:footnoteRef/>
      </w:r>
      <w:r>
        <w:tab/>
        <w:t>Sub-ceiling for external staff covered by operational appropriations (former ‘BA’ lines).</w:t>
      </w:r>
    </w:p>
  </w:footnote>
  <w:footnote w:id="21">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0A67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EBE1F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4EF5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FA48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D6CA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9 10:33: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B77851C60A44228A2CD9489B5B6C176"/>
    <w:docVar w:name="LW_CROSSREFERENCE" w:val="&lt;UNUSED&gt;"/>
    <w:docVar w:name="LW_DocType" w:val="COM"/>
    <w:docVar w:name="LW_EMISSION" w:val="15.3.2017"/>
    <w:docVar w:name="LW_EMISSION_ISODATE" w:val="2017-03-15"/>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53"/>
    <w:docVar w:name="LW_REF.II.NEW.CP_YEAR" w:val="2017"/>
    <w:docVar w:name="LW_REF.INST.NEW" w:val="COM"/>
    <w:docVar w:name="LW_REF.INST.NEW_ADOPTED" w:val="final"/>
    <w:docVar w:name="LW_REF.INST.NEW_TEXT" w:val="(2017) 125"/>
    <w:docVar w:name="LW_REF.INTERNE" w:val="&lt;UNUSED&gt;"/>
    <w:docVar w:name="LW_SOUS.TITRE.OBJ.CP" w:val="&lt;UNUSED&gt;"/>
    <w:docVar w:name="LW_STATUT.CP" w:val="Proposal for a"/>
    <w:docVar w:name="LW_SUPERTITRE" w:val="&lt;UNUSED&gt;"/>
    <w:docVar w:name="LW_TITRE.OBJ.CP" w:val="amending Regulation (EU) 2015/2192 on the allocation of the fishing opportunities under the Protocol setting out the fishing opportunities and financial contribution provided for in the Fisheries Partnership Agreement between the European Union and the Islamic Republic of Mauritania"/>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06AC-CE54-47AD-BA4E-A441D039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4066</Words>
  <Characters>23381</Characters>
  <Application>Microsoft Office Word</Application>
  <DocSecurity>0</DocSecurity>
  <Lines>1375</Lines>
  <Paragraphs>571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2017-01-25T16:45:00Z</dcterms:created>
  <dcterms:modified xsi:type="dcterms:W3CDTF">2017-03-09T09:33:00Z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