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EFD2F78CB3415A96CC72EDA16F7438"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Le règlement (UE) 2015/2192 du Conseil répartit entre les États membres les possibilités de pêche fixées dans le protocole 2015-2019 à l’accord de partenariat dans le secteur de la pêche entre l’Union européenne et la Mauritanie. </w:t>
      </w:r>
    </w:p>
    <w:p>
      <w:pPr>
        <w:pBdr>
          <w:top w:val="nil"/>
          <w:left w:val="nil"/>
          <w:bottom w:val="nil"/>
          <w:right w:val="nil"/>
          <w:between w:val="nil"/>
          <w:bar w:val="nil"/>
        </w:pBdr>
        <w:spacing w:before="0" w:after="240"/>
        <w:rPr>
          <w:noProof/>
        </w:rPr>
      </w:pPr>
      <w:r>
        <w:rPr>
          <w:noProof/>
        </w:rPr>
        <w:t>Lors de sa réunion à Nouakchott les 15 et 16 novembre 2016, la commission mixte instituée en vertu de l’article 10 de l’accord de partenariat a décidé d’accorder de nouvelles possibilités de pêche à des chalutiers congélateurs de l’Union ciblant le merlu noir comme espèce cible principale (3 500 tonnes), ainsi que les calmars (1 450 tonnes) et les seiches (600 tonnes) comme espèces cibles secondaires, dans les limites du reliquat disponible.</w:t>
      </w:r>
    </w:p>
    <w:p>
      <w:pPr>
        <w:pBdr>
          <w:top w:val="nil"/>
          <w:left w:val="nil"/>
          <w:bottom w:val="nil"/>
          <w:right w:val="nil"/>
          <w:between w:val="nil"/>
          <w:bar w:val="nil"/>
        </w:pBdr>
        <w:spacing w:before="0" w:after="240"/>
        <w:rPr>
          <w:noProof/>
        </w:rPr>
      </w:pPr>
      <w:r>
        <w:rPr>
          <w:noProof/>
        </w:rPr>
        <w:t xml:space="preserve">L’objectif de la proposition est d’attribuer ces nouvelles possibilités de pêche aux États membres. </w:t>
      </w:r>
    </w:p>
    <w:p>
      <w:pPr>
        <w:pStyle w:val="ManualHeading2"/>
        <w:rPr>
          <w:rFonts w:eastAsia="Arial Unicode MS"/>
          <w:noProof/>
          <w:u w:color="000000"/>
          <w:bdr w:val="nil"/>
        </w:rPr>
      </w:pPr>
      <w:r>
        <w:rPr>
          <w:noProof/>
        </w:rPr>
        <w:t>•</w:t>
      </w:r>
      <w:r>
        <w:rPr>
          <w:noProof/>
        </w:rPr>
        <w:tab/>
        <w:t>Cohérence par rapport aux dispositions existantes dans le domaine d’action</w:t>
      </w:r>
    </w:p>
    <w:p>
      <w:pPr>
        <w:pBdr>
          <w:top w:val="nil"/>
          <w:left w:val="nil"/>
          <w:bottom w:val="nil"/>
          <w:right w:val="nil"/>
          <w:between w:val="nil"/>
          <w:bar w:val="nil"/>
        </w:pBdr>
        <w:spacing w:before="0" w:after="240"/>
        <w:rPr>
          <w:noProof/>
        </w:rPr>
      </w:pPr>
      <w:r>
        <w:rPr>
          <w:noProof/>
        </w:rPr>
        <w:t>La proposition respecte pleinement le principe de l’exploitation durable des ressources halieutiques et des écosystèmes marins et est compatible avec le protocole qui prévoit que, sur la base des avis scientifiques disponibles, les deux parties pourront s’accorder en commission mixte sur l’attribution de possibilités de pêche pour des chalutiers congélateurs ciblant des espèces démersales pour lesquelles un reliquat est identifié</w:t>
      </w:r>
      <w:r>
        <w:rPr>
          <w:rStyle w:val="FootnoteReference"/>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La proposition est également conforme au règlement (UE) nº 1380/2013 relatif à la politique commune de la pêche ainsi qu'aux conclusions du Conseil du 19 mars 2012 sur la communication de la Commission relative à la dimension extérieure de la politique commune de la pêche.</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négociation des possibilités de pêche dans le cadre de l’accord de partenariat dans le secteur de la pêche avec la Mauritanie s’inscrit dans le droit fil de l’action extérieure de l’Union à l’égard des pays d’Afrique, des Caraïbes et du Pacifique (ACP).</w:t>
      </w:r>
    </w:p>
    <w:p>
      <w:pPr>
        <w:pBdr>
          <w:top w:val="nil"/>
          <w:left w:val="nil"/>
          <w:bottom w:val="nil"/>
          <w:right w:val="nil"/>
          <w:between w:val="nil"/>
          <w:bar w:val="nil"/>
        </w:pBdr>
        <w:spacing w:before="0" w:after="240"/>
        <w:rPr>
          <w:rFonts w:eastAsia="Arial Unicode MS"/>
          <w:noProof/>
        </w:rPr>
      </w:pPr>
      <w:r>
        <w:rPr>
          <w:noProof/>
        </w:rPr>
        <w:t>Même si c’est à un niveau très local, l'accord de partenariat dans le secteur de la pêche complète l’approche relative au nouveau cadre de partenariat en matière de migration et la création d’activités économiques dans le secteur de la pêche contribue à lutter contre les causes de l’émigration en provenance de Mauritanie.</w:t>
      </w:r>
    </w:p>
    <w:p>
      <w:pPr>
        <w:pStyle w:val="ManualHeading1"/>
        <w:rPr>
          <w:noProof/>
        </w:rPr>
      </w:pPr>
      <w:r>
        <w:rPr>
          <w:noProof/>
        </w:rPr>
        <w:t xml:space="preserve"> 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du règlement est constituée par l’article 43, paragraphe 3, du traité sur le fonctionnement de l’Union européenne (TFUE), qui établit la procédure relative à la fixation et à la répartition des possibilités de pêche.</w:t>
      </w:r>
    </w:p>
    <w:p>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 xml:space="preserve">Sans objet; compétence exclusive.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est proportionnelle à l'objectif fixé.</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Voir l'explication dans la partie «Base juridique».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Une évaluation rétrospective et prospective du précédent protocole 2012-2014 a été réalisée en janvier 2014</w:t>
      </w:r>
      <w:r>
        <w:rPr>
          <w:rStyle w:val="FootnoteReference"/>
          <w:noProof/>
        </w:rPr>
        <w:footnoteReference w:id="2"/>
      </w:r>
      <w:r>
        <w:rPr>
          <w:noProof/>
        </w:rPr>
        <w: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Les parties intéressées ont été consultées dans le cadre de l’évaluation du protocole 2012-2014. Des experts des États membres et des représentants du secteur de l’Union ont également été consultés dans le cadre de réunions techniques. Ces consultations ont mené à la conclusion qu’il est clairement dans l’intérêt des chalutiers congélateurs de l’Union de pêcher le merlu noir, ainsi que les calmars et les seiches en Mauritanie, dans les limites du reliquat disponible.</w:t>
      </w:r>
    </w:p>
    <w:p>
      <w:pPr>
        <w:pBdr>
          <w:top w:val="nil"/>
          <w:left w:val="nil"/>
          <w:bottom w:val="nil"/>
          <w:right w:val="nil"/>
          <w:between w:val="nil"/>
          <w:bar w:val="nil"/>
        </w:pBdr>
        <w:spacing w:before="0" w:after="240"/>
        <w:rPr>
          <w:rFonts w:eastAsia="Arial Unicode MS"/>
          <w:noProof/>
        </w:rPr>
      </w:pPr>
      <w:r>
        <w:rPr>
          <w:noProof/>
        </w:rPr>
        <w:t>Au cours de la réunion de la commission mixte qui s’est tenue à Nouakchott les 15 et 16 novembre 2016, la Mauritanie a confirmé sa volonté d’offrir à l’Union européenne un accès au reliquat disponible.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Le comité scientifique conjoint indépendant institué par l’article 4 du protocole et composé de scientifiques des deux parties a tenu sa cinquième réunion annuelle à Nouakchott du 5 au 7 septembre 2016. Le compte rendu de la réunion a été publié sur le site web de la direction générale des affaires maritimes et de la pêche. </w:t>
      </w:r>
    </w:p>
    <w:p>
      <w:pPr>
        <w:pBdr>
          <w:top w:val="nil"/>
          <w:left w:val="nil"/>
          <w:bottom w:val="nil"/>
          <w:right w:val="nil"/>
          <w:between w:val="nil"/>
          <w:bar w:val="nil"/>
        </w:pBdr>
        <w:spacing w:before="0" w:after="240"/>
        <w:rPr>
          <w:rFonts w:eastAsia="Arial Unicode MS"/>
          <w:noProof/>
        </w:rPr>
      </w:pPr>
      <w:r>
        <w:rPr>
          <w:noProof/>
        </w:rPr>
        <w:t>Le comité a tenu compte des évaluations scientifiques disponibles, notamment celles du Comité des pêches pour l’Atlantique Centre-Est (Copace) et de l’Institut mauritanien de recherches océanographiques et des pêches (IMROP). Sur cette base, le comité a identifié un reliquat disponible de 3 550 tonnes de merlu noir, 1 450 tonnes de calmars et 600 tonnes de seiches.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lastRenderedPageBreak/>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L’article 9, paragraphe 1, point c), du protocole prévoit la possibilité de suspendre son application en cas de déclenchement du mécanisme de consultation prévu à l’article 96 de l’accord de Cotonou relatif à une violation des éléments essentiels et fondamentaux des droits de l’homme tels que définis à l’article 9 dudit accord.</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contrepartie financière annuelle relative à la nouvelle catégorie de pêche a été fixée à 2 500 000 EUR par an. À cet égard, la contrepartie financière annuelle relative à l’accès prévue à l’article 2, paragraphe 1, du protocole est augmentée, passant de 55 000 000 EUR à 57 500 000 EUR.</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2017/0053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portant modification du règlement (UE) 2015/2192 relatif à la répartition des possibilités de pêche au titre du protocole fixant les possibilités de pêche et la contrepartie financière prévues par l’accord de partenariat dans le secteur de la pêche entre l’Union européenne et la République islamique de Mauritanie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30 novembre 2006, le Conseil a adopté le règlement (CE) nº 1801/2006 relatif à la conclusion de l'accord de partenariat dans le secteur de la pêche entre la Communauté européenne et la République islamique de Mauritanie</w:t>
      </w:r>
      <w:r>
        <w:rPr>
          <w:rStyle w:val="FootnoteReference"/>
          <w:noProof/>
        </w:rPr>
        <w:footnoteReference w:id="3"/>
      </w:r>
      <w:r>
        <w:rPr>
          <w:noProof/>
        </w:rPr>
        <w:t xml:space="preserve"> (ci-après dénommé l’«accord de partenariat»).</w:t>
      </w:r>
    </w:p>
    <w:p>
      <w:pPr>
        <w:pStyle w:val="ManualConsidrant"/>
        <w:rPr>
          <w:noProof/>
        </w:rPr>
      </w:pPr>
      <w:r>
        <w:t>(2)</w:t>
      </w:r>
      <w:r>
        <w:tab/>
      </w:r>
      <w:r>
        <w:rPr>
          <w:noProof/>
        </w:rPr>
        <w:t>Le 24 mai 2016, le Conseil a adopté la décision (UE) 2016/870</w:t>
      </w:r>
      <w:r>
        <w:rPr>
          <w:rStyle w:val="FootnoteReference"/>
          <w:noProof/>
        </w:rPr>
        <w:footnoteReference w:id="4"/>
      </w:r>
      <w:r>
        <w:rPr>
          <w:noProof/>
        </w:rPr>
        <w:t xml:space="preserve"> relative à la conclusion, au nom de l'Union européenne, du protocole fixant les possibilités de pêche et la contrepartie financière prévues par l'accord de partenariat dans le secteur de la pêche entre la Communauté européenne et la République islamique de Mauritanie pour une période de quatre ans à compter du 16 novembre 2015</w:t>
      </w:r>
      <w:r>
        <w:rPr>
          <w:rStyle w:val="FootnoteReference"/>
          <w:noProof/>
        </w:rPr>
        <w:footnoteReference w:id="5"/>
      </w:r>
      <w:r>
        <w:rPr>
          <w:noProof/>
        </w:rPr>
        <w:t xml:space="preserve"> (ci-après dénommé le «protocole»).</w:t>
      </w:r>
    </w:p>
    <w:p>
      <w:pPr>
        <w:pStyle w:val="ManualConsidrant"/>
        <w:rPr>
          <w:noProof/>
        </w:rPr>
      </w:pPr>
      <w:r>
        <w:t>(3)</w:t>
      </w:r>
      <w:r>
        <w:tab/>
      </w:r>
      <w:r>
        <w:rPr>
          <w:noProof/>
        </w:rPr>
        <w:t>Le règlement (UE) 2015/2192 du Conseil</w:t>
      </w:r>
      <w:r>
        <w:rPr>
          <w:rStyle w:val="FootnoteReference"/>
          <w:noProof/>
        </w:rPr>
        <w:footnoteReference w:id="6"/>
      </w:r>
      <w:r>
        <w:rPr>
          <w:noProof/>
        </w:rPr>
        <w:t xml:space="preserve"> répartit entre les États membres les possibilités de pêche prévues dans le cadre du protocole.</w:t>
      </w:r>
    </w:p>
    <w:p>
      <w:pPr>
        <w:pStyle w:val="ManualConsidrant"/>
        <w:rPr>
          <w:noProof/>
        </w:rPr>
      </w:pPr>
      <w:r>
        <w:t>(4)</w:t>
      </w:r>
      <w:r>
        <w:tab/>
      </w:r>
      <w:r>
        <w:rPr>
          <w:noProof/>
        </w:rPr>
        <w:t>L’avis scientifique émis par le comité scientifique conjoint indépendant institué par l’article 4 du protocole a identifié un reliquat de merlu noir et a tenu compte de l’avis scientifique de 2014 de l’Institut mauritanien de recherches océanographiques et des pêches (IMROP) confirmant un reliquat de calmars et de seiches.</w:t>
      </w:r>
    </w:p>
    <w:p>
      <w:pPr>
        <w:pStyle w:val="ManualConsidrant"/>
        <w:rPr>
          <w:noProof/>
        </w:rPr>
      </w:pPr>
      <w:r>
        <w:t>(5)</w:t>
      </w:r>
      <w:r>
        <w:tab/>
      </w:r>
      <w:r>
        <w:rPr>
          <w:noProof/>
        </w:rPr>
        <w:t>Conformément à l’article 6, paragraphe 1, point a), du protocole, la commission mixte instituée en vertu de l’article 10 de l’accord de partenariat a décidé, lors de sa réunion des 15 et 16 novembre 2016 à Nouakchott, de modifier le protocole en introduisant de nouvelles possibilités de pêche, dans les limites du reliquat disponible, pour des chalutiers congélateurs ciblant le merlu noir comme espèce principale et les calmars et seiches comme espèces secondaires.</w:t>
      </w:r>
    </w:p>
    <w:p>
      <w:pPr>
        <w:pStyle w:val="ManualConsidrant"/>
        <w:rPr>
          <w:noProof/>
        </w:rPr>
      </w:pPr>
      <w:r>
        <w:t>(6)</w:t>
      </w:r>
      <w:r>
        <w:tab/>
      </w:r>
      <w:r>
        <w:rPr>
          <w:noProof/>
        </w:rPr>
        <w:t>Il y a lieu de répartir ces nouvelles possibilités de pêche entre les États membres pour la durée restante de la période d’application du protocole.</w:t>
      </w:r>
    </w:p>
    <w:p>
      <w:pPr>
        <w:pStyle w:val="ManualConsidrant"/>
        <w:rPr>
          <w:noProof/>
        </w:rPr>
      </w:pPr>
      <w:r>
        <w:t>(7)</w:t>
      </w:r>
      <w:r>
        <w:tab/>
      </w:r>
      <w:r>
        <w:rPr>
          <w:noProof/>
        </w:rPr>
        <w:t>Étant donné que l’introduction de nouvelles possibilités de pêche a une incidence sur les activités économiques des navires de l'Union et la planification de leurs campagnes de pêche, il convient que le présent règlement entre en vigueur immédiatement après sa publication.</w:t>
      </w:r>
    </w:p>
    <w:p>
      <w:pPr>
        <w:pStyle w:val="ManualConsidrant"/>
        <w:rPr>
          <w:noProof/>
        </w:rPr>
      </w:pPr>
      <w:r>
        <w:t>(8)</w:t>
      </w:r>
      <w:r>
        <w:tab/>
      </w:r>
      <w:r>
        <w:rPr>
          <w:noProof/>
        </w:rPr>
        <w:t>Il y a lieu de modifier le règlement (UE) 2015/2192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À l’article 1</w:t>
      </w:r>
      <w:r>
        <w:rPr>
          <w:noProof/>
          <w:vertAlign w:val="superscript"/>
        </w:rPr>
        <w:t>er</w:t>
      </w:r>
      <w:r>
        <w:rPr>
          <w:noProof/>
        </w:rPr>
        <w:t>, paragraphe 1, du règlement (UE) 2015/2192, le point h) suivant est ajouté:</w:t>
      </w:r>
    </w:p>
    <w:p>
      <w:pPr>
        <w:rPr>
          <w:noProof/>
        </w:rPr>
      </w:pPr>
      <w:r>
        <w:rPr>
          <w:noProof/>
        </w:rPr>
        <w:t xml:space="preserve">«h) </w:t>
      </w:r>
      <w:r>
        <w:rPr>
          <w:noProof/>
        </w:rPr>
        <w:tab/>
        <w:t xml:space="preserve">Catégorie 2 </w:t>
      </w:r>
      <w:r>
        <w:rPr>
          <w:i/>
          <w:noProof/>
        </w:rPr>
        <w:t>bis</w:t>
      </w:r>
      <w:r>
        <w:rPr>
          <w:noProof/>
        </w:rPr>
        <w:t xml:space="preserve"> - Chalutiers (congélateurs) de pêche au merlu noir:</w:t>
      </w:r>
    </w:p>
    <w:p>
      <w:pPr>
        <w:rPr>
          <w:noProof/>
        </w:rPr>
      </w:pPr>
      <w:r>
        <w:rPr>
          <w:noProof/>
        </w:rPr>
        <w:t>Espagne</w:t>
      </w:r>
      <w:r>
        <w:rPr>
          <w:noProof/>
        </w:rPr>
        <w:tab/>
      </w:r>
      <w:r>
        <w:rPr>
          <w:noProof/>
        </w:rPr>
        <w:tab/>
        <w:t xml:space="preserve">Merlu noir </w:t>
      </w:r>
      <w:r>
        <w:rPr>
          <w:noProof/>
        </w:rPr>
        <w:tab/>
        <w:t>3 500 tonnes</w:t>
      </w:r>
    </w:p>
    <w:p>
      <w:pPr>
        <w:rPr>
          <w:noProof/>
        </w:rPr>
      </w:pPr>
      <w:r>
        <w:rPr>
          <w:noProof/>
        </w:rPr>
        <w:tab/>
      </w:r>
      <w:r>
        <w:rPr>
          <w:noProof/>
        </w:rPr>
        <w:tab/>
      </w:r>
      <w:r>
        <w:rPr>
          <w:noProof/>
        </w:rPr>
        <w:tab/>
        <w:t>Calmars</w:t>
      </w:r>
      <w:r>
        <w:rPr>
          <w:noProof/>
        </w:rPr>
        <w:tab/>
        <w:t>1 450 tonnes</w:t>
      </w:r>
    </w:p>
    <w:p>
      <w:pPr>
        <w:rPr>
          <w:noProof/>
        </w:rPr>
      </w:pPr>
      <w:r>
        <w:rPr>
          <w:noProof/>
        </w:rPr>
        <w:tab/>
      </w:r>
      <w:r>
        <w:rPr>
          <w:noProof/>
        </w:rPr>
        <w:tab/>
      </w:r>
      <w:r>
        <w:rPr>
          <w:noProof/>
        </w:rPr>
        <w:tab/>
        <w:t>Seiches</w:t>
      </w:r>
      <w:r>
        <w:rPr>
          <w:noProof/>
        </w:rPr>
        <w:tab/>
        <w:t>600 tonnes</w:t>
      </w:r>
    </w:p>
    <w:p>
      <w:pPr>
        <w:rPr>
          <w:noProof/>
        </w:rPr>
      </w:pPr>
      <w:r>
        <w:rPr>
          <w:noProof/>
        </w:rPr>
        <w:t xml:space="preserve">Dans cette catégorie, 6 navires au maximum peuvent être déployés à la fois dans les eaux mauritaniennes.» </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Conseil portant modification du règlement (UE) 2015/2192 relatif à la répartition des possibilités de pêche au titre du protocole fixant les possibilités de pêche et la contrepartie financière prévues par l’accord de partenariat dans le secteur de la pêche entre l’Union européenne et la République islamique de Mauritanie</w:t>
      </w:r>
    </w:p>
    <w:p>
      <w:pPr>
        <w:pStyle w:val="ManualHeading2"/>
        <w:rPr>
          <w:noProof/>
          <w:szCs w:val="24"/>
        </w:rPr>
      </w:pPr>
      <w:r>
        <w:t>1.2.</w:t>
      </w:r>
      <w:r>
        <w:tab/>
      </w:r>
      <w:r>
        <w:rPr>
          <w:noProof/>
        </w:rPr>
        <w:t>Domaine(s) politique(s) concerné(s) dans la structure ABM/ABB</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Affaires maritimes et pêche</w:t>
      </w:r>
    </w:p>
    <w:p>
      <w:pPr>
        <w:pStyle w:val="Text1"/>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8"/>
      </w:r>
      <w:r>
        <w:rPr>
          <w:noProof/>
          <w:sz w:val="22"/>
        </w:rPr>
        <w:t xml:space="preserve"> </w:t>
      </w:r>
    </w:p>
    <w:p>
      <w:pPr>
        <w:pStyle w:val="Text1"/>
        <w:rPr>
          <w:noProof/>
          <w:sz w:val="22"/>
        </w:rPr>
      </w:pPr>
      <w:r>
        <w:rPr>
          <w:b/>
          <w:noProof/>
          <w:sz w:val="22"/>
        </w:rPr>
        <w:t>X</w:t>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action nouvelle</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La négociation et la conclusion d'accords de pêche durable avec des pays tiers répondent à l'objectif général de permettre l'accès des navires de pêche de l'Union européenne à des zones de pêche situées dans la Zone Économique Exclusive (ZEE) de pays tiers et de développer avec ces pays des partenariats en vue de renforcer l'exploitation durable des ressources halieutiques en dehors des eaux de l'Union.</w:t>
      </w:r>
    </w:p>
    <w:p>
      <w:pPr>
        <w:pStyle w:val="Text1"/>
        <w:pBdr>
          <w:top w:val="single" w:sz="4" w:space="1" w:color="auto"/>
          <w:left w:val="single" w:sz="4" w:space="4" w:color="auto"/>
          <w:bottom w:val="single" w:sz="4" w:space="1" w:color="auto"/>
          <w:right w:val="single" w:sz="4" w:space="4" w:color="auto"/>
        </w:pBdr>
        <w:rPr>
          <w:noProof/>
        </w:rPr>
      </w:pPr>
      <w:r>
        <w:rPr>
          <w:noProof/>
        </w:rPr>
        <w:t>Les accords de partenariat de pêche durable (APPD) assurent également la cohérence entre les principes régissant la politique commune de la pêche et les engagements inscrits dans d'autres politiques européennes (exploitation durable des ressources des États tiers, lutte contre la pêche illégale, non déclarée et non réglementée (INN), intégration des pays partenaires dans l'économie globale, ainsi qu'une meilleure gouvernance des pêcheries au niveau politique et financier).</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Objectifs spécifiques</w:t>
      </w:r>
    </w:p>
    <w:p>
      <w:pPr>
        <w:pStyle w:val="Text1"/>
        <w:pBdr>
          <w:top w:val="single" w:sz="4" w:space="1" w:color="auto"/>
          <w:left w:val="single" w:sz="4" w:space="4" w:color="auto"/>
          <w:bottom w:val="single" w:sz="4" w:space="1" w:color="auto"/>
          <w:right w:val="single" w:sz="4" w:space="4" w:color="auto"/>
        </w:pBdr>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d’autres politiques européennes.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Affaires maritimes et pêche, Établir un cadre de gouvernance pour les activités de pêche menées par les navires de pêche de l'Union dans les eaux des pays tiers (APD) (ligne budgétaire 11.0301).</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répartition entre les États membres de nouvelles possibilités de pêche pour des chalutiers congélateurs de l’Union ciblant le merlu noir et certaines espèces céphalopodes (calmars et seiches) dans le cadre du protocole 2015-2019 à l’accord de partenariat de pêche avec la République islamique de Mauritanie contribue à maintenir et à étendre les possibilités de pêche pour les navires de l’Union dans la zone de pêche mauritanienne.</w:t>
      </w:r>
    </w:p>
    <w:p>
      <w:pPr>
        <w:pStyle w:val="Text1"/>
        <w:pBdr>
          <w:top w:val="single" w:sz="4" w:space="1" w:color="auto"/>
          <w:left w:val="single" w:sz="4" w:space="4" w:color="auto"/>
          <w:bottom w:val="single" w:sz="4" w:space="1" w:color="auto"/>
          <w:right w:val="single" w:sz="4" w:space="4" w:color="auto"/>
        </w:pBdr>
        <w:rPr>
          <w:noProof/>
        </w:rPr>
      </w:pPr>
      <w:r>
        <w:rPr>
          <w:noProof/>
        </w:rPr>
        <w:t>La contrepartie financière annuelle additionnelle de 2 500 000 EUR devant être versée par l’Union pour ces nouvelles possibilités de pêche pourrait contribuer à une meilleure gestion et conservation des ressources halieutiques dans la mesure où la Mauritanie peut décider de l’appliquer aux fins de la mise en œuvre de sa stratégie nationale sectorielle en matière de développement durable de son secteur de la pêche, en plus de la contrepartie financière qu’elle reçoit au titre du protocole pour le développement de son secteur de la pêche («soutien sectoriel»).</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annuel des autorisations de pêche utilisées par rapport à la disponibilité offerte par le protocole).</w:t>
      </w:r>
    </w:p>
    <w:p>
      <w:pPr>
        <w:pStyle w:val="Text1"/>
        <w:pBdr>
          <w:top w:val="single" w:sz="4" w:space="1" w:color="auto"/>
          <w:left w:val="single" w:sz="4" w:space="4" w:color="auto"/>
          <w:bottom w:val="single" w:sz="4" w:space="1" w:color="auto"/>
          <w:right w:val="single" w:sz="4" w:space="4" w:color="auto"/>
        </w:pBdr>
        <w:rPr>
          <w:noProof/>
        </w:rPr>
      </w:pPr>
      <w:r>
        <w:rPr>
          <w:noProof/>
        </w:rPr>
        <w:t>Collecte et analyse des données des captures et de la valeur commerciale de l’accord.</w:t>
      </w:r>
    </w:p>
    <w:p>
      <w:pPr>
        <w:pStyle w:val="Text1"/>
        <w:pBdr>
          <w:top w:val="single" w:sz="4" w:space="1" w:color="auto"/>
          <w:left w:val="single" w:sz="4" w:space="4" w:color="auto"/>
          <w:bottom w:val="single" w:sz="4" w:space="1" w:color="auto"/>
          <w:right w:val="single" w:sz="4" w:space="4" w:color="auto"/>
        </w:pBdr>
        <w:rPr>
          <w:noProof/>
        </w:rPr>
      </w:pPr>
      <w:r>
        <w:rPr>
          <w:noProof/>
        </w:rPr>
        <w:t>Contribution à l’emploi et à la valeur ajoutée dans l’Union ainsi qu'à la stabilisation du marché de l’Union (au niveau agrégé avec d’autres APPD).</w:t>
      </w:r>
    </w:p>
    <w:p>
      <w:pPr>
        <w:pStyle w:val="Text1"/>
        <w:pBdr>
          <w:top w:val="single" w:sz="4" w:space="1" w:color="auto"/>
          <w:left w:val="single" w:sz="4" w:space="4" w:color="auto"/>
          <w:bottom w:val="single" w:sz="4" w:space="1" w:color="auto"/>
          <w:right w:val="single" w:sz="4" w:space="4" w:color="auto"/>
        </w:pBdr>
        <w:rPr>
          <w:noProof/>
        </w:rPr>
      </w:pPr>
      <w:r>
        <w:rPr>
          <w:noProof/>
        </w:rPr>
        <w:t>Nombre de réunions techniques et de réunions de la commission mixte.</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Le protocole 2015-2019 à l’accord de partenariat de pêche avec la Mauritanie prévoit un cadre pour les activités de pêche de la flotte de l’Union européenne dans la zone de pêche mauritanienne et renforce la coopération avec la Mauritanie en vue de promouvoir le développement d’une politique de pêche durable.</w:t>
      </w:r>
    </w:p>
    <w:p>
      <w:pPr>
        <w:pStyle w:val="Text1"/>
        <w:pBdr>
          <w:top w:val="single" w:sz="4" w:space="1" w:color="auto"/>
          <w:left w:val="single" w:sz="4" w:space="4" w:color="auto"/>
          <w:bottom w:val="single" w:sz="4" w:space="1" w:color="auto"/>
          <w:right w:val="single" w:sz="4" w:space="4" w:color="auto"/>
        </w:pBdr>
        <w:rPr>
          <w:noProof/>
        </w:rPr>
      </w:pPr>
      <w:r>
        <w:rPr>
          <w:noProof/>
        </w:rPr>
        <w:t>Le protocole prévoit que, sur la base des avis scientifiques disponibles, les deux parties peuvent s’accorder en commission mixte sur l’attribution de possibilités de pêche pour des chalutiers congélateurs ciblant des espèces démersales pour lesquelles un reliquat est identifié.</w:t>
      </w:r>
    </w:p>
    <w:p>
      <w:pPr>
        <w:pStyle w:val="Text1"/>
        <w:pBdr>
          <w:top w:val="single" w:sz="4" w:space="1" w:color="auto"/>
          <w:left w:val="single" w:sz="4" w:space="4" w:color="auto"/>
          <w:bottom w:val="single" w:sz="4" w:space="1" w:color="auto"/>
          <w:right w:val="single" w:sz="4" w:space="4" w:color="auto"/>
        </w:pBdr>
        <w:rPr>
          <w:noProof/>
        </w:rPr>
      </w:pPr>
      <w:r>
        <w:rPr>
          <w:noProof/>
        </w:rPr>
        <w:t>Lors de sa réunion à Nouakchott les 15 et 16 novembre 2016, la commission mixte instituée en vertu de l’article 10 de l’accord a décidé d’accorder de nouvelles possibilités de pêche pour des chalutiers congélateurs ciblant le merlu noir comme espèce principale, ainsi que les calmars et les seiches comme espèces secondaires, dans les limites du reliquat disponible.</w:t>
      </w:r>
    </w:p>
    <w:p>
      <w:pPr>
        <w:pStyle w:val="Text1"/>
        <w:pBdr>
          <w:top w:val="single" w:sz="4" w:space="1" w:color="auto"/>
          <w:left w:val="single" w:sz="4" w:space="4" w:color="auto"/>
          <w:bottom w:val="single" w:sz="4" w:space="1" w:color="auto"/>
          <w:right w:val="single" w:sz="4" w:space="4" w:color="auto"/>
        </w:pBdr>
        <w:rPr>
          <w:noProof/>
        </w:rPr>
      </w:pPr>
      <w:r>
        <w:rPr>
          <w:noProof/>
        </w:rPr>
        <w:t>Cette décision permet aux navires de l’Union européenne qui n’ont pas été en mesure de pêcher dans les eaux mauritaniennes depuis l’exclusion des céphalopodes des protocoles 2012-2014 et 2015-2019 de reprendre la pêche en Mauritanie.</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Afin de garantir la durabilité des activités de pêche, la clause d’exclusivité qui figure dans l’accord de partenariat dans le secteur de la pêche avec la Mauritanie (article 6) prévoit que les navires de l’Union ne peuvent pêcher en Mauritanie (y compris en vertu d’accords privés), sauf s’ils sont en possession d’une autorisation de pêche délivrée dans le cadre de l’accord.</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Sur la base des avis scientifiques disponibles et des évaluations, les deux parties ont fixé un volume de captures autorisé pour la nouvelle catégorie de pêche 2 </w:t>
      </w:r>
      <w:r>
        <w:rPr>
          <w:i/>
          <w:noProof/>
        </w:rPr>
        <w:t>bis</w:t>
      </w:r>
      <w:r>
        <w:rPr>
          <w:noProof/>
        </w:rPr>
        <w:t xml:space="preserve"> de 3 500 tonnes de merlu noir, 1 450 tonnes de calmars et 600 tonnes de seiche. Dans cette catégorie, 6 navires au maximum peuvent être déployés à la fois dans les eaux mauritaniennes.</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b/>
          <w:noProof/>
        </w:rPr>
        <w:t>X</w:t>
      </w:r>
      <w:r>
        <w:rPr>
          <w:b/>
          <w:i/>
          <w:noProof/>
        </w:rPr>
        <w:t xml:space="preserve"> </w:t>
      </w:r>
      <w:r>
        <w:rPr>
          <w:noProof/>
        </w:rPr>
        <w:t xml:space="preserve">Proposition/initiative à </w:t>
      </w:r>
      <w:r>
        <w:rPr>
          <w:b/>
          <w:noProof/>
        </w:rPr>
        <w:t xml:space="preserve">durée limitée </w:t>
      </w:r>
    </w:p>
    <w:p>
      <w:pPr>
        <w:pStyle w:val="ListDash2"/>
        <w:rPr>
          <w:noProof/>
        </w:rPr>
      </w:pPr>
      <w:r>
        <w:rPr>
          <w:b/>
          <w:noProof/>
        </w:rPr>
        <w:t>X</w:t>
      </w:r>
      <w:r>
        <w:rPr>
          <w:noProof/>
        </w:rPr>
        <w:tab/>
        <w:t>Proposition/initiative en vigueur de 2017 à 2019</w:t>
      </w:r>
    </w:p>
    <w:p>
      <w:pPr>
        <w:pStyle w:val="ListDash2"/>
        <w:rPr>
          <w:noProof/>
        </w:rPr>
      </w:pPr>
      <w:r>
        <w:rPr>
          <w:b/>
          <w:noProof/>
        </w:rPr>
        <w:t>X</w:t>
      </w:r>
      <w:r>
        <w:rPr>
          <w:noProof/>
        </w:rPr>
        <w:tab/>
        <w:t>Impact financier de 2017 à 2019</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9"/>
      </w:r>
      <w:r>
        <w:rPr>
          <w:rStyle w:val="FootnoteReference"/>
          <w:noProof/>
        </w:rPr>
        <w:t xml:space="preserve"> </w:t>
      </w:r>
    </w:p>
    <w:p>
      <w:pPr>
        <w:pStyle w:val="Text1"/>
        <w:rPr>
          <w:noProof/>
        </w:rPr>
      </w:pPr>
      <w:r>
        <w:rPr>
          <w:b/>
          <w:noProof/>
        </w:rPr>
        <w:t>X</w:t>
      </w:r>
      <w:r>
        <w:rPr>
          <w:i/>
          <w:noProof/>
        </w:rPr>
        <w:t xml:space="preserve"> </w:t>
      </w:r>
      <w:r>
        <w:rPr>
          <w:b/>
          <w:noProof/>
        </w:rPr>
        <w:t>Gestion directe</w:t>
      </w:r>
      <w:r>
        <w:rPr>
          <w:noProof/>
        </w:rPr>
        <w:t xml:space="preserve"> par la Commission</w:t>
      </w:r>
    </w:p>
    <w:p>
      <w:pPr>
        <w:pStyle w:val="ListDash2"/>
        <w:rPr>
          <w:rFonts w:cs="EUAlbertina"/>
          <w:noProof/>
        </w:rPr>
      </w:pPr>
      <w:r>
        <w:rPr>
          <w:b/>
          <w:noProof/>
        </w:rPr>
        <w:t>X</w:t>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(DG MARE, en collaboration avec son attaché pêche basé en Mauritanie et la Délégation de l'Union européenne à Nouakchott) assure un suivi régulier de la mise en œuvre de ce protocole, notamment en termes d'utilisation par les opérateurs des possibilités de pêche et en termes de données de captures. </w:t>
      </w:r>
    </w:p>
    <w:p>
      <w:pPr>
        <w:pStyle w:val="Text1"/>
        <w:pBdr>
          <w:top w:val="single" w:sz="4" w:space="1" w:color="auto"/>
          <w:left w:val="single" w:sz="4" w:space="4" w:color="auto"/>
          <w:bottom w:val="single" w:sz="4" w:space="1" w:color="auto"/>
          <w:right w:val="single" w:sz="4" w:space="4" w:color="auto"/>
        </w:pBdr>
        <w:rPr>
          <w:noProof/>
        </w:rPr>
      </w:pPr>
      <w:r>
        <w:rPr>
          <w:noProof/>
        </w:rPr>
        <w:t>L’accord de partenariat de pêche prévoit également au moins une réunion annuelle de la commission mixte pour examiner la mise en œuvre de l’accord et de son protocole et adapter, si nécessaire, les possibilités de pêche et la contrepartie financière.</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La Commission maintient un dialogue politique et une concertation régulière avec la Mauritanie afin de garantir la bonne gestion de l’accord et du protocole. Dans tous les cas, tout paiement effectué par la Commission dans le cadre d'un APPD est soumis aux règles et aux procédures budgétaires et financières normales de la Commission. Ceci permet, notamment, d’identifier de manière complète les comptes bancaires des pays tiers sur lesquels sont versés les montants de la contrepartie financière. L’article 2, paragraphe 8, du protocole dispose que la contrepartie financière relative à l’accès doit être payée sur un compte du Trésor public auprès de la Banque centrale de Mauritanie.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br/>
            </w:r>
            <w:r>
              <w:rPr>
                <w:noProof/>
                <w:sz w:val="20"/>
              </w:rPr>
              <w:t>[Libellé………………………...…………]</w:t>
            </w:r>
          </w:p>
        </w:tc>
        <w:tc>
          <w:tcPr>
            <w:tcW w:w="1080" w:type="dxa"/>
            <w:vAlign w:val="center"/>
          </w:tcPr>
          <w:p>
            <w:pPr>
              <w:jc w:val="center"/>
              <w:rPr>
                <w:noProof/>
                <w:sz w:val="22"/>
              </w:rPr>
            </w:pPr>
            <w:r>
              <w:rPr>
                <w:noProof/>
                <w:sz w:val="18"/>
              </w:rPr>
              <w:t>CD/CND</w:t>
            </w:r>
            <w:r>
              <w:rPr>
                <w:rStyle w:val="FootnoteReference"/>
                <w:noProof/>
                <w:sz w:val="18"/>
              </w:rPr>
              <w:footnoteReference w:id="10"/>
            </w:r>
          </w:p>
        </w:tc>
        <w:tc>
          <w:tcPr>
            <w:tcW w:w="956" w:type="dxa"/>
            <w:vAlign w:val="center"/>
          </w:tcPr>
          <w:p>
            <w:pPr>
              <w:jc w:val="center"/>
              <w:rPr>
                <w:noProof/>
                <w:sz w:val="22"/>
              </w:rPr>
            </w:pPr>
            <w:r>
              <w:rPr>
                <w:noProof/>
                <w:sz w:val="18"/>
              </w:rPr>
              <w:t>de pays AELE</w:t>
            </w:r>
            <w:r>
              <w:rPr>
                <w:rStyle w:val="FootnoteReference"/>
                <w:noProof/>
                <w:sz w:val="18"/>
              </w:rPr>
              <w:footnoteReference w:id="11"/>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2"/>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sz w:val="22"/>
              </w:rPr>
            </w:pPr>
            <w:r>
              <w:rPr>
                <w:noProof/>
                <w:sz w:val="22"/>
              </w:rPr>
              <w:t>2</w:t>
            </w:r>
          </w:p>
        </w:tc>
        <w:tc>
          <w:tcPr>
            <w:tcW w:w="3960" w:type="dxa"/>
            <w:vAlign w:val="center"/>
          </w:tcPr>
          <w:p>
            <w:pPr>
              <w:spacing w:before="60"/>
              <w:rPr>
                <w:noProof/>
              </w:rPr>
            </w:pPr>
            <w:r>
              <w:rPr>
                <w:noProof/>
              </w:rPr>
              <w:t>11.03 01</w:t>
            </w:r>
          </w:p>
          <w:p>
            <w:pPr>
              <w:spacing w:before="60"/>
              <w:rPr>
                <w:noProof/>
                <w:sz w:val="22"/>
              </w:rPr>
            </w:pPr>
            <w:r>
              <w:rPr>
                <w:noProof/>
              </w:rPr>
              <w:t>Établir un cadre de gouvernance pour les activités de pêche menées par les navires de pêche de l’Union dans les eaux des pays tiers (APD)</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br/>
            </w:r>
            <w:r>
              <w:rPr>
                <w:noProof/>
              </w:rPr>
              <w:t>[…]</w:t>
            </w:r>
            <w:r>
              <w:rPr>
                <w:noProof/>
                <w:sz w:val="20"/>
              </w:rPr>
              <w:t>[Libellé……………...……………………………………………………………….]</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sz w:val="22"/>
              </w:rPr>
            </w:pPr>
          </w:p>
        </w:tc>
        <w:tc>
          <w:tcPr>
            <w:tcW w:w="3960" w:type="dxa"/>
            <w:vAlign w:val="center"/>
          </w:tcPr>
          <w:p>
            <w:pPr>
              <w:spacing w:before="60"/>
              <w:rPr>
                <w:noProof/>
                <w:sz w:val="22"/>
              </w:rPr>
            </w:pPr>
            <w:r>
              <w:rPr>
                <w:noProof/>
              </w:rPr>
              <w:t>[…]</w:t>
            </w:r>
            <w:r>
              <w:rPr>
                <w:noProof/>
                <w:sz w:val="22"/>
              </w:rPr>
              <w:t>[XX.YY.YY.YY]</w:t>
            </w:r>
          </w:p>
          <w:p>
            <w:pPr>
              <w:spacing w:after="60"/>
              <w:rPr>
                <w:noProof/>
                <w:sz w:val="22"/>
              </w:rPr>
            </w:pPr>
          </w:p>
        </w:tc>
        <w:tc>
          <w:tcPr>
            <w:tcW w:w="1080" w:type="dxa"/>
            <w:vAlign w:val="center"/>
          </w:tcPr>
          <w:p>
            <w:pPr>
              <w:jc w:val="center"/>
              <w:rPr>
                <w:noProo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sz w:val="18"/>
              </w:rPr>
            </w:pPr>
            <w:r>
              <w:rPr>
                <w:noProof/>
                <w:sz w:val="22"/>
              </w:rPr>
              <w:t>OUI/NON</w:t>
            </w:r>
          </w:p>
        </w:tc>
        <w:tc>
          <w:tcPr>
            <w:tcW w:w="956" w:type="dxa"/>
            <w:vAlign w:val="center"/>
          </w:tcPr>
          <w:p>
            <w:pPr>
              <w:jc w:val="center"/>
              <w:rPr>
                <w:noProo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Numéro</w:t>
            </w:r>
          </w:p>
        </w:tc>
        <w:tc>
          <w:tcPr>
            <w:tcW w:w="7817" w:type="dxa"/>
            <w:vAlign w:val="center"/>
          </w:tcPr>
          <w:p>
            <w:pPr>
              <w:spacing w:before="60" w:after="60"/>
              <w:rPr>
                <w:noProof/>
                <w:sz w:val="22"/>
              </w:rPr>
            </w:pPr>
            <w:r>
              <w:rPr>
                <w:noProof/>
              </w:rPr>
              <w:t>2 - Croissance durable: Ressources naturelles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2017</w:t>
            </w:r>
          </w:p>
        </w:tc>
        <w:tc>
          <w:tcPr>
            <w:tcW w:w="868" w:type="dxa"/>
            <w:vAlign w:val="center"/>
          </w:tcPr>
          <w:p>
            <w:pPr>
              <w:jc w:val="center"/>
              <w:rPr>
                <w:noProof/>
                <w:sz w:val="20"/>
              </w:rPr>
            </w:pPr>
            <w:r>
              <w:rPr>
                <w:noProof/>
                <w:sz w:val="20"/>
              </w:rPr>
              <w:t>Année</w:t>
            </w:r>
            <w:r>
              <w:rPr>
                <w:noProof/>
                <w:sz w:val="22"/>
              </w:rPr>
              <w:br/>
            </w:r>
            <w:r>
              <w:rPr>
                <w:b/>
                <w:noProof/>
                <w:sz w:val="20"/>
              </w:rPr>
              <w:t>2018</w:t>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Crédits opérationnels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Numéro de ligne budgétaire 11.0301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3"/>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Numéro de 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TOTAL des crédits</w:t>
            </w:r>
            <w:r>
              <w:rPr>
                <w:noProof/>
                <w:sz w:val="22"/>
              </w:rPr>
              <w:br/>
            </w:r>
            <w:r>
              <w:rPr>
                <w:b/>
                <w:noProof/>
                <w:sz w:val="22"/>
              </w:rPr>
              <w:t>pour la DG MARE</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2</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2,500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7,500</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TOTAL des crédits opérationnels</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sz w:val="22"/>
              </w:rPr>
            </w:pPr>
            <w:r>
              <w:rPr>
                <w:noProof/>
                <w:sz w:val="22"/>
              </w:rPr>
              <w:t>DG: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Ressources humaines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Autres dépenses administratives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TOTAL DG</w:t>
            </w:r>
            <w:r>
              <w:rPr>
                <w:noProof/>
                <w:sz w:val="22"/>
              </w:rPr>
              <w:t>&lt;…….&gt;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2017</w:t>
            </w:r>
          </w:p>
        </w:tc>
        <w:tc>
          <w:tcPr>
            <w:tcW w:w="868" w:type="dxa"/>
            <w:vAlign w:val="center"/>
          </w:tcPr>
          <w:p>
            <w:pPr>
              <w:jc w:val="center"/>
              <w:rPr>
                <w:noProof/>
                <w:sz w:val="20"/>
              </w:rPr>
            </w:pPr>
            <w:r>
              <w:rPr>
                <w:noProof/>
                <w:sz w:val="20"/>
              </w:rPr>
              <w:t>Année</w:t>
            </w:r>
            <w:r>
              <w:rPr>
                <w:noProof/>
                <w:sz w:val="22"/>
              </w:rPr>
              <w:br/>
            </w:r>
            <w:r>
              <w:rPr>
                <w:b/>
                <w:noProof/>
                <w:sz w:val="20"/>
              </w:rPr>
              <w:t>2018</w:t>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5,000</w:t>
            </w:r>
          </w:p>
        </w:tc>
        <w:tc>
          <w:tcPr>
            <w:tcW w:w="868" w:type="dxa"/>
            <w:vAlign w:val="center"/>
          </w:tcPr>
          <w:p>
            <w:pPr>
              <w:spacing w:before="60" w:after="60"/>
              <w:jc w:val="right"/>
              <w:rPr>
                <w:noProof/>
                <w:sz w:val="20"/>
              </w:rPr>
            </w:pPr>
            <w:r>
              <w:rPr>
                <w:noProof/>
                <w:sz w:val="20"/>
              </w:rPr>
              <w:t>2,500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7,500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5,000</w:t>
            </w:r>
          </w:p>
        </w:tc>
        <w:tc>
          <w:tcPr>
            <w:tcW w:w="868" w:type="dxa"/>
            <w:vAlign w:val="center"/>
          </w:tcPr>
          <w:p>
            <w:pPr>
              <w:spacing w:before="60" w:after="60"/>
              <w:jc w:val="right"/>
              <w:rPr>
                <w:noProof/>
                <w:sz w:val="20"/>
              </w:rPr>
            </w:pPr>
            <w:r>
              <w:rPr>
                <w:noProof/>
                <w:sz w:val="20"/>
              </w:rPr>
              <w:t>2,500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7,500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b/>
          <w:noProof/>
        </w:rPr>
        <w:t>X</w:t>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
        <w:gridCol w:w="648"/>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2017</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2018</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2019</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4"/>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1</w:t>
            </w:r>
            <w:r>
              <w:rPr>
                <w:rStyle w:val="FootnoteReference"/>
                <w:noProof/>
                <w:sz w:val="18"/>
              </w:rPr>
              <w:footnoteReference w:id="1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Nombre de licences de navires</w:t>
            </w:r>
          </w:p>
        </w:tc>
        <w:tc>
          <w:tcPr>
            <w:tcW w:w="720" w:type="dxa"/>
          </w:tcPr>
          <w:p>
            <w:pPr>
              <w:ind w:right="-29"/>
              <w:jc w:val="center"/>
              <w:rPr>
                <w:noProof/>
                <w:sz w:val="18"/>
                <w:szCs w:val="18"/>
              </w:rPr>
            </w:pPr>
          </w:p>
        </w:tc>
        <w:tc>
          <w:tcPr>
            <w:tcW w:w="701" w:type="dxa"/>
          </w:tcPr>
          <w:p>
            <w:pPr>
              <w:ind w:right="-29"/>
              <w:jc w:val="center"/>
              <w:rPr>
                <w:noProof/>
                <w:sz w:val="18"/>
                <w:szCs w:val="18"/>
              </w:rPr>
            </w:pPr>
            <w:r>
              <w:rPr>
                <w:noProof/>
                <w:sz w:val="18"/>
              </w:rPr>
              <w:t>0,417</w:t>
            </w:r>
          </w:p>
        </w:tc>
        <w:tc>
          <w:tcPr>
            <w:tcW w:w="504" w:type="dxa"/>
            <w:tcBorders>
              <w:right w:val="dashSmallGap" w:sz="4" w:space="0" w:color="auto"/>
            </w:tcBorders>
          </w:tcPr>
          <w:p>
            <w:pPr>
              <w:ind w:right="-29"/>
              <w:jc w:val="center"/>
              <w:rPr>
                <w:noProof/>
                <w:sz w:val="18"/>
                <w:szCs w:val="18"/>
              </w:rPr>
            </w:pPr>
            <w:r>
              <w:rPr>
                <w:noProof/>
                <w:sz w:val="18"/>
              </w:rPr>
              <w:t>12</w:t>
            </w:r>
          </w:p>
        </w:tc>
        <w:tc>
          <w:tcPr>
            <w:tcW w:w="720" w:type="dxa"/>
            <w:tcBorders>
              <w:left w:val="dashSmallGap" w:sz="4" w:space="0" w:color="auto"/>
            </w:tcBorders>
          </w:tcPr>
          <w:p>
            <w:pPr>
              <w:ind w:right="-29"/>
              <w:jc w:val="center"/>
              <w:rPr>
                <w:noProof/>
                <w:sz w:val="18"/>
                <w:szCs w:val="18"/>
              </w:rPr>
            </w:pPr>
            <w:r>
              <w:rPr>
                <w:noProof/>
                <w:sz w:val="18"/>
              </w:rPr>
              <w:t>5,000</w:t>
            </w:r>
          </w:p>
        </w:tc>
        <w:tc>
          <w:tcPr>
            <w:tcW w:w="540" w:type="dxa"/>
            <w:tcBorders>
              <w:right w:val="dashSmallGap" w:sz="4" w:space="0" w:color="auto"/>
            </w:tcBorders>
          </w:tcPr>
          <w:p>
            <w:pPr>
              <w:ind w:right="-29"/>
              <w:jc w:val="center"/>
              <w:rPr>
                <w:noProof/>
                <w:sz w:val="18"/>
                <w:szCs w:val="18"/>
              </w:rPr>
            </w:pPr>
            <w:r>
              <w:rPr>
                <w:noProof/>
                <w:sz w:val="18"/>
              </w:rPr>
              <w:t>6</w:t>
            </w:r>
          </w:p>
        </w:tc>
        <w:tc>
          <w:tcPr>
            <w:tcW w:w="720" w:type="dxa"/>
            <w:tcBorders>
              <w:left w:val="dashSmallGap" w:sz="4" w:space="0" w:color="auto"/>
            </w:tcBorders>
          </w:tcPr>
          <w:p>
            <w:pPr>
              <w:ind w:right="-29"/>
              <w:jc w:val="center"/>
              <w:rPr>
                <w:noProof/>
                <w:sz w:val="18"/>
                <w:szCs w:val="18"/>
              </w:rPr>
            </w:pPr>
            <w:r>
              <w:rPr>
                <w:noProof/>
                <w:sz w:val="18"/>
              </w:rPr>
              <w:t>2,500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r>
              <w:rPr>
                <w:noProof/>
                <w:sz w:val="18"/>
              </w:rPr>
              <w:t>18</w:t>
            </w:r>
          </w:p>
        </w:tc>
        <w:tc>
          <w:tcPr>
            <w:tcW w:w="900" w:type="dxa"/>
          </w:tcPr>
          <w:p>
            <w:pPr>
              <w:ind w:right="-29"/>
              <w:jc w:val="center"/>
              <w:rPr>
                <w:noProof/>
                <w:sz w:val="18"/>
                <w:szCs w:val="18"/>
              </w:rPr>
            </w:pPr>
            <w:r>
              <w:rPr>
                <w:noProof/>
                <w:sz w:val="18"/>
              </w:rPr>
              <w:t>7,500</w:t>
            </w: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tcBorders>
              <w:bottom w:val="single" w:sz="12" w:space="0" w:color="auto"/>
            </w:tcBorders>
          </w:tcPr>
          <w:p>
            <w:pPr>
              <w:ind w:right="-29"/>
              <w:jc w:val="center"/>
              <w:rPr>
                <w:noProof/>
                <w:sz w:val="18"/>
                <w:szCs w:val="18"/>
              </w:rPr>
            </w:pPr>
            <w:r>
              <w:rPr>
                <w:noProof/>
                <w:sz w:val="18"/>
              </w:rPr>
              <w:t>12</w:t>
            </w:r>
          </w:p>
        </w:tc>
        <w:tc>
          <w:tcPr>
            <w:tcW w:w="720" w:type="dxa"/>
            <w:tcBorders>
              <w:bottom w:val="single" w:sz="12" w:space="0" w:color="auto"/>
            </w:tcBorders>
          </w:tcPr>
          <w:p>
            <w:pPr>
              <w:ind w:right="-29"/>
              <w:jc w:val="center"/>
              <w:rPr>
                <w:noProof/>
                <w:sz w:val="18"/>
                <w:szCs w:val="18"/>
              </w:rPr>
            </w:pPr>
            <w:r>
              <w:rPr>
                <w:noProof/>
                <w:sz w:val="18"/>
              </w:rPr>
              <w:t>5,000</w:t>
            </w:r>
          </w:p>
        </w:tc>
        <w:tc>
          <w:tcPr>
            <w:tcW w:w="540" w:type="dxa"/>
            <w:tcBorders>
              <w:bottom w:val="single" w:sz="12" w:space="0" w:color="auto"/>
            </w:tcBorders>
          </w:tcPr>
          <w:p>
            <w:pPr>
              <w:ind w:right="-29"/>
              <w:jc w:val="center"/>
              <w:rPr>
                <w:noProof/>
                <w:sz w:val="18"/>
                <w:szCs w:val="18"/>
              </w:rPr>
            </w:pPr>
            <w:r>
              <w:rPr>
                <w:noProof/>
                <w:sz w:val="18"/>
              </w:rPr>
              <w:t>6</w:t>
            </w:r>
          </w:p>
        </w:tc>
        <w:tc>
          <w:tcPr>
            <w:tcW w:w="720" w:type="dxa"/>
            <w:tcBorders>
              <w:bottom w:val="single" w:sz="12" w:space="0" w:color="auto"/>
            </w:tcBorders>
          </w:tcPr>
          <w:p>
            <w:pPr>
              <w:ind w:right="-29"/>
              <w:jc w:val="center"/>
              <w:rPr>
                <w:noProof/>
                <w:sz w:val="18"/>
                <w:szCs w:val="18"/>
              </w:rPr>
            </w:pPr>
            <w:r>
              <w:rPr>
                <w:noProof/>
                <w:sz w:val="18"/>
              </w:rPr>
              <w:t>2,500</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18</w:t>
            </w:r>
          </w:p>
        </w:tc>
        <w:tc>
          <w:tcPr>
            <w:tcW w:w="900" w:type="dxa"/>
            <w:tcBorders>
              <w:bottom w:val="single" w:sz="12" w:space="0" w:color="auto"/>
            </w:tcBorders>
          </w:tcPr>
          <w:p>
            <w:pPr>
              <w:ind w:right="-29"/>
              <w:jc w:val="center"/>
              <w:rPr>
                <w:noProof/>
                <w:sz w:val="18"/>
                <w:szCs w:val="18"/>
              </w:rPr>
            </w:pPr>
            <w:r>
              <w:rPr>
                <w:noProof/>
                <w:sz w:val="18"/>
              </w:rPr>
              <w:t>7,500</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nº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72" w:type="dxa"/>
            <w:gridSpan w:val="2"/>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r>
              <w:rPr>
                <w:rStyle w:val="FootnoteReference"/>
                <w:b/>
                <w:noProof/>
                <w:sz w:val="18"/>
              </w:rPr>
              <w:footnoteReference w:id="16"/>
            </w:r>
          </w:p>
        </w:tc>
        <w:tc>
          <w:tcPr>
            <w:tcW w:w="504" w:type="dxa"/>
            <w:tcBorders>
              <w:top w:val="single" w:sz="12" w:space="0" w:color="auto"/>
              <w:bottom w:val="single" w:sz="12" w:space="0" w:color="auto"/>
            </w:tcBorders>
          </w:tcPr>
          <w:p>
            <w:pPr>
              <w:spacing w:before="180" w:after="180"/>
              <w:ind w:right="-29"/>
              <w:jc w:val="center"/>
              <w:rPr>
                <w:noProof/>
                <w:sz w:val="18"/>
                <w:szCs w:val="18"/>
              </w:rPr>
            </w:pPr>
            <w:r>
              <w:rPr>
                <w:noProof/>
                <w:sz w:val="18"/>
              </w:rPr>
              <w:t>12</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5,000</w:t>
            </w:r>
          </w:p>
        </w:tc>
        <w:tc>
          <w:tcPr>
            <w:tcW w:w="540" w:type="dxa"/>
            <w:tcBorders>
              <w:top w:val="single" w:sz="12" w:space="0" w:color="auto"/>
              <w:bottom w:val="single" w:sz="12" w:space="0" w:color="auto"/>
            </w:tcBorders>
          </w:tcPr>
          <w:p>
            <w:pPr>
              <w:spacing w:before="180" w:after="180"/>
              <w:ind w:right="-29"/>
              <w:jc w:val="center"/>
              <w:rPr>
                <w:noProof/>
                <w:sz w:val="18"/>
                <w:szCs w:val="18"/>
              </w:rPr>
            </w:pPr>
            <w:r>
              <w:rPr>
                <w:noProof/>
                <w:sz w:val="18"/>
              </w:rPr>
              <w:t>6</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2,500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18</w:t>
            </w: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7,500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b/>
          <w:noProof/>
        </w:rPr>
        <w:t>X</w:t>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 xml:space="preserve">N </w:t>
            </w:r>
            <w:r>
              <w:rPr>
                <w:rStyle w:val="FootnoteReference"/>
                <w:b/>
                <w:noProof/>
                <w:sz w:val="16"/>
              </w:rPr>
              <w:footnoteReference w:id="17"/>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8"/>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b/>
          <w:noProof/>
        </w:rPr>
        <w:t>X</w:t>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Emplois du tableau des effectifs (fonctionnaires et agents temporaires)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19"/>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0"/>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 xml:space="preserve">XX </w:t>
      </w:r>
      <w:r>
        <w:rPr>
          <w:noProof/>
          <w:sz w:val="18"/>
        </w:rPr>
        <w:t>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b/>
          <w:noProof/>
        </w:rPr>
        <w:t>X</w:t>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t>3.2.5.</w:t>
      </w:r>
      <w:r>
        <w:tab/>
      </w:r>
      <w:r>
        <w:rPr>
          <w:noProof/>
        </w:rPr>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b/>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1"/>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rPr>
          <w:noProof/>
        </w:rP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le tableau des catégories de pêche annexé au protocole (JO L 315 du 1.12.2015, p. 13).</w:t>
      </w:r>
    </w:p>
  </w:footnote>
  <w:footnote w:id="2">
    <w:p>
      <w:pPr>
        <w:pStyle w:val="FootnoteText"/>
      </w:pPr>
      <w:r>
        <w:rPr>
          <w:rStyle w:val="FootnoteReference"/>
        </w:rPr>
        <w:footnoteRef/>
      </w:r>
      <w:r>
        <w:tab/>
        <w:t xml:space="preserve">COFREPECHE, NFDS, POSEIDON et MRAG, 2014. Évaluation rétrospective et prospective du protocole de l’accord de partenariat dans le secteur de la pêche entre l'Union européenne et la République islamique de Mauritanie (sous le Contrat cadre MARE/2011/01 - Lot 3, contrat spécifique 8). Bruxelles, </w:t>
      </w:r>
      <w:r>
        <w:fldChar w:fldCharType="begin"/>
      </w:r>
      <w:r>
        <w:instrText xml:space="preserve"> NUMPAGES   \* MERGEFORMAT </w:instrText>
      </w:r>
      <w:r>
        <w:fldChar w:fldCharType="separate"/>
      </w:r>
      <w:r>
        <w:t>176</w:t>
      </w:r>
      <w:r>
        <w:fldChar w:fldCharType="end"/>
      </w:r>
      <w:r>
        <w:t xml:space="preserve"> p.</w:t>
      </w:r>
    </w:p>
  </w:footnote>
  <w:footnote w:id="3">
    <w:p>
      <w:pPr>
        <w:pStyle w:val="FootnoteText"/>
      </w:pPr>
      <w:r>
        <w:rPr>
          <w:rStyle w:val="FootnoteReference"/>
        </w:rPr>
        <w:footnoteRef/>
      </w:r>
      <w:r>
        <w:tab/>
        <w:t>JO L 343 du 8.12.2006, p.4.</w:t>
      </w:r>
    </w:p>
  </w:footnote>
  <w:footnote w:id="4">
    <w:p>
      <w:pPr>
        <w:pStyle w:val="FootnoteText"/>
      </w:pPr>
      <w:r>
        <w:rPr>
          <w:rStyle w:val="FootnoteReference"/>
        </w:rPr>
        <w:footnoteRef/>
      </w:r>
      <w:r>
        <w:tab/>
        <w:t>Décision (UE) 2016/870 du Conseil du 24 mai 2016 relative à la conclusion, au nom de l'Union européenne, du protocole fixant les possibilités de pêche et la contrepartie financière prévues par l'accord de partenariat dans le secteur de la pêche entre la Communauté européenne et la République islamique de Mauritanie pour une période de quatre ans (JO L 145 du 2.6.2016, p. 1).</w:t>
      </w:r>
    </w:p>
  </w:footnote>
  <w:footnote w:id="5">
    <w:p>
      <w:pPr>
        <w:pStyle w:val="FootnoteText"/>
      </w:pPr>
      <w:r>
        <w:rPr>
          <w:rStyle w:val="FootnoteReference"/>
        </w:rPr>
        <w:footnoteRef/>
      </w:r>
      <w:r>
        <w:tab/>
        <w:t>JO L 315 du 1.12.2015, p. 3.</w:t>
      </w:r>
    </w:p>
  </w:footnote>
  <w:footnote w:id="6">
    <w:p>
      <w:pPr>
        <w:pStyle w:val="FootnoteText"/>
      </w:pPr>
      <w:r>
        <w:rPr>
          <w:rStyle w:val="FootnoteReference"/>
        </w:rPr>
        <w:footnoteRef/>
      </w:r>
      <w:r>
        <w:tab/>
        <w:t>Règlement (UE) 2015/2192 du Conseil du 10 novembre 2015 relatif à la répartition des possibilités de pêche au titre du protocole fixant les possibilités de pêche et la contrepartie financière prévues par l'accord de partenariat dans le secteur de la pêche entre la Communauté européenne et la République islamique de Mauritanie pour une période de quatre ans (JO L 315 du 1.12.2015, p. 72).</w:t>
      </w:r>
    </w:p>
  </w:footnote>
  <w:footnote w:id="7">
    <w:p>
      <w:pPr>
        <w:pStyle w:val="FootnoteText"/>
        <w:rPr>
          <w:szCs w:val="24"/>
          <w:lang w:val="en-GB"/>
        </w:rPr>
      </w:pPr>
      <w:r>
        <w:rPr>
          <w:rStyle w:val="FootnoteReference"/>
        </w:rPr>
        <w:footnoteRef/>
      </w:r>
      <w:r>
        <w:rPr>
          <w:lang w:val="en-GB"/>
        </w:rPr>
        <w:tab/>
        <w:t>ABM: activity-based management; ABB: activity-based budgeting.</w:t>
      </w:r>
    </w:p>
  </w:footnote>
  <w:footnote w:id="8">
    <w:p>
      <w:pPr>
        <w:pStyle w:val="FootnoteText"/>
        <w:rPr>
          <w:szCs w:val="24"/>
        </w:rPr>
      </w:pPr>
      <w:r>
        <w:rPr>
          <w:rStyle w:val="FootnoteReference"/>
        </w:rPr>
        <w:footnoteRef/>
      </w:r>
      <w:r>
        <w:tab/>
        <w:t>Tel(le) que visé(e) à l’article 54, paragraphe 2, point a) ou b), du règlement financier.</w:t>
      </w:r>
    </w:p>
  </w:footnote>
  <w:footnote w:id="9">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10">
    <w:p>
      <w:pPr>
        <w:pStyle w:val="FootnoteText"/>
        <w:rPr>
          <w:szCs w:val="24"/>
        </w:rPr>
      </w:pPr>
      <w:r>
        <w:rPr>
          <w:rStyle w:val="FootnoteReference"/>
        </w:rPr>
        <w:footnoteRef/>
      </w:r>
      <w:r>
        <w:tab/>
        <w:t>CD = crédits dissociés / CND = crédits non dissociés.</w:t>
      </w:r>
    </w:p>
  </w:footnote>
  <w:footnote w:id="11">
    <w:p>
      <w:pPr>
        <w:pStyle w:val="FootnoteText"/>
        <w:rPr>
          <w:szCs w:val="24"/>
        </w:rPr>
      </w:pPr>
      <w:r>
        <w:rPr>
          <w:rStyle w:val="FootnoteReference"/>
        </w:rPr>
        <w:footnoteRef/>
      </w:r>
      <w:r>
        <w:tab/>
        <w:t xml:space="preserve">AELE: Association européenne de libre-échange. </w:t>
      </w:r>
    </w:p>
  </w:footnote>
  <w:footnote w:id="12">
    <w:p>
      <w:pPr>
        <w:pStyle w:val="FootnoteText"/>
        <w:rPr>
          <w:szCs w:val="24"/>
        </w:rPr>
      </w:pPr>
      <w:r>
        <w:rPr>
          <w:rStyle w:val="FootnoteReference"/>
        </w:rPr>
        <w:footnoteRef/>
      </w:r>
      <w:r>
        <w:tab/>
        <w:t>Pays candidats et, le cas échéant, pays candidats potentiels des Balkans occidentaux.</w:t>
      </w:r>
    </w:p>
  </w:footnote>
  <w:footnote w:id="1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4">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5">
    <w:p>
      <w:pPr>
        <w:pStyle w:val="FootnoteText"/>
        <w:rPr>
          <w:szCs w:val="24"/>
        </w:rPr>
      </w:pPr>
      <w:r>
        <w:rPr>
          <w:rStyle w:val="FootnoteReference"/>
        </w:rPr>
        <w:footnoteRef/>
      </w:r>
      <w:r>
        <w:tab/>
        <w:t xml:space="preserve">Tel que décrit dans la partie 1.4.2. «Objectif(s) spécifique(s)…». </w:t>
      </w:r>
    </w:p>
  </w:footnote>
  <w:footnote w:id="16">
    <w:p>
      <w:pPr>
        <w:pStyle w:val="FootnoteText"/>
      </w:pPr>
      <w:r>
        <w:rPr>
          <w:rStyle w:val="FootnoteReference"/>
        </w:rPr>
        <w:footnoteRef/>
      </w:r>
      <w:r>
        <w:tab/>
        <w:t>En 2017, la Commission paiera pour les années d’application du protocole 2016/2017 et 2017/2018. En 2018, la Commission paiera pour l’année d’application 2018/2019. Cela s’explique par le fait que les paiements relatifs à l’accès doivent être effectués avant la date anniversaire du protocole, qui est le 16 novembre. Par exemple, pour le 16 novembre 2018 au plus tard, la Commission devra effectuer le paiement relatif à l’accès pour l’année d’application 2018/2019.</w:t>
      </w:r>
    </w:p>
  </w:footnote>
  <w:footnote w:id="17">
    <w:p>
      <w:pPr>
        <w:pStyle w:val="FootnoteText"/>
        <w:rPr>
          <w:szCs w:val="24"/>
        </w:rPr>
      </w:pPr>
      <w:r>
        <w:rPr>
          <w:rStyle w:val="FootnoteReference"/>
        </w:rPr>
        <w:footnoteRef/>
      </w:r>
      <w:r>
        <w:tab/>
        <w:t>L'année N est l'année du début de la mise en œuvre de la proposition/de l'initiative.</w:t>
      </w:r>
    </w:p>
  </w:footnote>
  <w:footnote w:id="18">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9">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20">
    <w:p>
      <w:pPr>
        <w:pStyle w:val="FootnoteText"/>
        <w:rPr>
          <w:szCs w:val="24"/>
        </w:rPr>
      </w:pPr>
      <w:r>
        <w:rPr>
          <w:rStyle w:val="FootnoteReference"/>
        </w:rPr>
        <w:footnoteRef/>
      </w:r>
      <w:r>
        <w:tab/>
        <w:t>Sous-plafonds de personnel externe financés sur crédits opérationnels (anciennes lignes «BA»).</w:t>
      </w:r>
    </w:p>
  </w:footnote>
  <w:footnote w:id="21">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0A67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EBE1F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4EF5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FA48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D6CA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9 10:32: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2DEFD2F78CB3415A96CC72EDA16F7438"/>
    <w:docVar w:name="LW_CROSSREFERENCE" w:val="&lt;UNUSED&gt;"/>
    <w:docVar w:name="LW_DocType" w:val="COM"/>
    <w:docVar w:name="LW_EMISSION" w:val="15.3.2017"/>
    <w:docVar w:name="LW_EMISSION_ISODATE" w:val="2017-03-15"/>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53"/>
    <w:docVar w:name="LW_REF.II.NEW.CP_YEAR" w:val="2017"/>
    <w:docVar w:name="LW_REF.INST.NEW" w:val="COM"/>
    <w:docVar w:name="LW_REF.INST.NEW_ADOPTED" w:val="final"/>
    <w:docVar w:name="LW_REF.INST.NEW_TEXT" w:val="(2017) 125"/>
    <w:docVar w:name="LW_REF.INTERNE" w:val="&lt;UNUSED&gt;"/>
    <w:docVar w:name="LW_SOUS.TITRE.OBJ.CP" w:val="&lt;UNUSED&gt;"/>
    <w:docVar w:name="LW_STATUT.CP" w:val="Proposition de"/>
    <w:docVar w:name="LW_SUPERTITRE" w:val="&lt;UNUSED&gt;"/>
    <w:docVar w:name="LW_TITRE.OBJ.CP" w:val="portant modification du règlement (UE) 2015/2192 relatif à la répartition des possibilités de pêche au titre du protocole fixant les possibilités de pêche et la contrepartie financière prévues par l\u8217?accord de partenariat dans le secteur de la pêche entre l\u8217?Union européenne et la République islamique de Mauritani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A248-11C4-4C0B-93A0-7F0CCCA9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4433</Words>
  <Characters>25138</Characters>
  <Application>Microsoft Office Word</Application>
  <DocSecurity>0</DocSecurity>
  <Lines>1396</Lines>
  <Paragraphs>568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2017-03-03T15:32:00Z</dcterms:created>
  <dcterms:modified xsi:type="dcterms:W3CDTF">2017-03-09T09:32:00Z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