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5FD656B940541F4BEB1E30B92CCEAA3" style="width:450.25pt;height:348.2pt">
            <v:imagedata r:id="rId9" o:title=""/>
          </v:shape>
        </w:pict>
      </w:r>
    </w:p>
    <w:bookmarkEnd w:id="0"/>
    <w:p>
      <w:pPr>
        <w:spacing w:after="0" w:line="36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90"/>
        </w:numPr>
        <w:spacing w:after="100" w:afterAutospacing="1" w:line="240" w:lineRule="auto"/>
        <w:rPr>
          <w:rFonts w:ascii="Times New Roman" w:hAnsi="Times New Roman" w:cs="Times New Roman"/>
          <w:b/>
          <w:noProof/>
          <w:sz w:val="24"/>
          <w:szCs w:val="24"/>
          <w:lang w:val="en-GB" w:eastAsia="en-US" w:bidi="ar-SA"/>
        </w:rPr>
      </w:pPr>
      <w:bookmarkStart w:id="1" w:name="_GoBack"/>
      <w:bookmarkEnd w:id="1"/>
      <w:r>
        <w:rPr>
          <w:rFonts w:ascii="Times New Roman" w:hAnsi="Times New Roman" w:cs="Times New Roman"/>
          <w:b/>
          <w:noProof/>
          <w:sz w:val="24"/>
          <w:szCs w:val="24"/>
          <w:lang w:val="en-GB" w:eastAsia="en-US" w:bidi="ar-SA"/>
        </w:rPr>
        <w:lastRenderedPageBreak/>
        <w:t xml:space="preserve">Оценката и необходимостта от план за действие на ЕС за наркотиците за 2017 — 2020 г.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В Стратегията на ЕС за борба с наркотиците за 2013 — 2020 г.</w:t>
      </w:r>
      <w:r>
        <w:rPr>
          <w:rStyle w:val="FootnoteReference"/>
          <w:rFonts w:ascii="Times New Roman" w:hAnsi="Times New Roman"/>
          <w:noProof/>
          <w:sz w:val="24"/>
        </w:rPr>
        <w:footnoteReference w:id="1"/>
      </w:r>
      <w:r>
        <w:rPr>
          <w:rFonts w:ascii="Times New Roman" w:hAnsi="Times New Roman"/>
          <w:noProof/>
          <w:sz w:val="24"/>
        </w:rPr>
        <w:t xml:space="preserve"> и първия План за действие на ЕС относно наркотиците за 2013 — 2016 г.</w:t>
      </w:r>
      <w:r>
        <w:rPr>
          <w:rStyle w:val="FootnoteReference"/>
          <w:rFonts w:ascii="Times New Roman" w:hAnsi="Times New Roman"/>
          <w:noProof/>
          <w:sz w:val="24"/>
        </w:rPr>
        <w:footnoteReference w:id="2"/>
      </w:r>
      <w:r>
        <w:rPr>
          <w:rFonts w:ascii="Times New Roman" w:hAnsi="Times New Roman"/>
          <w:noProof/>
          <w:sz w:val="24"/>
        </w:rPr>
        <w:t xml:space="preserve"> са изложени рамка и приоритети на политиката на ЕС за борба с наркотиците. Стратегията осигурява единна и обективна рамка за противодействие на наркотиците в ЕС и извън него, като е изградена върху пет стълба, включващи: </w:t>
      </w:r>
    </w:p>
    <w:p>
      <w:pPr>
        <w:pStyle w:val="ListParagraph"/>
        <w:numPr>
          <w:ilvl w:val="0"/>
          <w:numId w:val="8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две основни области на политиката — </w:t>
      </w:r>
    </w:p>
    <w:p>
      <w:pPr>
        <w:pStyle w:val="ListParagraph"/>
        <w:numPr>
          <w:ilvl w:val="1"/>
          <w:numId w:val="8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намаляване на търсенето на наркотици, и </w:t>
      </w:r>
    </w:p>
    <w:p>
      <w:pPr>
        <w:pStyle w:val="ListParagraph"/>
        <w:numPr>
          <w:ilvl w:val="1"/>
          <w:numId w:val="8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намаляване на предлагането на наркотици; </w:t>
      </w:r>
    </w:p>
    <w:p>
      <w:pPr>
        <w:pStyle w:val="ListParagraph"/>
        <w:numPr>
          <w:ilvl w:val="0"/>
          <w:numId w:val="8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и три хоризонтални теми —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координация,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международно сътрудничество, и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научни изследвания, информация, мониторинг и оценка.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В Стратегията от Комисията се изисква да „</w:t>
      </w:r>
      <w:r>
        <w:rPr>
          <w:rFonts w:ascii="Times New Roman" w:hAnsi="Times New Roman"/>
          <w:i/>
          <w:noProof/>
          <w:sz w:val="24"/>
        </w:rPr>
        <w:t>постави началото на външна междинна оценка на Стратегията до 2016 г. с оглед на изготвянето на втори план за действие за периода 2017—2020 г.</w:t>
      </w:r>
      <w:r>
        <w:rPr>
          <w:rFonts w:ascii="Times New Roman" w:hAnsi="Times New Roman"/>
          <w:noProof/>
          <w:sz w:val="24"/>
        </w:rPr>
        <w:t>“. В Европейската програма за сигурност</w:t>
      </w:r>
      <w:r>
        <w:rPr>
          <w:rStyle w:val="FootnoteReference"/>
          <w:rFonts w:ascii="Times New Roman" w:hAnsi="Times New Roman"/>
          <w:noProof/>
          <w:sz w:val="24"/>
        </w:rPr>
        <w:footnoteReference w:id="3"/>
      </w:r>
      <w:r>
        <w:rPr>
          <w:rFonts w:ascii="Times New Roman" w:hAnsi="Times New Roman"/>
          <w:noProof/>
          <w:sz w:val="24"/>
        </w:rPr>
        <w:t xml:space="preserve"> се предвижда, че Комисията ще оцени напредъка при прилагането на Плана за действие на ЕС относно наркотиците за 2013 — 2016 г. и въз основа на тази оценка ще реши дали да предложи нов план за действие за 2017 — 2020 г.</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Между април и ноември 2016 г. с помощта на външен изпълнител</w:t>
      </w:r>
      <w:r>
        <w:rPr>
          <w:rStyle w:val="FootnoteReference"/>
          <w:rFonts w:ascii="Times New Roman" w:hAnsi="Times New Roman"/>
          <w:noProof/>
          <w:sz w:val="24"/>
        </w:rPr>
        <w:footnoteReference w:id="4"/>
      </w:r>
      <w:r>
        <w:rPr>
          <w:rFonts w:ascii="Times New Roman" w:hAnsi="Times New Roman"/>
          <w:noProof/>
          <w:sz w:val="24"/>
        </w:rPr>
        <w:t xml:space="preserve"> Комисията извърши междинната оценка на Стратегията на ЕС за борба с наркотиците и окончателната оценка на Плана за действие за 2013—2016 г.</w:t>
      </w:r>
      <w:r>
        <w:rPr>
          <w:rStyle w:val="FootnoteReference"/>
          <w:rFonts w:ascii="Times New Roman" w:hAnsi="Times New Roman"/>
          <w:noProof/>
          <w:sz w:val="24"/>
        </w:rPr>
        <w:footnoteReference w:id="5"/>
      </w:r>
      <w:r>
        <w:rPr>
          <w:rFonts w:ascii="Times New Roman" w:hAnsi="Times New Roman"/>
          <w:noProof/>
          <w:sz w:val="24"/>
        </w:rPr>
        <w:t xml:space="preserve"> Тъй като са свързани и се допълват взаимно, тези две оценки са представени под формата на една-единствена всеобхватна оценка.</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В настоящото съобщение се представят резултатите от оценката</w:t>
      </w:r>
      <w:r>
        <w:rPr>
          <w:rStyle w:val="FootnoteReference"/>
          <w:rFonts w:ascii="Times New Roman" w:hAnsi="Times New Roman"/>
          <w:noProof/>
          <w:sz w:val="24"/>
        </w:rPr>
        <w:footnoteReference w:id="6"/>
      </w:r>
      <w:r>
        <w:rPr>
          <w:rFonts w:ascii="Times New Roman" w:hAnsi="Times New Roman"/>
          <w:noProof/>
          <w:sz w:val="24"/>
        </w:rPr>
        <w:t xml:space="preserve"> и се предлагат следващите стъпки, които да бъдат предприети. С оглед на цялостните констатации на оценката Комисията реши да предложи нов план за действие за периода 2017 — 2020 г. Въз основа на резултатите от оценката и като се има предвид, че стратегическата рамка няма да се промени преди 2020 г., предлаганият нов план за действие е актуализирана версия на Плана за действие на ЕС относно наркотиците за периода 2013 — 2016 г. с редица изменения. В него са отразени констатациите и препоръките в оценката, които Комисията е счела за уместни, както и редица допълнителни действия по нови и нововъзникващи приоритети, които не са били обхванати в достатъчна степен от предишния план за действие, но имат отношение към предизвикателствата, пред които държавите от ЕС са изправени понастоящем. Предложеният от Комисията проект на </w:t>
      </w:r>
      <w:r>
        <w:rPr>
          <w:rFonts w:ascii="Times New Roman" w:hAnsi="Times New Roman"/>
          <w:noProof/>
          <w:sz w:val="24"/>
        </w:rPr>
        <w:lastRenderedPageBreak/>
        <w:t>план за действие относно наркотиците за периода 2017 — 2020 г. се съдържа в приложението по-долу</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ListParagraph"/>
        <w:keepNext/>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Контекст</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Пазарът на забранени наркотични вещества е най-динамичният престъпен пазар, както бе потвърдено и в Европейската програма за сигурност. Според изчисленията гражданите на ЕС харчат над 24 милиарда евро годишно за забранени наркотични вещества</w:t>
      </w:r>
      <w:r>
        <w:rPr>
          <w:rStyle w:val="FootnoteReference"/>
          <w:rFonts w:ascii="Times New Roman" w:hAnsi="Times New Roman"/>
          <w:noProof/>
          <w:sz w:val="24"/>
        </w:rPr>
        <w:footnoteReference w:id="8"/>
      </w:r>
      <w:r>
        <w:rPr>
          <w:rFonts w:ascii="Times New Roman" w:hAnsi="Times New Roman"/>
          <w:noProof/>
          <w:sz w:val="24"/>
        </w:rPr>
        <w:t>. Човешките и социалните вреди от зависимостта от наркотици са много големи и водят до разходи за общественото здравеопазване (за превенция, лечение и здравни грижи, свързани с наркотичната зависимост), обществената сигурност, околната среда и производителността на труда</w:t>
      </w:r>
      <w:r>
        <w:rPr>
          <w:rStyle w:val="FootnoteReference"/>
          <w:rFonts w:ascii="Times New Roman" w:hAnsi="Times New Roman"/>
          <w:noProof/>
          <w:sz w:val="24"/>
        </w:rPr>
        <w:footnoteReference w:id="9"/>
      </w:r>
      <w:r>
        <w:rPr>
          <w:rFonts w:ascii="Times New Roman" w:hAnsi="Times New Roman"/>
          <w:noProof/>
          <w:sz w:val="24"/>
        </w:rPr>
        <w:t>.</w:t>
      </w:r>
    </w:p>
    <w:p>
      <w:pPr>
        <w:pStyle w:val="BodyText"/>
        <w:spacing w:after="100" w:afterAutospacing="1"/>
        <w:rPr>
          <w:rFonts w:ascii="Times New Roman" w:hAnsi="Times New Roman"/>
          <w:noProof/>
          <w:color w:val="000000"/>
          <w:sz w:val="24"/>
          <w:szCs w:val="24"/>
        </w:rPr>
      </w:pPr>
      <w:r>
        <w:rPr>
          <w:rFonts w:ascii="Times New Roman" w:hAnsi="Times New Roman"/>
          <w:noProof/>
          <w:sz w:val="24"/>
        </w:rPr>
        <w:t xml:space="preserve">Що се отнася до търсенето на наркотици, употребата на забранени наркотични вещества остава една от най-упоритите заплахи за нашите общества, която пряко или косвено засяга живота на милиони хора. По сведения не по-малко от 83,2 милиона европейци са употребявали канабис поне веднъж през живота си, а 17,1 милиона и 12 милиона души са опитвали съответно кокаин и амфетамини. Освен това 1,3 милиона са възрастните, при които употребата на опиоидни вещества е свързана с висок риск. </w:t>
      </w:r>
      <w:r>
        <w:rPr>
          <w:rFonts w:ascii="Times New Roman" w:hAnsi="Times New Roman"/>
          <w:noProof/>
          <w:color w:val="000000"/>
          <w:sz w:val="24"/>
        </w:rPr>
        <w:t xml:space="preserve">Разпространението на регистрираната употреба на високорискови опиоидни вещества се е стабилизирало, а в някои страни дори е намаляло; разпространението на инфекциозни заболявания като цяло намалява от 2013 г. насам. </w:t>
      </w:r>
      <w:r>
        <w:rPr>
          <w:rFonts w:ascii="Times New Roman" w:hAnsi="Times New Roman"/>
          <w:noProof/>
          <w:sz w:val="24"/>
        </w:rPr>
        <w:t>По изчисления през 2014 г. в ЕС поне 6 800 души са починали от свръхдоза наркотик</w:t>
      </w:r>
      <w:r>
        <w:rPr>
          <w:rStyle w:val="FootnoteReference"/>
          <w:rFonts w:ascii="Times New Roman" w:hAnsi="Times New Roman"/>
          <w:noProof/>
          <w:sz w:val="24"/>
        </w:rPr>
        <w:footnoteReference w:id="10"/>
      </w:r>
      <w:r>
        <w:rPr>
          <w:rFonts w:ascii="Times New Roman" w:hAnsi="Times New Roman"/>
          <w:noProof/>
          <w:sz w:val="24"/>
        </w:rPr>
        <w:t xml:space="preserve">. Употребата на наркотици е концентрирана предимно сред младите хора на възраст между 15 и 34 години. Изчислено е, че през последната година 17,8 милиона души в тази възрастова група са използвали наркотици. </w:t>
      </w:r>
      <w:r>
        <w:rPr>
          <w:noProof/>
        </w:rPr>
        <w:t>Изглежда има нарастване на свързаните с наркотици смъртни случаи от 2013 г. насам и не е отчетено намаляване на употребата на наркотици</w:t>
      </w:r>
      <w:r>
        <w:rPr>
          <w:rStyle w:val="FootnoteReference"/>
          <w:rFonts w:ascii="Times New Roman" w:hAnsi="Times New Roman"/>
          <w:noProof/>
          <w:sz w:val="24"/>
        </w:rPr>
        <w:footnoteReference w:id="11"/>
      </w:r>
      <w:r>
        <w:rPr>
          <w:noProof/>
        </w:rPr>
        <w:t>.</w:t>
      </w:r>
      <w:r>
        <w:rPr>
          <w:rFonts w:ascii="Times New Roman" w:hAnsi="Times New Roman"/>
          <w:noProof/>
          <w:color w:val="000000"/>
          <w:sz w:val="24"/>
        </w:rPr>
        <w:t xml:space="preserve">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sz w:val="24"/>
        </w:rPr>
        <w:t xml:space="preserve">Що се отнася до предлагането на наркотици, през последните четири години на открития пазар и/или онлайн все по-често се предлагат нови психоактивни вещества (НПВ), което представлява сериозна заплаха за здравето. През 2015 г. бяха открити общо 98 нови психоактивни вещества, с което броят на новите вещества, които се следят, надхвърли 560, 70% от които са открити през последните пет години. </w:t>
      </w:r>
      <w:r>
        <w:rPr>
          <w:rFonts w:ascii="Times New Roman" w:hAnsi="Times New Roman"/>
          <w:noProof/>
          <w:color w:val="000000"/>
          <w:sz w:val="24"/>
        </w:rPr>
        <w:t xml:space="preserve">Регистрираните конфискации на забранени наркотични вещества не са се променили съществено през 2013 г. и 2014 г. в сравнение с предходната година, но общото количество на конфискуваните наркотици е нараснало.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Що се отнася до координацията, механизмите на равнището на ЕС, повечето от които предшестват настоящата Стратегия, са ефективни. Най-изявеният координационен орган — хоризонталната работна група „Наркотици“ (HDG) към Съвета на ЕС — се смята за ефективен при мониторинга и изпълнението на Плана за действие, както и при улесняването на диалога относно състоянието на проблема с наркотиците в Европа. Налице са сведения за последователност през годините, която се влияе от смяната на председателствата на Съвета. Освен това всички държави — членки на ЕС, докладваха, че в разработването, мониторинга и/или оценката на техните национални политики в областта на наркотиците са участвали организации на гражданското общество.</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Що се отнася до международното сътрудничество, свързани с наркотиците приоритети вече са част от външните политики, стратегии и действия на ЕС, насочени към трети държави и региони. Освен това благодарение на подобреното сътрудничество на равнището на ЕС през последните години Съюзът отстоява единна позиция в международните форуми.</w:t>
      </w:r>
      <w:r>
        <w:rPr>
          <w:rFonts w:ascii="Times New Roman" w:hAnsi="Times New Roman" w:cs="Times New Roman"/>
          <w:noProof/>
          <w:color w:val="000000"/>
          <w:sz w:val="24"/>
          <w:szCs w:val="24"/>
        </w:rPr>
        <w:t xml:space="preserve">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И накрая, що се отнася до информацията, научните изследвания, мониторинга и оценката, през последните пет години ЕС е предоставил подкрепа за редица научноизследователски проекти по линия на различни финансови механизми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обхващащи различни аспекти на проблема с наркотиците и свързаните с него дисциплини. Необходими са постоянни усилия за превръщане на приоритетите на Стратегията и Плана за действие на ЕС в научни изследвания. Подобреният обмен на криминалистични и токсикологични данни на равнището на ЕС през последните години намира израз в наличието и функционирането на системата за ранно предупреждение за нови психоактивни вещества в рамките на Европейския център за мониторинг на наркотиците и наркоманиите (EMCDDA). Системата за ранно предупреждение позволява на ЕС да взема бързи и информирани решения относно вредните вещества. </w:t>
      </w:r>
    </w:p>
    <w:p>
      <w:pPr>
        <w:pStyle w:val="ListParagraph"/>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 xml:space="preserve">Заключения от междинната оценка на Стратегията и окончателната оценка на Плана за действие за 2013 — 2016 г.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Оценката обхваща периода 2013 — 2016 г. и всички 28 държави членки. Разгледани са както вътрешните, така и външните измерения на Стратегията и Плана за действие. Оценката се основава на задълбочен преглед на съответни данни и документи на ЕС и държавите членки, свързани с пазарите на наркотици, тенденциите и стратегиите за борба с наркотиците</w:t>
      </w:r>
      <w:r>
        <w:rPr>
          <w:rStyle w:val="FootnoteReference"/>
          <w:rFonts w:ascii="Times New Roman" w:hAnsi="Times New Roman"/>
          <w:noProof/>
          <w:sz w:val="24"/>
        </w:rPr>
        <w:footnoteReference w:id="13"/>
      </w:r>
      <w:r>
        <w:rPr>
          <w:rFonts w:ascii="Times New Roman" w:hAnsi="Times New Roman"/>
          <w:noProof/>
          <w:sz w:val="24"/>
        </w:rPr>
        <w:t>. Констатациите от оценката засягат както междинната оценка на Стратегията на ЕС за борба с наркотиците (2013 — 2020 г.), така и окончателната оценка на Плана за действие на ЕС относно наркотиците (2013 — 2016 г.)</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Някои от основните предизвикателства по време на оценката бяха свързани с факта, че събраните от всички държави членки данни не винаги бяха съпоставими, както и с липсата на минимални мерки и актуална статистика за някои области</w:t>
      </w:r>
      <w:r>
        <w:rPr>
          <w:rStyle w:val="FootnoteReference"/>
          <w:rFonts w:ascii="Times New Roman" w:hAnsi="Times New Roman"/>
          <w:noProof/>
          <w:color w:val="000000"/>
          <w:sz w:val="24"/>
        </w:rPr>
        <w:footnoteReference w:id="14"/>
      </w:r>
      <w:r>
        <w:rPr>
          <w:rFonts w:ascii="Times New Roman" w:hAnsi="Times New Roman"/>
          <w:noProof/>
          <w:color w:val="000000"/>
          <w:sz w:val="24"/>
        </w:rPr>
        <w:t>. Това затрудни оценката на възможните тенденции и промени на Стратегията и Плана за действие и съответно анализа на ефективността им по отношение на количественото измерване на последиците от тях и приписването на промените, съответстващи на целите, единствено на тяхното действие. Въпреки това за оценката бяха използвани няколко изследователски метода</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и данните от всеки източник бяха комбинирани, което допринесе за значимостта на доказателствения материал.</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В оценката се прави заключението, че Стратегията и Планът за действие все още са целесъобразни по отношение на изискванията на политиката за борба с наркотиците на равнището на ЕС и на национално и международно равнище. Всички области, засегнати в Стратегията и Плана, остават релевантни за справяне с всички аспекти на проблема с наркотиците.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При оценката бяха използвани петте стандартни критерия: ефективност, ефикасност, съгласуваност, уместност и добавена стойност от действията на равнището на ЕС.</w:t>
      </w:r>
    </w:p>
    <w:p>
      <w:pPr>
        <w:spacing w:after="100" w:afterAutospacing="1" w:line="240" w:lineRule="auto"/>
        <w:ind w:left="720"/>
        <w:jc w:val="both"/>
        <w:rPr>
          <w:rFonts w:ascii="Times New Roman" w:hAnsi="Times New Roman" w:cs="Times New Roman"/>
          <w:b/>
          <w:noProof/>
          <w:sz w:val="24"/>
          <w:szCs w:val="24"/>
        </w:rPr>
      </w:pPr>
      <w:r>
        <w:rPr>
          <w:rFonts w:ascii="Times New Roman" w:hAnsi="Times New Roman"/>
          <w:b/>
          <w:noProof/>
          <w:sz w:val="24"/>
        </w:rPr>
        <w:t>А.</w:t>
      </w:r>
      <w:r>
        <w:rPr>
          <w:rFonts w:ascii="Times New Roman" w:hAnsi="Times New Roman"/>
          <w:b/>
          <w:noProof/>
          <w:sz w:val="24"/>
        </w:rPr>
        <w:tab/>
        <w:t xml:space="preserve">Ефективност </w:t>
      </w:r>
    </w:p>
    <w:p>
      <w:pPr>
        <w:spacing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rPr>
        <w:t>Като първа стъпка в оценката на ефективността бе оценена степента на изпълнение на всичките 54 действия от Плана за действие и тяхното въздействие. В графиката по-долу е представен постигнатият напредък в Плана за действие по всеки един от петте стълба:</w:t>
      </w:r>
    </w:p>
    <w:p>
      <w:pPr>
        <w:spacing w:after="100" w:afterAutospacing="1" w:line="240" w:lineRule="auto"/>
        <w:jc w:val="center"/>
        <w:rPr>
          <w:rFonts w:ascii="Times New Roman" w:hAnsi="Times New Roman" w:cs="Times New Roman"/>
          <w:noProof/>
          <w:color w:val="000000"/>
          <w:sz w:val="24"/>
          <w:szCs w:val="24"/>
        </w:rPr>
      </w:pPr>
      <w:r>
        <w:rPr>
          <w:noProof/>
          <w:lang w:val="en-US" w:eastAsia="en-US" w:bidi="ar-SA"/>
        </w:rPr>
        <w:drawing>
          <wp:inline distT="0" distB="0" distL="0" distR="0">
            <wp:extent cx="4554098" cy="3768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53094" cy="3767944"/>
                    </a:xfrm>
                    <a:prstGeom prst="rect">
                      <a:avLst/>
                    </a:prstGeom>
                  </pic:spPr>
                </pic:pic>
              </a:graphicData>
            </a:graphic>
          </wp:inline>
        </w:drawing>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Резултатите от оценката показват, че изпълнението на Стратегията за борба с наркотиците и Плана за действие на ЕС е било ефективно в различна степен във всяка от петте области.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По-голямата част от действията са били изпълнени — 53 % от действията са приключени или напредват по график, а по 47 % от действията има напредък, но изпълнението изостава от плана — и по 15-те конкретни цели на Плана за действие е постигнат значителен напредък.</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В областта на намаляването на търсенето на наркотици закъсненията са свързани с целите за предотвратяване на употребата на наркотици и забавянето на първоначалната употреба на наркотици, както и с подобряването на ефективността на лечението на наркозависимости и рехабилитацията. Целта за включване на координирани подходи, основани на добри практики и качество, при намаляването на търсенето на наркотици, се изпълнява по план.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В областта на намаляването на предлагането на наркотици целите за подобряване на ефективната координация и сътрудничество в областта на правоприлагането и подобряването на ефективното съдебно сътрудничество и законодателство не се изпълняват по предвидения график, докато се преценява, че целта за ефективна реакция на настоящите и нововъзникващите тенденции в дейности със забранени наркотични вещества се изпълнява, както е предвидено.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В областта на координацията целите за осигуряване на ефективна координация на свързаните с наркотиците политики на европейско и национално равнище и за осигуряване на участието на гражданското общество във формулирането на политиката за борба с наркотиците се изпълняват по план.</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В областта на международните отношения оценката гласи, че целта за интегриране на Стратегията в цялостната рамка за външна политика на ЕС не се изпълнява по план, за разлика от целите, свързани с подобряването на съгласуваността на подхода на ЕС и на видимостта на ЕС в ООН и с подпомагането на присъединяващите се държави, държавите кандидатки и потенциални кандидатки при адаптирането и съобразяването с достиженията на правото на ЕС в областта на наркотиците, които се изпълняват по план.</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В областта на информацията, научните изследвания, мониторинга и оценката е необходим допълнителен напредък за гарантиране на адекватни инвестиции в научни изследвания, събиране на данни, мониторинг, оценки и обмен на информация, както и за подобряване на разпространението на резултатите от мониторинг, научни изследвания и оценки на равнището на ЕС и на национално равнище. Добре напредва поддържането на работата в мрежа и сътрудничеството, както и повсеместното и съвместното развиване на капацитет в рамките на научната инфраструктура на ЕС за информация, научни изследвания, мониторинг и оценка в областта на наркотиците, и по-специално на забранените наркотични вещества</w:t>
      </w:r>
    </w:p>
    <w:p>
      <w:pPr>
        <w:spacing w:after="100" w:afterAutospacing="1" w:line="240" w:lineRule="auto"/>
        <w:ind w:left="720"/>
        <w:jc w:val="both"/>
        <w:rPr>
          <w:rFonts w:ascii="Times New Roman" w:hAnsi="Times New Roman" w:cs="Times New Roman"/>
          <w:b/>
          <w:noProof/>
          <w:sz w:val="24"/>
          <w:szCs w:val="24"/>
        </w:rPr>
      </w:pPr>
      <w:r>
        <w:rPr>
          <w:rFonts w:ascii="Times New Roman" w:hAnsi="Times New Roman"/>
          <w:b/>
          <w:noProof/>
          <w:sz w:val="24"/>
        </w:rPr>
        <w:t>Б.</w:t>
      </w:r>
      <w:r>
        <w:rPr>
          <w:rFonts w:ascii="Times New Roman" w:hAnsi="Times New Roman"/>
          <w:b/>
          <w:noProof/>
          <w:sz w:val="24"/>
        </w:rPr>
        <w:tab/>
        <w:t xml:space="preserve">Ефикасност </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При липсата на изчерпателен и актуален преглед на свързаните с наркотиците разходи оценката предостави данни до каква степен са достатъчни отделените финансови ресурси на равнището на ЕС и на равнището на държавите членки.</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В оценката не бе възможно да се стигне до заключение относно ефикасността на интервенцията, тъй като не са достъпни хармонизирани количествени данни по отношение на разходите и свързаните с тях ползи от съответните действия в държавите — членки на ЕС. Въпреки това Стратегията и Плана за действие за борба с наркотиците са успели да установят обща за целия ЕС рамка, както е обяснено в раздел „Добавена стойност на ЕС“ по-долу. При липсата на изчерпателен и актуален преглед на свързаните с наркотиците разходи оценката бе съсредоточена върху това, до каква степен отделените финансови ресурси на равнището на ЕС и на равнището на държавите членки се възприемат като достатъчни. Като цяло заинтересованите лица считат ресурсите за достатъчни за Стратегията и План за действие на ЕС, по-специално по отношение на търсенето и предлагането на наркотици.</w:t>
      </w:r>
    </w:p>
    <w:p>
      <w:pPr>
        <w:spacing w:after="100" w:afterAutospacing="1" w:line="240" w:lineRule="auto"/>
        <w:ind w:left="720"/>
        <w:jc w:val="both"/>
        <w:rPr>
          <w:rFonts w:ascii="Times New Roman" w:hAnsi="Times New Roman" w:cs="Times New Roman"/>
          <w:b/>
          <w:noProof/>
          <w:sz w:val="24"/>
          <w:szCs w:val="24"/>
        </w:rPr>
      </w:pPr>
      <w:r>
        <w:rPr>
          <w:rFonts w:ascii="Times New Roman" w:hAnsi="Times New Roman"/>
          <w:b/>
          <w:noProof/>
          <w:sz w:val="24"/>
        </w:rPr>
        <w:t>В.</w:t>
      </w:r>
      <w:r>
        <w:rPr>
          <w:rFonts w:ascii="Times New Roman" w:hAnsi="Times New Roman"/>
          <w:b/>
          <w:noProof/>
          <w:sz w:val="24"/>
        </w:rPr>
        <w:tab/>
        <w:t>Съгласуваност</w:t>
      </w:r>
    </w:p>
    <w:p>
      <w:pPr>
        <w:spacing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rPr>
        <w:t>Според оценката приоритетите и действията на Стратегията и Плана за действие на ЕС са съгласувани с по-голяма част от другите имащи отношение политики и стратегии на ЕС, като например Европейската програма за сигурност и Европейския консенсус за развитие</w:t>
      </w:r>
      <w:r>
        <w:rPr>
          <w:rStyle w:val="FootnoteReference"/>
          <w:rFonts w:ascii="Times New Roman" w:hAnsi="Times New Roman"/>
          <w:noProof/>
          <w:color w:val="000000"/>
          <w:sz w:val="24"/>
        </w:rPr>
        <w:footnoteReference w:id="16"/>
      </w:r>
      <w:r>
        <w:rPr>
          <w:rFonts w:ascii="Times New Roman" w:hAnsi="Times New Roman"/>
          <w:noProof/>
          <w:color w:val="000000"/>
          <w:sz w:val="24"/>
        </w:rPr>
        <w:t>. Необходими са обаче повече полезни взаимодействия със Здравната стратегия на ЕС</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В оценката се посочва например фактът, че не са отразени идентифицираните в Здравната стратегия на ЕС предизвикателства, свързани със застаряването на населението в Европа или потенциалното въздействие на новите технологии върху превенцията. </w:t>
      </w:r>
    </w:p>
    <w:p>
      <w:pPr>
        <w:spacing w:after="100" w:afterAutospacing="1" w:line="240" w:lineRule="auto"/>
        <w:ind w:left="720"/>
        <w:jc w:val="both"/>
        <w:rPr>
          <w:rFonts w:ascii="Times New Roman" w:hAnsi="Times New Roman" w:cs="Times New Roman"/>
          <w:b/>
          <w:noProof/>
          <w:sz w:val="24"/>
          <w:szCs w:val="24"/>
        </w:rPr>
      </w:pPr>
      <w:r>
        <w:rPr>
          <w:rFonts w:ascii="Times New Roman" w:hAnsi="Times New Roman"/>
          <w:b/>
          <w:noProof/>
          <w:sz w:val="24"/>
        </w:rPr>
        <w:t>Г.</w:t>
      </w:r>
      <w:r>
        <w:rPr>
          <w:rFonts w:ascii="Times New Roman" w:hAnsi="Times New Roman"/>
          <w:b/>
          <w:noProof/>
          <w:sz w:val="24"/>
        </w:rPr>
        <w:tab/>
        <w:t>Уместност</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Според оценката заинтересованите лица смятат Стратегията и Плана за действие за толкова уместни, колкото по времето на тяхното приемане. Основаната върху пет стълба структура продължава да отговаря на по-голяма част от изискванията на политиката за борба с наркотиците на равнището на ЕС и на национално равнище. </w:t>
      </w:r>
      <w:r>
        <w:rPr>
          <w:rFonts w:ascii="Times New Roman" w:hAnsi="Times New Roman"/>
          <w:noProof/>
          <w:sz w:val="24"/>
        </w:rPr>
        <w:t xml:space="preserve">Всички области, обхванати в Стратегията и Плана за действие за периода 2013 — 2016 г., остават актуални за работата по всички аспекти на проблема с наркотиците.  </w:t>
      </w:r>
    </w:p>
    <w:p>
      <w:pPr>
        <w:keepNext/>
        <w:spacing w:after="100" w:afterAutospacing="1" w:line="240" w:lineRule="auto"/>
        <w:ind w:left="720"/>
        <w:jc w:val="both"/>
        <w:rPr>
          <w:rFonts w:ascii="Times New Roman" w:hAnsi="Times New Roman" w:cs="Times New Roman"/>
          <w:b/>
          <w:noProof/>
          <w:sz w:val="24"/>
          <w:szCs w:val="24"/>
        </w:rPr>
      </w:pPr>
      <w:r>
        <w:rPr>
          <w:rFonts w:ascii="Times New Roman" w:hAnsi="Times New Roman"/>
          <w:b/>
          <w:noProof/>
          <w:sz w:val="24"/>
        </w:rPr>
        <w:t>Д.</w:t>
      </w:r>
      <w:r>
        <w:rPr>
          <w:rFonts w:ascii="Times New Roman" w:hAnsi="Times New Roman"/>
          <w:b/>
          <w:noProof/>
          <w:sz w:val="24"/>
        </w:rPr>
        <w:tab/>
        <w:t>Добавена стойност на ЕС</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Стратегията и Планът за действие осигуряват добавена стойност за стратегиите на отделните държави членки (и недържавни участници) чрез създаването на общоевропейска рамка и институционализиран процес за постигане на консенсус по отношение на политиката за борба с наркотиците. </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Нито в Стратегията, нито в Плана за действие се създават правни задължения за държавите членки, но в оценката се констатира, че те успешно са ръководили общи колективни действия в областта на наркотиците, както в рамките на ЕС, така и в международен план, и са насърчили споделен модел, характеризиращ се с определяне на приоритети, цели, дейности и показатели за измерване на резултатите.</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В оценката се констатира също така, че добавената стойност на ЕС изглежда по-значителна по отношение на дейностите за намаляване на търсенето и на нововъзникващите предизвикателства. В международното сътрудничество за развитие държавите членки отчетоха добавената стойност, дължаща се на колективното определяне на обща стратегическа рамка за действия на равнището на ЕС.</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Така ЕС ще придобие по-силен „глас“ в международните форуми и в международните отношения. Това е важен източник на насоки за държавите кандидатки, както и рамка за двустранно сътрудничество с държавите извън ЕС. </w:t>
      </w:r>
    </w:p>
    <w:p>
      <w:pPr>
        <w:spacing w:after="100" w:afterAutospacing="1" w:line="240" w:lineRule="auto"/>
        <w:ind w:left="720"/>
        <w:jc w:val="both"/>
        <w:rPr>
          <w:rFonts w:ascii="Times New Roman" w:hAnsi="Times New Roman" w:cs="Times New Roman"/>
          <w:b/>
          <w:noProof/>
          <w:sz w:val="24"/>
          <w:szCs w:val="24"/>
        </w:rPr>
      </w:pPr>
      <w:r>
        <w:rPr>
          <w:rFonts w:ascii="Times New Roman" w:hAnsi="Times New Roman"/>
          <w:b/>
          <w:noProof/>
          <w:sz w:val="24"/>
        </w:rPr>
        <w:t>Е.</w:t>
      </w:r>
      <w:r>
        <w:rPr>
          <w:rFonts w:ascii="Times New Roman" w:hAnsi="Times New Roman"/>
          <w:b/>
          <w:noProof/>
          <w:sz w:val="24"/>
        </w:rPr>
        <w:tab/>
        <w:t>Заключение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Като цяло в оценката се потвърждава широката подкрепа на заинтересованите лица за нов план за действие за 2017 — 2020 г. Те смятат, че е необходимо да се продължи определянето на точни приоритети и действия за всяка цел, да се възлага отговорност и да се формулират конкретни и измерими показатели. Всеобхватният характер на Стратегията позволява на заинтересованите страни да прецизират насочеността на приоритетите през целия ѝ период на действие, като при това поддържат разумна степен на съгласуваност. Освен това заинтересованите страни подкрепиха идеята за актуализиране на Плана за действие за 2013 — 2016 г. в отговор на промените и нововъзникващите въпроси.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color w:val="000000"/>
          <w:sz w:val="24"/>
        </w:rPr>
        <w:t xml:space="preserve">В оценката се констатира, че някои действия трябва да бъдат подсилени или добавени, за да се върви в крак с промените и за да се създадат повече полезни взаимодействия с други области на политиката на ЕС, като например със Здравната стратегия на ЕС. Изтъква се също необходимостта от обръщане на повече внимание на използването на новите комуникационни технологии в производството и трафика на забранени наркотични вещества, както и на ролята на интернет в превенцията на наркотици. </w:t>
      </w:r>
      <w:r>
        <w:rPr>
          <w:rFonts w:ascii="Times New Roman" w:hAnsi="Times New Roman"/>
          <w:noProof/>
          <w:sz w:val="24"/>
        </w:rPr>
        <w:t xml:space="preserve">Оценката показва, че липсата на дискусия по последните тенденции в политиката по отношение на канабиса е отбелязана от широк кръг заинтересовани страни и представлява един от най-често повдиганите въпроси във връзка с проблемите, които не са обхванати от Стратегията.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Посочва се също така, че изпълнението и достъпът до мерки за ограничаване на риска и вредите в държавите членки могат да се подобрят и че заинтересованите страни от гражданското общество са изразили загриженост по отношение на обхвата и качеството на тези мерки.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Не на последно място, в оценката се констатира, че бъдещият план за действие трябва да продължи да включва действия за мониторинг на новите психоактивни вещества, за намаляване на търсенето и предлагането им и за ограничаване на вредите, свързани с употребата им.</w:t>
      </w:r>
    </w:p>
    <w:p>
      <w:pPr>
        <w:pStyle w:val="ListParagraph"/>
        <w:keepNext/>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Проектът на план за действие за 2017 — 2020 г. — какво е новото и какво е актуализирано?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Като се основава на констатациите и препоръките на оценката, Комисията предлага проект на план за действие на ЕС относно наркотиците за 2017 — 2020 г. и по този начин покрива оставащите години от съществуващата Стратегия на ЕС за борба с наркотиците, която е в сила до 2020 г. Въз основа на резултатите от оценката в проекта на план за действие се запазват и засилват съществуващите действия за справяне с предизвикателствата, които продължават да представляват заплаха за здравето и сигурността. Включват се също нови действия, за да се отразят промените от 2013 г. насам и за справяне с нововъзникващи предизвикателства, които не са били обхванати досега. Някои от нововъведените действия, като например действията във връзка с използването на нови технологии за превенция или с изчерпателния анализ на развитието на политиките по отношение на канабиса, се базират на констатациите от оценката. Други са резултат от изводи, почерпени от източници като Доклада за пазарите на наркотици в ЕС (EU Drugs Market Report), промени в политиката на равнището на ЕС в контекста на Европейската програма за сигурност и приноса на гражданското общество. Тези действия включват: </w:t>
      </w:r>
    </w:p>
    <w:p>
      <w:pPr>
        <w:pStyle w:val="ListParagraph"/>
        <w:numPr>
          <w:ilvl w:val="0"/>
          <w:numId w:val="101"/>
        </w:numPr>
        <w:spacing w:after="100" w:afterAutospacing="1" w:line="240" w:lineRule="auto"/>
        <w:ind w:left="360"/>
        <w:jc w:val="both"/>
        <w:rPr>
          <w:rFonts w:ascii="Times New Roman" w:eastAsia="Times New Roman" w:hAnsi="Times New Roman" w:cs="Times New Roman"/>
          <w:b/>
          <w:noProof/>
          <w:color w:val="000000"/>
          <w:sz w:val="24"/>
          <w:szCs w:val="24"/>
        </w:rPr>
      </w:pPr>
      <w:r>
        <w:rPr>
          <w:rFonts w:ascii="Times New Roman" w:hAnsi="Times New Roman"/>
          <w:noProof/>
          <w:sz w:val="24"/>
        </w:rPr>
        <w:t xml:space="preserve">събиране на доказателства относно потенциалните връзки между трафика на наркотици и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финансирането на терористични групи и дейности,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контрабандата на мигранти, и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трафика на хора;</w:t>
      </w:r>
    </w:p>
    <w:p>
      <w:pPr>
        <w:pStyle w:val="ListParagraph"/>
        <w:numPr>
          <w:ilvl w:val="0"/>
          <w:numId w:val="103"/>
        </w:numPr>
        <w:spacing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изричното включване на уязвими групи в действията за търсенето на наркотици.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Новите и актуализираните действия и връзката им с петте стълба на Стратегията са обобщени по-долу.</w:t>
      </w:r>
    </w:p>
    <w:p>
      <w:pPr>
        <w:spacing w:after="0" w:line="240" w:lineRule="auto"/>
        <w:ind w:left="720"/>
        <w:jc w:val="both"/>
        <w:rPr>
          <w:rFonts w:ascii="Times New Roman" w:hAnsi="Times New Roman" w:cs="Times New Roman"/>
          <w:b/>
          <w:noProof/>
          <w:sz w:val="24"/>
          <w:szCs w:val="24"/>
        </w:rPr>
      </w:pPr>
      <w:r>
        <w:rPr>
          <w:rFonts w:ascii="Times New Roman" w:hAnsi="Times New Roman"/>
          <w:b/>
          <w:noProof/>
          <w:sz w:val="24"/>
        </w:rPr>
        <w:t>А.</w:t>
      </w:r>
      <w:r>
        <w:rPr>
          <w:rFonts w:ascii="Times New Roman" w:hAnsi="Times New Roman"/>
          <w:b/>
          <w:noProof/>
          <w:sz w:val="24"/>
        </w:rPr>
        <w:tab/>
        <w:t>Намаляване на търсенето на наркотици</w:t>
      </w:r>
    </w:p>
    <w:p>
      <w:pPr>
        <w:pStyle w:val="ListParagraph"/>
        <w:spacing w:after="100" w:afterAutospacing="1" w:line="240" w:lineRule="auto"/>
        <w:jc w:val="both"/>
        <w:rPr>
          <w:rFonts w:ascii="Times New Roman" w:hAnsi="Times New Roman" w:cs="Times New Roman"/>
          <w:b/>
          <w:noProof/>
          <w:sz w:val="24"/>
          <w:szCs w:val="24"/>
        </w:rPr>
      </w:pP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Ще бъдат създадени по-силни полезни взаимодействия между новия план за действие и Здравната стратегия на ЕС, по-специално по отношение на </w:t>
      </w:r>
      <w:r>
        <w:rPr>
          <w:rFonts w:ascii="Times New Roman" w:hAnsi="Times New Roman" w:cs="Times New Roman"/>
          <w:b/>
          <w:noProof/>
          <w:sz w:val="24"/>
          <w:szCs w:val="24"/>
        </w:rPr>
        <w:t>използването на информационни и комуникационни технологии (ИКТ) с превантивна цел</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Използването на ИКТ е изключително важно за повишаване на осведомеността, особено сред децата и младите хора, относно рисковете и последиците от употребата на забранени наркотични вещества</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Взета е под внимание неотдавнашната работа на хоризонтална работна група „Наркотици“ (HDG) </w:t>
      </w:r>
      <w:r>
        <w:rPr>
          <w:rFonts w:ascii="Times New Roman" w:hAnsi="Times New Roman" w:cs="Times New Roman"/>
          <w:b/>
          <w:noProof/>
          <w:sz w:val="24"/>
          <w:szCs w:val="24"/>
        </w:rPr>
        <w:t>във връзка със злоупотребата с предписани опиоидни вещества и други психоактивни лекарства</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Предвид застаряването на населението в ЕС е необходимо да се отговори на новото предизвикателство, свързано със </w:t>
      </w:r>
      <w:r>
        <w:rPr>
          <w:rFonts w:ascii="Times New Roman" w:hAnsi="Times New Roman" w:cs="Times New Roman"/>
          <w:b/>
          <w:noProof/>
          <w:sz w:val="24"/>
          <w:szCs w:val="24"/>
        </w:rPr>
        <w:t>употребяващите наркотици в напреднала възраст</w:t>
      </w:r>
      <w:r>
        <w:rPr>
          <w:rFonts w:ascii="Times New Roman" w:hAnsi="Times New Roman" w:cs="Times New Roman"/>
          <w:noProof/>
          <w:sz w:val="24"/>
          <w:szCs w:val="24"/>
        </w:rPr>
        <w:t>, което е очертано и в Здравната стратегия на ЕС</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Употребата на наркотици сред уязвимите общности</w:t>
      </w:r>
      <w:r>
        <w:rPr>
          <w:rFonts w:ascii="Times New Roman" w:hAnsi="Times New Roman" w:cs="Times New Roman"/>
          <w:noProof/>
          <w:sz w:val="24"/>
          <w:szCs w:val="24"/>
        </w:rPr>
        <w:t xml:space="preserve"> ще бъде предмет на прецизиране на целенасочените мерки в Плана за действие за 2013 — 2016 г.</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По-силното съсредоточаване върху мерките за</w:t>
      </w:r>
      <w:r>
        <w:rPr>
          <w:rFonts w:ascii="Times New Roman" w:hAnsi="Times New Roman" w:cs="Times New Roman"/>
          <w:noProof/>
          <w:sz w:val="24"/>
          <w:szCs w:val="24"/>
        </w:rPr>
        <w:t xml:space="preserve"> </w:t>
      </w:r>
      <w:r>
        <w:rPr>
          <w:rFonts w:ascii="Times New Roman" w:hAnsi="Times New Roman" w:cs="Times New Roman"/>
          <w:b/>
          <w:noProof/>
          <w:sz w:val="24"/>
          <w:szCs w:val="24"/>
        </w:rPr>
        <w:t>намаляване на риска и вредите</w:t>
      </w:r>
      <w:r>
        <w:rPr>
          <w:rFonts w:ascii="Times New Roman" w:hAnsi="Times New Roman" w:cs="Times New Roman"/>
          <w:noProof/>
          <w:sz w:val="24"/>
          <w:szCs w:val="24"/>
        </w:rPr>
        <w:t>, целящи свеждането до минимум на неблагоприятните здравни и социални последици от злоупотребата с наркотици, играе основна роля за ефективността на политиката за борба с наркотиците, включително в местата за лишаване от свобода</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Изпълнение и мониторинг на заключенията на Съвета от 2015 г.</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относно </w:t>
      </w:r>
      <w:r>
        <w:rPr>
          <w:rFonts w:ascii="Times New Roman" w:hAnsi="Times New Roman" w:cs="Times New Roman"/>
          <w:b/>
          <w:noProof/>
          <w:sz w:val="24"/>
          <w:szCs w:val="24"/>
        </w:rPr>
        <w:t>минималните стандарти за качество при намаляването на търсенето на наркотици</w:t>
      </w:r>
      <w:r>
        <w:rPr>
          <w:rFonts w:ascii="Times New Roman" w:hAnsi="Times New Roman" w:cs="Times New Roman"/>
          <w:noProof/>
          <w:sz w:val="24"/>
          <w:szCs w:val="24"/>
        </w:rPr>
        <w:t xml:space="preserve"> в ЕС</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p>
    <w:p>
      <w:pPr>
        <w:pStyle w:val="ListParagraph"/>
        <w:spacing w:after="100" w:afterAutospacing="1" w:line="240" w:lineRule="auto"/>
        <w:ind w:left="360"/>
        <w:jc w:val="both"/>
        <w:rPr>
          <w:rFonts w:ascii="Times New Roman" w:hAnsi="Times New Roman" w:cs="Times New Roman"/>
          <w:noProof/>
          <w:sz w:val="24"/>
          <w:szCs w:val="24"/>
        </w:rPr>
      </w:pPr>
    </w:p>
    <w:p>
      <w:pPr>
        <w:spacing w:after="0" w:line="240" w:lineRule="auto"/>
        <w:ind w:left="720"/>
        <w:jc w:val="both"/>
        <w:rPr>
          <w:rFonts w:ascii="Times New Roman" w:hAnsi="Times New Roman" w:cs="Times New Roman"/>
          <w:b/>
          <w:noProof/>
          <w:sz w:val="24"/>
          <w:szCs w:val="24"/>
        </w:rPr>
      </w:pPr>
      <w:r>
        <w:rPr>
          <w:rFonts w:ascii="Times New Roman" w:hAnsi="Times New Roman"/>
          <w:b/>
          <w:noProof/>
          <w:sz w:val="24"/>
        </w:rPr>
        <w:t>Б.</w:t>
      </w:r>
      <w:r>
        <w:rPr>
          <w:rFonts w:ascii="Times New Roman" w:hAnsi="Times New Roman"/>
          <w:b/>
          <w:noProof/>
          <w:sz w:val="24"/>
        </w:rPr>
        <w:tab/>
        <w:t>Намаляване на предлагането на наркотици</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4"/>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Необходимо е да се обърне повече внимание към съдебното сътрудничество по свързани с наркотици дела на равнището на ЕС. За да се получи по-цялостна представа за въздействието на усилията за намаляване на предлагането, Европол, Евроюст и EMCDDA следва да продължат да събират </w:t>
      </w:r>
      <w:r>
        <w:rPr>
          <w:rFonts w:ascii="Times New Roman" w:hAnsi="Times New Roman"/>
          <w:b/>
          <w:noProof/>
          <w:sz w:val="24"/>
        </w:rPr>
        <w:t>показатели и да допълват събирането на данни</w:t>
      </w:r>
      <w:r>
        <w:rPr>
          <w:rFonts w:ascii="Times New Roman" w:hAnsi="Times New Roman"/>
          <w:noProof/>
          <w:sz w:val="24"/>
        </w:rPr>
        <w:t>, когато това е възможно, с качествена и контекстуална информация</w:t>
      </w:r>
      <w:r>
        <w:rPr>
          <w:rStyle w:val="FootnoteReference"/>
          <w:rFonts w:ascii="Times New Roman" w:hAnsi="Times New Roman"/>
          <w:noProof/>
          <w:sz w:val="24"/>
        </w:rPr>
        <w:footnoteReference w:id="25"/>
      </w:r>
      <w:r>
        <w:rPr>
          <w:rFonts w:ascii="Times New Roman" w:hAnsi="Times New Roman"/>
          <w:noProof/>
          <w:sz w:val="24"/>
        </w:rPr>
        <w:t>.</w:t>
      </w:r>
    </w:p>
    <w:p>
      <w:pPr>
        <w:pStyle w:val="ListParagraph"/>
        <w:numPr>
          <w:ilvl w:val="0"/>
          <w:numId w:val="94"/>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Акцентът следва да се постави върху продължаващото прилагане на ключовите показатели, приети в заключенията на Съвета от 2013 г. относно подобряването на </w:t>
      </w:r>
      <w:r>
        <w:rPr>
          <w:rFonts w:ascii="Times New Roman" w:hAnsi="Times New Roman"/>
          <w:b/>
          <w:noProof/>
          <w:sz w:val="24"/>
        </w:rPr>
        <w:t>мониторинга на предлагането на наркотици в ЕС</w:t>
      </w:r>
      <w:r>
        <w:rPr>
          <w:rStyle w:val="FootnoteReference"/>
          <w:rFonts w:ascii="Times New Roman" w:hAnsi="Times New Roman"/>
          <w:noProof/>
          <w:sz w:val="24"/>
        </w:rPr>
        <w:footnoteReference w:id="26"/>
      </w:r>
      <w:r>
        <w:rPr>
          <w:rFonts w:ascii="Times New Roman" w:hAnsi="Times New Roman"/>
          <w:noProof/>
          <w:sz w:val="24"/>
        </w:rPr>
        <w:t>. Разработени са седем показателя и пътна карта за тяхното прилагане. Цялостно събиране на данни по повечето показатели е в ход или ще започне през 2017 г.</w:t>
      </w:r>
      <w:r>
        <w:rPr>
          <w:rStyle w:val="FootnoteReference"/>
          <w:rFonts w:ascii="Times New Roman" w:hAnsi="Times New Roman"/>
          <w:noProof/>
          <w:sz w:val="24"/>
        </w:rPr>
        <w:footnoteReference w:id="27"/>
      </w:r>
      <w:r>
        <w:rPr>
          <w:rFonts w:ascii="Times New Roman" w:hAnsi="Times New Roman"/>
          <w:noProof/>
          <w:sz w:val="24"/>
        </w:rPr>
        <w:t xml:space="preserve"> </w:t>
      </w:r>
    </w:p>
    <w:p>
      <w:pPr>
        <w:pStyle w:val="ListParagraph"/>
        <w:numPr>
          <w:ilvl w:val="0"/>
          <w:numId w:val="95"/>
        </w:numPr>
        <w:spacing w:after="100" w:afterAutospacing="1" w:line="240" w:lineRule="auto"/>
        <w:jc w:val="both"/>
        <w:rPr>
          <w:noProof/>
        </w:rPr>
      </w:pPr>
      <w:r>
        <w:rPr>
          <w:rFonts w:ascii="Times New Roman" w:hAnsi="Times New Roman"/>
          <w:noProof/>
          <w:sz w:val="24"/>
        </w:rPr>
        <w:t xml:space="preserve">Законодателният пакет за </w:t>
      </w:r>
      <w:r>
        <w:rPr>
          <w:rFonts w:ascii="Times New Roman" w:hAnsi="Times New Roman"/>
          <w:b/>
          <w:noProof/>
          <w:sz w:val="24"/>
        </w:rPr>
        <w:t>новите психоактивни вещества</w:t>
      </w:r>
      <w:r>
        <w:rPr>
          <w:rFonts w:ascii="Times New Roman" w:hAnsi="Times New Roman"/>
          <w:noProof/>
          <w:sz w:val="24"/>
        </w:rPr>
        <w:t xml:space="preserve"> следва да бъде приет и приложен бързо. През следващите години ще се изисква и мониторинг на резултатите от новите законодателни мерки</w:t>
      </w:r>
      <w:r>
        <w:rPr>
          <w:rStyle w:val="FootnoteReference"/>
          <w:rFonts w:ascii="Times New Roman" w:hAnsi="Times New Roman"/>
          <w:noProof/>
          <w:sz w:val="24"/>
        </w:rPr>
        <w:footnoteReference w:id="28"/>
      </w:r>
      <w:r>
        <w:rPr>
          <w:rFonts w:ascii="Times New Roman" w:hAnsi="Times New Roman"/>
          <w:noProof/>
          <w:sz w:val="24"/>
        </w:rPr>
        <w:t>.</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Прилагане</w:t>
      </w:r>
      <w:r>
        <w:rPr>
          <w:rStyle w:val="FootnoteReference"/>
          <w:rFonts w:ascii="Times New Roman" w:hAnsi="Times New Roman"/>
          <w:noProof/>
          <w:sz w:val="24"/>
        </w:rPr>
        <w:footnoteReference w:id="29"/>
      </w:r>
      <w:r>
        <w:rPr>
          <w:rFonts w:ascii="Times New Roman" w:hAnsi="Times New Roman"/>
          <w:noProof/>
          <w:sz w:val="24"/>
        </w:rPr>
        <w:t xml:space="preserve"> на законодателството на ЕС в областта на </w:t>
      </w:r>
      <w:r>
        <w:rPr>
          <w:rFonts w:ascii="Times New Roman" w:hAnsi="Times New Roman"/>
          <w:b/>
          <w:noProof/>
          <w:sz w:val="24"/>
        </w:rPr>
        <w:t>прекурсорите на наркотични вещества</w:t>
      </w:r>
      <w:r>
        <w:rPr>
          <w:rFonts w:ascii="Times New Roman" w:hAnsi="Times New Roman"/>
          <w:noProof/>
          <w:sz w:val="24"/>
        </w:rPr>
        <w:t>, което беше засилено през 2013 г. с приемането на съществени изменения на двата регламента</w:t>
      </w:r>
      <w:r>
        <w:rPr>
          <w:rStyle w:val="FootnoteReference"/>
          <w:rFonts w:ascii="Times New Roman" w:hAnsi="Times New Roman"/>
          <w:noProof/>
          <w:sz w:val="24"/>
        </w:rPr>
        <w:footnoteReference w:id="30"/>
      </w:r>
      <w:r>
        <w:rPr>
          <w:rFonts w:ascii="Times New Roman" w:hAnsi="Times New Roman"/>
          <w:noProof/>
          <w:sz w:val="24"/>
        </w:rPr>
        <w:t xml:space="preserve">. </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Следва да се обърне по-голямо внимание на </w:t>
      </w:r>
      <w:r>
        <w:rPr>
          <w:rFonts w:ascii="Times New Roman" w:hAnsi="Times New Roman"/>
          <w:b/>
          <w:noProof/>
          <w:sz w:val="24"/>
        </w:rPr>
        <w:t>алтернативните санкции за употребяващите наркотици правонарушители</w:t>
      </w:r>
      <w:r>
        <w:rPr>
          <w:rFonts w:ascii="Times New Roman" w:hAnsi="Times New Roman"/>
          <w:noProof/>
          <w:sz w:val="24"/>
        </w:rPr>
        <w:t>. Всички държави членки разполагат с поне една такава санкция, а повечето — дори повече от една</w:t>
      </w:r>
      <w:r>
        <w:rPr>
          <w:rStyle w:val="FootnoteReference"/>
          <w:rFonts w:ascii="Times New Roman" w:hAnsi="Times New Roman"/>
          <w:noProof/>
          <w:sz w:val="24"/>
        </w:rPr>
        <w:footnoteReference w:id="31"/>
      </w:r>
      <w:r>
        <w:rPr>
          <w:rFonts w:ascii="Times New Roman" w:hAnsi="Times New Roman"/>
          <w:noProof/>
          <w:sz w:val="24"/>
        </w:rPr>
        <w:t>. Най-често срещаните санкции са лечение на зависимостта от наркотици и условна присъда с възможност за лечение</w:t>
      </w:r>
      <w:r>
        <w:rPr>
          <w:rStyle w:val="FootnoteReference"/>
          <w:rFonts w:ascii="Times New Roman" w:hAnsi="Times New Roman"/>
          <w:noProof/>
          <w:sz w:val="24"/>
        </w:rPr>
        <w:footnoteReference w:id="32"/>
      </w:r>
      <w:r>
        <w:rPr>
          <w:rFonts w:ascii="Times New Roman" w:hAnsi="Times New Roman"/>
          <w:noProof/>
          <w:sz w:val="24"/>
        </w:rPr>
        <w:t xml:space="preserve">. </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Повече внимание към </w:t>
      </w:r>
      <w:r>
        <w:rPr>
          <w:rFonts w:ascii="Times New Roman" w:hAnsi="Times New Roman"/>
          <w:b/>
          <w:noProof/>
          <w:sz w:val="24"/>
        </w:rPr>
        <w:t>използването на ИКТ при производството и трафика на забранени наркотични вещества</w:t>
      </w:r>
      <w:r>
        <w:rPr>
          <w:rStyle w:val="FootnoteReference"/>
          <w:rFonts w:ascii="Times New Roman" w:hAnsi="Times New Roman"/>
          <w:b/>
          <w:noProof/>
          <w:sz w:val="24"/>
        </w:rPr>
        <w:footnoteReference w:id="33"/>
      </w:r>
      <w:r>
        <w:rPr>
          <w:rFonts w:ascii="Times New Roman" w:hAnsi="Times New Roman"/>
          <w:noProof/>
          <w:sz w:val="24"/>
        </w:rPr>
        <w:t xml:space="preserve"> съгласно заключенията на срещата на експертите през юни 2016 г., организирана от Комисията</w:t>
      </w:r>
      <w:r>
        <w:rPr>
          <w:rStyle w:val="FootnoteReference"/>
          <w:rFonts w:ascii="Times New Roman" w:hAnsi="Times New Roman"/>
          <w:noProof/>
          <w:sz w:val="24"/>
        </w:rPr>
        <w:footnoteReference w:id="34"/>
      </w:r>
      <w:r>
        <w:rPr>
          <w:rFonts w:ascii="Times New Roman" w:hAnsi="Times New Roman"/>
          <w:noProof/>
          <w:sz w:val="24"/>
        </w:rPr>
        <w:t xml:space="preserve"> в контекста на интернет форума на ЕС.</w:t>
      </w:r>
    </w:p>
    <w:p>
      <w:pPr>
        <w:pStyle w:val="ListParagraph"/>
        <w:spacing w:after="100" w:afterAutospacing="1" w:line="240" w:lineRule="auto"/>
        <w:ind w:left="360"/>
        <w:jc w:val="both"/>
        <w:rPr>
          <w:rFonts w:ascii="Times New Roman" w:hAnsi="Times New Roman" w:cs="Times New Roman"/>
          <w:noProof/>
          <w:sz w:val="24"/>
          <w:szCs w:val="24"/>
        </w:rPr>
      </w:pPr>
    </w:p>
    <w:p>
      <w:pPr>
        <w:spacing w:after="0" w:line="240" w:lineRule="auto"/>
        <w:ind w:left="720"/>
        <w:jc w:val="both"/>
        <w:rPr>
          <w:rFonts w:ascii="Times New Roman" w:hAnsi="Times New Roman" w:cs="Times New Roman"/>
          <w:b/>
          <w:noProof/>
          <w:sz w:val="24"/>
          <w:szCs w:val="24"/>
        </w:rPr>
      </w:pPr>
      <w:r>
        <w:rPr>
          <w:rFonts w:ascii="Times New Roman" w:hAnsi="Times New Roman"/>
          <w:b/>
          <w:noProof/>
          <w:sz w:val="24"/>
        </w:rPr>
        <w:t>В.</w:t>
      </w:r>
      <w:r>
        <w:rPr>
          <w:rFonts w:ascii="Times New Roman" w:hAnsi="Times New Roman"/>
          <w:b/>
          <w:noProof/>
          <w:sz w:val="24"/>
        </w:rPr>
        <w:tab/>
        <w:t>Координация</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По-голямата съгласуваност и координация</w:t>
      </w:r>
      <w:r>
        <w:rPr>
          <w:rFonts w:ascii="Times New Roman" w:hAnsi="Times New Roman" w:cs="Times New Roman"/>
          <w:noProof/>
          <w:sz w:val="24"/>
          <w:szCs w:val="24"/>
        </w:rPr>
        <w:t xml:space="preserve"> с другите работни групи на Съвета биха помогнали на хоризонталната работна група „Наркотици“ (HDG) да изпълнява своята роля за мониторинг на прилагането на Стратегията и да гарантира съгласуване между дейностите за намаляване на търсенето и предлагането, както и да идентифицира полезни взаимодействия</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 време на заседанията на HDG следва да се отдели повече време и внимание за обсъждане на </w:t>
      </w:r>
      <w:r>
        <w:rPr>
          <w:rFonts w:ascii="Times New Roman" w:hAnsi="Times New Roman" w:cs="Times New Roman"/>
          <w:b/>
          <w:noProof/>
          <w:sz w:val="24"/>
          <w:szCs w:val="24"/>
        </w:rPr>
        <w:t>изпълнението на Плана за действие</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съответствие с позицията на ЕС в световните форуми </w:t>
      </w:r>
      <w:r>
        <w:rPr>
          <w:rFonts w:ascii="Times New Roman" w:hAnsi="Times New Roman" w:cs="Times New Roman"/>
          <w:b/>
          <w:noProof/>
          <w:sz w:val="24"/>
          <w:szCs w:val="24"/>
        </w:rPr>
        <w:t>следва да се търсят</w:t>
      </w:r>
      <w:r>
        <w:rPr>
          <w:rFonts w:ascii="Times New Roman" w:hAnsi="Times New Roman" w:cs="Times New Roman"/>
          <w:noProof/>
          <w:sz w:val="24"/>
          <w:szCs w:val="24"/>
        </w:rPr>
        <w:t xml:space="preserve"> </w:t>
      </w:r>
      <w:r>
        <w:rPr>
          <w:rFonts w:ascii="Times New Roman" w:hAnsi="Times New Roman" w:cs="Times New Roman"/>
          <w:b/>
          <w:noProof/>
          <w:sz w:val="24"/>
          <w:szCs w:val="24"/>
        </w:rPr>
        <w:t>допълнителни възможности за засилване на участието на гражданското общество</w:t>
      </w:r>
      <w:r>
        <w:rPr>
          <w:rFonts w:ascii="Times New Roman" w:hAnsi="Times New Roman" w:cs="Times New Roman"/>
          <w:noProof/>
          <w:sz w:val="24"/>
          <w:szCs w:val="24"/>
        </w:rPr>
        <w:t xml:space="preserve"> във формулирането, изпълнението, мониторинга и оценката на политиките за борба с наркотиците на равнището на ЕС и на национално равнище</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pPr>
        <w:pStyle w:val="ListParagraph"/>
        <w:spacing w:after="100" w:afterAutospacing="1" w:line="240" w:lineRule="auto"/>
        <w:ind w:left="1440"/>
        <w:jc w:val="both"/>
        <w:rPr>
          <w:rFonts w:ascii="Times New Roman" w:hAnsi="Times New Roman" w:cs="Times New Roman"/>
          <w:noProof/>
          <w:sz w:val="24"/>
          <w:szCs w:val="24"/>
        </w:rPr>
      </w:pPr>
    </w:p>
    <w:p>
      <w:pPr>
        <w:spacing w:after="0" w:line="240" w:lineRule="auto"/>
        <w:ind w:left="720"/>
        <w:jc w:val="both"/>
        <w:rPr>
          <w:rFonts w:ascii="Times New Roman" w:hAnsi="Times New Roman" w:cs="Times New Roman"/>
          <w:b/>
          <w:noProof/>
          <w:sz w:val="24"/>
          <w:szCs w:val="24"/>
        </w:rPr>
      </w:pPr>
      <w:r>
        <w:rPr>
          <w:rFonts w:ascii="Times New Roman" w:hAnsi="Times New Roman"/>
          <w:b/>
          <w:noProof/>
          <w:sz w:val="24"/>
        </w:rPr>
        <w:t>Г.</w:t>
      </w:r>
      <w:r>
        <w:rPr>
          <w:rFonts w:ascii="Times New Roman" w:hAnsi="Times New Roman"/>
          <w:b/>
          <w:noProof/>
          <w:sz w:val="24"/>
        </w:rPr>
        <w:tab/>
        <w:t>Международно сътрудничество</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оценката се констатира, че има възможност за подобряване на </w:t>
      </w:r>
      <w:r>
        <w:rPr>
          <w:rFonts w:ascii="Times New Roman" w:hAnsi="Times New Roman" w:cs="Times New Roman"/>
          <w:b/>
          <w:noProof/>
          <w:sz w:val="24"/>
          <w:szCs w:val="24"/>
        </w:rPr>
        <w:t>капацитета на делегациите на ЕС</w:t>
      </w:r>
      <w:r>
        <w:rPr>
          <w:rFonts w:ascii="Times New Roman" w:hAnsi="Times New Roman" w:cs="Times New Roman"/>
          <w:noProof/>
          <w:sz w:val="24"/>
          <w:szCs w:val="24"/>
        </w:rPr>
        <w:t xml:space="preserve"> за тяхното ангажиране по въпросите, свързани с наркотиците, и за сътрудничество между тях на регионално равнище</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Следва да се обърне по-голямо внимание на борбата с </w:t>
      </w:r>
      <w:r>
        <w:rPr>
          <w:rFonts w:ascii="Times New Roman" w:hAnsi="Times New Roman" w:cs="Times New Roman"/>
          <w:b/>
          <w:noProof/>
          <w:sz w:val="24"/>
          <w:szCs w:val="24"/>
        </w:rPr>
        <w:t xml:space="preserve">отглеждането на култури за производство на незаконни наркотици и </w:t>
      </w:r>
      <w:r>
        <w:rPr>
          <w:rFonts w:ascii="Times New Roman" w:hAnsi="Times New Roman" w:cs="Times New Roman"/>
          <w:noProof/>
          <w:sz w:val="24"/>
          <w:szCs w:val="24"/>
        </w:rPr>
        <w:t xml:space="preserve">на подобряването на </w:t>
      </w:r>
      <w:r>
        <w:rPr>
          <w:rFonts w:ascii="Times New Roman" w:hAnsi="Times New Roman" w:cs="Times New Roman"/>
          <w:b/>
          <w:noProof/>
          <w:sz w:val="24"/>
          <w:szCs w:val="24"/>
        </w:rPr>
        <w:t>алтернативното развитие</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За да отговори адекватно на опасенията по отношение на свързаните с наркотици убийства без съд и присъда или използването на смъртното наказание, ЕС следва да проучи начините за </w:t>
      </w:r>
      <w:r>
        <w:rPr>
          <w:rFonts w:ascii="Times New Roman" w:hAnsi="Times New Roman"/>
          <w:b/>
          <w:noProof/>
          <w:sz w:val="24"/>
        </w:rPr>
        <w:t>сътрудничество с трети държави винаги когато възникват сериозни въпроси, свързани с наркотиците</w:t>
      </w:r>
      <w:r>
        <w:rPr>
          <w:rStyle w:val="FootnoteReference"/>
          <w:rFonts w:ascii="Times New Roman" w:hAnsi="Times New Roman"/>
          <w:noProof/>
          <w:sz w:val="24"/>
        </w:rPr>
        <w:footnoteReference w:id="40"/>
      </w:r>
      <w:r>
        <w:rPr>
          <w:rFonts w:ascii="Times New Roman" w:hAnsi="Times New Roman"/>
          <w:noProof/>
          <w:sz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Взети са предвид също така последните промени в рамките на </w:t>
      </w:r>
      <w:r>
        <w:rPr>
          <w:rFonts w:ascii="Times New Roman" w:hAnsi="Times New Roman"/>
          <w:b/>
          <w:noProof/>
          <w:sz w:val="24"/>
        </w:rPr>
        <w:t>Дъблинската група</w:t>
      </w:r>
      <w:r>
        <w:rPr>
          <w:rStyle w:val="FootnoteReference"/>
          <w:rFonts w:ascii="Times New Roman" w:hAnsi="Times New Roman"/>
          <w:b/>
          <w:noProof/>
          <w:sz w:val="24"/>
        </w:rPr>
        <w:footnoteReference w:id="41"/>
      </w:r>
      <w:r>
        <w:rPr>
          <w:rFonts w:ascii="Times New Roman" w:hAnsi="Times New Roman"/>
          <w:noProof/>
          <w:sz w:val="24"/>
        </w:rPr>
        <w:t>, която се стреми към модернизиране на своите методи на работа</w:t>
      </w:r>
      <w:r>
        <w:rPr>
          <w:rStyle w:val="FootnoteReference"/>
          <w:rFonts w:ascii="Times New Roman" w:hAnsi="Times New Roman"/>
          <w:noProof/>
          <w:sz w:val="24"/>
        </w:rPr>
        <w:footnoteReference w:id="42"/>
      </w:r>
      <w:r>
        <w:rPr>
          <w:rFonts w:ascii="Times New Roman" w:hAnsi="Times New Roman"/>
          <w:noProof/>
          <w:sz w:val="24"/>
        </w:rPr>
        <w:t>.</w:t>
      </w:r>
    </w:p>
    <w:p>
      <w:pPr>
        <w:pStyle w:val="ListParagraph"/>
        <w:numPr>
          <w:ilvl w:val="0"/>
          <w:numId w:val="9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Съответните действащи лица не смятат, че провеждането на ежегоден диалог за свързаната с наркотиците помощ от страна на ЕС и държавите членки за трети държави е от съществено значение, поради което това действие отпада от проекта на план за действие</w:t>
      </w:r>
      <w:r>
        <w:rPr>
          <w:rStyle w:val="FootnoteReference"/>
          <w:rFonts w:ascii="Times New Roman" w:hAnsi="Times New Roman"/>
          <w:noProof/>
          <w:sz w:val="24"/>
        </w:rPr>
        <w:footnoteReference w:id="43"/>
      </w:r>
      <w:r>
        <w:rPr>
          <w:rFonts w:ascii="Times New Roman" w:hAnsi="Times New Roman"/>
          <w:noProof/>
          <w:sz w:val="24"/>
        </w:rPr>
        <w:t>.</w:t>
      </w:r>
    </w:p>
    <w:p>
      <w:pPr>
        <w:pStyle w:val="ListParagraph"/>
        <w:numPr>
          <w:ilvl w:val="0"/>
          <w:numId w:val="9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Съществува общ консенсус, че един от ключовите начини, по които Стратегията и Планът за действие носят добавена стойност, е създаването на възможност на ЕС да излиза с </w:t>
      </w:r>
      <w:r>
        <w:rPr>
          <w:rFonts w:ascii="Times New Roman" w:hAnsi="Times New Roman"/>
          <w:b/>
          <w:noProof/>
          <w:sz w:val="24"/>
        </w:rPr>
        <w:t>единна позиция</w:t>
      </w:r>
      <w:r>
        <w:rPr>
          <w:rFonts w:ascii="Times New Roman" w:hAnsi="Times New Roman"/>
          <w:noProof/>
          <w:sz w:val="24"/>
        </w:rPr>
        <w:t xml:space="preserve"> на международни форуми, както бе демонстрирано в процеса на подготовка за специалната сесия на Общото събрание на ООН през 2016 г. Сега усилията трябва да бъдат съсредоточени върху изпълнението на приетите на специалната сесия мерки и върху подготвянето на междинния преглед през 2019 г. на приетите през 2009 г. политическа декларация и план за действие за международно сътрудничество за постигане на интегрирана и балансирана стратегия за справяне с международния проблем с наркотиците</w:t>
      </w:r>
      <w:r>
        <w:rPr>
          <w:rStyle w:val="FootnoteReference"/>
          <w:rFonts w:ascii="Times New Roman" w:hAnsi="Times New Roman"/>
          <w:noProof/>
          <w:sz w:val="24"/>
        </w:rPr>
        <w:footnoteReference w:id="44"/>
      </w:r>
      <w:r>
        <w:rPr>
          <w:rFonts w:ascii="Times New Roman" w:hAnsi="Times New Roman"/>
          <w:noProof/>
          <w:sz w:val="24"/>
        </w:rPr>
        <w:t>.</w:t>
      </w:r>
    </w:p>
    <w:p>
      <w:pPr>
        <w:pStyle w:val="ListParagraph"/>
        <w:spacing w:after="100" w:afterAutospacing="1" w:line="240" w:lineRule="auto"/>
        <w:ind w:left="360"/>
        <w:jc w:val="both"/>
        <w:rPr>
          <w:rFonts w:ascii="Times New Roman" w:hAnsi="Times New Roman" w:cs="Times New Roman"/>
          <w:noProof/>
          <w:sz w:val="24"/>
          <w:szCs w:val="24"/>
        </w:rPr>
      </w:pPr>
    </w:p>
    <w:p>
      <w:pPr>
        <w:keepNext/>
        <w:spacing w:after="0" w:line="240" w:lineRule="auto"/>
        <w:ind w:left="720"/>
        <w:jc w:val="both"/>
        <w:rPr>
          <w:rFonts w:ascii="Times New Roman" w:hAnsi="Times New Roman" w:cs="Times New Roman"/>
          <w:b/>
          <w:noProof/>
          <w:sz w:val="24"/>
          <w:szCs w:val="24"/>
        </w:rPr>
      </w:pPr>
      <w:r>
        <w:rPr>
          <w:rFonts w:ascii="Times New Roman" w:hAnsi="Times New Roman"/>
          <w:b/>
          <w:noProof/>
          <w:sz w:val="24"/>
        </w:rPr>
        <w:t>Д.</w:t>
      </w:r>
      <w:r>
        <w:rPr>
          <w:rFonts w:ascii="Times New Roman" w:hAnsi="Times New Roman"/>
          <w:b/>
          <w:noProof/>
          <w:sz w:val="24"/>
        </w:rPr>
        <w:tab/>
        <w:t>Научни изследвания, информация, мониторинг и оценка</w:t>
      </w:r>
    </w:p>
    <w:p>
      <w:pPr>
        <w:pStyle w:val="ListParagraph"/>
        <w:keepNext/>
        <w:spacing w:after="100" w:afterAutospacing="1" w:line="240" w:lineRule="auto"/>
        <w:ind w:left="1440"/>
        <w:jc w:val="both"/>
        <w:rPr>
          <w:rFonts w:ascii="Times New Roman" w:hAnsi="Times New Roman" w:cs="Times New Roman"/>
          <w:noProof/>
          <w:sz w:val="24"/>
          <w:szCs w:val="24"/>
        </w:rPr>
      </w:pP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Нужни са ясни </w:t>
      </w:r>
      <w:r>
        <w:rPr>
          <w:rFonts w:ascii="Times New Roman" w:hAnsi="Times New Roman" w:cs="Times New Roman"/>
          <w:b/>
          <w:noProof/>
          <w:sz w:val="24"/>
          <w:szCs w:val="24"/>
        </w:rPr>
        <w:t>показатели за измерване на въздействието</w:t>
      </w:r>
      <w:r>
        <w:rPr>
          <w:rFonts w:ascii="Times New Roman" w:hAnsi="Times New Roman" w:cs="Times New Roman"/>
          <w:noProof/>
          <w:sz w:val="24"/>
          <w:szCs w:val="24"/>
        </w:rPr>
        <w:t xml:space="preserve"> на финансираните от ЕС проекти</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Взета е предвид работата за </w:t>
      </w:r>
      <w:r>
        <w:rPr>
          <w:rFonts w:ascii="Times New Roman" w:hAnsi="Times New Roman" w:cs="Times New Roman"/>
          <w:b/>
          <w:noProof/>
          <w:sz w:val="24"/>
          <w:szCs w:val="24"/>
        </w:rPr>
        <w:t>насърчаване на научната оценка</w:t>
      </w:r>
      <w:r>
        <w:rPr>
          <w:rFonts w:ascii="Times New Roman" w:hAnsi="Times New Roman" w:cs="Times New Roman"/>
          <w:noProof/>
          <w:sz w:val="24"/>
          <w:szCs w:val="24"/>
        </w:rPr>
        <w:t xml:space="preserve"> на политиките и интервенциите на национално, европейско и международно равнище</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се попълни липсата на солидни доказателства</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е създадено ново действие</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насочено към документиране на </w:t>
      </w:r>
      <w:r>
        <w:rPr>
          <w:rFonts w:ascii="Times New Roman" w:hAnsi="Times New Roman" w:cs="Times New Roman"/>
          <w:b/>
          <w:noProof/>
          <w:sz w:val="24"/>
          <w:szCs w:val="24"/>
        </w:rPr>
        <w:t>потенциалните връзки между трафика на наркотици и</w:t>
      </w:r>
      <w:r>
        <w:rPr>
          <w:rFonts w:ascii="Times New Roman" w:hAnsi="Times New Roman" w:cs="Times New Roman"/>
          <w:noProof/>
          <w:sz w:val="24"/>
          <w:szCs w:val="24"/>
        </w:rPr>
        <w:t>:</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финансирането на терористични групи и дейности</w:t>
      </w:r>
      <w:r>
        <w:rPr>
          <w:rFonts w:ascii="Times New Roman" w:hAnsi="Times New Roman" w:cs="Times New Roman"/>
          <w:noProof/>
          <w:sz w:val="24"/>
          <w:szCs w:val="24"/>
        </w:rPr>
        <w:t xml:space="preserve">, включително всяко припокриване на установените маршрути за производство и трафик на наркотици и зоните на конфликти и източниците на финансиране на терористични групи в ЕС; </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контрабандата на мигранти</w:t>
      </w:r>
      <w:r>
        <w:rPr>
          <w:rFonts w:ascii="Times New Roman" w:hAnsi="Times New Roman" w:cs="Times New Roman"/>
          <w:noProof/>
          <w:sz w:val="24"/>
          <w:szCs w:val="24"/>
        </w:rPr>
        <w:t>, като при това се създава взаимодействие с Плана за действие на ЕС за борба с контрабандата на мигранти;</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и </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трафика на хора</w:t>
      </w:r>
      <w:r>
        <w:rPr>
          <w:rFonts w:ascii="Times New Roman" w:hAnsi="Times New Roman" w:cs="Times New Roman"/>
          <w:noProof/>
          <w:sz w:val="24"/>
          <w:szCs w:val="24"/>
        </w:rPr>
        <w:t>, като при това се създава взаимодействие със Стратегията на ЕС за премахване на трафика на хора (2012 — 2016 г.)</w:t>
      </w:r>
      <w:r>
        <w:rPr>
          <w:rStyle w:val="FootnoteReference"/>
          <w:rFonts w:ascii="Times New Roman" w:hAnsi="Times New Roman" w:cs="Times New Roman"/>
          <w:b/>
          <w:noProof/>
          <w:sz w:val="24"/>
          <w:szCs w:val="24"/>
        </w:rPr>
        <w:footnoteReference w:id="50"/>
      </w:r>
      <w:r>
        <w:rPr>
          <w:rFonts w:ascii="Times New Roman" w:hAnsi="Times New Roman" w:cs="Times New Roman"/>
          <w:noProof/>
          <w:sz w:val="24"/>
          <w:szCs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оглед на дебата, който се води в момента в някои държави членки и в международен план, ще бъде направен по-задълбочен анализ на </w:t>
      </w:r>
      <w:r>
        <w:rPr>
          <w:rFonts w:ascii="Times New Roman" w:hAnsi="Times New Roman" w:cs="Times New Roman"/>
          <w:b/>
          <w:noProof/>
          <w:sz w:val="24"/>
          <w:szCs w:val="24"/>
        </w:rPr>
        <w:t>действащите политики по отношение на канабиса</w:t>
      </w:r>
      <w:r>
        <w:rPr>
          <w:rFonts w:ascii="Times New Roman" w:hAnsi="Times New Roman" w:cs="Times New Roman"/>
          <w:noProof/>
          <w:sz w:val="24"/>
          <w:szCs w:val="24"/>
        </w:rPr>
        <w:t xml:space="preserve"> по света и на въздействието от тях</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Взета е предвид работата за подобряване на сътрудничеството между мрежата на митническите лаборатории и мрежата на съдебномедицинските лаборатории, както и между службите на Комисията в борбата с </w:t>
      </w:r>
      <w:r>
        <w:rPr>
          <w:rFonts w:ascii="Times New Roman" w:hAnsi="Times New Roman" w:cs="Times New Roman"/>
          <w:b/>
          <w:noProof/>
          <w:sz w:val="24"/>
          <w:szCs w:val="24"/>
        </w:rPr>
        <w:t>новите психоактивни вещества</w:t>
      </w:r>
      <w:r>
        <w:rPr>
          <w:rStyle w:val="FootnoteReference"/>
          <w:rFonts w:ascii="Times New Roman" w:hAnsi="Times New Roman" w:cs="Times New Roman"/>
          <w:b/>
          <w:noProof/>
          <w:sz w:val="24"/>
          <w:szCs w:val="24"/>
        </w:rPr>
        <w:footnoteReference w:id="52"/>
      </w:r>
      <w:r>
        <w:rPr>
          <w:rFonts w:ascii="Times New Roman" w:hAnsi="Times New Roman" w:cs="Times New Roman"/>
          <w:noProof/>
          <w:sz w:val="24"/>
          <w:szCs w:val="24"/>
        </w:rPr>
        <w:t>.</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 xml:space="preserve">Заключения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Междинната оценка на Стратегията на ЕС за борба с наркотиците (2013 — 2020 г.) и окончателната оценка на Плана за действие на ЕС относно наркотиците (2013 — 2016 г.) потвърдиха, че действащата Стратегия не е изгубила уместността си, и показаха, че между много от заинтересованите страни има консенсус за приемане на актуализиран план за действие за оставащите години от предвидения срок на Стратегията.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Комисията предлага План за действие за 2017 — 2020 г., в който се запазват и засилват съществуващите действия за справяне с предизвикателствата, които продължават да представляват заплаха за здравето и сигурността. Включени са също нови действия, за да се отразят промените от 2013 г. насам и за справяне с нововъзникващи предизвикателства, които не са били обхванати досега.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Окончателната оценка на Стратегията и Плана за действие за 2017 — 2020 г., както е предвидено в самата Стратегия, ще бъде представена през 2020 г. През 2019 г. ще бъде направена също оценка на EMCDDA, включително на системата Reitox</w:t>
      </w:r>
      <w:r>
        <w:rPr>
          <w:rStyle w:val="FootnoteReference"/>
          <w:rFonts w:ascii="Times New Roman" w:hAnsi="Times New Roman"/>
          <w:noProof/>
          <w:sz w:val="24"/>
        </w:rPr>
        <w:footnoteReference w:id="53"/>
      </w:r>
      <w:r>
        <w:rPr>
          <w:rFonts w:ascii="Times New Roman" w:hAnsi="Times New Roman"/>
          <w:noProof/>
          <w:sz w:val="24"/>
        </w:rPr>
        <w:t>, както е предвидено в учредителния регламент на EMCDDA</w:t>
      </w:r>
      <w:r>
        <w:rPr>
          <w:rStyle w:val="FootnoteReference"/>
          <w:rFonts w:ascii="Times New Roman" w:hAnsi="Times New Roman"/>
          <w:noProof/>
          <w:sz w:val="24"/>
        </w:rPr>
        <w:footnoteReference w:id="54"/>
      </w:r>
      <w:r>
        <w:rPr>
          <w:rFonts w:ascii="Times New Roman" w:hAnsi="Times New Roman"/>
          <w:noProof/>
          <w:sz w:val="24"/>
        </w:rPr>
        <w:t xml:space="preserve">. Тъй като горепосочените оценки ще предоставят ценна информация за изпълнението на Плана за действие на ЕС за 2017 — 2020 г., няма да е необходим междинен преглед на напредъка.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Сега Комисията ще започне диалог по предложения проект на План за действие на ЕС относно наркотиците за периода 2017 — 2020 г. с Европейския парламент и Съвета.</w:t>
      </w:r>
    </w:p>
    <w:p>
      <w:pPr>
        <w:spacing w:after="100" w:afterAutospacing="1" w:line="240" w:lineRule="auto"/>
        <w:rPr>
          <w:rFonts w:ascii="Times New Roman" w:hAnsi="Times New Roman" w:cs="Times New Roman"/>
          <w:b/>
          <w:bCs/>
          <w:noProof/>
          <w:sz w:val="24"/>
          <w:szCs w:val="24"/>
        </w:rPr>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7" w:right="1417" w:bottom="1417" w:left="1417" w:header="567" w:footer="616" w:gutter="0"/>
          <w:pgNumType w:start="2"/>
          <w:cols w:space="720"/>
          <w:docGrid w:linePitch="326"/>
        </w:sectPr>
      </w:pPr>
    </w:p>
    <w:p>
      <w:pPr>
        <w:spacing w:after="100" w:afterAutospacing="1" w:line="240" w:lineRule="auto"/>
        <w:jc w:val="right"/>
        <w:outlineLvl w:val="0"/>
        <w:rPr>
          <w:rFonts w:ascii="Times New Roman" w:hAnsi="Times New Roman" w:cs="Times New Roman"/>
          <w:b/>
          <w:bCs/>
          <w:noProof/>
          <w:sz w:val="24"/>
          <w:szCs w:val="24"/>
        </w:rPr>
      </w:pPr>
      <w:r>
        <w:rPr>
          <w:rFonts w:ascii="Times New Roman" w:hAnsi="Times New Roman"/>
          <w:b/>
          <w:noProof/>
          <w:sz w:val="24"/>
        </w:rPr>
        <w:t>ПРИЛОЖЕНИЕ</w:t>
      </w:r>
      <w:r>
        <w:rPr>
          <w:rStyle w:val="FootnoteReference"/>
          <w:rFonts w:ascii="Times New Roman" w:hAnsi="Times New Roman"/>
          <w:b/>
          <w:noProof/>
          <w:sz w:val="24"/>
        </w:rPr>
        <w:footnoteReference w:id="55"/>
      </w:r>
    </w:p>
    <w:p>
      <w:pPr>
        <w:pStyle w:val="Heading1"/>
        <w:spacing w:before="0" w:after="100" w:afterAutospacing="1"/>
        <w:rPr>
          <w:noProof/>
          <w:szCs w:val="24"/>
        </w:rPr>
      </w:pPr>
      <w:bookmarkStart w:id="2" w:name="_Toc472523116"/>
      <w:r>
        <w:rPr>
          <w:noProof/>
        </w:rPr>
        <w:t>Намаляване на търсенето на наркотици</w:t>
      </w:r>
      <w:bookmarkEnd w:id="2"/>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Принос за измеримото намаляване на употребата на забранени наркотични вещества, на проблемната употреба на наркотици, на наркотичната зависимост и на свързаните с употребата на наркотици здравни и социални вреди, както и принос за забавянето на първоначалната употреба на наркотици</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827"/>
        <w:gridCol w:w="1276"/>
        <w:gridCol w:w="1559"/>
        <w:gridCol w:w="4395"/>
        <w:gridCol w:w="1558"/>
      </w:tblGrid>
      <w:tr>
        <w:trPr>
          <w:tblHeader/>
        </w:trPr>
        <w:tc>
          <w:tcPr>
            <w:tcW w:w="1951" w:type="dxa"/>
          </w:tcPr>
          <w:p>
            <w:pPr>
              <w:tabs>
                <w:tab w:val="left" w:pos="284"/>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b/>
                <w:noProof/>
                <w:sz w:val="24"/>
              </w:rPr>
              <w:t>Цел</w:t>
            </w:r>
          </w:p>
        </w:tc>
        <w:tc>
          <w:tcPr>
            <w:tcW w:w="3827" w:type="dxa"/>
          </w:tcPr>
          <w:p>
            <w:pPr>
              <w:tabs>
                <w:tab w:val="left" w:pos="317"/>
              </w:tabs>
              <w:spacing w:after="100" w:afterAutospacing="1" w:line="240" w:lineRule="auto"/>
              <w:ind w:left="317" w:hanging="317"/>
              <w:rPr>
                <w:rFonts w:ascii="Times New Roman" w:hAnsi="Times New Roman" w:cs="Times New Roman"/>
                <w:b/>
                <w:bCs/>
                <w:noProof/>
                <w:sz w:val="24"/>
                <w:szCs w:val="24"/>
              </w:rPr>
            </w:pPr>
            <w:r>
              <w:rPr>
                <w:rFonts w:ascii="Times New Roman" w:hAnsi="Times New Roman"/>
                <w:b/>
                <w:noProof/>
                <w:sz w:val="24"/>
              </w:rPr>
              <w:t>Действие</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График</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Отговорна страна</w:t>
            </w:r>
          </w:p>
        </w:tc>
        <w:tc>
          <w:tcPr>
            <w:tcW w:w="4395" w:type="dxa"/>
          </w:tcPr>
          <w:p>
            <w:pPr>
              <w:tabs>
                <w:tab w:val="left" w:pos="459"/>
              </w:tabs>
              <w:spacing w:after="100" w:afterAutospacing="1" w:line="240" w:lineRule="auto"/>
              <w:ind w:left="459" w:hanging="459"/>
              <w:rPr>
                <w:rFonts w:ascii="Times New Roman" w:hAnsi="Times New Roman" w:cs="Times New Roman"/>
                <w:b/>
                <w:bCs/>
                <w:noProof/>
                <w:sz w:val="24"/>
                <w:szCs w:val="24"/>
              </w:rPr>
            </w:pPr>
            <w:r>
              <w:rPr>
                <w:rFonts w:ascii="Times New Roman" w:hAnsi="Times New Roman"/>
                <w:b/>
                <w:noProof/>
                <w:sz w:val="24"/>
              </w:rPr>
              <w:t>Показател(и)</w:t>
            </w:r>
          </w:p>
        </w:tc>
        <w:tc>
          <w:tcPr>
            <w:tcW w:w="1558" w:type="dxa"/>
          </w:tcPr>
          <w:p>
            <w:pPr>
              <w:spacing w:after="100" w:afterAutospacing="1" w:line="240" w:lineRule="auto"/>
              <w:rPr>
                <w:rFonts w:ascii="Times New Roman" w:hAnsi="Times New Roman" w:cs="Times New Roman"/>
                <w:b/>
                <w:bCs/>
                <w:strike/>
                <w:noProof/>
                <w:sz w:val="24"/>
                <w:szCs w:val="24"/>
              </w:rPr>
            </w:pPr>
            <w:r>
              <w:rPr>
                <w:rFonts w:ascii="Times New Roman" w:hAnsi="Times New Roman"/>
                <w:b/>
                <w:noProof/>
                <w:sz w:val="24"/>
              </w:rPr>
              <w:t>Механизми за събиране/</w:t>
            </w:r>
            <w:r>
              <w:rPr>
                <w:rFonts w:ascii="Times New Roman" w:hAnsi="Times New Roman"/>
                <w:b/>
                <w:noProof/>
                <w:sz w:val="24"/>
              </w:rPr>
              <w:br/>
              <w:t>оценка на данни</w:t>
            </w:r>
          </w:p>
        </w:tc>
      </w:tr>
      <w:tr>
        <w:trPr>
          <w:trHeight w:val="970"/>
        </w:trPr>
        <w:tc>
          <w:tcPr>
            <w:tcW w:w="1951" w:type="dxa"/>
            <w:vMerge w:val="restart"/>
          </w:tcPr>
          <w:p>
            <w:pPr>
              <w:pStyle w:val="ListParagraph"/>
              <w:numPr>
                <w:ilvl w:val="0"/>
                <w:numId w:val="50"/>
              </w:numPr>
              <w:tabs>
                <w:tab w:val="left" w:pos="284"/>
              </w:tabs>
              <w:spacing w:after="100" w:afterAutospacing="1" w:line="240" w:lineRule="auto"/>
              <w:ind w:left="284" w:hanging="284"/>
              <w:rPr>
                <w:rFonts w:ascii="Times New Roman" w:hAnsi="Times New Roman" w:cs="Times New Roman"/>
                <w:noProof/>
                <w:sz w:val="24"/>
                <w:szCs w:val="24"/>
              </w:rPr>
            </w:pPr>
            <w:r>
              <w:rPr>
                <w:rFonts w:ascii="Times New Roman" w:hAnsi="Times New Roman"/>
                <w:noProof/>
                <w:sz w:val="24"/>
              </w:rPr>
              <w:t>Предотвратяване на употребата на наркотици и, на второ място, забавяне на първоначалната употреба на наркотици</w:t>
            </w:r>
          </w:p>
        </w:tc>
        <w:tc>
          <w:tcPr>
            <w:tcW w:w="3827"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Предлагане на повече и по-ефективни </w:t>
            </w:r>
            <w:r>
              <w:rPr>
                <w:rFonts w:ascii="Times New Roman" w:hAnsi="Times New Roman"/>
                <w:b/>
                <w:noProof/>
                <w:sz w:val="24"/>
              </w:rPr>
              <w:t>основани на данни</w:t>
            </w:r>
            <w:r>
              <w:rPr>
                <w:rStyle w:val="FootnoteReference"/>
                <w:rFonts w:ascii="Times New Roman" w:hAnsi="Times New Roman"/>
                <w:b/>
                <w:noProof/>
                <w:sz w:val="24"/>
              </w:rPr>
              <w:footnoteReference w:id="56"/>
            </w:r>
            <w:r>
              <w:rPr>
                <w:rFonts w:ascii="Times New Roman" w:hAnsi="Times New Roman"/>
                <w:noProof/>
                <w:sz w:val="24"/>
              </w:rPr>
              <w:t xml:space="preserve"> мерки за превенция, при които се отчитат:</w:t>
            </w:r>
          </w:p>
          <w:p>
            <w:pPr>
              <w:pStyle w:val="ListParagraph"/>
              <w:pageBreakBefore/>
              <w:numPr>
                <w:ilvl w:val="0"/>
                <w:numId w:val="68"/>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свързаните с населението рискови фактори като възрастта, пола, културните и социалните фактори; </w:t>
            </w:r>
          </w:p>
          <w:p>
            <w:pPr>
              <w:pStyle w:val="ListParagraph"/>
              <w:pageBreakBefore/>
              <w:numPr>
                <w:ilvl w:val="0"/>
                <w:numId w:val="68"/>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факторите на ситуационен риск като бездомничеството, </w:t>
            </w:r>
            <w:r>
              <w:rPr>
                <w:rFonts w:ascii="Times New Roman" w:hAnsi="Times New Roman"/>
                <w:b/>
                <w:noProof/>
                <w:sz w:val="24"/>
              </w:rPr>
              <w:t>миграцията и търсенето на убежище</w:t>
            </w:r>
            <w:r>
              <w:rPr>
                <w:rFonts w:ascii="Times New Roman" w:hAnsi="Times New Roman"/>
                <w:noProof/>
                <w:sz w:val="24"/>
              </w:rPr>
              <w:t>, употребата на наркотици в контекста на нощния живот и местата за отдих; работното място и управлението на моторни превозни средства под въздействието на наркотични вещества; и</w:t>
            </w:r>
          </w:p>
          <w:p>
            <w:pPr>
              <w:pStyle w:val="ListParagraph"/>
              <w:pageBreakBefore/>
              <w:numPr>
                <w:ilvl w:val="0"/>
                <w:numId w:val="68"/>
              </w:numPr>
              <w:tabs>
                <w:tab w:val="left" w:pos="743"/>
              </w:tabs>
              <w:spacing w:after="100" w:afterAutospacing="1" w:line="240" w:lineRule="auto"/>
              <w:ind w:left="714" w:hanging="357"/>
              <w:rPr>
                <w:rFonts w:ascii="Times New Roman" w:hAnsi="Times New Roman" w:cs="Times New Roman"/>
                <w:noProof/>
                <w:sz w:val="24"/>
                <w:szCs w:val="24"/>
              </w:rPr>
            </w:pPr>
            <w:r>
              <w:rPr>
                <w:rFonts w:ascii="Times New Roman" w:hAnsi="Times New Roman"/>
                <w:noProof/>
                <w:sz w:val="24"/>
              </w:rPr>
              <w:t xml:space="preserve">индивидуални рискови фактори като психичното здраве, проблемното поведение и психо-социалното развитие, както и други фактори, които влияят върху склонността на отделните лица да употребяват наркотици, като генетичните фактори и семейните обстоятелства.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p>
            <w:pPr>
              <w:spacing w:after="100" w:afterAutospacing="1" w:line="240" w:lineRule="auto"/>
              <w:rPr>
                <w:rFonts w:ascii="Times New Roman" w:hAnsi="Times New Roman" w:cs="Times New Roman"/>
                <w:noProof/>
                <w:sz w:val="24"/>
                <w:szCs w:val="24"/>
              </w:rPr>
            </w:pP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 xml:space="preserve">Трансверсални показатели 1, </w:t>
            </w:r>
            <w:r>
              <w:rPr>
                <w:rFonts w:ascii="Times New Roman" w:hAnsi="Times New Roman"/>
                <w:b/>
                <w:noProof/>
                <w:sz w:val="24"/>
              </w:rPr>
              <w:t>11</w:t>
            </w:r>
            <w:r>
              <w:rPr>
                <w:rFonts w:ascii="Times New Roman" w:hAnsi="Times New Roman"/>
                <w:noProof/>
                <w:sz w:val="24"/>
              </w:rPr>
              <w:t>, 12</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Степен на осигуряване на равнище ДЧ на основани на данни всеобщи и екологични мерки за превенция </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Степен на осигуряване на равнище ДЧ на </w:t>
            </w:r>
            <w:r>
              <w:rPr>
                <w:rFonts w:ascii="Times New Roman" w:hAnsi="Times New Roman"/>
                <w:b/>
                <w:noProof/>
                <w:sz w:val="24"/>
              </w:rPr>
              <w:t>основани на данни</w:t>
            </w:r>
            <w:r>
              <w:rPr>
                <w:rFonts w:ascii="Times New Roman" w:hAnsi="Times New Roman"/>
                <w:noProof/>
                <w:sz w:val="24"/>
              </w:rPr>
              <w:t xml:space="preserve"> целенасочени мерки за превенция, в т.ч. мерки, ориентирани към семейството и общностите</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Степен на осигуряване на равнище ДЧ на </w:t>
            </w:r>
            <w:r>
              <w:rPr>
                <w:rFonts w:ascii="Times New Roman" w:hAnsi="Times New Roman"/>
                <w:b/>
                <w:noProof/>
                <w:sz w:val="24"/>
              </w:rPr>
              <w:t>основани на данни</w:t>
            </w:r>
            <w:r>
              <w:rPr>
                <w:rFonts w:ascii="Times New Roman" w:hAnsi="Times New Roman"/>
                <w:noProof/>
                <w:sz w:val="24"/>
              </w:rPr>
              <w:t xml:space="preserve"> мерки за превенция по индикации</w:t>
            </w:r>
          </w:p>
          <w:p>
            <w:pPr>
              <w:pStyle w:val="ListParagraph"/>
              <w:tabs>
                <w:tab w:val="left" w:pos="459"/>
                <w:tab w:val="left" w:pos="742"/>
              </w:tabs>
              <w:spacing w:after="100" w:afterAutospacing="1" w:line="240" w:lineRule="auto"/>
              <w:ind w:left="0"/>
              <w:rPr>
                <w:rFonts w:ascii="Times New Roman" w:hAnsi="Times New Roman" w:cs="Times New Roman"/>
                <w:i/>
                <w:noProof/>
                <w:sz w:val="24"/>
                <w:szCs w:val="24"/>
              </w:rPr>
            </w:pPr>
          </w:p>
          <w:p>
            <w:pPr>
              <w:spacing w:after="100" w:afterAutospacing="1" w:line="240" w:lineRule="auto"/>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Национални доклади на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ДЧ относно резултатите от мерките</w:t>
            </w:r>
          </w:p>
          <w:p>
            <w:pPr>
              <w:spacing w:after="100" w:afterAutospacing="1" w:line="240" w:lineRule="auto"/>
              <w:rPr>
                <w:rFonts w:ascii="Times New Roman" w:hAnsi="Times New Roman" w:cs="Times New Roman"/>
                <w:noProof/>
                <w:sz w:val="24"/>
                <w:szCs w:val="24"/>
              </w:rPr>
            </w:pPr>
          </w:p>
        </w:tc>
      </w:tr>
      <w:tr>
        <w:trPr>
          <w:trHeight w:val="1254"/>
        </w:trP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Освен предотвратяване на употребата на наркотици, утвърждаване и по-добро насочване на мерките за превенция и отклоняване с цел забавяне на първоначалната употреба на забранени наркотични вещества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Текущо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Трансверсални показатели 1, 5, 12</w:t>
            </w:r>
          </w:p>
          <w:p>
            <w:pPr>
              <w:numPr>
                <w:ilvl w:val="0"/>
                <w:numId w:val="61"/>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Степен на осигуряване на равнище ДЧ на основани на данни мерки за превенция и отклоняване, насочени към младите хора в семейството, общностите и формалното/неформалното образование</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ДЧ относно резултатите от мерките</w:t>
            </w:r>
          </w:p>
        </w:tc>
      </w:tr>
      <w:t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Обмен на добри практики за превантивни мерки, насочени към децата и младите хора, включително:</w:t>
            </w:r>
          </w:p>
          <w:p>
            <w:pPr>
              <w:pStyle w:val="ListParagraph"/>
              <w:tabs>
                <w:tab w:val="left" w:pos="284"/>
              </w:tabs>
              <w:spacing w:after="100" w:afterAutospacing="1" w:line="240" w:lineRule="auto"/>
              <w:ind w:left="360"/>
              <w:rPr>
                <w:rFonts w:ascii="Times New Roman" w:hAnsi="Times New Roman" w:cs="Times New Roman"/>
                <w:noProof/>
                <w:sz w:val="24"/>
                <w:szCs w:val="24"/>
              </w:rPr>
            </w:pP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програми и кампании в рамките на формалното, неформалното и формалното образование;</w:t>
            </w: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онлайн програми и кампании;</w:t>
            </w: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сътрудничество с интернет компании с цел превенция; и</w:t>
            </w:r>
          </w:p>
          <w:p>
            <w:pPr>
              <w:pStyle w:val="ListParagraph"/>
              <w:pageBreakBefore/>
              <w:numPr>
                <w:ilvl w:val="0"/>
                <w:numId w:val="72"/>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b/>
                <w:noProof/>
                <w:sz w:val="24"/>
              </w:rPr>
              <w:t>начини за използване на социалните медии за по-добро разбиране на употребата на наркотици и за подобряване на действията за намаляване на търсенето.</w:t>
            </w:r>
          </w:p>
        </w:tc>
        <w:tc>
          <w:tcPr>
            <w:tcW w:w="1276"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Текущо</w:t>
            </w:r>
          </w:p>
        </w:tc>
        <w:tc>
          <w:tcPr>
            <w:tcW w:w="1559"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ДЧ</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Гражданско общество</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EMCDDA</w:t>
            </w:r>
          </w:p>
        </w:tc>
        <w:tc>
          <w:tcPr>
            <w:tcW w:w="4395" w:type="dxa"/>
          </w:tcPr>
          <w:p>
            <w:pPr>
              <w:numPr>
                <w:ilvl w:val="0"/>
                <w:numId w:val="61"/>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Вид обмен на добри практики между ДЧ</w:t>
            </w:r>
          </w:p>
          <w:p>
            <w:pPr>
              <w:numPr>
                <w:ilvl w:val="0"/>
                <w:numId w:val="61"/>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Положителни оценки на поведенчески резултати от добри практики за интервенции (когато има такива)</w:t>
            </w:r>
          </w:p>
        </w:tc>
        <w:tc>
          <w:tcPr>
            <w:tcW w:w="1558"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Портал за добри практики на EMCDDA</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Доклади на ДЧ</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Доклади на гражданското общество</w:t>
            </w:r>
          </w:p>
        </w:tc>
      </w:tr>
      <w:t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Повишаване на осведомеността относно рисковете и последствията, свързани с употребата на забранени наркотични вещества и други психоактивни вещества, </w:t>
            </w:r>
            <w:r>
              <w:rPr>
                <w:rFonts w:ascii="Times New Roman" w:hAnsi="Times New Roman"/>
                <w:b/>
                <w:noProof/>
                <w:sz w:val="24"/>
              </w:rPr>
              <w:t>включително чрез сътрудничество с интернет компании и експерти по превенция за по-добро обхващане на децата и младите хора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EMCDDA</w:t>
            </w:r>
          </w:p>
          <w:p>
            <w:pPr>
              <w:spacing w:after="100" w:afterAutospacing="1" w:line="240" w:lineRule="auto"/>
              <w:rPr>
                <w:rFonts w:ascii="Times New Roman" w:hAnsi="Times New Roman" w:cs="Times New Roman"/>
                <w:noProof/>
                <w:sz w:val="24"/>
                <w:szCs w:val="24"/>
              </w:rPr>
            </w:pP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Трансверсални показатели 5, 12</w:t>
            </w:r>
          </w:p>
          <w:p>
            <w:pPr>
              <w:tabs>
                <w:tab w:val="left" w:pos="459"/>
              </w:tabs>
              <w:spacing w:after="100" w:afterAutospacing="1" w:line="240" w:lineRule="auto"/>
              <w:contextualSpacing/>
              <w:rPr>
                <w:rFonts w:ascii="Times New Roman" w:hAnsi="Times New Roman" w:cs="Times New Roman"/>
                <w:noProof/>
                <w:sz w:val="24"/>
                <w:szCs w:val="24"/>
              </w:rPr>
            </w:pPr>
          </w:p>
          <w:p>
            <w:pPr>
              <w:numPr>
                <w:ilvl w:val="0"/>
                <w:numId w:val="61"/>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Ниво на информираност на населението като цяло и по-конкретно на младите хора относно здравословните начини на живот и за рисковете и последиците от употребата на забранени наркотични вещества и други психоактивни вещества</w:t>
            </w:r>
            <w:r>
              <w:rPr>
                <w:rFonts w:ascii="Times New Roman" w:hAnsi="Times New Roman"/>
                <w:strike/>
                <w:noProof/>
                <w:sz w:val="24"/>
              </w:rPr>
              <w:t xml:space="preserve">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Проучвания на Евробарометър</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ESPAD</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HBSC</w:t>
            </w:r>
          </w:p>
        </w:tc>
      </w:tr>
      <w:tr>
        <w:trPr>
          <w:trHeight w:val="2293"/>
        </w:trPr>
        <w:tc>
          <w:tcPr>
            <w:tcW w:w="1951" w:type="dxa"/>
          </w:tcPr>
          <w:p>
            <w:pPr>
              <w:tabs>
                <w:tab w:val="left" w:pos="284"/>
              </w:tabs>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Създаване на условия за по-информирана реакция на предизвикателството, което представлява злоупотребата с </w:t>
            </w:r>
            <w:r>
              <w:rPr>
                <w:rFonts w:ascii="Times New Roman" w:hAnsi="Times New Roman"/>
                <w:strike/>
                <w:noProof/>
                <w:sz w:val="24"/>
              </w:rPr>
              <w:t>предписани или закупени без рецепта опиоидни вещества и други</w:t>
            </w:r>
            <w:r>
              <w:rPr>
                <w:rFonts w:ascii="Times New Roman" w:hAnsi="Times New Roman"/>
                <w:noProof/>
                <w:sz w:val="24"/>
              </w:rPr>
              <w:t xml:space="preserve"> психоактивни лекарства</w:t>
            </w:r>
            <w:r>
              <w:rPr>
                <w:rFonts w:ascii="Times New Roman" w:hAnsi="Times New Roman"/>
                <w:strike/>
                <w:noProof/>
                <w:sz w:val="24"/>
              </w:rPr>
              <w:t xml:space="preserve"> </w:t>
            </w:r>
          </w:p>
          <w:p>
            <w:pPr>
              <w:tabs>
                <w:tab w:val="left" w:pos="317"/>
              </w:tabs>
              <w:spacing w:after="100" w:afterAutospacing="1" w:line="240" w:lineRule="auto"/>
              <w:rPr>
                <w:rFonts w:ascii="Times New Roman" w:hAnsi="Times New Roman" w:cs="Times New Roman"/>
                <w:noProof/>
                <w:sz w:val="24"/>
                <w:szCs w:val="24"/>
              </w:rPr>
            </w:pPr>
          </w:p>
          <w:p>
            <w:pPr>
              <w:tabs>
                <w:tab w:val="left" w:pos="317"/>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b/>
                <w:i/>
                <w:noProof/>
                <w:sz w:val="24"/>
                <w:szCs w:val="24"/>
              </w:rPr>
            </w:pPr>
            <w:r>
              <w:rPr>
                <w:rFonts w:ascii="Times New Roman" w:hAnsi="Times New Roman"/>
                <w:noProof/>
                <w:sz w:val="24"/>
              </w:rPr>
              <w:t>201</w:t>
            </w:r>
            <w:r>
              <w:rPr>
                <w:rFonts w:ascii="Times New Roman" w:hAnsi="Times New Roman"/>
                <w:b/>
                <w:noProof/>
                <w:sz w:val="24"/>
              </w:rPr>
              <w:t>7 — </w:t>
            </w:r>
            <w:r>
              <w:rPr>
                <w:rFonts w:ascii="Times New Roman" w:hAnsi="Times New Roman"/>
                <w:noProof/>
                <w:sz w:val="24"/>
              </w:rPr>
              <w:t>20</w:t>
            </w:r>
            <w:r>
              <w:rPr>
                <w:rFonts w:ascii="Times New Roman" w:hAnsi="Times New Roman"/>
                <w:b/>
                <w:noProof/>
                <w:sz w:val="24"/>
              </w:rPr>
              <w:t>20 </w:t>
            </w:r>
            <w:r>
              <w:rPr>
                <w:rFonts w:ascii="Times New Roman" w:hAnsi="Times New Roman"/>
                <w:noProof/>
                <w:sz w:val="24"/>
              </w:rPr>
              <w:t>г.</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pacing w:val="-6"/>
                <w:sz w:val="24"/>
                <w:szCs w:val="24"/>
              </w:rPr>
            </w:pPr>
            <w:r>
              <w:rPr>
                <w:rFonts w:ascii="Times New Roman" w:hAnsi="Times New Roman" w:cs="Times New Roman"/>
                <w:b/>
                <w:noProof/>
                <w:spacing w:val="-6"/>
                <w:sz w:val="24"/>
                <w:szCs w:val="24"/>
              </w:rPr>
              <w:t>Работна група „Наркотици“ на Съвета</w:t>
            </w:r>
            <w:r>
              <w:rPr>
                <w:rFonts w:ascii="Times New Roman" w:hAnsi="Times New Roman" w:cs="Times New Roman"/>
                <w:noProof/>
                <w:spacing w:val="-6"/>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strike/>
                <w:noProof/>
                <w:sz w:val="24"/>
                <w:szCs w:val="24"/>
              </w:rPr>
            </w:pPr>
          </w:p>
        </w:tc>
        <w:tc>
          <w:tcPr>
            <w:tcW w:w="4395" w:type="dxa"/>
          </w:tcPr>
          <w:p>
            <w:pPr>
              <w:numPr>
                <w:ilvl w:val="0"/>
                <w:numId w:val="71"/>
              </w:numPr>
              <w:tabs>
                <w:tab w:val="left" w:pos="459"/>
              </w:tabs>
              <w:spacing w:after="100" w:afterAutospacing="1" w:line="240" w:lineRule="auto"/>
              <w:ind w:left="357" w:hanging="357"/>
              <w:contextualSpacing/>
              <w:rPr>
                <w:rFonts w:ascii="Times New Roman" w:hAnsi="Times New Roman" w:cs="Times New Roman"/>
                <w:b/>
                <w:i/>
                <w:strike/>
                <w:noProof/>
                <w:sz w:val="24"/>
                <w:szCs w:val="24"/>
              </w:rPr>
            </w:pPr>
            <w:r>
              <w:rPr>
                <w:rFonts w:ascii="Times New Roman" w:hAnsi="Times New Roman"/>
                <w:strike/>
                <w:noProof/>
                <w:sz w:val="24"/>
              </w:rPr>
              <w:t>Съпоставяне на данни от ДЧ относно равнищата и начините на предписване на психоактивни лекарства до края на 2014 г.</w:t>
            </w:r>
          </w:p>
          <w:p>
            <w:pPr>
              <w:numPr>
                <w:ilvl w:val="0"/>
                <w:numId w:val="71"/>
              </w:numPr>
              <w:tabs>
                <w:tab w:val="left" w:pos="459"/>
              </w:tabs>
              <w:spacing w:after="100" w:afterAutospacing="1" w:line="240" w:lineRule="auto"/>
              <w:ind w:left="357" w:hanging="357"/>
              <w:contextualSpacing/>
              <w:rPr>
                <w:rFonts w:ascii="Times New Roman" w:hAnsi="Times New Roman" w:cs="Times New Roman"/>
                <w:noProof/>
                <w:sz w:val="24"/>
                <w:szCs w:val="24"/>
              </w:rPr>
            </w:pPr>
            <w:r>
              <w:rPr>
                <w:rFonts w:ascii="Times New Roman" w:hAnsi="Times New Roman"/>
                <w:noProof/>
                <w:sz w:val="24"/>
              </w:rPr>
              <w:t xml:space="preserve">Брой инициативи за насърчаване на подходящата употреба на </w:t>
            </w:r>
            <w:r>
              <w:rPr>
                <w:rFonts w:ascii="Times New Roman" w:hAnsi="Times New Roman"/>
                <w:strike/>
                <w:noProof/>
                <w:sz w:val="24"/>
              </w:rPr>
              <w:t>предписани или на закупени без рецепта опиоидни вещества и други</w:t>
            </w:r>
            <w:r>
              <w:rPr>
                <w:rFonts w:ascii="Times New Roman" w:hAnsi="Times New Roman"/>
                <w:noProof/>
                <w:sz w:val="24"/>
              </w:rPr>
              <w:t xml:space="preserve"> психоактивни лекарства </w:t>
            </w:r>
          </w:p>
          <w:p>
            <w:pPr>
              <w:numPr>
                <w:ilvl w:val="0"/>
                <w:numId w:val="71"/>
              </w:numPr>
              <w:tabs>
                <w:tab w:val="left" w:pos="459"/>
              </w:tabs>
              <w:spacing w:after="100" w:afterAutospacing="1" w:line="240" w:lineRule="auto"/>
              <w:ind w:left="357" w:hanging="357"/>
              <w:contextualSpacing/>
              <w:rPr>
                <w:rFonts w:ascii="Times New Roman" w:hAnsi="Times New Roman" w:cs="Times New Roman"/>
                <w:b/>
                <w:noProof/>
                <w:sz w:val="24"/>
                <w:szCs w:val="24"/>
              </w:rPr>
            </w:pPr>
            <w:r>
              <w:rPr>
                <w:rFonts w:ascii="Times New Roman" w:hAnsi="Times New Roman"/>
                <w:b/>
                <w:noProof/>
                <w:sz w:val="24"/>
              </w:rPr>
              <w:t>Съпоставяне на сведения и международни примери за начините за намаляване на рисковете от отклоняване и злоупотреба с психоактивни лекарства</w:t>
            </w:r>
          </w:p>
          <w:p>
            <w:pPr>
              <w:numPr>
                <w:ilvl w:val="0"/>
                <w:numId w:val="71"/>
              </w:numPr>
              <w:tabs>
                <w:tab w:val="left" w:pos="459"/>
              </w:tabs>
              <w:spacing w:after="100" w:afterAutospacing="1" w:line="240" w:lineRule="auto"/>
              <w:ind w:left="357" w:hanging="357"/>
              <w:contextualSpacing/>
              <w:rPr>
                <w:rFonts w:ascii="Times New Roman" w:hAnsi="Times New Roman" w:cs="Times New Roman"/>
                <w:b/>
                <w:noProof/>
                <w:sz w:val="24"/>
                <w:szCs w:val="24"/>
              </w:rPr>
            </w:pPr>
            <w:r>
              <w:rPr>
                <w:rFonts w:ascii="Times New Roman" w:hAnsi="Times New Roman"/>
                <w:b/>
                <w:noProof/>
                <w:sz w:val="24"/>
              </w:rPr>
              <w:t xml:space="preserve">Обучение за практикуващи лекари и други здравни специалисти относно употребата на лекарства за овладяване на болката и третиране на страданието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Доклад по проекта „Alice RAP“</w:t>
            </w:r>
          </w:p>
        </w:tc>
      </w:tr>
      <w:tr>
        <w:trPr>
          <w:trHeight w:val="2685"/>
        </w:trPr>
        <w:tc>
          <w:tcPr>
            <w:tcW w:w="1951" w:type="dxa"/>
            <w:vMerge w:val="restart"/>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2. Подобряване на ефективността на лечението на наркозависимости и на рехабилитацията, вкл. на грижите за лица с коморбидност, с цел намаляване на употребата на забранени наркотични вещества, проблемната употреба на наркотици, разпространението на наркозависимостта и на свързаните с употребата на наркотици здравни и социални рискове и вреди, както и подпомагане за възстановяването и социалната (ре)интеграция на проблемните употребяващи наркотици и наркозависимите лица </w:t>
            </w:r>
            <w:r>
              <w:rPr>
                <w:rFonts w:ascii="Times New Roman" w:hAnsi="Times New Roman"/>
                <w:b/>
                <w:noProof/>
                <w:sz w:val="24"/>
              </w:rPr>
              <w:t>и на уязвими общности, включително чрез изграждане на полезни взаимодействия с Европейския корпус за солидарност</w:t>
            </w:r>
            <w:r>
              <w:rPr>
                <w:rFonts w:ascii="Times New Roman" w:hAnsi="Times New Roman"/>
                <w:noProof/>
                <w:sz w:val="24"/>
              </w:rPr>
              <w:t>.</w:t>
            </w:r>
            <w:r>
              <w:rPr>
                <w:rFonts w:ascii="Times New Roman" w:hAnsi="Times New Roman"/>
                <w:b/>
                <w:noProof/>
                <w:color w:val="000000"/>
                <w:sz w:val="24"/>
              </w:rPr>
              <w:t xml:space="preserve"> </w:t>
            </w: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noProof/>
                <w:sz w:val="24"/>
                <w:szCs w:val="24"/>
              </w:rPr>
            </w:pPr>
            <w:r>
              <w:rPr>
                <w:rFonts w:ascii="Times New Roman" w:hAnsi="Times New Roman"/>
                <w:noProof/>
                <w:sz w:val="24"/>
              </w:rPr>
              <w:t xml:space="preserve">Подобряване и разширяване на спектъра, предлагането, обхвата и достъпността на </w:t>
            </w:r>
            <w:r>
              <w:rPr>
                <w:rFonts w:ascii="Times New Roman" w:hAnsi="Times New Roman"/>
                <w:b/>
                <w:noProof/>
                <w:sz w:val="24"/>
              </w:rPr>
              <w:t>основани на данни</w:t>
            </w:r>
            <w:r>
              <w:rPr>
                <w:rFonts w:ascii="Times New Roman" w:hAnsi="Times New Roman"/>
                <w:noProof/>
                <w:sz w:val="24"/>
              </w:rPr>
              <w:t xml:space="preserve"> всеобхватни и интегрирани услуги за лечение. </w:t>
            </w:r>
            <w:r>
              <w:rPr>
                <w:rFonts w:ascii="Times New Roman" w:hAnsi="Times New Roman"/>
                <w:b/>
                <w:noProof/>
                <w:sz w:val="24"/>
              </w:rPr>
              <w:t>Гарантиране, че тези услуги</w:t>
            </w:r>
            <w:r>
              <w:rPr>
                <w:rFonts w:ascii="Times New Roman" w:hAnsi="Times New Roman"/>
                <w:noProof/>
                <w:sz w:val="24"/>
              </w:rPr>
              <w:t xml:space="preserve"> вземат предвид употребата на няколко вида наркотици (едновременна употреба на забранени и/или разрешени вещества, вкл. алкохол и</w:t>
            </w:r>
            <w:r>
              <w:rPr>
                <w:rFonts w:ascii="Times New Roman" w:hAnsi="Times New Roman"/>
                <w:b/>
                <w:noProof/>
                <w:sz w:val="24"/>
              </w:rPr>
              <w:t xml:space="preserve"> тютюн) както и нововъзникващите нужди на употребяващите наркотици в напреднала възраст и специфичните въпроси, свързани с пола</w:t>
            </w:r>
            <w:r>
              <w:rPr>
                <w:rFonts w:ascii="Times New Roman" w:hAnsi="Times New Roman"/>
                <w:noProof/>
                <w:sz w:val="24"/>
              </w:rPr>
              <w:t>.</w:t>
            </w:r>
            <w:r>
              <w:rPr>
                <w:rFonts w:ascii="Times New Roman" w:hAnsi="Times New Roman"/>
                <w:b/>
                <w:noProof/>
                <w:sz w:val="24"/>
              </w:rPr>
              <w:t xml:space="preserve"> Разработване на програми за ранна интервенция/лечение и терапия за деца и подрастващи, употребяващи наркотици.</w:t>
            </w:r>
          </w:p>
          <w:p>
            <w:pPr>
              <w:pStyle w:val="ListParagraph"/>
              <w:tabs>
                <w:tab w:val="left" w:pos="743"/>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tc>
        <w:tc>
          <w:tcPr>
            <w:tcW w:w="4395" w:type="dxa"/>
          </w:tcPr>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noProof/>
                <w:sz w:val="24"/>
              </w:rPr>
              <w:t>Трансверсални показатели 1, 6, 11</w:t>
            </w:r>
          </w:p>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noProof/>
                <w:sz w:val="24"/>
              </w:rPr>
              <w:t xml:space="preserve">Многообразие на </w:t>
            </w:r>
            <w:r>
              <w:rPr>
                <w:rFonts w:ascii="Times New Roman" w:hAnsi="Times New Roman"/>
                <w:b/>
                <w:noProof/>
                <w:sz w:val="24"/>
              </w:rPr>
              <w:t>основани на данни</w:t>
            </w:r>
            <w:r>
              <w:rPr>
                <w:rFonts w:ascii="Times New Roman" w:hAnsi="Times New Roman"/>
                <w:noProof/>
                <w:sz w:val="24"/>
              </w:rPr>
              <w:t xml:space="preserve"> всеобхватни и интегрирани услуги за лечение на равнището на държавите членки, включително услугите, насочени към употреба на няколко вида наркотици </w:t>
            </w:r>
            <w:r>
              <w:rPr>
                <w:rFonts w:ascii="Times New Roman" w:hAnsi="Times New Roman"/>
                <w:b/>
                <w:noProof/>
                <w:sz w:val="24"/>
              </w:rPr>
              <w:t>и към потребностите на употребяващите наркотици в напреднала възраст</w:t>
            </w:r>
            <w:r>
              <w:rPr>
                <w:rFonts w:ascii="Times New Roman" w:hAnsi="Times New Roman"/>
                <w:noProof/>
                <w:sz w:val="24"/>
              </w:rPr>
              <w:t>.</w:t>
            </w:r>
          </w:p>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noProof/>
                <w:sz w:val="24"/>
              </w:rPr>
              <w:t>Данни на ДЧ относно придържането към лечение и постигнатите резултати</w:t>
            </w:r>
          </w:p>
          <w:p>
            <w:pPr>
              <w:tabs>
                <w:tab w:val="left" w:pos="459"/>
              </w:tabs>
              <w:spacing w:after="100" w:afterAutospacing="1" w:line="240" w:lineRule="auto"/>
              <w:ind w:left="459"/>
              <w:contextualSpacing/>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Доклади на EMCDDA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Reitox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Национални доклади</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Портал за добри практики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Bold" w:hAnsi="Times New Roman Bold" w:cs="Times New Roman"/>
                <w:b/>
                <w:noProof/>
                <w:spacing w:val="-6"/>
                <w:sz w:val="24"/>
                <w:szCs w:val="24"/>
              </w:rPr>
            </w:pPr>
            <w:r>
              <w:rPr>
                <w:rFonts w:ascii="Times New Roman Bold" w:hAnsi="Times New Roman Bold"/>
                <w:b/>
                <w:noProof/>
                <w:spacing w:val="-6"/>
                <w:sz w:val="24"/>
              </w:rPr>
              <w:t>Окончателна оценка на Стратетията и Плана за действие на ЕС за борба с наркотиците</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Доклади на ДЧ</w:t>
            </w:r>
          </w:p>
        </w:tc>
      </w:tr>
      <w:tr>
        <w:trPr>
          <w:trHeight w:val="1537"/>
        </w:trP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Разширяване на предлагането на услуги за рехабилитация/възстановяване с акцент върху услугите, които:</w:t>
            </w:r>
          </w:p>
          <w:p>
            <w:pPr>
              <w:pStyle w:val="ListParagraph"/>
              <w:pageBreakBefore/>
              <w:numPr>
                <w:ilvl w:val="0"/>
                <w:numId w:val="7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са съсредоточени върху предоставянето на непрекъснати грижи за лицата чрез управление на отделните случаи и междуведомствено сътрудничество,</w:t>
            </w:r>
          </w:p>
          <w:p>
            <w:pPr>
              <w:pStyle w:val="ListParagraph"/>
              <w:pageBreakBefore/>
              <w:numPr>
                <w:ilvl w:val="0"/>
                <w:numId w:val="7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подпомагат социалната (ре)интеграция (вкл. пригодността за заетост и </w:t>
            </w:r>
            <w:r>
              <w:rPr>
                <w:rFonts w:ascii="Times New Roman" w:hAnsi="Times New Roman"/>
                <w:b/>
                <w:noProof/>
                <w:sz w:val="24"/>
              </w:rPr>
              <w:t>жилищното настаняване</w:t>
            </w:r>
            <w:r>
              <w:rPr>
                <w:rFonts w:ascii="Times New Roman" w:hAnsi="Times New Roman"/>
                <w:noProof/>
                <w:sz w:val="24"/>
              </w:rPr>
              <w:t xml:space="preserve">) на проблемни и зависими наркомани, </w:t>
            </w:r>
            <w:r>
              <w:rPr>
                <w:rFonts w:ascii="Times New Roman" w:hAnsi="Times New Roman"/>
                <w:b/>
                <w:noProof/>
                <w:sz w:val="24"/>
              </w:rPr>
              <w:t>включително затворници, и наркомани в напреднала възраст, когато е приложимо</w:t>
            </w:r>
            <w:r>
              <w:rPr>
                <w:rFonts w:ascii="Times New Roman" w:hAnsi="Times New Roman"/>
                <w:noProof/>
                <w:sz w:val="24"/>
              </w:rPr>
              <w:t xml:space="preserve">;  </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noProof/>
                <w:sz w:val="24"/>
              </w:rPr>
              <w:t xml:space="preserve">способстват за по-добро диагностициране и лечение на лицата с психиатрична и соматична коморбидност, която включва употреба на наркотици, </w:t>
            </w:r>
            <w:r>
              <w:rPr>
                <w:rFonts w:ascii="Times New Roman" w:hAnsi="Times New Roman"/>
                <w:b/>
                <w:noProof/>
                <w:sz w:val="24"/>
              </w:rPr>
              <w:t>например с бързи тестове за хепатит B и хепатит C и ХИВ, както и други предавани по полов път инфекции и туберкулоза, в съответствие с минималните стандарти за качество в областта на намаляването на търсенето на наркотици, приети от Съвета през 2015 г.</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вземат предвид специфичните свързани с пола нужди; и</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достигат до уязвимите общности, включително децата и подрастващите, етническите малцинства, мигрантите и търсещите убежище, ЛГБТИ, предоставящите сексуални услуги срещу заплащане и затворниците, хората, живеещи с ХИВ/СПИН, и бездомните.</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tc>
        <w:tc>
          <w:tcPr>
            <w:tcW w:w="4395" w:type="dxa"/>
          </w:tcPr>
          <w:p>
            <w:pPr>
              <w:numPr>
                <w:ilvl w:val="0"/>
                <w:numId w:val="74"/>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Трансверсален показател 11</w:t>
            </w:r>
          </w:p>
          <w:p>
            <w:pPr>
              <w:tabs>
                <w:tab w:val="left" w:pos="459"/>
              </w:tabs>
              <w:spacing w:after="100" w:afterAutospacing="1" w:line="240" w:lineRule="auto"/>
              <w:contextualSpacing/>
              <w:rPr>
                <w:rFonts w:ascii="Times New Roman" w:hAnsi="Times New Roman" w:cs="Times New Roman"/>
                <w:noProof/>
                <w:sz w:val="24"/>
                <w:szCs w:val="24"/>
              </w:rPr>
            </w:pPr>
          </w:p>
          <w:p>
            <w:p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Данни на ДЧ относно:</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noProof/>
                <w:sz w:val="24"/>
              </w:rPr>
              <w:t>Увеличаването на услугите за рехабилитация/възстановяване, при които се използват подходи за управление на отделните случаи и междуведомствено сътрудничество</w:t>
            </w:r>
          </w:p>
          <w:p>
            <w:pPr>
              <w:numPr>
                <w:ilvl w:val="0"/>
                <w:numId w:val="55"/>
              </w:numPr>
              <w:tabs>
                <w:tab w:val="left" w:pos="459"/>
              </w:tabs>
              <w:spacing w:after="100" w:afterAutospacing="1" w:line="240" w:lineRule="auto"/>
              <w:ind w:left="459" w:hanging="284"/>
              <w:contextualSpacing/>
              <w:rPr>
                <w:rFonts w:ascii="Times New Roman" w:hAnsi="Times New Roman" w:cs="Times New Roman"/>
                <w:b/>
                <w:noProof/>
                <w:sz w:val="24"/>
                <w:szCs w:val="24"/>
              </w:rPr>
            </w:pPr>
            <w:r>
              <w:rPr>
                <w:rFonts w:ascii="Times New Roman" w:hAnsi="Times New Roman"/>
                <w:b/>
                <w:noProof/>
                <w:sz w:val="24"/>
              </w:rPr>
              <w:t>Увеличаването на броя на свързаните с пола специфични програми за рехабилитация и възстановяване</w:t>
            </w:r>
          </w:p>
          <w:p>
            <w:pPr>
              <w:numPr>
                <w:ilvl w:val="0"/>
                <w:numId w:val="55"/>
              </w:numPr>
              <w:tabs>
                <w:tab w:val="left" w:pos="459"/>
              </w:tabs>
              <w:spacing w:after="100" w:afterAutospacing="1" w:line="240" w:lineRule="auto"/>
              <w:ind w:left="459" w:hanging="284"/>
              <w:contextualSpacing/>
              <w:rPr>
                <w:rFonts w:ascii="Times New Roman" w:hAnsi="Times New Roman" w:cs="Times New Roman"/>
                <w:b/>
                <w:noProof/>
                <w:sz w:val="24"/>
                <w:szCs w:val="24"/>
              </w:rPr>
            </w:pPr>
            <w:r>
              <w:rPr>
                <w:rFonts w:ascii="Times New Roman" w:hAnsi="Times New Roman"/>
                <w:noProof/>
                <w:sz w:val="24"/>
              </w:rPr>
              <w:t xml:space="preserve">Увеличаването на броя на програми за </w:t>
            </w:r>
            <w:r>
              <w:rPr>
                <w:rFonts w:ascii="Times New Roman" w:hAnsi="Times New Roman"/>
                <w:b/>
                <w:noProof/>
                <w:sz w:val="24"/>
              </w:rPr>
              <w:t>всеобхватни общностни грижи</w:t>
            </w:r>
            <w:r>
              <w:rPr>
                <w:rFonts w:ascii="Times New Roman" w:hAnsi="Times New Roman"/>
                <w:noProof/>
                <w:sz w:val="24"/>
              </w:rPr>
              <w:t xml:space="preserve">, насочени специално към употребяващи наркотици лица, засегнати от коморбидност, които включват партньорства между лечебните заведения за психично здраве и заведенията за рехабилитация и възстановяване </w:t>
            </w:r>
            <w:r>
              <w:rPr>
                <w:rFonts w:ascii="Times New Roman" w:hAnsi="Times New Roman"/>
                <w:b/>
                <w:noProof/>
                <w:sz w:val="24"/>
              </w:rPr>
              <w:t>и затворите</w:t>
            </w:r>
            <w:r>
              <w:rPr>
                <w:rFonts w:ascii="Times New Roman" w:hAnsi="Times New Roman"/>
                <w:noProof/>
                <w:sz w:val="24"/>
              </w:rPr>
              <w:t>.</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noProof/>
                <w:sz w:val="24"/>
              </w:rPr>
              <w:t>Степента и продължителността на въздържането от употреба на забранени и/или разрешени наркотични вещества от лица, напускащи лечение на наркозависимост</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noProof/>
                <w:sz w:val="24"/>
              </w:rPr>
              <w:t>Наличие на варианти за лечение, отговарящи на нуждите на лицата, които минават през период на рецидив в употребата на наркотици, и на употребяващите наркотици в напреднала възраст</w:t>
            </w:r>
          </w:p>
          <w:p>
            <w:pPr>
              <w:spacing w:after="100" w:afterAutospacing="1" w:line="240" w:lineRule="auto"/>
              <w:ind w:left="819"/>
              <w:rPr>
                <w:rFonts w:ascii="Times New Roman" w:hAnsi="Times New Roman" w:cs="Times New Roman"/>
                <w:noProof/>
                <w:sz w:val="24"/>
                <w:szCs w:val="24"/>
              </w:rPr>
            </w:pPr>
          </w:p>
          <w:p>
            <w:pPr>
              <w:tabs>
                <w:tab w:val="left" w:pos="459"/>
              </w:tabs>
              <w:spacing w:after="100" w:afterAutospacing="1" w:line="240" w:lineRule="auto"/>
              <w:ind w:left="819"/>
              <w:contextualSpacing/>
              <w:rPr>
                <w:rFonts w:ascii="Times New Roman" w:hAnsi="Times New Roman" w:cs="Times New Roman"/>
                <w:noProof/>
                <w:sz w:val="24"/>
                <w:szCs w:val="24"/>
              </w:rPr>
            </w:pPr>
          </w:p>
          <w:p>
            <w:pPr>
              <w:pageBreakBefore/>
              <w:tabs>
                <w:tab w:val="left" w:pos="459"/>
              </w:tabs>
              <w:spacing w:after="100" w:afterAutospacing="1" w:line="240" w:lineRule="auto"/>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Доклади на ДЧ за </w:t>
            </w:r>
          </w:p>
          <w:p>
            <w:pPr>
              <w:spacing w:after="100" w:afterAutospacing="1" w:line="240" w:lineRule="auto"/>
              <w:rPr>
                <w:rFonts w:ascii="Times New Roman" w:hAnsi="Times New Roman" w:cs="Times New Roman"/>
                <w:strike/>
                <w:noProof/>
                <w:sz w:val="24"/>
                <w:szCs w:val="24"/>
              </w:rPr>
            </w:pPr>
            <w:r>
              <w:rPr>
                <w:rFonts w:ascii="Times New Roman" w:hAnsi="Times New Roman"/>
                <w:noProof/>
                <w:sz w:val="24"/>
              </w:rPr>
              <w:t>резултатите от услугите</w:t>
            </w:r>
            <w:r>
              <w:rPr>
                <w:rFonts w:ascii="Times New Roman" w:hAnsi="Times New Roman"/>
                <w:b/>
                <w:noProof/>
                <w:sz w:val="24"/>
              </w:rPr>
              <w:t xml:space="preserve">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p>
        </w:tc>
      </w:tr>
      <w:t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rPr>
                <w:rFonts w:ascii="Times New Roman" w:hAnsi="Times New Roman" w:cs="Times New Roman"/>
                <w:noProof/>
                <w:sz w:val="24"/>
                <w:szCs w:val="24"/>
              </w:rPr>
            </w:pPr>
            <w:r>
              <w:rPr>
                <w:rFonts w:ascii="Times New Roman" w:hAnsi="Times New Roman" w:cs="Times New Roman"/>
                <w:b/>
                <w:noProof/>
                <w:sz w:val="24"/>
                <w:szCs w:val="24"/>
              </w:rPr>
              <w:t>a) Подобряване на достъпа до услугите за ограничаване на вредите, като например програми за обмен на игли и спринцовки, заместителна терапия и програми за налоксон за домашна употреба</w:t>
            </w:r>
            <w:r>
              <w:rPr>
                <w:rFonts w:ascii="Times New Roman" w:hAnsi="Times New Roman" w:cs="Times New Roman"/>
                <w:noProof/>
                <w:sz w:val="24"/>
                <w:szCs w:val="24"/>
              </w:rPr>
              <w:t xml:space="preserve"> </w:t>
            </w:r>
            <w:r>
              <w:rPr>
                <w:rFonts w:ascii="Times New Roman" w:hAnsi="Times New Roman" w:cs="Times New Roman"/>
                <w:strike/>
                <w:noProof/>
                <w:sz w:val="24"/>
                <w:szCs w:val="24"/>
              </w:rPr>
              <w:t>Осигуряване на условия услугите за лечение и информиране да предлагат по-добър достъп до възможности за ограничаване на рисковете и вредите</w:t>
            </w:r>
            <w:r>
              <w:rPr>
                <w:rFonts w:ascii="Times New Roman" w:hAnsi="Times New Roman" w:cs="Times New Roman"/>
                <w:noProof/>
                <w:sz w:val="24"/>
                <w:szCs w:val="24"/>
              </w:rPr>
              <w:t xml:space="preserve"> с цел ограничаване на негативните последици от употребата на наркотици и съществено намаляване на броя на смъртните случаи, причинени пряко или косвено от употреба на наркотици, както и на инфекциозните, предавани по кръвен път болести, които се свързват с употреба на наркотици, но не само ХИВ и вирусен хепатит, както и на предавани по полов път болести и туберкулоза</w:t>
            </w:r>
          </w:p>
          <w:p>
            <w:pPr>
              <w:pStyle w:val="ListParagraph"/>
              <w:tabs>
                <w:tab w:val="left" w:pos="284"/>
              </w:tabs>
              <w:spacing w:after="100" w:afterAutospacing="1" w:line="240" w:lineRule="auto"/>
              <w:ind w:left="357"/>
              <w:rPr>
                <w:rFonts w:ascii="Times New Roman" w:hAnsi="Times New Roman" w:cs="Times New Roman"/>
                <w:noProof/>
                <w:sz w:val="24"/>
                <w:szCs w:val="24"/>
              </w:rPr>
            </w:pPr>
          </w:p>
          <w:p>
            <w:pPr>
              <w:pStyle w:val="ListParagraph"/>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b/>
                <w:noProof/>
                <w:sz w:val="24"/>
              </w:rPr>
              <w:t>б) Установяване и преодоляване на пречките пред достъпа до лечение на хепатит С сред хората, които си инжектират наркотици, включително затворници и други уязвими групи</w:t>
            </w:r>
          </w:p>
          <w:p>
            <w:pPr>
              <w:pStyle w:val="ListParagraph"/>
              <w:tabs>
                <w:tab w:val="left" w:pos="284"/>
              </w:tabs>
              <w:spacing w:after="100" w:afterAutospacing="1" w:line="240" w:lineRule="auto"/>
              <w:ind w:left="357"/>
              <w:rPr>
                <w:rFonts w:ascii="Times New Roman" w:hAnsi="Times New Roman" w:cs="Times New Roman"/>
                <w:b/>
                <w:noProof/>
                <w:sz w:val="24"/>
                <w:szCs w:val="24"/>
              </w:rPr>
            </w:pPr>
          </w:p>
          <w:p>
            <w:pPr>
              <w:pStyle w:val="ListParagraph"/>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b/>
                <w:noProof/>
                <w:sz w:val="24"/>
              </w:rPr>
              <w:t>в) Обмен на добри практики относно мерките за ограничаване на рисковете и вредите, като например програми за обмен на игли и спринцовки, заместителна терапия, помещения за употреба на наркотици, програми за налоксон за домашна употреба, интервенции на партньорска основа, информационни кампании за видовете лечение, лечение на хепатит С, тестване на хапчета, самостоятелно тестване за ХИВ/СПИН и т.н.</w:t>
            </w:r>
          </w:p>
          <w:p>
            <w:pPr>
              <w:pStyle w:val="ListParagraph"/>
              <w:tabs>
                <w:tab w:val="left" w:pos="317"/>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EMCDDA</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Комисия</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Форум на гражданското общество относно наркотиците</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Форум на гражданското общество относно ХИВ/СПИН, вирусен хепатит и туберкулоза</w:t>
            </w:r>
          </w:p>
          <w:p>
            <w:pPr>
              <w:spacing w:after="100" w:afterAutospacing="1" w:line="240" w:lineRule="auto"/>
              <w:rPr>
                <w:rFonts w:ascii="Times New Roman" w:hAnsi="Times New Roman" w:cs="Times New Roman"/>
                <w:noProof/>
                <w:sz w:val="24"/>
                <w:szCs w:val="24"/>
              </w:rPr>
            </w:pPr>
          </w:p>
        </w:tc>
        <w:tc>
          <w:tcPr>
            <w:tcW w:w="4395" w:type="dxa"/>
          </w:tcPr>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Трансверсални показатели 2, 3, 4, 11</w:t>
            </w:r>
          </w:p>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Подобряване на наличието и достъпа до основани на данни мерки за ограничаване на рисковете и вредите в ДЧ</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Вид обмен на добри практики относно мерки за ограничаване на рисковете и вредите</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Брой ДЧ, достигащи препоръките на СЗО на минимален праг от 200 стерилни игли и спринцовки, предоставяни годишно на лицата, които си инжектират наркотици</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 xml:space="preserve">Обхват на програмите за заместителна терапия сред хората със зависимост от опиоидни вещества </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Подобряване на наличието на програмите за налоксон за домашна употреба и програмите за намаляване на вредите от нощния живот</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Брой програми за улесняване на достъпа на хората, които си инжектират наркотици, до лечение на вируса на хепатит C (HCV) и обхванати лица</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Брой програми за намаляване на вредите, насочени към уязвимите общности, като например етническите малцинства, мигрантите и търсещите убежище, ЛГБТИ, предоставящите сексуални услуги срещу заплащане и затворниците</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Степен на изпълнение на насоките на ECDC/EMCDDA за профилактика и контрол на инфекциозните болести сред хората, които си инжектират наркотици</w:t>
            </w:r>
          </w:p>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b/>
                <w:noProof/>
                <w:sz w:val="24"/>
              </w:rPr>
              <w:t>Степен на прилагане на минималния стандарт за качество на ЕС при намаляването на търсенето на наркотици III (</w:t>
            </w:r>
            <w:r>
              <w:rPr>
                <w:rFonts w:ascii="Times New Roman" w:hAnsi="Times New Roman"/>
                <w:b/>
                <w:i/>
                <w:noProof/>
                <w:sz w:val="24"/>
              </w:rPr>
              <w:t>Услугите за лечение включват доброволни тестове за предавани по кръвен път инфекциозни заболявания, предупреждаване за опасностите от рисково поведение и помощ за третиране на болестите</w:t>
            </w:r>
            <w:r>
              <w:rPr>
                <w:rFonts w:ascii="Times New Roman" w:hAnsi="Times New Roman"/>
                <w:b/>
                <w:noProof/>
                <w:sz w:val="24"/>
              </w:rPr>
              <w:t>)</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Доклади на EMCDDA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Национални доклади на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noProof/>
                <w:sz w:val="24"/>
              </w:rPr>
              <w:t xml:space="preserve">Доклади на ДЧ </w:t>
            </w:r>
            <w:r>
              <w:rPr>
                <w:rFonts w:ascii="Times New Roman" w:hAnsi="Times New Roman"/>
                <w:strike/>
                <w:noProof/>
                <w:sz w:val="24"/>
              </w:rPr>
              <w:t xml:space="preserve">относно услугите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tc>
      </w:tr>
      <w:tr>
        <w:trPr>
          <w:trHeight w:val="1112"/>
        </w:trP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317"/>
              </w:tabs>
              <w:spacing w:after="100" w:afterAutospacing="1" w:line="240" w:lineRule="auto"/>
              <w:ind w:left="351" w:hanging="357"/>
              <w:rPr>
                <w:rFonts w:ascii="Times New Roman" w:hAnsi="Times New Roman" w:cs="Times New Roman"/>
                <w:noProof/>
                <w:sz w:val="24"/>
                <w:szCs w:val="24"/>
              </w:rPr>
            </w:pPr>
            <w:r>
              <w:rPr>
                <w:rFonts w:ascii="Times New Roman" w:hAnsi="Times New Roman"/>
                <w:noProof/>
                <w:sz w:val="24"/>
              </w:rPr>
              <w:t>Подобряване на разработването, предлагането и обхвата на мерките за здравни грижи за употребяващите наркотици в затворите и след освобождаване с цел постигане на качество на грижите, равностойно на предоставяното в общностите</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tc>
        <w:tc>
          <w:tcPr>
            <w:tcW w:w="4395" w:type="dxa"/>
          </w:tcPr>
          <w:p>
            <w:pPr>
              <w:numPr>
                <w:ilvl w:val="0"/>
                <w:numId w:val="5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Трансверсален показател 10</w:t>
            </w:r>
          </w:p>
          <w:p>
            <w:pPr>
              <w:numPr>
                <w:ilvl w:val="0"/>
                <w:numId w:val="5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Предлагане на услуги за употребяващите наркотици в затворите (</w:t>
            </w:r>
            <w:r>
              <w:rPr>
                <w:rFonts w:ascii="Times New Roman" w:hAnsi="Times New Roman"/>
                <w:b/>
                <w:noProof/>
                <w:sz w:val="24"/>
              </w:rPr>
              <w:t>включително заместителна терапия и програми за обмен на игли и спринцовки</w:t>
            </w:r>
            <w:r>
              <w:rPr>
                <w:rFonts w:ascii="Times New Roman" w:hAnsi="Times New Roman"/>
                <w:noProof/>
                <w:sz w:val="24"/>
              </w:rPr>
              <w:t>) и степен, до която политиките и практиките на затворите в областта на здравето включват модели за грижи, обхващащи добри практики за оценка на нуждите и непрекъснатост на грижите за затворниците в периода на лишаване от свобода</w:t>
            </w:r>
          </w:p>
          <w:p>
            <w:pPr>
              <w:numPr>
                <w:ilvl w:val="0"/>
                <w:numId w:val="56"/>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Намаляване на физическите и психическите свързани с употребата на наркотици проблеми сред затворниците</w:t>
            </w:r>
          </w:p>
          <w:p>
            <w:pPr>
              <w:numPr>
                <w:ilvl w:val="0"/>
                <w:numId w:val="56"/>
              </w:numPr>
              <w:spacing w:after="100" w:afterAutospacing="1" w:line="240" w:lineRule="auto"/>
              <w:ind w:left="459" w:hanging="459"/>
              <w:contextualSpacing/>
              <w:rPr>
                <w:rFonts w:ascii="Times New Roman" w:hAnsi="Times New Roman" w:cs="Times New Roman"/>
                <w:noProof/>
                <w:spacing w:val="-8"/>
                <w:sz w:val="24"/>
                <w:szCs w:val="24"/>
              </w:rPr>
            </w:pPr>
            <w:r>
              <w:rPr>
                <w:rFonts w:ascii="Times New Roman" w:hAnsi="Times New Roman"/>
                <w:noProof/>
                <w:spacing w:val="-8"/>
                <w:sz w:val="24"/>
              </w:rPr>
              <w:t>Степен, до която предоставяните в затворите и в общностите услуги включват продължаване на грижите за затворниците и след освобождаването им, като се обръща особено внимание на предотвратяване на приемането на свръхдози</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Национални доклади на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Доклади на ДЧ относно услугите</w:t>
            </w:r>
            <w:r>
              <w:rPr>
                <w:rFonts w:ascii="Times New Roman" w:hAnsi="Times New Roman"/>
                <w:b/>
                <w:noProof/>
                <w:sz w:val="24"/>
              </w:rPr>
              <w:t xml:space="preserve"> </w:t>
            </w:r>
          </w:p>
        </w:tc>
      </w:tr>
      <w:tr>
        <w:tc>
          <w:tcPr>
            <w:tcW w:w="1951" w:type="dxa"/>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3. Включване на координирани подходи, основани на добри практики и качество, при намаляването на търсенето на наркотици </w:t>
            </w: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Прилагане на минималните стандарти за качество на ЕС, </w:t>
            </w:r>
            <w:r>
              <w:rPr>
                <w:rFonts w:ascii="Times New Roman" w:hAnsi="Times New Roman"/>
                <w:b/>
                <w:noProof/>
                <w:sz w:val="24"/>
              </w:rPr>
              <w:t>приети от Съвета през 2015 г.</w:t>
            </w:r>
            <w:r>
              <w:rPr>
                <w:rStyle w:val="FootnoteReference"/>
                <w:rFonts w:ascii="Times New Roman" w:hAnsi="Times New Roman"/>
                <w:b/>
                <w:noProof/>
                <w:sz w:val="24"/>
              </w:rPr>
              <w:footnoteReference w:id="57"/>
            </w:r>
            <w:r>
              <w:rPr>
                <w:rFonts w:ascii="Times New Roman" w:hAnsi="Times New Roman"/>
                <w:noProof/>
                <w:sz w:val="24"/>
              </w:rPr>
              <w:t xml:space="preserve">, които помагат за преодоляване на различията между науката и практиката, за: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мерки за превенция (екологична, всеобща, избирателна и по индикации);</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мерки за ранно установяване и интервенция;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мерки за ограничаване на рисковете и вредите; и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мерки за лечение, рехабилитация, социална интеграция и възстановяване.</w:t>
            </w:r>
          </w:p>
          <w:p>
            <w:pPr>
              <w:pStyle w:val="ListParagraph"/>
              <w:tabs>
                <w:tab w:val="left" w:pos="317"/>
              </w:tabs>
              <w:spacing w:after="100" w:afterAutospacing="1" w:line="240" w:lineRule="auto"/>
              <w:ind w:left="0"/>
              <w:rPr>
                <w:rFonts w:ascii="Times New Roman" w:hAnsi="Times New Roman" w:cs="Times New Roman"/>
                <w:b/>
                <w:noProof/>
                <w:sz w:val="24"/>
                <w:szCs w:val="24"/>
              </w:rPr>
            </w:pPr>
            <w:r>
              <w:rPr>
                <w:rFonts w:ascii="Times New Roman" w:hAnsi="Times New Roman"/>
                <w:b/>
                <w:noProof/>
                <w:sz w:val="24"/>
              </w:rPr>
              <w:t xml:space="preserve">и мониторинг на тяхното изпълнение.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 — </w:t>
            </w:r>
            <w:r>
              <w:rPr>
                <w:rFonts w:ascii="Times New Roman" w:hAnsi="Times New Roman"/>
                <w:noProof/>
                <w:sz w:val="24"/>
              </w:rPr>
              <w:t>20</w:t>
            </w:r>
            <w:r>
              <w:rPr>
                <w:rFonts w:ascii="Times New Roman" w:hAnsi="Times New Roman"/>
                <w:b/>
                <w:noProof/>
                <w:sz w:val="24"/>
              </w:rPr>
              <w:t>20</w:t>
            </w:r>
            <w:r>
              <w:rPr>
                <w:rFonts w:ascii="Times New Roman" w:hAnsi="Times New Roman"/>
                <w:noProof/>
                <w:sz w:val="24"/>
              </w:rPr>
              <w:t> г.</w:t>
            </w:r>
          </w:p>
        </w:tc>
        <w:tc>
          <w:tcPr>
            <w:tcW w:w="1559" w:type="dxa"/>
          </w:tcPr>
          <w:p>
            <w:pPr>
              <w:spacing w:after="100" w:afterAutospacing="1" w:line="240" w:lineRule="auto"/>
              <w:rPr>
                <w:rFonts w:ascii="Times New Roman" w:hAnsi="Times New Roman" w:cs="Times New Roman"/>
                <w:dstrike/>
                <w:noProof/>
                <w:sz w:val="24"/>
                <w:szCs w:val="24"/>
              </w:rPr>
            </w:pPr>
            <w:r>
              <w:rPr>
                <w:rFonts w:ascii="Times New Roman" w:hAnsi="Times New Roman" w:cs="Times New Roman"/>
                <w:noProof/>
                <w:sz w:val="24"/>
                <w:szCs w:val="24"/>
              </w:rPr>
              <w:t xml:space="preserve">Съвет </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tc>
        <w:tc>
          <w:tcPr>
            <w:tcW w:w="4395" w:type="dxa"/>
          </w:tcPr>
          <w:p>
            <w:pPr>
              <w:numPr>
                <w:ilvl w:val="0"/>
                <w:numId w:val="23"/>
              </w:numPr>
              <w:tabs>
                <w:tab w:val="left" w:pos="459"/>
              </w:tabs>
              <w:spacing w:after="100" w:afterAutospacing="1" w:line="240" w:lineRule="auto"/>
              <w:ind w:left="459" w:hanging="459"/>
              <w:contextualSpacing/>
              <w:rPr>
                <w:rFonts w:ascii="Times New Roman" w:hAnsi="Times New Roman" w:cs="Times New Roman"/>
                <w:strike/>
                <w:noProof/>
                <w:sz w:val="23"/>
                <w:szCs w:val="23"/>
              </w:rPr>
            </w:pPr>
            <w:r>
              <w:rPr>
                <w:rFonts w:ascii="Times New Roman" w:hAnsi="Times New Roman"/>
                <w:strike/>
                <w:noProof/>
                <w:sz w:val="23"/>
                <w:szCs w:val="23"/>
              </w:rPr>
              <w:t>Консенсус между ДЧ относно минималните стандарти за качество въз основа на предходни подготвителни проучвания на ЕС</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pacing w:val="-6"/>
                <w:sz w:val="23"/>
                <w:szCs w:val="23"/>
              </w:rPr>
            </w:pPr>
            <w:r>
              <w:rPr>
                <w:rFonts w:ascii="Times New Roman" w:hAnsi="Times New Roman" w:cs="Times New Roman"/>
                <w:b/>
                <w:noProof/>
                <w:spacing w:val="-6"/>
                <w:sz w:val="23"/>
                <w:szCs w:val="23"/>
              </w:rPr>
              <w:t xml:space="preserve">Преглед на данните от програмите за намаляване на търсенето на наркотици, изпълнени в съответствие със стандартите;  </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pacing w:val="-6"/>
                <w:sz w:val="23"/>
                <w:szCs w:val="23"/>
              </w:rPr>
            </w:pPr>
            <w:r>
              <w:rPr>
                <w:rFonts w:ascii="Times New Roman" w:hAnsi="Times New Roman" w:cs="Times New Roman"/>
                <w:b/>
                <w:noProof/>
                <w:spacing w:val="-6"/>
                <w:sz w:val="23"/>
                <w:szCs w:val="23"/>
              </w:rPr>
              <w:t>Брой на наличните програми за обучение за специалисти, предназначени за работещите по намаляване на търсенето на наркотици и/или прогнозен брой на работещите в областта, достигнати от подобни програми за обучение;</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3"/>
                <w:szCs w:val="23"/>
              </w:rPr>
            </w:pPr>
            <w:r>
              <w:rPr>
                <w:rFonts w:ascii="Times New Roman" w:hAnsi="Times New Roman" w:cs="Times New Roman"/>
                <w:b/>
                <w:noProof/>
                <w:sz w:val="23"/>
                <w:szCs w:val="23"/>
              </w:rPr>
              <w:t>Участие на гражданското общество в прилагането на стандартите, включително в планирането и въвеждането им</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pacing w:val="-16"/>
                <w:sz w:val="23"/>
                <w:szCs w:val="23"/>
              </w:rPr>
            </w:pPr>
            <w:r>
              <w:rPr>
                <w:rFonts w:ascii="Times New Roman" w:hAnsi="Times New Roman" w:cs="Times New Roman"/>
                <w:b/>
                <w:noProof/>
                <w:spacing w:val="-16"/>
                <w:sz w:val="23"/>
                <w:szCs w:val="23"/>
              </w:rPr>
              <w:t>Брой и въздействие на проектите и програмите, финансирани на равнището на ЕС, с които се насърчава обменът на добри практики в прилагането на тези стандарти</w:t>
            </w:r>
          </w:p>
          <w:p>
            <w:pPr>
              <w:numPr>
                <w:ilvl w:val="0"/>
                <w:numId w:val="23"/>
              </w:numPr>
              <w:tabs>
                <w:tab w:val="left" w:pos="459"/>
              </w:tabs>
              <w:spacing w:after="0" w:line="240" w:lineRule="auto"/>
              <w:ind w:left="459" w:hanging="459"/>
              <w:contextualSpacing/>
              <w:rPr>
                <w:rFonts w:ascii="Times New Roman" w:hAnsi="Times New Roman" w:cs="Times New Roman"/>
                <w:b/>
                <w:noProof/>
                <w:sz w:val="23"/>
                <w:szCs w:val="23"/>
              </w:rPr>
            </w:pPr>
            <w:r>
              <w:rPr>
                <w:rFonts w:ascii="Times New Roman" w:hAnsi="Times New Roman" w:cs="Times New Roman"/>
                <w:b/>
                <w:noProof/>
                <w:sz w:val="23"/>
                <w:szCs w:val="23"/>
              </w:rPr>
              <w:t>Сътрудничество между министерствата в подкрепа на прилагането на тези стандарти.</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Портал за добри практики на EMCDDA</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Двугодишен доклад на СОМ за напредъка</w:t>
            </w:r>
          </w:p>
          <w:p>
            <w:pPr>
              <w:spacing w:after="0"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Доклади на ДЧ</w:t>
            </w:r>
          </w:p>
          <w:p>
            <w:pPr>
              <w:spacing w:after="0" w:line="240" w:lineRule="auto"/>
              <w:rPr>
                <w:rFonts w:ascii="Times New Roman" w:hAnsi="Times New Roman" w:cs="Times New Roman"/>
                <w:noProof/>
                <w:sz w:val="24"/>
                <w:szCs w:val="24"/>
              </w:rPr>
            </w:pPr>
          </w:p>
          <w:p>
            <w:pPr>
              <w:spacing w:after="100" w:afterAutospacing="1" w:line="240" w:lineRule="auto"/>
              <w:rPr>
                <w:rFonts w:ascii="Times New Roman Bold" w:hAnsi="Times New Roman Bold" w:cs="Times New Roman"/>
                <w:b/>
                <w:i/>
                <w:noProof/>
                <w:spacing w:val="-6"/>
                <w:sz w:val="24"/>
                <w:szCs w:val="24"/>
              </w:rPr>
            </w:pPr>
            <w:r>
              <w:rPr>
                <w:rFonts w:ascii="Times New Roman Bold" w:hAnsi="Times New Roman Bold"/>
                <w:b/>
                <w:noProof/>
                <w:spacing w:val="-6"/>
                <w:sz w:val="24"/>
              </w:rPr>
              <w:t>Окончателна оценка на Стратетията и Плана за действие на ЕС за борба с наркотиците</w:t>
            </w:r>
          </w:p>
        </w:tc>
      </w:tr>
    </w:tbl>
    <w:p>
      <w:pPr>
        <w:pStyle w:val="Heading1"/>
        <w:spacing w:before="0" w:after="100" w:afterAutospacing="1"/>
        <w:rPr>
          <w:noProof/>
          <w:szCs w:val="24"/>
        </w:rPr>
      </w:pPr>
      <w:bookmarkStart w:id="3" w:name="_Toc472523117"/>
      <w:r>
        <w:rPr>
          <w:noProof/>
        </w:rPr>
        <w:t>Намаляване на предлагането на наркотици</w:t>
      </w:r>
      <w:bookmarkEnd w:id="3"/>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Да способства за измеримо намаляване на наличието и предлагането на забранени наркотични вещества в 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3797"/>
        <w:gridCol w:w="1079"/>
        <w:gridCol w:w="1556"/>
        <w:gridCol w:w="3416"/>
        <w:gridCol w:w="2389"/>
      </w:tblGrid>
      <w:tr>
        <w:trPr>
          <w:tblHeader/>
        </w:trPr>
        <w:tc>
          <w:tcPr>
            <w:tcW w:w="0" w:type="auto"/>
          </w:tcPr>
          <w:p>
            <w:pPr>
              <w:tabs>
                <w:tab w:val="left" w:pos="266"/>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b/>
                <w:noProof/>
                <w:sz w:val="24"/>
              </w:rPr>
              <w:t>Цел</w:t>
            </w:r>
          </w:p>
        </w:tc>
        <w:tc>
          <w:tcPr>
            <w:tcW w:w="0" w:type="auto"/>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b/>
                <w:noProof/>
                <w:sz w:val="24"/>
              </w:rPr>
              <w:t>Действие</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График</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Отговорна страна</w:t>
            </w:r>
          </w:p>
        </w:tc>
        <w:tc>
          <w:tcPr>
            <w:tcW w:w="0" w:type="auto"/>
          </w:tcPr>
          <w:p>
            <w:pPr>
              <w:tabs>
                <w:tab w:val="left" w:pos="459"/>
              </w:tabs>
              <w:spacing w:after="100" w:afterAutospacing="1" w:line="240" w:lineRule="auto"/>
              <w:ind w:left="459" w:hanging="425"/>
              <w:rPr>
                <w:rFonts w:ascii="Times New Roman" w:hAnsi="Times New Roman" w:cs="Times New Roman"/>
                <w:b/>
                <w:bCs/>
                <w:noProof/>
                <w:sz w:val="24"/>
                <w:szCs w:val="24"/>
              </w:rPr>
            </w:pPr>
            <w:r>
              <w:rPr>
                <w:rFonts w:ascii="Times New Roman" w:hAnsi="Times New Roman"/>
                <w:b/>
                <w:noProof/>
                <w:sz w:val="24"/>
              </w:rPr>
              <w:t>Показател(и)</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 xml:space="preserve">Механизми за събиране/оценка на данни </w:t>
            </w:r>
          </w:p>
        </w:tc>
      </w:tr>
      <w:tr>
        <w:trPr>
          <w:trHeight w:val="1232"/>
        </w:trPr>
        <w:tc>
          <w:tcPr>
            <w:tcW w:w="0" w:type="auto"/>
            <w:vMerge w:val="restart"/>
          </w:tcPr>
          <w:p>
            <w:pPr>
              <w:pStyle w:val="ListParagraph"/>
              <w:tabs>
                <w:tab w:val="left" w:pos="266"/>
              </w:tabs>
              <w:spacing w:after="100" w:afterAutospacing="1" w:line="240" w:lineRule="auto"/>
              <w:ind w:left="0"/>
              <w:rPr>
                <w:rFonts w:ascii="Times New Roman" w:hAnsi="Times New Roman" w:cs="Times New Roman"/>
                <w:noProof/>
                <w:sz w:val="24"/>
                <w:szCs w:val="24"/>
              </w:rPr>
            </w:pPr>
            <w:r>
              <w:rPr>
                <w:rFonts w:ascii="Times New Roman" w:hAnsi="Times New Roman"/>
                <w:noProof/>
                <w:sz w:val="24"/>
              </w:rPr>
              <w:t xml:space="preserve">4. Засилване на ефективната координация и сътрудничество при правоприлагането в ЕС с цел борба със забранените наркотични вещества в съответствие, когато е уместно, с имащи отношение действия, определени чрез цикъла на политиките на ЕС </w:t>
            </w: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Пълноценно използване на наличните инструменти, канали и средства за комуникация за обмен на разузнавателни сведения и информация в областта на правоприлагането, с оглед събиране и анализ на информация относно наркотиците </w:t>
            </w:r>
          </w:p>
          <w:p>
            <w:pPr>
              <w:tabs>
                <w:tab w:val="left" w:pos="317"/>
              </w:tabs>
              <w:spacing w:after="100" w:afterAutospacing="1" w:line="240" w:lineRule="auto"/>
              <w:ind w:left="317" w:hanging="283"/>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Евроюст</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b/>
                <w:noProof/>
                <w:sz w:val="24"/>
                <w:szCs w:val="24"/>
              </w:rPr>
            </w:pPr>
          </w:p>
        </w:tc>
        <w:tc>
          <w:tcPr>
            <w:tcW w:w="0" w:type="auto"/>
          </w:tcPr>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Трансверсален показател 7</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Брой на дейностите с голямо въздействие, насочени към събиране на разузнавателни сведения, на съвместните операции, съвместните екипи за разследване и трансграничните инициативи за сътрудничество с акцент върху престъпни организации, извършващи дейности със забранени наркотични вещества</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Засилено използване на системите на Европол за обмен на информация, анализ и експертен опит по въпросите на наркотиците </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Резултати, постигнати в рамките на проектите на EMPACT и на двустранни и многостранни инициативи</w:t>
            </w:r>
          </w:p>
          <w:p>
            <w:pPr>
              <w:numPr>
                <w:ilvl w:val="0"/>
                <w:numId w:val="56"/>
              </w:numPr>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Брой на свързаните с наркотици случаи, препратени на Евроюст и Европол, включително качествена, контекстуална информация за тези случаи</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strike/>
                <w:noProof/>
                <w:sz w:val="24"/>
                <w:szCs w:val="24"/>
              </w:rPr>
              <w:t>Агенции на ЕС</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на </w:t>
            </w:r>
            <w:r>
              <w:rPr>
                <w:rFonts w:ascii="Times New Roman" w:hAnsi="Times New Roman" w:cs="Times New Roman"/>
                <w:b/>
                <w:noProof/>
                <w:sz w:val="24"/>
                <w:szCs w:val="24"/>
              </w:rPr>
              <w:t>Европол</w:t>
            </w:r>
            <w:r>
              <w:rPr>
                <w:rFonts w:ascii="Times New Roman" w:hAnsi="Times New Roman" w:cs="Times New Roman"/>
                <w:noProof/>
                <w:sz w:val="24"/>
                <w:szCs w:val="24"/>
              </w:rPr>
              <w:t xml:space="preserv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Евроюст</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ръководители на проекти в рамките на EMPACT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dstrike/>
                <w:noProof/>
                <w:sz w:val="24"/>
                <w:szCs w:val="24"/>
              </w:rPr>
            </w:pPr>
          </w:p>
        </w:tc>
      </w:tr>
      <w:tr>
        <w:trPr>
          <w:trHeight w:val="1941"/>
        </w:trPr>
        <w:tc>
          <w:tcPr>
            <w:tcW w:w="0" w:type="auto"/>
            <w:vMerge/>
          </w:tcPr>
          <w:p>
            <w:pPr>
              <w:numPr>
                <w:ilvl w:val="0"/>
                <w:numId w:val="40"/>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Набелязване и определяне като приоритет на най-сериозните непосредствени заплахи във връзка с организираната наркопрестъпност</w:t>
            </w:r>
          </w:p>
          <w:p>
            <w:pPr>
              <w:tabs>
                <w:tab w:val="left" w:pos="317"/>
              </w:tabs>
              <w:spacing w:after="100" w:afterAutospacing="1" w:line="240" w:lineRule="auto"/>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2017 г.</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Съвет </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p>
        </w:tc>
        <w:tc>
          <w:tcPr>
            <w:tcW w:w="0" w:type="auto"/>
          </w:tcPr>
          <w:p>
            <w:pPr>
              <w:numPr>
                <w:ilvl w:val="0"/>
                <w:numId w:val="33"/>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Установен цикъл на политиките на ЕС и приоритети по отношение на престъпността за периода 201</w:t>
            </w:r>
            <w:r>
              <w:rPr>
                <w:rFonts w:ascii="Times New Roman" w:hAnsi="Times New Roman"/>
                <w:b/>
                <w:noProof/>
                <w:sz w:val="24"/>
              </w:rPr>
              <w:t>7 </w:t>
            </w:r>
            <w:r>
              <w:rPr>
                <w:rFonts w:ascii="Times New Roman" w:hAnsi="Times New Roman"/>
                <w:noProof/>
                <w:sz w:val="24"/>
              </w:rPr>
              <w:t>— 20</w:t>
            </w:r>
            <w:r>
              <w:rPr>
                <w:rFonts w:ascii="Times New Roman" w:hAnsi="Times New Roman"/>
                <w:b/>
                <w:noProof/>
                <w:sz w:val="24"/>
              </w:rPr>
              <w:t>21</w:t>
            </w:r>
            <w:r>
              <w:rPr>
                <w:rFonts w:ascii="Times New Roman" w:hAnsi="Times New Roman"/>
                <w:noProof/>
                <w:sz w:val="24"/>
              </w:rPr>
              <w:t> г.</w:t>
            </w:r>
          </w:p>
          <w:p>
            <w:pPr>
              <w:tabs>
                <w:tab w:val="left" w:pos="459"/>
              </w:tabs>
              <w:spacing w:after="100" w:afterAutospacing="1" w:line="240" w:lineRule="auto"/>
              <w:ind w:left="459"/>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Заключения на Съвета относно цикъла на политиките на ЕС</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 SOCTA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Многогодишни стратегически планове (МСП)</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Оценка на EMPACT</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Доклади на ръководители на проекти в рамките на EMPACT</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 на директорите на Европол</w:t>
            </w:r>
          </w:p>
        </w:tc>
      </w:tr>
      <w:tr>
        <w:trPr>
          <w:trHeight w:val="1301"/>
        </w:trPr>
        <w:tc>
          <w:tcPr>
            <w:tcW w:w="0" w:type="auto"/>
            <w:vMerge/>
          </w:tcPr>
          <w:p>
            <w:pPr>
              <w:numPr>
                <w:ilvl w:val="0"/>
                <w:numId w:val="47"/>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Подобряване на обучението в CEPOL за правоприлагащите служители, посветено на производството, трафика </w:t>
            </w:r>
            <w:r>
              <w:rPr>
                <w:rFonts w:ascii="Times New Roman" w:hAnsi="Times New Roman"/>
                <w:b/>
                <w:noProof/>
                <w:sz w:val="24"/>
              </w:rPr>
              <w:t>и финансовите престъпления</w:t>
            </w:r>
            <w:r>
              <w:rPr>
                <w:rFonts w:ascii="Times New Roman" w:hAnsi="Times New Roman"/>
                <w:noProof/>
                <w:sz w:val="24"/>
              </w:rPr>
              <w:t xml:space="preserve">, свързани със забранените наркотични вещества, и по-конкретно на методите и техниките за обучение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за борба с използването на нови комуникационни технологии в производството и трафика на забранени наркотични вещества;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за активизиране на конфискацията на активи;</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за борба с изпирането на пари;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за откриване и обезвреждане на незаконни тайни лаборатории и места за отглеждане на канабис.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 — </w:t>
            </w:r>
            <w:r>
              <w:rPr>
                <w:rFonts w:ascii="Times New Roman" w:hAnsi="Times New Roman"/>
                <w:noProof/>
                <w:sz w:val="24"/>
              </w:rPr>
              <w:t>20</w:t>
            </w:r>
            <w:r>
              <w:rPr>
                <w:rFonts w:ascii="Times New Roman" w:hAnsi="Times New Roman"/>
                <w:b/>
                <w:noProof/>
                <w:sz w:val="24"/>
              </w:rPr>
              <w:t>20</w:t>
            </w:r>
            <w:r>
              <w:rPr>
                <w:rFonts w:ascii="Times New Roman" w:hAnsi="Times New Roman"/>
                <w:noProof/>
                <w:sz w:val="24"/>
              </w:rPr>
              <w:t> г.</w:t>
            </w:r>
            <w:r>
              <w:rPr>
                <w:rFonts w:ascii="Times New Roman" w:hAnsi="Times New Roman"/>
                <w:b/>
                <w:noProof/>
                <w:sz w:val="24"/>
              </w:rPr>
              <w:t xml:space="preserve">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CEPOL</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tc>
        <w:tc>
          <w:tcPr>
            <w:tcW w:w="0" w:type="auto"/>
          </w:tcPr>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Извършване на </w:t>
            </w:r>
            <w:r>
              <w:rPr>
                <w:rFonts w:ascii="Times New Roman" w:hAnsi="Times New Roman"/>
                <w:b/>
                <w:noProof/>
                <w:sz w:val="24"/>
              </w:rPr>
              <w:t xml:space="preserve">редовна </w:t>
            </w:r>
            <w:r>
              <w:rPr>
                <w:rFonts w:ascii="Times New Roman" w:hAnsi="Times New Roman"/>
                <w:noProof/>
                <w:sz w:val="24"/>
              </w:rPr>
              <w:t>оценка на нуждите от обучение</w:t>
            </w:r>
          </w:p>
          <w:p>
            <w:pPr>
              <w:widowControl w:val="0"/>
              <w:numPr>
                <w:ilvl w:val="0"/>
                <w:numId w:val="32"/>
              </w:numPr>
              <w:spacing w:after="100" w:afterAutospacing="1" w:line="240" w:lineRule="auto"/>
              <w:ind w:left="357" w:hanging="357"/>
              <w:rPr>
                <w:rFonts w:ascii="Times New Roman" w:hAnsi="Times New Roman" w:cs="Times New Roman"/>
                <w:b/>
                <w:noProof/>
                <w:sz w:val="24"/>
                <w:szCs w:val="24"/>
              </w:rPr>
            </w:pPr>
            <w:r>
              <w:rPr>
                <w:rFonts w:ascii="Times New Roman" w:hAnsi="Times New Roman"/>
                <w:noProof/>
                <w:sz w:val="24"/>
              </w:rPr>
              <w:t xml:space="preserve">Осигуряване и провеждане на съответните обучения </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Брой на правоприлагащите служители, които са обучени и впоследствие ефективно разположени</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Двугодишен доклад на СОМ </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за напредъка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Годишен доклад на CEPOL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Учебна програма на CEPOL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Оценка на EMPACT </w:t>
            </w:r>
          </w:p>
          <w:p>
            <w:pPr>
              <w:spacing w:after="100" w:afterAutospacing="1" w:line="240" w:lineRule="auto"/>
              <w:rPr>
                <w:rFonts w:ascii="Times New Roman" w:hAnsi="Times New Roman" w:cs="Times New Roman"/>
                <w:strike/>
                <w:noProof/>
                <w:sz w:val="24"/>
                <w:szCs w:val="24"/>
              </w:rPr>
            </w:pPr>
            <w:r>
              <w:rPr>
                <w:rFonts w:ascii="Times New Roman" w:hAnsi="Times New Roman"/>
                <w:b/>
                <w:noProof/>
                <w:sz w:val="24"/>
              </w:rPr>
              <w:t>Доклади на ръководители на проекти в рамките на EMPACT</w:t>
            </w:r>
          </w:p>
        </w:tc>
      </w:tr>
      <w:tr>
        <w:tc>
          <w:tcPr>
            <w:tcW w:w="0" w:type="auto"/>
            <w:vMerge w:val="restart"/>
          </w:tcPr>
          <w:p>
            <w:p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Подобряване на борбата с наркодейностите чрез укрепване и мониторинг на ефективността на регионалните платформи за обмен на информация и на регионалните платформи за обща сигурност с цел преустановяване и премахване на заплахите, предизвикани от промени в каналите за трафик на наркотици</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Текущо</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(COSI)</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Регионални платформи за</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обмен на информация</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Регионални платформи за обща сигурност</w:t>
            </w:r>
          </w:p>
          <w:p>
            <w:pPr>
              <w:spacing w:after="100" w:afterAutospacing="1" w:line="240" w:lineRule="auto"/>
              <w:rPr>
                <w:rFonts w:ascii="Times New Roman" w:hAnsi="Times New Roman" w:cs="Times New Roman"/>
                <w:noProof/>
                <w:sz w:val="24"/>
                <w:szCs w:val="24"/>
              </w:rPr>
            </w:pPr>
          </w:p>
        </w:tc>
        <w:tc>
          <w:tcPr>
            <w:tcW w:w="0" w:type="auto"/>
          </w:tcPr>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Трансверсален показател 7</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Брой на дейностите, основани на разузнавателни сведения, които водят до прекъсване и премахване на каналите за трафик на наркотици </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Степен на обмен на информация чрез ефективна дейност на мрежата на служителите за връзка</w:t>
            </w:r>
          </w:p>
          <w:p>
            <w:pPr>
              <w:tabs>
                <w:tab w:val="left" w:pos="459"/>
              </w:tabs>
              <w:spacing w:after="100" w:afterAutospacing="1" w:line="240" w:lineRule="auto"/>
              <w:ind w:left="459"/>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Платформи за обща сигурност/обмен на информация и доклади за оценка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EU SOCTA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Оценка на EMPACT </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Доклади на ръководители на проекти в рамките на EMPACT</w:t>
            </w:r>
          </w:p>
          <w:p>
            <w:pPr>
              <w:spacing w:after="100" w:afterAutospacing="1" w:line="240" w:lineRule="auto"/>
              <w:rPr>
                <w:rFonts w:ascii="Times New Roman" w:hAnsi="Times New Roman" w:cs="Times New Roman"/>
                <w:b/>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Доклад на директорите на Европол</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b/>
                <w:noProof/>
                <w:sz w:val="24"/>
              </w:rPr>
              <w:t>MAOC(N)</w:t>
            </w:r>
            <w:r>
              <w:rPr>
                <w:rStyle w:val="FootnoteReference"/>
                <w:rFonts w:ascii="Times New Roman" w:hAnsi="Times New Roman"/>
                <w:b/>
                <w:noProof/>
                <w:sz w:val="24"/>
              </w:rPr>
              <w:footnoteReference w:id="58"/>
            </w:r>
          </w:p>
        </w:tc>
      </w:tr>
      <w:t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Засилване на дейностите за предотвратяване на отклоняването на прекурсори и предпрекурсори на наркотични вещества с цел използването им за незаконно производство на наркотични вещества</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(CUG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COSI)</w:t>
            </w:r>
          </w:p>
          <w:p>
            <w:pPr>
              <w:spacing w:after="100" w:afterAutospacing="1" w:line="240" w:lineRule="auto"/>
              <w:rPr>
                <w:rFonts w:ascii="Times New Roman" w:hAnsi="Times New Roman" w:cs="Times New Roman"/>
                <w:noProof/>
                <w:sz w:val="24"/>
                <w:szCs w:val="24"/>
              </w:rPr>
            </w:pPr>
          </w:p>
        </w:tc>
        <w:tc>
          <w:tcPr>
            <w:tcW w:w="0" w:type="auto"/>
            <w:tcBorders>
              <w:bottom w:val="single" w:sz="4" w:space="0" w:color="auto"/>
            </w:tcBorders>
          </w:tcPr>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Брой случаи и количество спрени или иззети пратки на прекурсори, предназначени за незаконна употреба</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Резултати от проектите на EMPACT</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Използване на онлайн системата за нотификация преди износ и по-често използване на системата за съобщаване на инциденти с прекурсори (PICS)</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Брой съвместни последващи заседания и други дейности за предотвратяване на отклоняването на прекурсори и предпрекурсори</w:t>
            </w:r>
          </w:p>
          <w:p>
            <w:pPr>
              <w:tabs>
                <w:tab w:val="left" w:pos="459"/>
              </w:tabs>
              <w:spacing w:after="100" w:afterAutospacing="1" w:line="240" w:lineRule="auto"/>
              <w:contextualSpacing/>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правоприлагащите агенции на ЕС и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Оценка на EMPACT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ръководителите на проекти</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рамките на EMPACT</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Доклад на директорите на Европол</w:t>
            </w:r>
          </w:p>
        </w:tc>
      </w:tr>
      <w:t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Борба с трансграничния наркотрафик, </w:t>
            </w:r>
            <w:r>
              <w:rPr>
                <w:rFonts w:ascii="Times New Roman" w:hAnsi="Times New Roman" w:cs="Times New Roman"/>
                <w:b/>
                <w:noProof/>
                <w:sz w:val="24"/>
                <w:szCs w:val="24"/>
              </w:rPr>
              <w:t>включително трафика чрез контейнерни и колетни пратки,</w:t>
            </w:r>
            <w:r>
              <w:rPr>
                <w:rFonts w:ascii="Times New Roman" w:hAnsi="Times New Roman" w:cs="Times New Roman"/>
                <w:noProof/>
                <w:sz w:val="24"/>
                <w:szCs w:val="24"/>
              </w:rPr>
              <w:t xml:space="preserve"> и подобряване на граничната сигурност, по-конкретно в пристанищата, летищата и сухопътните контролно-пропускателни пунктове на ЕС чрез засилване на усилията, включително обмен на информация и разузнавателни сведения, от съответните правоприлагащи агенции </w:t>
            </w:r>
          </w:p>
          <w:p>
            <w:pPr>
              <w:pStyle w:val="ListParagraph"/>
              <w:tabs>
                <w:tab w:val="left" w:pos="284"/>
              </w:tabs>
              <w:spacing w:after="100" w:afterAutospacing="1" w:line="240" w:lineRule="auto"/>
              <w:ind w:left="0"/>
              <w:rPr>
                <w:rFonts w:ascii="Times New Roman" w:hAnsi="Times New Roman" w:cs="Times New Roman"/>
                <w:noProof/>
                <w:sz w:val="24"/>
                <w:szCs w:val="24"/>
              </w:rPr>
            </w:pPr>
          </w:p>
          <w:p>
            <w:pPr>
              <w:tabs>
                <w:tab w:val="left" w:pos="317"/>
              </w:tabs>
              <w:spacing w:after="100" w:afterAutospacing="1" w:line="240" w:lineRule="auto"/>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Работни групи на Съвета</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(CCWP</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COSI)</w:t>
            </w:r>
          </w:p>
          <w:p>
            <w:pPr>
              <w:spacing w:after="100" w:afterAutospacing="1" w:line="240" w:lineRule="auto"/>
              <w:rPr>
                <w:rFonts w:ascii="Times New Roman" w:hAnsi="Times New Roman" w:cs="Times New Roman"/>
                <w:noProof/>
                <w:sz w:val="24"/>
                <w:szCs w:val="24"/>
              </w:rPr>
            </w:pPr>
          </w:p>
        </w:tc>
        <w:tc>
          <w:tcPr>
            <w:tcW w:w="0" w:type="auto"/>
            <w:shd w:val="clear" w:color="auto" w:fill="FFFFFF"/>
          </w:tcPr>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Повишен брой мултидисциплинарни/ междуведомствени съвместни операции и инициативи за трансгранично сътрудничество </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Брой действащи меморандуми за разбирателство, договорени между правоприлагащите агенции и съответните организации като въздушни превозвачи, компании за въздушни куриерски услуги, компании за превоз, пристанищни власти и химични компании</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Резултати от проектите на EMPACT</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Подобряване на обмена на разузнавателни сведения и информация относно трансграничния наркотрафик, като се използват, наред с другото, наличните системи за наблюдение на границите</w:t>
            </w:r>
          </w:p>
          <w:p>
            <w:pPr>
              <w:shd w:val="clear" w:color="auto" w:fill="FFFFFF"/>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color w:val="FFFFFF"/>
                <w:sz w:val="24"/>
                <w:szCs w:val="24"/>
              </w:rPr>
              <w:t>летища и сухопътни контролно-пропускателни пунктове</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за напредъка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w:t>
            </w:r>
            <w:r>
              <w:rPr>
                <w:rFonts w:ascii="Times New Roman" w:hAnsi="Times New Roman" w:cs="Times New Roman"/>
                <w:strike/>
                <w:noProof/>
                <w:sz w:val="24"/>
                <w:szCs w:val="24"/>
              </w:rPr>
              <w:t>за оценка</w:t>
            </w:r>
            <w:r>
              <w:rPr>
                <w:rFonts w:ascii="Times New Roman" w:hAnsi="Times New Roman" w:cs="Times New Roman"/>
                <w:noProof/>
                <w:sz w:val="24"/>
                <w:szCs w:val="24"/>
              </w:rPr>
              <w:t xml:space="preserve"> на ръководители на проекти в рамките на EMPACT</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 на директорите на Европол</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Европол</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tc>
      </w:tr>
      <w:tr>
        <w:trPr>
          <w:trHeight w:val="861"/>
        </w:trP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Изпълнение на ключовите показатели за намаляване на предлагането на наркотици, приети от Съвета през 2013 г.</w:t>
            </w:r>
            <w:r>
              <w:rPr>
                <w:rStyle w:val="FootnoteReference"/>
                <w:rFonts w:ascii="Times New Roman" w:hAnsi="Times New Roman" w:cs="Times New Roman"/>
                <w:b/>
                <w:noProof/>
                <w:sz w:val="24"/>
                <w:szCs w:val="24"/>
              </w:rPr>
              <w:footnoteReference w:id="59"/>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г.</w:t>
            </w:r>
          </w:p>
          <w:p>
            <w:pPr>
              <w:spacing w:after="100" w:afterAutospacing="1" w:line="240" w:lineRule="auto"/>
              <w:rPr>
                <w:rFonts w:ascii="Times New Roman" w:hAnsi="Times New Roman" w:cs="Times New Roman"/>
                <w:b/>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p>
        </w:tc>
        <w:tc>
          <w:tcPr>
            <w:tcW w:w="0" w:type="auto"/>
          </w:tcPr>
          <w:p>
            <w:pPr>
              <w:widowControl w:val="0"/>
              <w:numPr>
                <w:ilvl w:val="0"/>
                <w:numId w:val="58"/>
              </w:numPr>
              <w:spacing w:after="100" w:afterAutospacing="1" w:line="240" w:lineRule="auto"/>
              <w:ind w:left="357" w:hanging="357"/>
              <w:rPr>
                <w:rFonts w:ascii="Times New Roman" w:hAnsi="Times New Roman" w:cs="Times New Roman"/>
                <w:strike/>
                <w:noProof/>
                <w:sz w:val="24"/>
                <w:szCs w:val="24"/>
              </w:rPr>
            </w:pPr>
            <w:r>
              <w:rPr>
                <w:rFonts w:ascii="Times New Roman" w:hAnsi="Times New Roman" w:cs="Times New Roman"/>
                <w:strike/>
                <w:noProof/>
                <w:sz w:val="24"/>
                <w:szCs w:val="24"/>
              </w:rPr>
              <w:t xml:space="preserve">Разработване и съгласуване на пътна карта за прилагането на ключовите показатели относно предлагането на наркотици — Споразумение на ДЧ по ключовите показатели относно предлагането на наркотици </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брой и количество на иззетите наркотици</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чистота и състав на наркотиците</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цени на наркотиците</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обезвредени съоръжения за производство на наркотици</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нарушения на правото, свързани с наркотиците</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cs="Times New Roman"/>
                <w:b/>
                <w:noProof/>
                <w:sz w:val="24"/>
                <w:szCs w:val="24"/>
              </w:rPr>
              <w:t>наличие на наркотици в проучвания на населението</w:t>
            </w:r>
          </w:p>
          <w:p>
            <w:pPr>
              <w:widowControl w:val="0"/>
              <w:numPr>
                <w:ilvl w:val="0"/>
                <w:numId w:val="58"/>
              </w:numPr>
              <w:spacing w:after="100" w:afterAutospacing="1" w:line="240" w:lineRule="auto"/>
              <w:ind w:left="357" w:hanging="357"/>
              <w:rPr>
                <w:rFonts w:ascii="Times New Roman" w:hAnsi="Times New Roman" w:cs="Times New Roman"/>
                <w:strike/>
                <w:noProof/>
                <w:sz w:val="24"/>
                <w:szCs w:val="24"/>
              </w:rPr>
            </w:pPr>
            <w:r>
              <w:rPr>
                <w:rFonts w:ascii="Times New Roman" w:hAnsi="Times New Roman" w:cs="Times New Roman"/>
                <w:b/>
                <w:noProof/>
                <w:sz w:val="24"/>
                <w:szCs w:val="24"/>
              </w:rPr>
              <w:t>прогнози за размера на пазара</w:t>
            </w:r>
            <w:r>
              <w:rPr>
                <w:rFonts w:ascii="Times New Roman" w:hAnsi="Times New Roman" w:cs="Times New Roman"/>
                <w:noProof/>
                <w:sz w:val="24"/>
                <w:szCs w:val="24"/>
              </w:rPr>
              <w:t xml:space="preserve">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Преглед на наличните събрани данни относно предлагането в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Европол</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strike/>
                <w:noProof/>
                <w:sz w:val="24"/>
                <w:szCs w:val="24"/>
              </w:rPr>
              <w:t>Двугодишен доклад на СОМ за напредъка</w:t>
            </w:r>
          </w:p>
        </w:tc>
      </w:tr>
      <w:tr>
        <w:trPr>
          <w:trHeight w:val="1196"/>
        </w:trPr>
        <w:tc>
          <w:tcPr>
            <w:tcW w:w="0" w:type="auto"/>
            <w:vMerge w:val="restart"/>
          </w:tcPr>
          <w:p>
            <w:pPr>
              <w:tabs>
                <w:tab w:val="left" w:pos="266"/>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5. Укрепване на ефективното съдебно сътрудничество и законодателство в ЕС</w:t>
            </w: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Укрепване на съдебното сътрудничество в ЕС, като вниманието се насочи към трансграничния наркотрафик, изпирането на пари и конфискуването на приходите от организираната наркопрестъпност</w:t>
            </w:r>
          </w:p>
          <w:p>
            <w:pPr>
              <w:tabs>
                <w:tab w:val="left" w:pos="317"/>
              </w:tabs>
              <w:spacing w:after="100" w:afterAutospacing="1" w:line="240" w:lineRule="auto"/>
              <w:contextualSpacing/>
              <w:rPr>
                <w:rFonts w:ascii="Times New Roman" w:hAnsi="Times New Roman" w:cs="Times New Roman"/>
                <w:d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г.</w:t>
            </w:r>
          </w:p>
          <w:p>
            <w:pPr>
              <w:spacing w:after="100" w:afterAutospacing="1" w:line="240" w:lineRule="auto"/>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Евроюст</w:t>
            </w:r>
          </w:p>
          <w:p>
            <w:pPr>
              <w:spacing w:after="100" w:afterAutospacing="1" w:line="240" w:lineRule="auto"/>
              <w:rPr>
                <w:rFonts w:ascii="Times New Roman" w:hAnsi="Times New Roman" w:cs="Times New Roman"/>
                <w:noProof/>
                <w:sz w:val="24"/>
                <w:szCs w:val="24"/>
              </w:rPr>
            </w:pPr>
          </w:p>
        </w:tc>
        <w:tc>
          <w:tcPr>
            <w:tcW w:w="0" w:type="auto"/>
          </w:tcPr>
          <w:p>
            <w:pPr>
              <w:numPr>
                <w:ilvl w:val="0"/>
                <w:numId w:val="5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strike/>
                <w:noProof/>
                <w:sz w:val="24"/>
                <w:szCs w:val="24"/>
              </w:rPr>
              <w:t>Приемане и</w:t>
            </w:r>
            <w:r>
              <w:rPr>
                <w:rFonts w:ascii="Times New Roman" w:hAnsi="Times New Roman" w:cs="Times New Roman"/>
                <w:noProof/>
                <w:sz w:val="24"/>
                <w:szCs w:val="24"/>
              </w:rPr>
              <w:t xml:space="preserve"> </w:t>
            </w:r>
            <w:r>
              <w:rPr>
                <w:rFonts w:ascii="Times New Roman" w:hAnsi="Times New Roman" w:cs="Times New Roman"/>
                <w:b/>
                <w:noProof/>
                <w:sz w:val="24"/>
                <w:szCs w:val="24"/>
              </w:rPr>
              <w:t>Н</w:t>
            </w:r>
            <w:r>
              <w:rPr>
                <w:rFonts w:ascii="Times New Roman" w:hAnsi="Times New Roman" w:cs="Times New Roman"/>
                <w:noProof/>
                <w:sz w:val="24"/>
                <w:szCs w:val="24"/>
              </w:rPr>
              <w:t>авременно прилагане на съгласувани мерки и законодателство на ЕС относно: а) конфискуването и възстановяването на активи от престъпна дейност</w:t>
            </w:r>
            <w:r>
              <w:rPr>
                <w:rStyle w:val="FootnoteReference"/>
                <w:rFonts w:ascii="Times New Roman" w:hAnsi="Times New Roman" w:cs="Times New Roman"/>
                <w:b/>
                <w:noProof/>
                <w:sz w:val="24"/>
                <w:szCs w:val="24"/>
              </w:rPr>
              <w:footnoteReference w:id="60"/>
            </w:r>
            <w:r>
              <w:rPr>
                <w:rFonts w:ascii="Times New Roman" w:hAnsi="Times New Roman" w:cs="Times New Roman"/>
                <w:noProof/>
                <w:sz w:val="24"/>
                <w:szCs w:val="24"/>
              </w:rPr>
              <w:t>; б) изпирането на пари</w:t>
            </w:r>
            <w:r>
              <w:rPr>
                <w:rStyle w:val="FootnoteReference"/>
                <w:rFonts w:ascii="Times New Roman" w:hAnsi="Times New Roman" w:cs="Times New Roman"/>
                <w:b/>
                <w:noProof/>
                <w:sz w:val="24"/>
                <w:szCs w:val="24"/>
              </w:rPr>
              <w:footnoteReference w:id="61"/>
            </w:r>
            <w:r>
              <w:rPr>
                <w:rFonts w:ascii="Times New Roman" w:hAnsi="Times New Roman" w:cs="Times New Roman"/>
                <w:noProof/>
                <w:sz w:val="24"/>
                <w:szCs w:val="24"/>
              </w:rPr>
              <w:t>; в) сближаването на определенията и санкциите за наркотрафик в ЕС</w:t>
            </w:r>
            <w:r>
              <w:rPr>
                <w:rStyle w:val="FootnoteReference"/>
                <w:rFonts w:ascii="Times New Roman" w:hAnsi="Times New Roman" w:cs="Times New Roman"/>
                <w:noProof/>
                <w:sz w:val="24"/>
                <w:szCs w:val="24"/>
              </w:rPr>
              <w:footnoteReference w:id="62"/>
            </w:r>
          </w:p>
          <w:p>
            <w:pPr>
              <w:numPr>
                <w:ilvl w:val="0"/>
                <w:numId w:val="36"/>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Нарастване на броя на финансовите разследвания и конфискации във връзка с приходите от организираната наркопрестъпност чрез съдебното сътрудничество в ЕС</w:t>
            </w:r>
          </w:p>
          <w:p>
            <w:pPr>
              <w:widowControl w:val="0"/>
              <w:numPr>
                <w:ilvl w:val="0"/>
                <w:numId w:val="34"/>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Навременна и ефективна реакция на исканията за взаимопомощ и европейските заповеди за арест във връзка с незаконния наркотрафик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Евроюст</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p>
        </w:tc>
      </w:tr>
      <w:tr>
        <w:trPr>
          <w:trHeight w:val="1662"/>
        </w:trP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Приемане </w:t>
            </w:r>
            <w:r>
              <w:rPr>
                <w:rFonts w:ascii="Times New Roman" w:hAnsi="Times New Roman" w:cs="Times New Roman"/>
                <w:b/>
                <w:noProof/>
                <w:sz w:val="24"/>
                <w:szCs w:val="24"/>
              </w:rPr>
              <w:t xml:space="preserve">и прилагане </w:t>
            </w:r>
            <w:r>
              <w:rPr>
                <w:rFonts w:ascii="Times New Roman" w:hAnsi="Times New Roman" w:cs="Times New Roman"/>
                <w:noProof/>
                <w:sz w:val="24"/>
                <w:szCs w:val="24"/>
              </w:rPr>
              <w:t>на нови законодателни мерки на ЕС спрямо появата, употребата и бързото разпространение на нови психоактивни вещества</w:t>
            </w:r>
          </w:p>
          <w:p>
            <w:pPr>
              <w:pStyle w:val="ListParagraph"/>
              <w:tabs>
                <w:tab w:val="left" w:pos="317"/>
              </w:tabs>
              <w:spacing w:after="100" w:afterAutospacing="1" w:line="240" w:lineRule="auto"/>
              <w:ind w:left="317"/>
              <w:rPr>
                <w:rFonts w:ascii="Times New Roman" w:hAnsi="Times New Roman" w:cs="Times New Roman"/>
                <w:b/>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г.</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Европол</w:t>
            </w:r>
          </w:p>
        </w:tc>
        <w:tc>
          <w:tcPr>
            <w:tcW w:w="0" w:type="auto"/>
          </w:tcPr>
          <w:p>
            <w:pPr>
              <w:numPr>
                <w:ilvl w:val="0"/>
                <w:numId w:val="57"/>
              </w:numPr>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Действащо законодателство на ЕС </w:t>
            </w:r>
          </w:p>
          <w:p>
            <w:pPr>
              <w:numPr>
                <w:ilvl w:val="0"/>
                <w:numId w:val="57"/>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 xml:space="preserve">Прилагане на законодателството на ЕС в държавите-членки </w:t>
            </w:r>
          </w:p>
          <w:p>
            <w:pPr>
              <w:numPr>
                <w:ilvl w:val="0"/>
                <w:numId w:val="57"/>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cs="Times New Roman"/>
                <w:b/>
                <w:noProof/>
                <w:color w:val="000000"/>
                <w:sz w:val="24"/>
                <w:szCs w:val="24"/>
              </w:rPr>
              <w:t>Разработване на насоки на ЕС за обмен на информация и процедури за оценка на риска</w:t>
            </w:r>
          </w:p>
          <w:p>
            <w:pPr>
              <w:numPr>
                <w:ilvl w:val="0"/>
                <w:numId w:val="57"/>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cs="Times New Roman"/>
                <w:b/>
                <w:noProof/>
                <w:color w:val="000000"/>
                <w:sz w:val="24"/>
                <w:szCs w:val="24"/>
              </w:rPr>
              <w:t>Мониторинг на последиците от новите законодателни мерки със специален акцент върху „ефекта от заместването“ на незаконния пазар на наркотици</w:t>
            </w:r>
          </w:p>
          <w:p>
            <w:pPr>
              <w:tabs>
                <w:tab w:val="left" w:pos="459"/>
              </w:tabs>
              <w:spacing w:after="100" w:afterAutospacing="1" w:line="240" w:lineRule="auto"/>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ДЧ</w:t>
            </w:r>
          </w:p>
        </w:tc>
      </w:tr>
      <w:tr>
        <w:trPr>
          <w:trHeight w:val="1570"/>
        </w:trPr>
        <w:tc>
          <w:tcPr>
            <w:tcW w:w="0" w:type="auto"/>
            <w:vMerge/>
          </w:tcPr>
          <w:p>
            <w:pPr>
              <w:numPr>
                <w:ilvl w:val="0"/>
                <w:numId w:val="64"/>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Ефективно прилагане</w:t>
            </w:r>
            <w:r>
              <w:rPr>
                <w:rFonts w:ascii="Times New Roman" w:hAnsi="Times New Roman" w:cs="Times New Roman"/>
                <w:noProof/>
                <w:sz w:val="24"/>
                <w:szCs w:val="24"/>
              </w:rPr>
              <w:t xml:space="preserve"> на законодателството на ЕС относно прекурсорите на наркотични вещества, за да се избегне отклоняването им, без да се прекъсва законната търговия</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tc>
        <w:tc>
          <w:tcPr>
            <w:tcW w:w="0" w:type="auto"/>
          </w:tcPr>
          <w:p>
            <w:pPr>
              <w:numPr>
                <w:ilvl w:val="0"/>
                <w:numId w:val="37"/>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Прилагане на регламентите на Европейския парламент и на Съвета относно прекурсорите на наркотични вещества, с които се изменят Регламент (ЕО) № 111/2005 на Съвета и Регламент (ЕО) № 273/2004 </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Годишен доклад на ЕС относно прекурсорите на наркотични вещества</w:t>
            </w:r>
          </w:p>
        </w:tc>
      </w:tr>
      <w:tr>
        <w:tc>
          <w:tcPr>
            <w:tcW w:w="0" w:type="auto"/>
            <w:vMerge/>
          </w:tcPr>
          <w:p>
            <w:pPr>
              <w:numPr>
                <w:ilvl w:val="0"/>
                <w:numId w:val="64"/>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Борба с използването на определени фармакологичноактивни субстанции (съгласно определението в Директива 2011/62 на ЕС) като „разредители“ на забранени наркотични вещества</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EMA</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tc>
        <w:tc>
          <w:tcPr>
            <w:tcW w:w="0" w:type="auto"/>
          </w:tcPr>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изземвания на активни субстанции, използвани като „разредители“ на забранени наркотични вещества</w:t>
            </w:r>
          </w:p>
          <w:p>
            <w:pPr>
              <w:numPr>
                <w:ilvl w:val="0"/>
                <w:numId w:val="38"/>
              </w:numPr>
              <w:tabs>
                <w:tab w:val="left" w:pos="459"/>
              </w:tabs>
              <w:spacing w:after="100" w:afterAutospacing="1" w:line="240" w:lineRule="auto"/>
              <w:ind w:left="459" w:hanging="425"/>
              <w:rPr>
                <w:rFonts w:ascii="Times New Roman" w:hAnsi="Times New Roman" w:cs="Times New Roman"/>
                <w:noProof/>
                <w:sz w:val="24"/>
                <w:szCs w:val="24"/>
              </w:rPr>
            </w:pPr>
            <w:r>
              <w:rPr>
                <w:rFonts w:ascii="Times New Roman" w:hAnsi="Times New Roman" w:cs="Times New Roman"/>
                <w:noProof/>
                <w:sz w:val="24"/>
                <w:szCs w:val="24"/>
              </w:rPr>
              <w:t>Навременно прилагане на новите законодателни изисквания на ЕС за сигурността на веригата за доставки на активни вещества съгласно Директива 2011/62/ЕС („Директивата за фалшифицираните лекарствени продукти“)</w:t>
            </w:r>
          </w:p>
        </w:tc>
        <w:tc>
          <w:tcPr>
            <w:tcW w:w="0" w:type="auto"/>
          </w:tcPr>
          <w:p>
            <w:pPr>
              <w:spacing w:after="100" w:afterAutospacing="1" w:line="240" w:lineRule="auto"/>
              <w:rPr>
                <w:rFonts w:ascii="Times New Roman" w:hAnsi="Times New Roman" w:cs="Times New Roman"/>
                <w:b/>
                <w:i/>
                <w:noProof/>
                <w:sz w:val="24"/>
                <w:szCs w:val="24"/>
              </w:rPr>
            </w:pPr>
            <w:r>
              <w:rPr>
                <w:rFonts w:ascii="Times New Roman" w:hAnsi="Times New Roman" w:cs="Times New Roman"/>
                <w:noProof/>
                <w:sz w:val="24"/>
                <w:szCs w:val="24"/>
              </w:rPr>
              <w:t>Доклади на CCWP и CUG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tc>
      </w:tr>
      <w:tr>
        <w:tc>
          <w:tcPr>
            <w:tcW w:w="0" w:type="auto"/>
          </w:tcPr>
          <w:p>
            <w:p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Държавите членки осигуряват </w:t>
            </w:r>
            <w:r>
              <w:rPr>
                <w:rFonts w:ascii="Times New Roman" w:hAnsi="Times New Roman" w:cs="Times New Roman"/>
                <w:b/>
                <w:noProof/>
                <w:sz w:val="24"/>
                <w:szCs w:val="24"/>
              </w:rPr>
              <w:t>и прилагат</w:t>
            </w:r>
            <w:r>
              <w:rPr>
                <w:rFonts w:ascii="Times New Roman" w:hAnsi="Times New Roman" w:cs="Times New Roman"/>
                <w:noProof/>
                <w:sz w:val="24"/>
                <w:szCs w:val="24"/>
              </w:rPr>
              <w:t xml:space="preserve">, когато това е уместно и в съответствие с техните нормативни уредби, алтернативи на принудителните санкции </w:t>
            </w:r>
            <w:r>
              <w:rPr>
                <w:rFonts w:ascii="Times New Roman" w:hAnsi="Times New Roman" w:cs="Times New Roman"/>
                <w:strike/>
                <w:noProof/>
                <w:sz w:val="24"/>
                <w:szCs w:val="24"/>
              </w:rPr>
              <w:t xml:space="preserve">(напр. обучение, лечение, рехабилитация, последващи грижи и социална интеграция) </w:t>
            </w:r>
            <w:r>
              <w:rPr>
                <w:rFonts w:ascii="Times New Roman" w:hAnsi="Times New Roman" w:cs="Times New Roman"/>
                <w:noProof/>
                <w:sz w:val="24"/>
                <w:szCs w:val="24"/>
              </w:rPr>
              <w:t xml:space="preserve">за употребяващите наркотици правонарушители, </w:t>
            </w:r>
            <w:r>
              <w:rPr>
                <w:rFonts w:ascii="Times New Roman" w:hAnsi="Times New Roman" w:cs="Times New Roman"/>
                <w:b/>
                <w:noProof/>
                <w:sz w:val="24"/>
                <w:szCs w:val="24"/>
              </w:rPr>
              <w:t>включително</w:t>
            </w:r>
            <w:r>
              <w:rPr>
                <w:rFonts w:ascii="Times New Roman" w:hAnsi="Times New Roman" w:cs="Times New Roman"/>
                <w:noProof/>
                <w:sz w:val="24"/>
                <w:szCs w:val="24"/>
              </w:rPr>
              <w:t>:</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Образование</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b/>
                <w:noProof/>
                <w:sz w:val="24"/>
                <w:szCs w:val="24"/>
              </w:rPr>
              <w:t>Условна присъда</w:t>
            </w:r>
            <w:r>
              <w:rPr>
                <w:rFonts w:ascii="Times New Roman" w:hAnsi="Times New Roman" w:cs="Times New Roman"/>
                <w:noProof/>
                <w:sz w:val="24"/>
                <w:szCs w:val="24"/>
              </w:rPr>
              <w:t xml:space="preserve"> </w:t>
            </w:r>
            <w:r>
              <w:rPr>
                <w:rFonts w:ascii="Times New Roman" w:hAnsi="Times New Roman" w:cs="Times New Roman"/>
                <w:b/>
                <w:noProof/>
                <w:sz w:val="24"/>
                <w:szCs w:val="24"/>
              </w:rPr>
              <w:t>и</w:t>
            </w:r>
            <w:r>
              <w:rPr>
                <w:rFonts w:ascii="Times New Roman" w:hAnsi="Times New Roman" w:cs="Times New Roman"/>
                <w:noProof/>
                <w:sz w:val="24"/>
                <w:szCs w:val="24"/>
              </w:rPr>
              <w:t>) лечение</w:t>
            </w:r>
          </w:p>
          <w:p>
            <w:pPr>
              <w:pStyle w:val="ListParagraph"/>
              <w:pageBreakBefore/>
              <w:numPr>
                <w:ilvl w:val="0"/>
                <w:numId w:val="77"/>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Прекратяване на разследване или наказателно преследване</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Рехабилитация</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Последващи грижи и социална интеграция</w:t>
            </w:r>
          </w:p>
          <w:p>
            <w:pPr>
              <w:pageBreakBefore/>
              <w:tabs>
                <w:tab w:val="left" w:pos="743"/>
              </w:tabs>
              <w:spacing w:after="100" w:afterAutospacing="1" w:line="240" w:lineRule="auto"/>
              <w:ind w:left="360"/>
              <w:rPr>
                <w:rFonts w:ascii="Times New Roman" w:hAnsi="Times New Roman" w:cs="Times New Roman"/>
                <w:noProof/>
                <w:sz w:val="24"/>
                <w:szCs w:val="24"/>
              </w:rPr>
            </w:pPr>
            <w:r>
              <w:rPr>
                <w:rFonts w:ascii="Times New Roman" w:hAnsi="Times New Roman" w:cs="Times New Roman"/>
                <w:b/>
                <w:noProof/>
                <w:sz w:val="24"/>
                <w:szCs w:val="24"/>
              </w:rPr>
              <w:t>и развитие на измерението на основните права като ключов фактор за по-добро балансиране на репресията и насърчаване на рехабилитацията.</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2020 г.</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Съвет </w:t>
            </w:r>
            <w:r>
              <w:rPr>
                <w:rFonts w:ascii="Times New Roman" w:hAnsi="Times New Roman" w:cs="Times New Roman"/>
                <w:noProof/>
                <w:sz w:val="24"/>
                <w:szCs w:val="24"/>
              </w:rPr>
              <w:t>(HDG)</w:t>
            </w:r>
          </w:p>
        </w:tc>
        <w:tc>
          <w:tcPr>
            <w:tcW w:w="0" w:type="auto"/>
          </w:tcPr>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Повече и по-масово прилагане на алтернативи </w:t>
            </w:r>
            <w:r>
              <w:rPr>
                <w:rFonts w:ascii="Times New Roman" w:hAnsi="Times New Roman" w:cs="Times New Roman"/>
                <w:b/>
                <w:noProof/>
                <w:sz w:val="24"/>
                <w:szCs w:val="24"/>
              </w:rPr>
              <w:t>на принудителните санкции</w:t>
            </w:r>
            <w:r>
              <w:rPr>
                <w:rFonts w:ascii="Times New Roman" w:hAnsi="Times New Roman" w:cs="Times New Roman"/>
                <w:noProof/>
                <w:sz w:val="24"/>
                <w:szCs w:val="24"/>
              </w:rPr>
              <w:t xml:space="preserve"> лишаването от свобода за употребяващите наркотици правонарушители в сферите на обучението, лечението, рехабилитацията, последващите грижи и социалната интеграция.</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Засилване на мониторинга, прилагането и оценката на алтернативите на принудителните санкции </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Вид и брой на алтернативите на принудителните санкции, предвидени и прилагани от ДЧ</w:t>
            </w:r>
          </w:p>
          <w:p>
            <w:pPr>
              <w:numPr>
                <w:ilvl w:val="0"/>
                <w:numId w:val="38"/>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b/>
                <w:noProof/>
                <w:sz w:val="24"/>
                <w:szCs w:val="24"/>
              </w:rPr>
              <w:t>Информация за лицата, получили алтернативни наказания, които извършват повторно нарушение в рамките на 5 години</w:t>
            </w:r>
          </w:p>
        </w:tc>
        <w:tc>
          <w:tcPr>
            <w:tcW w:w="0" w:type="auto"/>
          </w:tcPr>
          <w:p>
            <w:pPr>
              <w:spacing w:after="100" w:afterAutospacing="1" w:line="240" w:lineRule="auto"/>
              <w:rPr>
                <w:rFonts w:ascii="Times New Roman" w:hAnsi="Times New Roman" w:cs="Times New Roman"/>
                <w:noProof/>
                <w:color w:val="0D0D0D"/>
                <w:sz w:val="24"/>
                <w:szCs w:val="24"/>
              </w:rPr>
            </w:pPr>
            <w:r>
              <w:rPr>
                <w:rFonts w:ascii="Times New Roman" w:hAnsi="Times New Roman" w:cs="Times New Roman"/>
                <w:noProof/>
                <w:color w:val="0D0D0D"/>
                <w:sz w:val="24"/>
                <w:szCs w:val="24"/>
              </w:rPr>
              <w:t>Национални доклади на Reitox</w:t>
            </w:r>
          </w:p>
          <w:p>
            <w:pPr>
              <w:spacing w:after="100" w:afterAutospacing="1" w:line="240" w:lineRule="auto"/>
              <w:rPr>
                <w:rFonts w:ascii="Times New Roman" w:hAnsi="Times New Roman" w:cs="Times New Roman"/>
                <w:noProof/>
                <w:color w:val="0D0D0D"/>
                <w:sz w:val="24"/>
                <w:szCs w:val="24"/>
              </w:rPr>
            </w:pPr>
          </w:p>
          <w:p>
            <w:pPr>
              <w:spacing w:after="100" w:afterAutospacing="1" w:line="240" w:lineRule="auto"/>
              <w:rPr>
                <w:rFonts w:ascii="Times New Roman" w:hAnsi="Times New Roman" w:cs="Times New Roman"/>
                <w:noProof/>
                <w:color w:val="0D0D0D"/>
                <w:sz w:val="24"/>
                <w:szCs w:val="24"/>
              </w:rPr>
            </w:pPr>
            <w:r>
              <w:rPr>
                <w:rFonts w:ascii="Times New Roman" w:hAnsi="Times New Roman" w:cs="Times New Roman"/>
                <w:noProof/>
                <w:sz w:val="24"/>
                <w:szCs w:val="24"/>
              </w:rPr>
              <w:t>Доклади на ДЧ</w:t>
            </w:r>
          </w:p>
          <w:p>
            <w:pPr>
              <w:spacing w:after="100" w:afterAutospacing="1" w:line="240" w:lineRule="auto"/>
              <w:rPr>
                <w:rFonts w:ascii="Times New Roman" w:hAnsi="Times New Roman" w:cs="Times New Roman"/>
                <w:strike/>
                <w:noProof/>
                <w:sz w:val="24"/>
                <w:szCs w:val="24"/>
              </w:rPr>
            </w:pPr>
          </w:p>
        </w:tc>
      </w:tr>
      <w:tr>
        <w:tc>
          <w:tcPr>
            <w:tcW w:w="0" w:type="auto"/>
            <w:tcBorders>
              <w:top w:val="single" w:sz="4" w:space="0" w:color="auto"/>
              <w:left w:val="single" w:sz="4" w:space="0" w:color="auto"/>
              <w:right w:val="single" w:sz="4" w:space="0" w:color="auto"/>
            </w:tcBorders>
          </w:tcPr>
          <w:p>
            <w:pPr>
              <w:pageBreakBefore/>
              <w:spacing w:after="100" w:afterAutospacing="1" w:line="240" w:lineRule="auto"/>
              <w:ind w:left="284" w:hanging="284"/>
              <w:rPr>
                <w:rFonts w:ascii="Times New Roman" w:hAnsi="Times New Roman" w:cs="Times New Roman"/>
                <w:noProof/>
                <w:sz w:val="24"/>
                <w:szCs w:val="24"/>
              </w:rPr>
            </w:pPr>
            <w:r>
              <w:rPr>
                <w:rFonts w:ascii="Times New Roman" w:hAnsi="Times New Roman" w:cs="Times New Roman"/>
                <w:noProof/>
                <w:sz w:val="24"/>
                <w:szCs w:val="24"/>
              </w:rPr>
              <w:t>6. Ефективна реакция на настоящите и новите тенденции в незаконните наркодейности</w:t>
            </w:r>
          </w:p>
        </w:tc>
        <w:tc>
          <w:tcPr>
            <w:tcW w:w="0" w:type="auto"/>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 Набелязване на стратегически действия спрямо ролята на новите комуникационни технологии и хостинга на свързани уебсайтове при производството, маркетинга, закупуването и разпространението на забранени наркотични вещества, включително контролирани нови психоактивни вещества на национално равнище и на равнище ЕС, включително чрез:</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Сътрудничество с промишлеността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Финансиране от ЕС и национално финансиране за научни изследвания и разработване на инструменти за подкрепа на работата на правоприлагащите органи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Създаване на речник на термините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Създаване на инвентарен списък на съществуващите инструменти за мониторинг на интернет и даркнет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Предоставяне на специализирано обучение за правоприлагащите, митническите и граничните служители, прокурори и съдии</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Постоянен и проактивен мониторинг на електронни пазари от страна на правоприлагащите органи</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Обмен на добри практики с международни партньори</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Рационализиране на производствата за правна взаимопомощ и, когато е приложимо, за взаимно признаване в съответствие със заключенията на Съвета от 9 юни 2016 г. относно повишаване на ефективността на наказателното правосъдие в киберпространството</w:t>
            </w:r>
            <w:r>
              <w:rPr>
                <w:rStyle w:val="FootnoteReference"/>
                <w:rFonts w:ascii="Times New Roman" w:hAnsi="Times New Roman" w:cs="Times New Roman"/>
                <w:b/>
                <w:noProof/>
                <w:sz w:val="24"/>
                <w:szCs w:val="24"/>
              </w:rPr>
              <w:footnoteReference w:id="63"/>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2017 — 2020 г.</w:t>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Работни групи на Съвета</w:t>
            </w:r>
            <w:r>
              <w:rPr>
                <w:rFonts w:ascii="Times New Roman" w:hAnsi="Times New Roman" w:cs="Times New Roman"/>
                <w:noProof/>
                <w:sz w:val="24"/>
                <w:szCs w:val="24"/>
              </w:rPr>
              <w:t xml:space="preserve"> (HDG, </w:t>
            </w:r>
            <w:r>
              <w:rPr>
                <w:rFonts w:ascii="Times New Roman" w:hAnsi="Times New Roman" w:cs="Times New Roman"/>
                <w:b/>
                <w:noProof/>
                <w:sz w:val="24"/>
                <w:szCs w:val="24"/>
              </w:rPr>
              <w:t>COSI</w:t>
            </w:r>
            <w:r>
              <w:rPr>
                <w:rFonts w:ascii="Times New Roman" w:hAnsi="Times New Roman" w:cs="Times New Roman"/>
                <w:noProof/>
                <w:sz w:val="24"/>
                <w:szCs w:val="24"/>
              </w:rPr>
              <w:t>)</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CEPOL</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p>
        </w:tc>
        <w:tc>
          <w:tcPr>
            <w:tcW w:w="0" w:type="auto"/>
            <w:tcBorders>
              <w:top w:val="single" w:sz="4" w:space="0" w:color="auto"/>
              <w:left w:val="single" w:sz="4" w:space="0" w:color="auto"/>
              <w:bottom w:val="single" w:sz="4" w:space="0" w:color="auto"/>
              <w:right w:val="single" w:sz="4" w:space="0" w:color="auto"/>
            </w:tcBorders>
          </w:tcPr>
          <w:p>
            <w:pPr>
              <w:numPr>
                <w:ilvl w:val="0"/>
                <w:numId w:val="63"/>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Резултати от дейностите по правоприлагане, </w:t>
            </w:r>
          </w:p>
          <w:p>
            <w:pPr>
              <w:tabs>
                <w:tab w:val="left" w:pos="459"/>
              </w:tabs>
              <w:spacing w:after="100" w:afterAutospacing="1" w:line="240" w:lineRule="auto"/>
              <w:ind w:left="459"/>
              <w:contextualSpacing/>
              <w:rPr>
                <w:rFonts w:ascii="Times New Roman" w:hAnsi="Times New Roman" w:cs="Times New Roman"/>
                <w:noProof/>
                <w:sz w:val="24"/>
                <w:szCs w:val="24"/>
              </w:rPr>
            </w:pPr>
            <w:r>
              <w:rPr>
                <w:rFonts w:ascii="Times New Roman" w:hAnsi="Times New Roman" w:cs="Times New Roman"/>
                <w:noProof/>
                <w:sz w:val="24"/>
                <w:szCs w:val="24"/>
              </w:rPr>
              <w:t xml:space="preserve">насочени срещу наркопрестъпността в интернет </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Нарастване на броя на съвместните операции и   </w:t>
            </w:r>
          </w:p>
          <w:p>
            <w:pPr>
              <w:tabs>
                <w:tab w:val="left" w:pos="459"/>
              </w:tabs>
              <w:spacing w:after="100" w:afterAutospacing="1" w:line="240" w:lineRule="auto"/>
              <w:ind w:left="459"/>
              <w:contextualSpacing/>
              <w:rPr>
                <w:rFonts w:ascii="Times New Roman" w:hAnsi="Times New Roman" w:cs="Times New Roman"/>
                <w:noProof/>
                <w:sz w:val="24"/>
                <w:szCs w:val="24"/>
              </w:rPr>
            </w:pPr>
            <w:r>
              <w:rPr>
                <w:rFonts w:ascii="Times New Roman" w:hAnsi="Times New Roman" w:cs="Times New Roman"/>
                <w:noProof/>
                <w:sz w:val="24"/>
                <w:szCs w:val="24"/>
              </w:rPr>
              <w:t>трансграничните инициативи за сътрудничество</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Брой и въздействие на финансираните научноизследователски проекти и инструменти, разработени за подкрепа на правоприлагането</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Брой споразумения/дискусии със съответните индустриални партньори</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Създаване на речник на термините</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Създаване на инвентарен списък на инструментите за мониторинг</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Брой сесии за обучение на заинтересовани лица</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b/>
                <w:noProof/>
                <w:sz w:val="24"/>
                <w:szCs w:val="24"/>
              </w:rPr>
              <w:t>Брой срещи с международни партньори, на които действието е било обсъдено</w:t>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b/>
                <w:noProof/>
                <w:sz w:val="24"/>
                <w:szCs w:val="24"/>
              </w:rPr>
              <w:t>Междинен</w:t>
            </w:r>
            <w:r>
              <w:rPr>
                <w:rFonts w:ascii="Times New Roman" w:hAnsi="Times New Roman" w:cs="Times New Roman"/>
                <w:noProof/>
                <w:sz w:val="24"/>
                <w:szCs w:val="24"/>
              </w:rPr>
              <w:t xml:space="preserve"> преглед на </w:t>
            </w:r>
            <w:r>
              <w:rPr>
                <w:rFonts w:ascii="Times New Roman" w:hAnsi="Times New Roman" w:cs="Times New Roman"/>
                <w:strike/>
                <w:noProof/>
                <w:sz w:val="24"/>
                <w:szCs w:val="24"/>
              </w:rPr>
              <w:t xml:space="preserve">напредъка по приоритетите на </w:t>
            </w:r>
            <w:r>
              <w:rPr>
                <w:rFonts w:ascii="Times New Roman" w:hAnsi="Times New Roman" w:cs="Times New Roman"/>
                <w:noProof/>
                <w:sz w:val="24"/>
                <w:szCs w:val="24"/>
              </w:rPr>
              <w:t>цикъла на политиките на ЕС</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strike/>
                <w:noProof/>
                <w:sz w:val="24"/>
                <w:szCs w:val="24"/>
              </w:rPr>
              <w:t>Оценка на</w:t>
            </w:r>
            <w:r>
              <w:rPr>
                <w:rFonts w:ascii="Times New Roman" w:hAnsi="Times New Roman" w:cs="Times New Roman"/>
                <w:noProof/>
                <w:sz w:val="24"/>
                <w:szCs w:val="24"/>
              </w:rPr>
              <w:t xml:space="preserve"> EMPACT и доклади на ръководителите на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рамките на EMPACT</w:t>
            </w:r>
          </w:p>
          <w:p>
            <w:pPr>
              <w:spacing w:after="100" w:afterAutospacing="1" w:line="240" w:lineRule="auto"/>
              <w:rPr>
                <w:rFonts w:ascii="Times New Roman" w:hAnsi="Times New Roman" w:cs="Times New Roman"/>
                <w:b/>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 на директорите на Европол</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Годишен доклад/статистика на CEPOL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агенциите на ЕС</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Комисия</w:t>
            </w:r>
          </w:p>
        </w:tc>
      </w:tr>
    </w:tbl>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br w:type="page"/>
      </w:r>
      <w:r>
        <w:rPr>
          <w:rFonts w:ascii="Times New Roman" w:hAnsi="Times New Roman" w:cs="Times New Roman"/>
          <w:b/>
          <w:noProof/>
          <w:sz w:val="24"/>
          <w:szCs w:val="24"/>
        </w:rPr>
        <w:t>3.</w:t>
      </w:r>
      <w:r>
        <w:rPr>
          <w:rFonts w:ascii="Times New Roman" w:hAnsi="Times New Roman" w:cs="Times New Roman"/>
          <w:noProof/>
          <w:sz w:val="24"/>
          <w:szCs w:val="24"/>
        </w:rPr>
        <w:tab/>
      </w:r>
      <w:r>
        <w:rPr>
          <w:rStyle w:val="Heading1Char"/>
          <w:rFonts w:eastAsiaTheme="minorHAnsi"/>
          <w:noProof/>
          <w:szCs w:val="24"/>
        </w:rPr>
        <w:t>Координация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Държавите членки и ЕС следва да координират ефективно политиките за борба с наркотиците</w:t>
      </w:r>
    </w:p>
    <w:tbl>
      <w:tblP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0"/>
        <w:gridCol w:w="1276"/>
        <w:gridCol w:w="1560"/>
        <w:gridCol w:w="3969"/>
        <w:gridCol w:w="1592"/>
      </w:tblGrid>
      <w:tr>
        <w:trPr>
          <w:tblHeader/>
        </w:trPr>
        <w:tc>
          <w:tcPr>
            <w:tcW w:w="1951" w:type="dxa"/>
          </w:tcPr>
          <w:p>
            <w:pPr>
              <w:tabs>
                <w:tab w:val="left" w:pos="284"/>
              </w:tabs>
              <w:spacing w:after="100" w:afterAutospacing="1" w:line="240" w:lineRule="auto"/>
              <w:ind w:left="284" w:hanging="284"/>
              <w:jc w:val="both"/>
              <w:rPr>
                <w:rFonts w:ascii="Times New Roman" w:hAnsi="Times New Roman" w:cs="Times New Roman"/>
                <w:b/>
                <w:bCs/>
                <w:noProof/>
                <w:sz w:val="24"/>
                <w:szCs w:val="24"/>
              </w:rPr>
            </w:pPr>
            <w:r>
              <w:rPr>
                <w:rFonts w:ascii="Times New Roman" w:hAnsi="Times New Roman" w:cs="Times New Roman"/>
                <w:b/>
                <w:noProof/>
                <w:sz w:val="24"/>
                <w:szCs w:val="24"/>
              </w:rPr>
              <w:t>Цел</w:t>
            </w:r>
          </w:p>
        </w:tc>
        <w:tc>
          <w:tcPr>
            <w:tcW w:w="4110" w:type="dxa"/>
          </w:tcPr>
          <w:p>
            <w:pPr>
              <w:tabs>
                <w:tab w:val="left" w:pos="317"/>
              </w:tabs>
              <w:spacing w:after="100" w:afterAutospacing="1" w:line="240" w:lineRule="auto"/>
              <w:ind w:left="317" w:hanging="283"/>
              <w:jc w:val="both"/>
              <w:rPr>
                <w:rFonts w:ascii="Times New Roman" w:hAnsi="Times New Roman" w:cs="Times New Roman"/>
                <w:b/>
                <w:bCs/>
                <w:noProof/>
                <w:sz w:val="24"/>
                <w:szCs w:val="24"/>
              </w:rPr>
            </w:pPr>
            <w:r>
              <w:rPr>
                <w:rFonts w:ascii="Times New Roman" w:hAnsi="Times New Roman" w:cs="Times New Roman"/>
                <w:b/>
                <w:noProof/>
                <w:sz w:val="24"/>
                <w:szCs w:val="24"/>
              </w:rPr>
              <w:t>Действие</w:t>
            </w:r>
          </w:p>
        </w:tc>
        <w:tc>
          <w:tcPr>
            <w:tcW w:w="1276"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cs="Times New Roman"/>
                <w:b/>
                <w:noProof/>
                <w:sz w:val="24"/>
                <w:szCs w:val="24"/>
              </w:rPr>
              <w:t>График</w:t>
            </w:r>
          </w:p>
        </w:tc>
        <w:tc>
          <w:tcPr>
            <w:tcW w:w="1560"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cs="Times New Roman"/>
                <w:b/>
                <w:noProof/>
                <w:sz w:val="24"/>
                <w:szCs w:val="24"/>
              </w:rPr>
              <w:t>Отговорна страна</w:t>
            </w:r>
          </w:p>
        </w:tc>
        <w:tc>
          <w:tcPr>
            <w:tcW w:w="3969" w:type="dxa"/>
          </w:tcPr>
          <w:p>
            <w:pPr>
              <w:tabs>
                <w:tab w:val="left" w:pos="317"/>
              </w:tabs>
              <w:spacing w:after="100" w:afterAutospacing="1" w:line="240" w:lineRule="auto"/>
              <w:ind w:left="317" w:hanging="283"/>
              <w:jc w:val="both"/>
              <w:rPr>
                <w:rFonts w:ascii="Times New Roman" w:hAnsi="Times New Roman" w:cs="Times New Roman"/>
                <w:b/>
                <w:bCs/>
                <w:noProof/>
                <w:sz w:val="24"/>
                <w:szCs w:val="24"/>
              </w:rPr>
            </w:pPr>
            <w:r>
              <w:rPr>
                <w:rFonts w:ascii="Times New Roman" w:hAnsi="Times New Roman" w:cs="Times New Roman"/>
                <w:b/>
                <w:noProof/>
                <w:sz w:val="24"/>
                <w:szCs w:val="24"/>
              </w:rPr>
              <w:t>Показател(и)</w:t>
            </w:r>
          </w:p>
        </w:tc>
        <w:tc>
          <w:tcPr>
            <w:tcW w:w="1592"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Механизми за събиране/оценка на данни </w:t>
            </w:r>
          </w:p>
        </w:tc>
      </w:tr>
      <w:tr>
        <w:tc>
          <w:tcPr>
            <w:tcW w:w="1951" w:type="dxa"/>
            <w:vMerge w:val="restart"/>
          </w:tcPr>
          <w:p>
            <w:pPr>
              <w:pStyle w:val="ListParagraph"/>
              <w:tabs>
                <w:tab w:val="left" w:pos="284"/>
              </w:tabs>
              <w:spacing w:after="100" w:afterAutospacing="1" w:line="240" w:lineRule="auto"/>
              <w:ind w:left="0"/>
              <w:rPr>
                <w:rFonts w:ascii="Times New Roman" w:hAnsi="Times New Roman" w:cs="Times New Roman"/>
                <w:noProof/>
                <w:sz w:val="24"/>
                <w:szCs w:val="24"/>
              </w:rPr>
            </w:pPr>
            <w:r>
              <w:rPr>
                <w:rFonts w:ascii="Times New Roman" w:hAnsi="Times New Roman" w:cs="Times New Roman"/>
                <w:noProof/>
                <w:sz w:val="24"/>
                <w:szCs w:val="24"/>
              </w:rPr>
              <w:t>7. Осигуряване на ефективна координация в ЕС в областта на наркотиците</w:t>
            </w:r>
          </w:p>
        </w:tc>
        <w:tc>
          <w:tcPr>
            <w:tcW w:w="4110" w:type="dxa"/>
          </w:tcPr>
          <w:p>
            <w:pPr>
              <w:pStyle w:val="ListParagraph"/>
              <w:numPr>
                <w:ilvl w:val="0"/>
                <w:numId w:val="70"/>
              </w:numPr>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cs="Times New Roman"/>
                <w:noProof/>
                <w:sz w:val="24"/>
                <w:szCs w:val="24"/>
              </w:rPr>
              <w:t xml:space="preserve"> Подобряване на обмена на информация между HDG и други имащи отношение работни групи на Съвета, </w:t>
            </w:r>
            <w:r>
              <w:rPr>
                <w:rFonts w:ascii="Times New Roman" w:hAnsi="Times New Roman" w:cs="Times New Roman"/>
                <w:b/>
                <w:noProof/>
                <w:sz w:val="24"/>
                <w:szCs w:val="24"/>
              </w:rPr>
              <w:t>и по-специално COSI, за засилване на координацията, свързана с намаляването на предлагането на наркотици</w:t>
            </w:r>
          </w:p>
          <w:p>
            <w:pPr>
              <w:pStyle w:val="ListParagraph"/>
              <w:tabs>
                <w:tab w:val="left" w:pos="284"/>
              </w:tabs>
              <w:spacing w:after="100" w:afterAutospacing="1" w:line="240" w:lineRule="auto"/>
              <w:ind w:left="357"/>
              <w:rPr>
                <w:rFonts w:ascii="Times New Roman" w:hAnsi="Times New Roman" w:cs="Times New Roman"/>
                <w:b/>
                <w:noProof/>
                <w:sz w:val="24"/>
                <w:szCs w:val="24"/>
              </w:rPr>
            </w:pPr>
          </w:p>
          <w:p>
            <w:pPr>
              <w:pStyle w:val="ListParagraph"/>
              <w:tabs>
                <w:tab w:val="left" w:pos="284"/>
              </w:tabs>
              <w:spacing w:after="100" w:afterAutospacing="1" w:line="240" w:lineRule="auto"/>
              <w:ind w:left="357"/>
              <w:rPr>
                <w:rFonts w:ascii="Times New Roman" w:hAnsi="Times New Roman" w:cs="Times New Roman"/>
                <w:noProof/>
                <w:sz w:val="24"/>
                <w:szCs w:val="24"/>
              </w:rPr>
            </w:pPr>
            <w:r>
              <w:rPr>
                <w:rFonts w:ascii="Times New Roman" w:hAnsi="Times New Roman" w:cs="Times New Roman"/>
                <w:b/>
                <w:noProof/>
                <w:sz w:val="24"/>
                <w:szCs w:val="24"/>
              </w:rPr>
              <w:t>Подобряване на обмена на информация между HDG и други имащи отношение географски и тематични работни групи на Съвета, включително: COAFR, COASI, COEST, COLAT, COWEB, CONUN и COHOM</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Председателство</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tc>
        <w:tc>
          <w:tcPr>
            <w:tcW w:w="3969" w:type="dxa"/>
          </w:tcPr>
          <w:p>
            <w:pPr>
              <w:numPr>
                <w:ilvl w:val="0"/>
                <w:numId w:val="25"/>
              </w:numPr>
              <w:tabs>
                <w:tab w:val="left" w:pos="317"/>
                <w:tab w:val="left" w:pos="743"/>
              </w:tabs>
              <w:spacing w:after="100" w:afterAutospacing="1" w:line="240" w:lineRule="auto"/>
              <w:ind w:left="318" w:hanging="284"/>
              <w:rPr>
                <w:rFonts w:ascii="Times New Roman" w:hAnsi="Times New Roman" w:cs="Times New Roman"/>
                <w:b/>
                <w:noProof/>
                <w:snapToGrid w:val="0"/>
                <w:sz w:val="24"/>
                <w:szCs w:val="24"/>
              </w:rPr>
            </w:pPr>
            <w:r>
              <w:rPr>
                <w:rFonts w:ascii="Times New Roman" w:hAnsi="Times New Roman" w:cs="Times New Roman"/>
                <w:noProof/>
                <w:snapToGrid w:val="0"/>
                <w:sz w:val="24"/>
                <w:szCs w:val="24"/>
              </w:rPr>
              <w:t xml:space="preserve">Степен, до която Стратегията и Планът за действие на ЕС за борба с наркотиците са взети предвид в програмите на други работни групи на Съвета, вкл. </w:t>
            </w:r>
            <w:r>
              <w:rPr>
                <w:rFonts w:ascii="Times New Roman" w:hAnsi="Times New Roman" w:cs="Times New Roman"/>
                <w:b/>
                <w:noProof/>
                <w:snapToGrid w:val="0"/>
                <w:sz w:val="24"/>
                <w:szCs w:val="24"/>
              </w:rPr>
              <w:t>COSI</w:t>
            </w:r>
            <w:r>
              <w:rPr>
                <w:rFonts w:ascii="Times New Roman" w:hAnsi="Times New Roman" w:cs="Times New Roman"/>
                <w:noProof/>
                <w:snapToGrid w:val="0"/>
                <w:sz w:val="24"/>
                <w:szCs w:val="24"/>
              </w:rPr>
              <w:t xml:space="preserve">, COAFR, COASI, COEST, COLAT, COWEB, </w:t>
            </w:r>
            <w:r>
              <w:rPr>
                <w:rFonts w:ascii="Times New Roman" w:hAnsi="Times New Roman" w:cs="Times New Roman"/>
                <w:b/>
                <w:noProof/>
                <w:snapToGrid w:val="0"/>
                <w:sz w:val="24"/>
                <w:szCs w:val="24"/>
              </w:rPr>
              <w:t>CONUN и COHOM</w:t>
            </w:r>
            <w:r>
              <w:rPr>
                <w:rFonts w:ascii="Times New Roman" w:hAnsi="Times New Roman" w:cs="Times New Roman"/>
                <w:noProof/>
                <w:snapToGrid w:val="0"/>
                <w:sz w:val="24"/>
                <w:szCs w:val="24"/>
              </w:rPr>
              <w:t>.</w:t>
            </w:r>
          </w:p>
          <w:p>
            <w:pPr>
              <w:numPr>
                <w:ilvl w:val="0"/>
                <w:numId w:val="25"/>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cs="Times New Roman"/>
                <w:b/>
                <w:noProof/>
                <w:snapToGrid w:val="0"/>
                <w:sz w:val="24"/>
                <w:szCs w:val="24"/>
              </w:rPr>
              <w:t>Редовна информационна точка от дневния ред на HDG (веднъж по време на всяко председателство) за дейности по свързаните с наркотиците приоритети на цикъла на политиката на ЕС (въз основа на доклади на EMPACT) в присъствието на председателя на групата за подкрепа на COSI, ако е необходимо.</w:t>
            </w:r>
          </w:p>
        </w:tc>
        <w:tc>
          <w:tcPr>
            <w:tcW w:w="1592" w:type="dxa"/>
          </w:tcPr>
          <w:p>
            <w:pPr>
              <w:spacing w:after="100" w:afterAutospacing="1" w:line="240" w:lineRule="auto"/>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Доклади на работната група на Съвета (HDG) </w:t>
            </w:r>
          </w:p>
          <w:p>
            <w:pPr>
              <w:spacing w:after="100" w:afterAutospacing="1" w:line="240" w:lineRule="auto"/>
              <w:rPr>
                <w:rFonts w:ascii="Times New Roman" w:hAnsi="Times New Roman" w:cs="Times New Roman"/>
                <w:noProof/>
                <w:snapToGrid w:val="0"/>
                <w:sz w:val="24"/>
                <w:szCs w:val="24"/>
              </w:rPr>
            </w:pPr>
          </w:p>
          <w:p>
            <w:pPr>
              <w:spacing w:after="100" w:afterAutospacing="1" w:line="240" w:lineRule="auto"/>
              <w:rPr>
                <w:rFonts w:ascii="Times New Roman" w:hAnsi="Times New Roman" w:cs="Times New Roman"/>
                <w:b/>
                <w:noProof/>
                <w:snapToGrid w:val="0"/>
                <w:sz w:val="24"/>
                <w:szCs w:val="24"/>
              </w:rPr>
            </w:pPr>
            <w:r>
              <w:rPr>
                <w:rFonts w:ascii="Times New Roman" w:hAnsi="Times New Roman" w:cs="Times New Roman"/>
                <w:b/>
                <w:noProof/>
                <w:snapToGrid w:val="0"/>
                <w:sz w:val="24"/>
                <w:szCs w:val="24"/>
              </w:rPr>
              <w:t>Доклад на председателството</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b/>
                <w:bCs/>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napToGrid w:val="0"/>
                <w:sz w:val="24"/>
                <w:szCs w:val="24"/>
              </w:rPr>
            </w:pPr>
            <w:r>
              <w:rPr>
                <w:rFonts w:ascii="Times New Roman" w:hAnsi="Times New Roman" w:cs="Times New Roman"/>
                <w:noProof/>
                <w:sz w:val="24"/>
                <w:szCs w:val="24"/>
              </w:rPr>
              <w:t xml:space="preserve"> Всяко председателство може да свика заседания на националните координатори по въпросите на наркотиците и на други групи, когато това е уместно, които да разгледат новите тенденции, ефективните действия за намеса и други новости в политиката, които имат добавена стойност за стратегията на ЕС за борба с наркотиците и за ДЧ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Два пъти годишно</w:t>
            </w:r>
          </w:p>
        </w:tc>
        <w:tc>
          <w:tcPr>
            <w:tcW w:w="1560" w:type="dxa"/>
          </w:tcPr>
          <w:p>
            <w:pPr>
              <w:spacing w:after="100" w:afterAutospacing="1" w:line="240" w:lineRule="auto"/>
              <w:rPr>
                <w:rFonts w:ascii="Times New Roman" w:hAnsi="Times New Roman" w:cs="Times New Roman"/>
                <w:noProof/>
                <w:snapToGrid w:val="0"/>
                <w:sz w:val="24"/>
                <w:szCs w:val="24"/>
              </w:rPr>
            </w:pPr>
            <w:r>
              <w:rPr>
                <w:rFonts w:ascii="Times New Roman" w:hAnsi="Times New Roman" w:cs="Times New Roman"/>
                <w:noProof/>
                <w:snapToGrid w:val="0"/>
                <w:sz w:val="24"/>
                <w:szCs w:val="24"/>
              </w:rPr>
              <w:t>Председателство</w:t>
            </w:r>
          </w:p>
          <w:p>
            <w:pPr>
              <w:spacing w:after="100" w:afterAutospacing="1" w:line="240" w:lineRule="auto"/>
              <w:rPr>
                <w:rFonts w:ascii="Times New Roman" w:hAnsi="Times New Roman" w:cs="Times New Roman"/>
                <w:noProof/>
                <w:snapToGrid w:val="0"/>
                <w:sz w:val="24"/>
                <w:szCs w:val="24"/>
              </w:rPr>
            </w:pPr>
            <w:r>
              <w:rPr>
                <w:rFonts w:ascii="Times New Roman" w:hAnsi="Times New Roman" w:cs="Times New Roman"/>
                <w:noProof/>
                <w:snapToGrid w:val="0"/>
                <w:sz w:val="24"/>
                <w:szCs w:val="24"/>
              </w:rPr>
              <w:t>ДЧ</w:t>
            </w:r>
          </w:p>
          <w:p>
            <w:pPr>
              <w:spacing w:after="100" w:afterAutospacing="1" w:line="240" w:lineRule="auto"/>
              <w:rPr>
                <w:rFonts w:ascii="Times New Roman" w:hAnsi="Times New Roman" w:cs="Times New Roman"/>
                <w:strike/>
                <w:noProof/>
                <w:sz w:val="24"/>
                <w:szCs w:val="24"/>
              </w:rPr>
            </w:pPr>
          </w:p>
        </w:tc>
        <w:tc>
          <w:tcPr>
            <w:tcW w:w="3969" w:type="dxa"/>
          </w:tcPr>
          <w:p>
            <w:pPr>
              <w:widowControl w:val="0"/>
              <w:numPr>
                <w:ilvl w:val="0"/>
                <w:numId w:val="42"/>
              </w:numPr>
              <w:tabs>
                <w:tab w:val="left" w:pos="317"/>
              </w:tabs>
              <w:spacing w:after="100" w:afterAutospacing="1" w:line="240" w:lineRule="auto"/>
              <w:ind w:left="318" w:hanging="318"/>
              <w:contextualSpacing/>
              <w:jc w:val="both"/>
              <w:rPr>
                <w:rFonts w:ascii="Times New Roman" w:hAnsi="Times New Roman" w:cs="Times New Roman"/>
                <w:strike/>
                <w:noProof/>
                <w:snapToGrid w:val="0"/>
                <w:sz w:val="24"/>
                <w:szCs w:val="24"/>
              </w:rPr>
            </w:pPr>
            <w:r>
              <w:rPr>
                <w:rFonts w:ascii="Times New Roman" w:hAnsi="Times New Roman" w:cs="Times New Roman"/>
                <w:noProof/>
                <w:snapToGrid w:val="0"/>
                <w:sz w:val="24"/>
                <w:szCs w:val="24"/>
              </w:rPr>
              <w:t>Степен, до която дневният ред на заседанията на националните координатори по въпросите на наркотиците отразява последните събития, тенденции и нови познания при ответните мерки и дава възможност за по-добра комуникация и обмен на информация</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 на председателството</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w:t>
            </w:r>
            <w:r>
              <w:rPr>
                <w:rFonts w:ascii="Times New Roman" w:hAnsi="Times New Roman" w:cs="Times New Roman"/>
                <w:noProof/>
                <w:sz w:val="24"/>
                <w:szCs w:val="24"/>
              </w:rPr>
              <w:t>Работна група „Наркотици“ ще улеснява а) мониторинга на прилагането на плана за действие чрез тематични дебати и б) ежегодния диалог относно състоянието на проблема с наркотиците в Европа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а) </w:t>
            </w:r>
            <w:r>
              <w:rPr>
                <w:rFonts w:ascii="Times New Roman" w:hAnsi="Times New Roman" w:cs="Times New Roman"/>
                <w:strike/>
                <w:noProof/>
                <w:sz w:val="24"/>
                <w:szCs w:val="24"/>
              </w:rPr>
              <w:t>Два пъти годишно</w:t>
            </w:r>
            <w:r>
              <w:rPr>
                <w:rFonts w:ascii="Times New Roman" w:hAnsi="Times New Roman" w:cs="Times New Roman"/>
                <w:noProof/>
                <w:sz w:val="24"/>
                <w:szCs w:val="24"/>
              </w:rPr>
              <w:t xml:space="preserve"> </w:t>
            </w:r>
            <w:r>
              <w:rPr>
                <w:rFonts w:ascii="Times New Roman" w:hAnsi="Times New Roman" w:cs="Times New Roman"/>
                <w:b/>
                <w:noProof/>
                <w:sz w:val="24"/>
                <w:szCs w:val="24"/>
              </w:rPr>
              <w:t>Текущо</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б) Ежегодно</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Председателство</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r>
              <w:rPr>
                <w:rFonts w:ascii="Times New Roman" w:hAnsi="Times New Roman" w:cs="Times New Roman"/>
                <w:noProof/>
                <w:sz w:val="24"/>
                <w:szCs w:val="24"/>
              </w:rPr>
              <w:b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tc>
        <w:tc>
          <w:tcPr>
            <w:tcW w:w="3969" w:type="dxa"/>
          </w:tcPr>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noProof/>
                <w:snapToGrid w:val="0"/>
                <w:sz w:val="24"/>
                <w:szCs w:val="24"/>
              </w:rPr>
            </w:pPr>
            <w:r>
              <w:rPr>
                <w:rFonts w:ascii="Times New Roman" w:hAnsi="Times New Roman" w:cs="Times New Roman"/>
                <w:noProof/>
                <w:snapToGrid w:val="0"/>
                <w:sz w:val="24"/>
                <w:szCs w:val="24"/>
              </w:rPr>
              <w:t>Степен на изпълнение на плана за действие</w:t>
            </w:r>
          </w:p>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b/>
                <w:noProof/>
                <w:snapToGrid w:val="0"/>
                <w:sz w:val="24"/>
                <w:szCs w:val="24"/>
              </w:rPr>
            </w:pPr>
            <w:r>
              <w:rPr>
                <w:rFonts w:ascii="Times New Roman" w:hAnsi="Times New Roman" w:cs="Times New Roman"/>
                <w:b/>
                <w:noProof/>
                <w:snapToGrid w:val="0"/>
                <w:sz w:val="24"/>
                <w:szCs w:val="24"/>
              </w:rPr>
              <w:t xml:space="preserve">Брой действия от Плана за действие, разгледани на тематични дебати в HDG </w:t>
            </w:r>
          </w:p>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noProof/>
                <w:snapToGrid w:val="0"/>
                <w:sz w:val="24"/>
                <w:szCs w:val="24"/>
              </w:rPr>
            </w:pPr>
            <w:r>
              <w:rPr>
                <w:rFonts w:ascii="Times New Roman" w:hAnsi="Times New Roman" w:cs="Times New Roman"/>
                <w:noProof/>
                <w:snapToGrid w:val="0"/>
                <w:sz w:val="24"/>
                <w:szCs w:val="24"/>
              </w:rPr>
              <w:t>Навременно организиране на диалог в HDG относно последните тенденции и данни относно наркотиците</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napToGrid w:val="0"/>
                <w:sz w:val="24"/>
                <w:szCs w:val="24"/>
              </w:rPr>
              <w:t>Доклад на председателството</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napToGrid w:val="0"/>
                <w:sz w:val="24"/>
                <w:szCs w:val="24"/>
              </w:rPr>
              <w:t xml:space="preserve"> </w:t>
            </w:r>
            <w:r>
              <w:rPr>
                <w:rFonts w:ascii="Times New Roman" w:hAnsi="Times New Roman" w:cs="Times New Roman"/>
                <w:noProof/>
                <w:sz w:val="24"/>
                <w:szCs w:val="24"/>
              </w:rPr>
              <w:t xml:space="preserve">Осигуряване на съгласуваност и непрекъснатост на действията на ЕС и държавите членки при отделните председателства с цел укрепване на интегрирания, балансиран и научно обоснован подход към наркотиците в ЕС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а) </w:t>
            </w:r>
            <w:r>
              <w:rPr>
                <w:rFonts w:ascii="Times New Roman" w:hAnsi="Times New Roman" w:cs="Times New Roman"/>
                <w:strike/>
                <w:noProof/>
                <w:sz w:val="24"/>
                <w:szCs w:val="24"/>
              </w:rPr>
              <w:t>Два пъти годишно</w:t>
            </w:r>
            <w:r>
              <w:rPr>
                <w:rFonts w:ascii="Times New Roman" w:hAnsi="Times New Roman" w:cs="Times New Roman"/>
                <w:noProof/>
                <w:sz w:val="24"/>
                <w:szCs w:val="24"/>
              </w:rPr>
              <w:t xml:space="preserve"> </w:t>
            </w:r>
            <w:r>
              <w:rPr>
                <w:rFonts w:ascii="Times New Roman" w:hAnsi="Times New Roman" w:cs="Times New Roman"/>
                <w:b/>
                <w:noProof/>
                <w:sz w:val="24"/>
                <w:szCs w:val="24"/>
              </w:rPr>
              <w:t>Текущо</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Председателство</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Тройка</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tc>
        <w:tc>
          <w:tcPr>
            <w:tcW w:w="3969" w:type="dxa"/>
          </w:tcPr>
          <w:p>
            <w:pPr>
              <w:numPr>
                <w:ilvl w:val="0"/>
                <w:numId w:val="26"/>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cs="Times New Roman"/>
                <w:noProof/>
                <w:snapToGrid w:val="0"/>
                <w:sz w:val="24"/>
                <w:szCs w:val="24"/>
              </w:rPr>
              <w:t>Степен на съгласуваност и непрекъснатост на действията при отделните председателства</w:t>
            </w:r>
          </w:p>
          <w:p>
            <w:pPr>
              <w:numPr>
                <w:ilvl w:val="0"/>
                <w:numId w:val="26"/>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cs="Times New Roman"/>
                <w:noProof/>
                <w:snapToGrid w:val="0"/>
                <w:sz w:val="24"/>
                <w:szCs w:val="24"/>
              </w:rPr>
              <w:t>Напредък в прилагането на стратегията на ЕС за борба с наркотиците при отделните председателства</w:t>
            </w:r>
          </w:p>
          <w:p>
            <w:pPr>
              <w:tabs>
                <w:tab w:val="left" w:pos="317"/>
                <w:tab w:val="left" w:pos="743"/>
              </w:tabs>
              <w:spacing w:after="100" w:afterAutospacing="1" w:line="240" w:lineRule="auto"/>
              <w:ind w:left="317"/>
              <w:rPr>
                <w:rFonts w:ascii="Times New Roman" w:hAnsi="Times New Roman" w:cs="Times New Roman"/>
                <w:noProof/>
                <w:snapToGrid w:val="0"/>
                <w:sz w:val="24"/>
                <w:szCs w:val="24"/>
              </w:rPr>
            </w:pP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 на председателството</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Осигуряване на координацията на политиките и ответните мерки на ЕС по отношение на наркотиците с цел подкрепа на международното сътрудничество между ЕС, трети държави и международни организации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p>
        </w:tc>
        <w:tc>
          <w:tcPr>
            <w:tcW w:w="3969" w:type="dxa"/>
          </w:tcPr>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Степен на последователност и съгласуваност на целите, очакваните резултати и мерките, предвидени в действията на ЕС по отношение на наркотиците</w:t>
            </w:r>
          </w:p>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Включване на приоритетите относно наркотиците в стратегиите на компетентните органи на ЕС</w:t>
            </w:r>
          </w:p>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 xml:space="preserve"> Засилено сътрудничество между HDG и географските/регионалните </w:t>
            </w:r>
            <w:r>
              <w:rPr>
                <w:rFonts w:ascii="Times New Roman" w:hAnsi="Times New Roman" w:cs="Times New Roman"/>
                <w:b/>
                <w:noProof/>
                <w:snapToGrid w:val="0"/>
                <w:sz w:val="24"/>
                <w:szCs w:val="24"/>
              </w:rPr>
              <w:t>и тематичните</w:t>
            </w:r>
            <w:r>
              <w:rPr>
                <w:rFonts w:ascii="Times New Roman" w:hAnsi="Times New Roman" w:cs="Times New Roman"/>
                <w:noProof/>
                <w:snapToGrid w:val="0"/>
                <w:sz w:val="24"/>
                <w:szCs w:val="24"/>
              </w:rPr>
              <w:t xml:space="preserve"> работни групи, вкл. COAFR, COASI, COEST, COLAT, COWEB, </w:t>
            </w:r>
            <w:r>
              <w:rPr>
                <w:rFonts w:ascii="Times New Roman" w:hAnsi="Times New Roman" w:cs="Times New Roman"/>
                <w:b/>
                <w:noProof/>
                <w:snapToGrid w:val="0"/>
                <w:sz w:val="24"/>
                <w:szCs w:val="24"/>
              </w:rPr>
              <w:t>CONUN и COHOM</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Годишен доклад на ЕСВД до HDG</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Двугодишен доклад на СОМ за напредъка</w:t>
            </w:r>
          </w:p>
        </w:tc>
      </w:tr>
      <w:tr>
        <w:tc>
          <w:tcPr>
            <w:tcW w:w="1951" w:type="dxa"/>
          </w:tcPr>
          <w:p>
            <w:pPr>
              <w:pStyle w:val="ListParagraph"/>
              <w:tabs>
                <w:tab w:val="left" w:pos="284"/>
              </w:tabs>
              <w:spacing w:after="100" w:afterAutospacing="1" w:line="240" w:lineRule="auto"/>
              <w:ind w:left="1440"/>
              <w:rPr>
                <w:rFonts w:ascii="Times New Roman" w:hAnsi="Times New Roman" w:cs="Times New Roman"/>
                <w:noProof/>
                <w:sz w:val="24"/>
                <w:szCs w:val="24"/>
              </w:rPr>
            </w:pPr>
          </w:p>
        </w:tc>
        <w:tc>
          <w:tcPr>
            <w:tcW w:w="4110" w:type="dxa"/>
          </w:tcPr>
          <w:p>
            <w:pPr>
              <w:pStyle w:val="ListParagraph"/>
              <w:pageBreakBefore/>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Постигане на координирано и подходящо ниво на ресурси на равнище ЕС и ДЧ с оглед изпълнение на целите на ЕС за борба с наркотиците</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Ежегодно</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tc>
        <w:tc>
          <w:tcPr>
            <w:tcW w:w="3969" w:type="dxa"/>
          </w:tcPr>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Трансверсален показател 14</w:t>
            </w:r>
          </w:p>
          <w:p>
            <w:pPr>
              <w:pStyle w:val="ListParagraph"/>
              <w:numPr>
                <w:ilvl w:val="0"/>
                <w:numId w:val="27"/>
              </w:numPr>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cs="Times New Roman"/>
                <w:noProof/>
                <w:snapToGrid w:val="0"/>
                <w:sz w:val="24"/>
                <w:szCs w:val="24"/>
              </w:rPr>
              <w:t>Размер на финансирането на равнище ЕС и, когато е уместно, на равнище ДЧ</w:t>
            </w:r>
          </w:p>
          <w:p>
            <w:pPr>
              <w:pStyle w:val="ListParagraph"/>
              <w:numPr>
                <w:ilvl w:val="0"/>
                <w:numId w:val="27"/>
              </w:numPr>
              <w:tabs>
                <w:tab w:val="left" w:pos="317"/>
                <w:tab w:val="left" w:pos="743"/>
              </w:tabs>
              <w:spacing w:after="100" w:afterAutospacing="1" w:line="240" w:lineRule="auto"/>
              <w:ind w:left="357" w:hanging="357"/>
              <w:rPr>
                <w:rFonts w:ascii="Times New Roman" w:hAnsi="Times New Roman" w:cs="Times New Roman"/>
                <w:strike/>
                <w:noProof/>
                <w:snapToGrid w:val="0"/>
                <w:sz w:val="24"/>
                <w:szCs w:val="24"/>
              </w:rPr>
            </w:pPr>
            <w:r>
              <w:rPr>
                <w:rFonts w:ascii="Times New Roman" w:hAnsi="Times New Roman" w:cs="Times New Roman"/>
                <w:noProof/>
                <w:snapToGrid w:val="0"/>
                <w:sz w:val="24"/>
                <w:szCs w:val="24"/>
              </w:rPr>
              <w:t xml:space="preserve"> Степен на координация по програми за финансиране в областта на наркотиците между работните групи на Съвета </w:t>
            </w:r>
            <w:r>
              <w:rPr>
                <w:rFonts w:ascii="Times New Roman" w:hAnsi="Times New Roman" w:cs="Times New Roman"/>
                <w:b/>
                <w:noProof/>
                <w:snapToGrid w:val="0"/>
                <w:sz w:val="24"/>
                <w:szCs w:val="24"/>
              </w:rPr>
              <w:t>и Комисията</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Комисията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tc>
      </w:tr>
      <w:tr>
        <w:tc>
          <w:tcPr>
            <w:tcW w:w="1951" w:type="dxa"/>
          </w:tcPr>
          <w:p>
            <w:p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8. Осигуряване на ефективна координация на политиката относно наркотиците на национално равнище </w:t>
            </w:r>
          </w:p>
        </w:tc>
        <w:tc>
          <w:tcPr>
            <w:tcW w:w="4110"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Координиране на действията в рамките на политиката относно наркотиците между правителствените служби/министерствата и съответните агенции на равнище ДЧ и осигуряване на подходящо мултидисциплинарно представителство или принос за делегациите на HDG</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p>
        </w:tc>
        <w:tc>
          <w:tcPr>
            <w:tcW w:w="3969" w:type="dxa"/>
          </w:tcPr>
          <w:p>
            <w:pPr>
              <w:pStyle w:val="ListParagraph"/>
              <w:numPr>
                <w:ilvl w:val="0"/>
                <w:numId w:val="45"/>
              </w:numPr>
              <w:tabs>
                <w:tab w:val="left" w:pos="317"/>
                <w:tab w:val="left" w:pos="743"/>
              </w:tabs>
              <w:spacing w:after="100" w:afterAutospacing="1" w:line="240" w:lineRule="auto"/>
              <w:jc w:val="both"/>
              <w:rPr>
                <w:rFonts w:ascii="Times New Roman" w:hAnsi="Times New Roman" w:cs="Times New Roman"/>
                <w:noProof/>
                <w:snapToGrid w:val="0"/>
                <w:sz w:val="24"/>
                <w:szCs w:val="24"/>
              </w:rPr>
            </w:pPr>
            <w:r>
              <w:rPr>
                <w:rFonts w:ascii="Times New Roman" w:hAnsi="Times New Roman" w:cs="Times New Roman"/>
                <w:noProof/>
                <w:snapToGrid w:val="0"/>
                <w:sz w:val="24"/>
                <w:szCs w:val="24"/>
              </w:rPr>
              <w:t>Трансверсален показател 14</w:t>
            </w:r>
          </w:p>
          <w:p>
            <w:pPr>
              <w:tabs>
                <w:tab w:val="left" w:pos="317"/>
                <w:tab w:val="left" w:pos="743"/>
              </w:tabs>
              <w:spacing w:after="100" w:afterAutospacing="1" w:line="240" w:lineRule="auto"/>
              <w:ind w:left="34"/>
              <w:rPr>
                <w:rFonts w:ascii="Times New Roman" w:hAnsi="Times New Roman" w:cs="Times New Roman"/>
                <w:b/>
                <w:noProof/>
                <w:sz w:val="24"/>
                <w:szCs w:val="24"/>
              </w:rPr>
            </w:pPr>
          </w:p>
          <w:p>
            <w:pPr>
              <w:numPr>
                <w:ilvl w:val="0"/>
                <w:numId w:val="29"/>
              </w:numPr>
              <w:tabs>
                <w:tab w:val="left" w:pos="317"/>
                <w:tab w:val="left" w:pos="743"/>
              </w:tabs>
              <w:spacing w:after="100" w:afterAutospacing="1" w:line="240" w:lineRule="auto"/>
              <w:ind w:left="317" w:hanging="283"/>
              <w:rPr>
                <w:rFonts w:ascii="Times New Roman" w:hAnsi="Times New Roman" w:cs="Times New Roman"/>
                <w:b/>
                <w:noProof/>
                <w:sz w:val="24"/>
                <w:szCs w:val="24"/>
              </w:rPr>
            </w:pPr>
            <w:r>
              <w:rPr>
                <w:rFonts w:ascii="Times New Roman" w:hAnsi="Times New Roman" w:cs="Times New Roman"/>
                <w:noProof/>
                <w:sz w:val="24"/>
                <w:szCs w:val="24"/>
              </w:rPr>
              <w:t>Ефективност на хоризонталния механизъм за координиране на политиките за наркотиците на равнище ДЧ</w:t>
            </w:r>
          </w:p>
          <w:p>
            <w:pPr>
              <w:numPr>
                <w:ilvl w:val="0"/>
                <w:numId w:val="29"/>
              </w:numPr>
              <w:tabs>
                <w:tab w:val="left" w:pos="317"/>
                <w:tab w:val="left" w:pos="743"/>
              </w:tabs>
              <w:spacing w:after="100" w:afterAutospacing="1" w:line="240" w:lineRule="auto"/>
              <w:ind w:left="317" w:hanging="283"/>
              <w:rPr>
                <w:rFonts w:ascii="Times New Roman" w:hAnsi="Times New Roman" w:cs="Times New Roman"/>
                <w:noProof/>
                <w:sz w:val="24"/>
                <w:szCs w:val="24"/>
              </w:rPr>
            </w:pPr>
            <w:r>
              <w:rPr>
                <w:rFonts w:ascii="Times New Roman" w:hAnsi="Times New Roman" w:cs="Times New Roman"/>
                <w:noProof/>
                <w:sz w:val="24"/>
                <w:szCs w:val="24"/>
              </w:rPr>
              <w:t>Брой хоризонтални действия за намаляване на търсенето и предлагането на наркотици на равнище ДЧ</w:t>
            </w:r>
          </w:p>
          <w:p>
            <w:pPr>
              <w:tabs>
                <w:tab w:val="left" w:pos="317"/>
                <w:tab w:val="left" w:pos="743"/>
              </w:tabs>
              <w:spacing w:after="100" w:afterAutospacing="1" w:line="240" w:lineRule="auto"/>
              <w:ind w:left="317"/>
              <w:rPr>
                <w:rFonts w:ascii="Times New Roman" w:hAnsi="Times New Roman" w:cs="Times New Roman"/>
                <w:noProof/>
                <w:sz w:val="24"/>
                <w:szCs w:val="24"/>
              </w:rPr>
            </w:pPr>
          </w:p>
        </w:tc>
        <w:tc>
          <w:tcPr>
            <w:tcW w:w="1592" w:type="dxa"/>
          </w:tcPr>
          <w:p>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0"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Национални доклади на Reitox</w:t>
            </w:r>
          </w:p>
          <w:p>
            <w:pPr>
              <w:spacing w:after="0"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0"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tc>
      </w:tr>
      <w:tr>
        <w:tc>
          <w:tcPr>
            <w:tcW w:w="1951" w:type="dxa"/>
            <w:tcBorders>
              <w:top w:val="single" w:sz="4" w:space="0" w:color="auto"/>
              <w:left w:val="single" w:sz="4" w:space="0" w:color="auto"/>
              <w:bottom w:val="single" w:sz="4" w:space="0" w:color="auto"/>
              <w:right w:val="single" w:sz="4" w:space="0" w:color="auto"/>
            </w:tcBorders>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9. Осигуряване на участието на гражданското общество в политиката за борба с наркотиците</w:t>
            </w:r>
          </w:p>
        </w:tc>
        <w:tc>
          <w:tcPr>
            <w:tcW w:w="4110" w:type="dxa"/>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Насърчаване и </w:t>
            </w:r>
            <w:r>
              <w:rPr>
                <w:rFonts w:ascii="Times New Roman" w:hAnsi="Times New Roman" w:cs="Times New Roman"/>
                <w:strike/>
                <w:noProof/>
                <w:sz w:val="24"/>
                <w:szCs w:val="24"/>
              </w:rPr>
              <w:t>подкрепа</w:t>
            </w:r>
            <w:r>
              <w:rPr>
                <w:rFonts w:ascii="Times New Roman" w:hAnsi="Times New Roman" w:cs="Times New Roman"/>
                <w:noProof/>
                <w:sz w:val="24"/>
                <w:szCs w:val="24"/>
              </w:rPr>
              <w:t xml:space="preserve"> </w:t>
            </w:r>
            <w:r>
              <w:rPr>
                <w:rFonts w:ascii="Times New Roman" w:hAnsi="Times New Roman" w:cs="Times New Roman"/>
                <w:b/>
                <w:noProof/>
                <w:sz w:val="24"/>
                <w:szCs w:val="24"/>
              </w:rPr>
              <w:t>засилване</w:t>
            </w:r>
            <w:r>
              <w:rPr>
                <w:rFonts w:ascii="Times New Roman" w:hAnsi="Times New Roman" w:cs="Times New Roman"/>
                <w:noProof/>
                <w:sz w:val="24"/>
                <w:szCs w:val="24"/>
              </w:rPr>
              <w:t xml:space="preserve"> за диалога с гражданското общество и научната общност и приобщаването им към </w:t>
            </w:r>
            <w:r>
              <w:rPr>
                <w:rFonts w:ascii="Times New Roman" w:hAnsi="Times New Roman" w:cs="Times New Roman"/>
                <w:strike/>
                <w:noProof/>
                <w:sz w:val="24"/>
                <w:szCs w:val="24"/>
              </w:rPr>
              <w:t>разработването и</w:t>
            </w:r>
            <w:r>
              <w:rPr>
                <w:rFonts w:ascii="Times New Roman" w:hAnsi="Times New Roman" w:cs="Times New Roman"/>
                <w:noProof/>
                <w:sz w:val="24"/>
                <w:szCs w:val="24"/>
              </w:rPr>
              <w:t xml:space="preserve"> </w:t>
            </w:r>
            <w:r>
              <w:rPr>
                <w:rFonts w:ascii="Times New Roman" w:hAnsi="Times New Roman" w:cs="Times New Roman"/>
                <w:b/>
                <w:noProof/>
                <w:sz w:val="24"/>
                <w:szCs w:val="24"/>
              </w:rPr>
              <w:t>формулирането, прилагането, мониторинга и оценката</w:t>
            </w:r>
            <w:r>
              <w:rPr>
                <w:rFonts w:ascii="Times New Roman" w:hAnsi="Times New Roman" w:cs="Times New Roman"/>
                <w:noProof/>
                <w:sz w:val="24"/>
                <w:szCs w:val="24"/>
              </w:rPr>
              <w:t xml:space="preserve"> на политиките за борба с наркотиците на равнище ДЧ и ЕС</w:t>
            </w:r>
          </w:p>
        </w:tc>
        <w:tc>
          <w:tcPr>
            <w:tcW w:w="1276"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60"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Председателство</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Форум на гражданското общество за наркотиците</w:t>
            </w:r>
          </w:p>
          <w:p>
            <w:pPr>
              <w:spacing w:after="100" w:afterAutospacing="1" w:line="240" w:lineRule="auto"/>
              <w:rPr>
                <w:rFonts w:ascii="Times New Roman" w:hAnsi="Times New Roman" w:cs="Times New Roman"/>
                <w:noProof/>
                <w:sz w:val="24"/>
                <w:szCs w:val="24"/>
              </w:rPr>
            </w:pPr>
          </w:p>
        </w:tc>
        <w:tc>
          <w:tcPr>
            <w:tcW w:w="3969" w:type="dxa"/>
            <w:tcBorders>
              <w:top w:val="single" w:sz="4" w:space="0" w:color="auto"/>
              <w:left w:val="single" w:sz="4" w:space="0" w:color="auto"/>
              <w:bottom w:val="single" w:sz="4" w:space="0" w:color="auto"/>
              <w:right w:val="single" w:sz="4" w:space="0" w:color="auto"/>
            </w:tcBorders>
          </w:tcPr>
          <w:p>
            <w:pPr>
              <w:numPr>
                <w:ilvl w:val="0"/>
                <w:numId w:val="29"/>
              </w:numPr>
              <w:tabs>
                <w:tab w:val="left" w:pos="317"/>
                <w:tab w:val="left" w:pos="743"/>
              </w:tabs>
              <w:spacing w:after="100" w:afterAutospacing="1" w:line="240" w:lineRule="auto"/>
              <w:ind w:left="318" w:hanging="284"/>
              <w:rPr>
                <w:rFonts w:ascii="Times New Roman" w:hAnsi="Times New Roman" w:cs="Times New Roman"/>
                <w:b/>
                <w:noProof/>
                <w:sz w:val="24"/>
                <w:szCs w:val="24"/>
              </w:rPr>
            </w:pPr>
            <w:r>
              <w:rPr>
                <w:rFonts w:ascii="Times New Roman" w:hAnsi="Times New Roman" w:cs="Times New Roman"/>
                <w:noProof/>
                <w:sz w:val="24"/>
                <w:szCs w:val="24"/>
              </w:rPr>
              <w:t xml:space="preserve">Навременно организиране на диалози между Форума на гражданското общество в ЕС по проблемите на наркотиците и HDG при всяко председателство </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Участие на Форума на гражданското общество в ЕС по проблемите на наркотиците при прегледа на изпълнението на плана за действие на ЕС относно наркотиците</w:t>
            </w:r>
          </w:p>
          <w:p>
            <w:pPr>
              <w:numPr>
                <w:ilvl w:val="0"/>
                <w:numId w:val="29"/>
              </w:numPr>
              <w:tabs>
                <w:tab w:val="left" w:pos="317"/>
                <w:tab w:val="left" w:pos="743"/>
              </w:tabs>
              <w:spacing w:after="100" w:afterAutospacing="1" w:line="240" w:lineRule="auto"/>
              <w:ind w:left="318" w:hanging="284"/>
              <w:rPr>
                <w:rFonts w:ascii="Times New Roman" w:hAnsi="Times New Roman" w:cs="Times New Roman"/>
                <w:strike/>
                <w:noProof/>
                <w:sz w:val="24"/>
                <w:szCs w:val="24"/>
              </w:rPr>
            </w:pPr>
            <w:r>
              <w:rPr>
                <w:rFonts w:ascii="Times New Roman" w:hAnsi="Times New Roman" w:cs="Times New Roman"/>
                <w:noProof/>
                <w:sz w:val="24"/>
                <w:szCs w:val="24"/>
              </w:rPr>
              <w:t xml:space="preserve">Степен на участие на гражданското общество във </w:t>
            </w:r>
            <w:r>
              <w:rPr>
                <w:rFonts w:ascii="Times New Roman" w:hAnsi="Times New Roman" w:cs="Times New Roman"/>
                <w:strike/>
                <w:noProof/>
                <w:sz w:val="24"/>
                <w:szCs w:val="24"/>
              </w:rPr>
              <w:t>разработването и</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формулирането, прилагането, мониторинга и оценката </w:t>
            </w:r>
            <w:r>
              <w:rPr>
                <w:rFonts w:ascii="Times New Roman" w:hAnsi="Times New Roman" w:cs="Times New Roman"/>
                <w:noProof/>
                <w:sz w:val="24"/>
                <w:szCs w:val="24"/>
              </w:rPr>
              <w:t>на политиките на ДЧ и на ЕС за борба с наркотиците</w:t>
            </w:r>
            <w:r>
              <w:rPr>
                <w:rFonts w:ascii="Times New Roman" w:hAnsi="Times New Roman" w:cs="Times New Roman"/>
                <w:strike/>
                <w:noProof/>
                <w:sz w:val="24"/>
                <w:szCs w:val="24"/>
              </w:rPr>
              <w:t>, като се обърне особено внимание на приобщаването на употребяващите наркотици, използващите услуги, свързани с употребата на наркотици, и младите хора</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Навременно организиране на диалози между научната общност (естествените и социалните науки, вкл. невронауките и поведенческите изследвания) и HDG</w:t>
            </w:r>
          </w:p>
          <w:p>
            <w:pPr>
              <w:numPr>
                <w:ilvl w:val="0"/>
                <w:numId w:val="29"/>
              </w:numPr>
              <w:tabs>
                <w:tab w:val="left" w:pos="317"/>
                <w:tab w:val="left" w:pos="743"/>
              </w:tabs>
              <w:spacing w:after="100" w:afterAutospacing="1" w:line="240" w:lineRule="auto"/>
              <w:ind w:left="317" w:hanging="283"/>
              <w:rPr>
                <w:rFonts w:ascii="Times New Roman" w:hAnsi="Times New Roman" w:cs="Times New Roman"/>
                <w:noProof/>
                <w:sz w:val="24"/>
                <w:szCs w:val="24"/>
              </w:rPr>
            </w:pPr>
            <w:r>
              <w:rPr>
                <w:rFonts w:ascii="Times New Roman" w:hAnsi="Times New Roman" w:cs="Times New Roman"/>
                <w:b/>
                <w:noProof/>
                <w:sz w:val="24"/>
                <w:szCs w:val="24"/>
              </w:rPr>
              <w:t>Разработване на база данни за улесняване на комуникациите в гражданското общество в ЕС по въпросите, свързани с политиките на ЕС и ДЧ за борба с наркотиците</w:t>
            </w:r>
          </w:p>
          <w:p>
            <w:pPr>
              <w:tabs>
                <w:tab w:val="left" w:pos="317"/>
                <w:tab w:val="left" w:pos="743"/>
              </w:tabs>
              <w:spacing w:after="100" w:afterAutospacing="1" w:line="240" w:lineRule="auto"/>
              <w:ind w:left="317" w:hanging="283"/>
              <w:rPr>
                <w:rFonts w:ascii="Times New Roman" w:hAnsi="Times New Roman" w:cs="Times New Roman"/>
                <w:b/>
                <w:noProof/>
                <w:sz w:val="24"/>
                <w:szCs w:val="24"/>
              </w:rPr>
            </w:pPr>
          </w:p>
        </w:tc>
        <w:tc>
          <w:tcPr>
            <w:tcW w:w="1592"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Комисия</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Двугодишен доклад</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за напредъка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pacing w:val="-6"/>
                <w:sz w:val="24"/>
                <w:szCs w:val="24"/>
              </w:rPr>
            </w:pPr>
            <w:r>
              <w:rPr>
                <w:rFonts w:ascii="Times New Roman" w:hAnsi="Times New Roman" w:cs="Times New Roman"/>
                <w:noProof/>
                <w:spacing w:val="-6"/>
                <w:sz w:val="24"/>
                <w:szCs w:val="24"/>
              </w:rPr>
              <w:t xml:space="preserve">Обратна информация от Форума на гражданското общество в ЕС по проблемите на наркотиците и от представителите на гражданското общество на равнището на ДЧ </w:t>
            </w:r>
            <w:r>
              <w:rPr>
                <w:rFonts w:ascii="Times New Roman" w:hAnsi="Times New Roman" w:cs="Times New Roman"/>
                <w:b/>
                <w:noProof/>
                <w:spacing w:val="-6"/>
                <w:sz w:val="24"/>
                <w:szCs w:val="24"/>
              </w:rPr>
              <w:t>и ЕС</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noProof/>
                <w:sz w:val="24"/>
                <w:szCs w:val="24"/>
              </w:rPr>
              <w:t>Обратна информация от научната общност чрез научния комитет на EMCDDA</w:t>
            </w:r>
          </w:p>
        </w:tc>
      </w:tr>
    </w:tbl>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br w:type="page"/>
      </w:r>
      <w:r>
        <w:rPr>
          <w:rFonts w:ascii="Times New Roman" w:hAnsi="Times New Roman" w:cs="Times New Roman"/>
          <w:b/>
          <w:noProof/>
          <w:sz w:val="24"/>
          <w:szCs w:val="24"/>
        </w:rPr>
        <w:t>4.</w:t>
      </w:r>
      <w:r>
        <w:rPr>
          <w:rFonts w:ascii="Times New Roman" w:hAnsi="Times New Roman" w:cs="Times New Roman"/>
          <w:noProof/>
          <w:sz w:val="24"/>
          <w:szCs w:val="24"/>
        </w:rPr>
        <w:tab/>
      </w:r>
      <w:r>
        <w:rPr>
          <w:rStyle w:val="Heading1Char"/>
          <w:rFonts w:eastAsiaTheme="minorHAnsi"/>
          <w:noProof/>
          <w:szCs w:val="24"/>
        </w:rPr>
        <w:t>Международно сътрудничество</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Засилване на диалога и сътрудничеството между ЕС и трети държави и международни организации по въпросите на наркотиците по всеобхватен и балансиран начин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536"/>
        <w:gridCol w:w="1276"/>
        <w:gridCol w:w="1559"/>
        <w:gridCol w:w="3402"/>
        <w:gridCol w:w="1559"/>
      </w:tblGrid>
      <w:tr>
        <w:trPr>
          <w:tblHeader/>
        </w:trPr>
        <w:tc>
          <w:tcPr>
            <w:tcW w:w="2093" w:type="dxa"/>
          </w:tcPr>
          <w:p>
            <w:pPr>
              <w:tabs>
                <w:tab w:val="left" w:pos="-142"/>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cs="Times New Roman"/>
                <w:b/>
                <w:noProof/>
                <w:sz w:val="24"/>
                <w:szCs w:val="24"/>
              </w:rPr>
              <w:t>Цел</w:t>
            </w:r>
          </w:p>
        </w:tc>
        <w:tc>
          <w:tcPr>
            <w:tcW w:w="4536"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noProof/>
                <w:sz w:val="24"/>
                <w:szCs w:val="24"/>
              </w:rPr>
              <w:t>Действие</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noProof/>
                <w:sz w:val="24"/>
                <w:szCs w:val="24"/>
              </w:rPr>
              <w:t>График</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noProof/>
                <w:sz w:val="24"/>
                <w:szCs w:val="24"/>
              </w:rPr>
              <w:t>Отговорна страна</w:t>
            </w:r>
          </w:p>
        </w:tc>
        <w:tc>
          <w:tcPr>
            <w:tcW w:w="3402" w:type="dxa"/>
          </w:tcPr>
          <w:p>
            <w:pPr>
              <w:tabs>
                <w:tab w:val="left" w:pos="459"/>
              </w:tabs>
              <w:spacing w:after="100" w:afterAutospacing="1" w:line="240" w:lineRule="auto"/>
              <w:ind w:left="459" w:hanging="425"/>
              <w:rPr>
                <w:rFonts w:ascii="Times New Roman" w:hAnsi="Times New Roman" w:cs="Times New Roman"/>
                <w:b/>
                <w:bCs/>
                <w:noProof/>
                <w:sz w:val="24"/>
                <w:szCs w:val="24"/>
              </w:rPr>
            </w:pPr>
            <w:r>
              <w:rPr>
                <w:rFonts w:ascii="Times New Roman" w:hAnsi="Times New Roman" w:cs="Times New Roman"/>
                <w:b/>
                <w:noProof/>
                <w:sz w:val="24"/>
                <w:szCs w:val="24"/>
              </w:rPr>
              <w:t>Показател(и)</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noProof/>
                <w:sz w:val="24"/>
                <w:szCs w:val="24"/>
              </w:rPr>
              <w:t xml:space="preserve">Механизми за събиране/оценка на данни </w:t>
            </w:r>
          </w:p>
        </w:tc>
      </w:tr>
      <w:tr>
        <w:trPr>
          <w:trHeight w:val="1285"/>
        </w:trPr>
        <w:tc>
          <w:tcPr>
            <w:tcW w:w="2093" w:type="dxa"/>
            <w:vMerge w:val="restart"/>
          </w:tcPr>
          <w:p>
            <w:pPr>
              <w:tabs>
                <w:tab w:val="left" w:pos="-142"/>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10. Интегриране на стратегията на ЕС за борба с наркотиците в цялостната рамка на външната политика на ЕС като част от всеобхватен подход, използващ пълноценно разнообразния набор от политики и дипломатически, политически и финансови инструменти, с които разполага ЕС, по един съгласуван и координиран начин</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i/>
                <w:noProof/>
                <w:sz w:val="24"/>
                <w:szCs w:val="24"/>
              </w:rPr>
            </w:pPr>
            <w:r>
              <w:rPr>
                <w:rFonts w:ascii="Times New Roman" w:hAnsi="Times New Roman" w:cs="Times New Roman"/>
                <w:noProof/>
                <w:sz w:val="24"/>
                <w:szCs w:val="24"/>
              </w:rPr>
              <w:t xml:space="preserve"> Осигуряване на съгласуваност на вътрешните и външните аспекти на политиките на ЕС за борба с наркотиците и цялостно интегриране на въпросите за наркотиците в политическите диалози и рамковите споразумения между ЕС и неговите партньори и в позицията, застъпвана от ЕС, по глобални въпроси или предизвикателства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ЕСВД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Председателство </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p>
        </w:tc>
        <w:tc>
          <w:tcPr>
            <w:tcW w:w="3402" w:type="dxa"/>
          </w:tcPr>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Трансверсален показател 13</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По-добро отразяване на приоритетите на политиката за борба с наркотиците във външните политики и действия на ЕС</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Включване на свързани с наркотиците приоритети в стратегиите на ЕС спрямо трети държави и региони</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Брой действащи споразумения, стратегически документи и планове за действие</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на ЕСВД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Междинен преглед на стратегията на ЕС за борба с наркотиците </w:t>
            </w:r>
          </w:p>
          <w:p>
            <w:pPr>
              <w:spacing w:after="100" w:afterAutospacing="1" w:line="240" w:lineRule="auto"/>
              <w:rPr>
                <w:rFonts w:ascii="Times New Roman" w:hAnsi="Times New Roman" w:cs="Times New Roman"/>
                <w:d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tc>
      </w:tr>
      <w:tr>
        <w:tc>
          <w:tcPr>
            <w:tcW w:w="2093" w:type="dxa"/>
            <w:vMerge/>
          </w:tcPr>
          <w:p>
            <w:pPr>
              <w:numPr>
                <w:ilvl w:val="0"/>
                <w:numId w:val="44"/>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Гарантиране, че политическите приоритети и балансът между намаляването на търсенето и на предлагането са добре отразени във вариантите на политиките и при планирането, предоставянето </w:t>
            </w:r>
            <w:r>
              <w:rPr>
                <w:rFonts w:ascii="Times New Roman" w:hAnsi="Times New Roman" w:cs="Times New Roman"/>
                <w:b/>
                <w:noProof/>
                <w:sz w:val="24"/>
                <w:szCs w:val="24"/>
              </w:rPr>
              <w:t>и мониторинга</w:t>
            </w:r>
            <w:r>
              <w:rPr>
                <w:rFonts w:ascii="Times New Roman" w:hAnsi="Times New Roman" w:cs="Times New Roman"/>
                <w:noProof/>
                <w:sz w:val="24"/>
                <w:szCs w:val="24"/>
              </w:rPr>
              <w:t xml:space="preserve"> на външната помощ, по-конкретно в държавите на произход и на транзит, чрез проекти, включващи:</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разработване на интегрирани, балансирани и основани на данни политики за борба с наркотиците;</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намаляване на предлагането;</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предотвратяване на отклоняването на прекурсори и предпрекурсори на наркотични вещества;</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намаляване на търсенето на наркотици; и </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алтернативни мерки за развитие. </w:t>
            </w:r>
          </w:p>
          <w:p>
            <w:pPr>
              <w:tabs>
                <w:tab w:val="left" w:pos="284"/>
                <w:tab w:val="left" w:pos="317"/>
              </w:tabs>
              <w:spacing w:after="100" w:afterAutospacing="1" w:line="240" w:lineRule="auto"/>
              <w:ind w:left="34"/>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tc>
        <w:tc>
          <w:tcPr>
            <w:tcW w:w="3402" w:type="dxa"/>
          </w:tcPr>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Степен, в която приоритетите на политиката на ЕС за борба с наркотиците, най-вече балансът между намаляването на търсенето и на предлагането, са отразени във финансираните приоритети и проекти</w:t>
            </w:r>
          </w:p>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Ниво на прилагане на координираните действия в плановете за действие на ЕС и трети държави и региони</w:t>
            </w:r>
          </w:p>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национални стратегии и планове за действие на трети държави, които включват интегрирани политики относно наркотиците</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ЕСВД относно планирането</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Доклади за мониторинг и оценка на програми на Комисията и ДЧ</w:t>
            </w:r>
          </w:p>
        </w:tc>
      </w:tr>
      <w:tr>
        <w:trPr>
          <w:trHeight w:val="1173"/>
        </w:trPr>
        <w:tc>
          <w:tcPr>
            <w:tcW w:w="2093" w:type="dxa"/>
            <w:vMerge/>
          </w:tcPr>
          <w:p>
            <w:pPr>
              <w:numPr>
                <w:ilvl w:val="0"/>
                <w:numId w:val="44"/>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Подобряване на капацитета и засилване на ролята на делегациите на ЕС, така че да могат да се ангажират проактивно по въпроси на политиката за борба с наркотиците </w:t>
            </w:r>
            <w:r>
              <w:rPr>
                <w:rFonts w:ascii="Times New Roman" w:hAnsi="Times New Roman" w:cs="Times New Roman"/>
                <w:b/>
                <w:noProof/>
                <w:sz w:val="24"/>
                <w:szCs w:val="24"/>
              </w:rPr>
              <w:t>и да докладват ефективно за местното състояние на борбата с наркотиците</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г.</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tc>
        <w:tc>
          <w:tcPr>
            <w:tcW w:w="3402" w:type="dxa"/>
          </w:tcPr>
          <w:p>
            <w:pPr>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Подходящ експертен опит, обучение и политически насоки, предоставени на делегациите на ЕС</w:t>
            </w:r>
          </w:p>
          <w:p>
            <w:pPr>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Укрепване на регионалните мрежи между делегациите на ЕС по въпросите на борбата с наркотиците</w:t>
            </w:r>
          </w:p>
          <w:p>
            <w:pPr>
              <w:numPr>
                <w:ilvl w:val="0"/>
                <w:numId w:val="39"/>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Засилване на координацията с ДЧ</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ЕСВД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на </w:t>
            </w:r>
            <w:r>
              <w:rPr>
                <w:rFonts w:ascii="Times New Roman" w:hAnsi="Times New Roman" w:cs="Times New Roman"/>
                <w:b/>
                <w:noProof/>
                <w:sz w:val="24"/>
                <w:szCs w:val="24"/>
              </w:rPr>
              <w:t>Комисията</w:t>
            </w:r>
            <w:r>
              <w:rPr>
                <w:rFonts w:ascii="Times New Roman" w:hAnsi="Times New Roman" w:cs="Times New Roman"/>
                <w:noProof/>
                <w:sz w:val="24"/>
                <w:szCs w:val="24"/>
              </w:rPr>
              <w:t xml:space="preserve">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делегациите на ЕС </w:t>
            </w:r>
          </w:p>
        </w:tc>
      </w:tr>
      <w:tr>
        <w:trPr>
          <w:trHeight w:val="719"/>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tabs>
                <w:tab w:val="left" w:pos="459"/>
              </w:tabs>
              <w:spacing w:after="100" w:afterAutospacing="1" w:line="240" w:lineRule="auto"/>
              <w:ind w:left="34"/>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Осигуряване на подходящо равнище на финансиране и експертен опит от ЕС и от ДЧ с оглед засилване и подкрепа за усилията на трети държави в борбата с отглеждането на култури за производство на забранени наркотици и предотвратяването му чрез мерки за развитие на селските райони, за да се преодолеят предизвикателствата пред общественото здраве, безопасност и сигурност </w:t>
            </w:r>
          </w:p>
          <w:p>
            <w:pPr>
              <w:tabs>
                <w:tab w:val="left" w:pos="317"/>
              </w:tabs>
              <w:spacing w:after="100" w:afterAutospacing="1" w:line="240" w:lineRule="auto"/>
              <w:ind w:left="360"/>
              <w:contextualSpacing/>
              <w:rPr>
                <w:rFonts w:ascii="Times New Roman" w:hAnsi="Times New Roman" w:cs="Times New Roman"/>
                <w:i/>
                <w:strike/>
                <w:noProof/>
                <w:sz w:val="24"/>
                <w:szCs w:val="24"/>
              </w:rPr>
            </w:pPr>
          </w:p>
          <w:p>
            <w:pPr>
              <w:tabs>
                <w:tab w:val="left" w:pos="317"/>
              </w:tabs>
              <w:spacing w:after="100" w:afterAutospacing="1" w:line="240" w:lineRule="auto"/>
              <w:contextualSpacing/>
              <w:rPr>
                <w:rFonts w:ascii="Times New Roman" w:hAnsi="Times New Roman" w:cs="Times New Roman"/>
                <w:b/>
                <w:i/>
                <w:strike/>
                <w:noProof/>
                <w:sz w:val="24"/>
                <w:szCs w:val="24"/>
              </w:rPr>
            </w:pPr>
          </w:p>
        </w:tc>
        <w:tc>
          <w:tcPr>
            <w:tcW w:w="1276"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Текущо</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ДЧ</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ЕСВД</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Комисия</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Брой национални политики, стратегии и планове за действие на трети държави, които включват интегрирани подходи към проблема с отглеждането на култури за производство на незаконни наркотици</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Подобрения в показателите за човешко развитие в районите на отглеждане на култури за производство на незаконни наркотици</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Брой на проектите и програмите за развитие на селските райони, финансирани от ЕС и държавите членки, в районите на отглеждане на култури за производство на забранени наркотични вещества или в районите, в които има риск от производство на забранени наркотични вещества  </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Данни за дългосрочното намаляване на местното отглеждане на култури за производство на незаконни наркотици</w:t>
            </w:r>
          </w:p>
          <w:p>
            <w:pPr>
              <w:tabs>
                <w:tab w:val="left" w:pos="459"/>
              </w:tabs>
              <w:spacing w:after="100" w:afterAutospacing="1" w:line="240" w:lineRule="auto"/>
              <w:contextualSpacing/>
              <w:rPr>
                <w:rFonts w:ascii="Times New Roman" w:hAnsi="Times New Roman" w:cs="Times New Roman"/>
                <w:strike/>
                <w:noProof/>
                <w:sz w:val="24"/>
                <w:szCs w:val="24"/>
              </w:rPr>
            </w:pPr>
          </w:p>
          <w:p>
            <w:pPr>
              <w:tabs>
                <w:tab w:val="left" w:pos="459"/>
              </w:tabs>
              <w:spacing w:after="100" w:afterAutospacing="1" w:line="240" w:lineRule="auto"/>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Системи и доклади за мониторинг и оценка на проекти и програми на ЕС и ДЧ</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Доклади за човешкото развитие на ПРООН</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Доклади на трети държави </w:t>
            </w:r>
          </w:p>
        </w:tc>
      </w:tr>
      <w:tr>
        <w:trPr>
          <w:trHeight w:val="638"/>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Популяризиране и прилагане на подхода на ЕС към алтернативното развитие (в съответствие със Стратегията на ЕС за борба с наркотиците за периода 2013 — 2020 г.; подхода на ЕС към алтернативното развитие и водещите принципи на ООН за алтернативното развитие за 2013 г.) в сътрудничество с трети държави, като се отчитат правата на човека, сигурността на хората и специфични рамкови условия, включително чрез:</w:t>
            </w:r>
          </w:p>
          <w:p>
            <w:pPr>
              <w:pStyle w:val="ListParagraph"/>
              <w:tabs>
                <w:tab w:val="left" w:pos="284"/>
              </w:tabs>
              <w:spacing w:after="100" w:afterAutospacing="1" w:line="240" w:lineRule="auto"/>
              <w:ind w:left="360"/>
              <w:rPr>
                <w:rFonts w:ascii="Times New Roman" w:hAnsi="Times New Roman" w:cs="Times New Roman"/>
                <w:noProof/>
                <w:sz w:val="24"/>
                <w:szCs w:val="24"/>
              </w:rPr>
            </w:pP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включване на алтернативното развитие в по-широката програма на държавите членки, като третите държави, които изразят желание за това, се насърчават да включат алтернативното развитие в националните си стратегии;</w:t>
            </w: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принос за инициативи, насочени към намаляване на бедността, конфликтите и уязвимостта, като се поощряват начини на живот, които са устойчиви, законосъобразни и отчитат разликите между половете, за лица, които са участвали или участват в производството на забранени наркотици; </w:t>
            </w: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предоставяне на подходящо равнище на финансиране и експертен опит от ЕС и от ДЧ с оглед засилване и подкрепа за усилията на държави извън ЕС в борбата с отглеждането на култури за производство на забранени наркотични вещества и предотвратяването му чрез мерки за развитие на селските райони, както и с производството на забранени наркотични вещества чрез полицейско и съдебно сътрудничество</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p>
            <w:pPr>
              <w:spacing w:after="100" w:afterAutospacing="1" w:line="240" w:lineRule="auto"/>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b/>
                <w:noProof/>
                <w:sz w:val="24"/>
                <w:szCs w:val="24"/>
              </w:rPr>
            </w:pPr>
          </w:p>
        </w:tc>
        <w:tc>
          <w:tcPr>
            <w:tcW w:w="3402" w:type="dxa"/>
          </w:tcPr>
          <w:p>
            <w:pPr>
              <w:numPr>
                <w:ilvl w:val="0"/>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Брой национални политики, стратегии и планове за действие на трети държави, които включват:</w:t>
            </w:r>
            <w:r>
              <w:rPr>
                <w:rFonts w:ascii="Times New Roman" w:hAnsi="Times New Roman" w:cs="Times New Roman"/>
                <w:b/>
                <w:noProof/>
                <w:sz w:val="24"/>
                <w:szCs w:val="24"/>
              </w:rPr>
              <w:t xml:space="preserve"> </w:t>
            </w:r>
          </w:p>
          <w:p>
            <w:pPr>
              <w:numPr>
                <w:ilvl w:val="1"/>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интегрирани подходи към проблема с отглеждането на култури за производство на забранени наркотични вещества и </w:t>
            </w:r>
          </w:p>
          <w:p>
            <w:pPr>
              <w:numPr>
                <w:ilvl w:val="1"/>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ефективно организиране на инициативи за алтернативно развитие </w:t>
            </w:r>
          </w:p>
          <w:p>
            <w:pPr>
              <w:numPr>
                <w:ilvl w:val="0"/>
                <w:numId w:val="60"/>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Брой оценени проекти, които показват позитивни резултати по отношение на начините на живот, които са устойчиви, законосъобразни и отчитат разликите между половете</w:t>
            </w:r>
          </w:p>
          <w:p>
            <w:pPr>
              <w:numPr>
                <w:ilvl w:val="0"/>
                <w:numId w:val="60"/>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cs="Times New Roman"/>
                <w:noProof/>
                <w:sz w:val="24"/>
                <w:szCs w:val="24"/>
              </w:rPr>
              <w:t>Подобрения в показателите за човешко развитие</w:t>
            </w:r>
          </w:p>
          <w:p>
            <w:pPr>
              <w:numPr>
                <w:ilvl w:val="0"/>
                <w:numId w:val="31"/>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cs="Times New Roman"/>
                <w:b/>
                <w:noProof/>
                <w:sz w:val="24"/>
                <w:szCs w:val="24"/>
              </w:rPr>
              <w:t xml:space="preserve">Брой на проектите и програмите за развитие на селските райони, финансирани от ЕС и държавите членки, в районите на отглеждане на култури за производство на забранени наркотични вещества или в районите, в които има риск от производство на забранени наркотични вещества </w:t>
            </w:r>
            <w:r>
              <w:rPr>
                <w:rFonts w:ascii="Times New Roman" w:hAnsi="Times New Roman" w:cs="Times New Roman"/>
                <w:b/>
                <w:strike/>
                <w:noProof/>
                <w:sz w:val="24"/>
                <w:szCs w:val="24"/>
              </w:rPr>
              <w:t xml:space="preserve"> </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Данни за дългосрочното намаляване на местното отглеждане на култури за производство на незаконни наркотици</w:t>
            </w:r>
          </w:p>
          <w:p>
            <w:pPr>
              <w:spacing w:after="100" w:afterAutospacing="1" w:line="240" w:lineRule="auto"/>
              <w:ind w:left="459"/>
              <w:contextualSpacing/>
              <w:rPr>
                <w:rFonts w:ascii="Times New Roman" w:hAnsi="Times New Roman" w:cs="Times New Roman"/>
                <w:b/>
                <w:noProof/>
                <w:sz w:val="24"/>
                <w:szCs w:val="24"/>
              </w:rPr>
            </w:pPr>
          </w:p>
          <w:p>
            <w:pPr>
              <w:spacing w:after="100" w:afterAutospacing="1" w:line="240" w:lineRule="auto"/>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за изпълнението на националните стратегии за наркотиците на трети държави</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за мониторинг и оценка на проекти и програми на ЕС и ДЧ</w:t>
            </w:r>
          </w:p>
          <w:p>
            <w:pPr>
              <w:spacing w:after="100" w:afterAutospacing="1" w:line="240" w:lineRule="auto"/>
              <w:rPr>
                <w:rFonts w:ascii="Times New Roman" w:hAnsi="Times New Roman" w:cs="Times New Roman"/>
                <w:i/>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за човешкото развитие на ПРООН</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b/>
                <w:noProof/>
                <w:sz w:val="24"/>
                <w:szCs w:val="24"/>
              </w:rPr>
              <w:t>Доклади на държави извън ЕС</w:t>
            </w:r>
          </w:p>
        </w:tc>
      </w:tr>
      <w:tr>
        <w:trPr>
          <w:trHeight w:val="528"/>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Подкрепа за трети държави, включително гражданското общество в тези държави, за развиването и прилагането на инициативи за ограничаване на рисковете и вредите, когато е налична нарастваща заплаха от предавани по кръвен път вируси, които се свързват с употребата на наркотици, но не само ХИВ и вирусен хепатит, както и на предавани по полов път болести и туберкулоза.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и качество на разработените инициативи за ограничаване на рисковете и вредите</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Брой на смъртните случаи, свързвани с употребата на наркотици, в трети държави и на предавани по кръвен път вируси, свързвани с употребата на наркотици, но не само ХИВ и вирусен хепатит, както и на предавани по полов път заболявания и туберкулоза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трети държави</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Двугодишен доклад на СОМ за напредъка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на СЗО  </w:t>
            </w:r>
          </w:p>
        </w:tc>
      </w:tr>
      <w:tr>
        <w:trPr>
          <w:trHeight w:val="1945"/>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Подпомагане на трети държави в борбата с организираната наркопрестъпност, вкл. наркотрафика, чрез:</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обмен на разузнавателни сведения и добри практики;</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укрепване на капацитета за борба с наркотиците и развиване на експертните познания за държавите на произход и държавите на транзит;</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сътрудничество с международните партньори за борба с факторите, улесняващи наркотрафика, като корупцията, слабите институции, лошото управление и липсата на финансов регулаторен контрол; </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засилване на сътрудничеството в областта на набелязването/откриването и възстановяването на активи, по-конкретно чрез създаването на специални национални платформи; и</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активизиране на регионалното и междурегионалното сътрудничество;</w:t>
            </w:r>
          </w:p>
          <w:p>
            <w:pPr>
              <w:pStyle w:val="ListParagraph"/>
              <w:pageBreakBefore/>
              <w:numPr>
                <w:ilvl w:val="0"/>
                <w:numId w:val="81"/>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включване на върховенството на закона и международните стандарти и принципи в областта на правата на човека в свързани с наркотиците мерки за правоприлагане</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p>
            <w:pPr>
              <w:spacing w:after="100" w:afterAutospacing="1" w:line="240" w:lineRule="auto"/>
              <w:rPr>
                <w:rFonts w:ascii="Times New Roman" w:hAnsi="Times New Roman" w:cs="Times New Roman"/>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S</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и ефективност на проектите и програмите</w:t>
            </w:r>
          </w:p>
          <w:p>
            <w:pPr>
              <w:widowControl w:val="0"/>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Траен спад на наркотрафика </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Комисия</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Двугодишен доклад за напредъка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 xml:space="preserve">Доклади на ДЧ </w:t>
            </w:r>
            <w:r>
              <w:rPr>
                <w:rFonts w:ascii="Times New Roman" w:hAnsi="Times New Roman" w:cs="Times New Roman"/>
                <w:b/>
                <w:noProof/>
                <w:sz w:val="24"/>
                <w:szCs w:val="24"/>
              </w:rPr>
              <w:t>и Комисията</w:t>
            </w:r>
            <w:r>
              <w:rPr>
                <w:rFonts w:ascii="Times New Roman" w:hAnsi="Times New Roman" w:cs="Times New Roman"/>
                <w:noProof/>
                <w:sz w:val="24"/>
                <w:szCs w:val="24"/>
              </w:rPr>
              <w:t xml:space="preserv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Европол</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ЕСВД</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Ежегоден световен доклад на UNODC относно наркотиците</w:t>
            </w:r>
          </w:p>
        </w:tc>
      </w:tr>
      <w:tr>
        <w:trPr>
          <w:trHeight w:val="592"/>
        </w:trPr>
        <w:tc>
          <w:tcPr>
            <w:tcW w:w="2093" w:type="dxa"/>
            <w:vMerge w:val="restart"/>
          </w:tcPr>
          <w:p>
            <w:pPr>
              <w:pageBreakBefore/>
              <w:tabs>
                <w:tab w:val="left" w:pos="-142"/>
              </w:tabs>
              <w:spacing w:after="100" w:afterAutospacing="1" w:line="240" w:lineRule="auto"/>
              <w:contextualSpacing/>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 Засилване на сътрудничеството и </w:t>
            </w:r>
            <w:r>
              <w:rPr>
                <w:rFonts w:ascii="Times New Roman" w:hAnsi="Times New Roman" w:cs="Times New Roman"/>
                <w:b/>
                <w:noProof/>
                <w:sz w:val="24"/>
                <w:szCs w:val="24"/>
              </w:rPr>
              <w:t>провеждане</w:t>
            </w:r>
            <w:r>
              <w:rPr>
                <w:rFonts w:ascii="Times New Roman" w:hAnsi="Times New Roman" w:cs="Times New Roman"/>
                <w:noProof/>
                <w:sz w:val="24"/>
                <w:szCs w:val="24"/>
              </w:rPr>
              <w:t xml:space="preserve"> на </w:t>
            </w:r>
            <w:r>
              <w:rPr>
                <w:rFonts w:ascii="Times New Roman" w:hAnsi="Times New Roman" w:cs="Times New Roman"/>
                <w:strike/>
                <w:noProof/>
                <w:sz w:val="24"/>
                <w:szCs w:val="24"/>
              </w:rPr>
              <w:t>актуализиране и прилагане на</w:t>
            </w:r>
            <w:r>
              <w:rPr>
                <w:rFonts w:ascii="Times New Roman" w:hAnsi="Times New Roman" w:cs="Times New Roman"/>
                <w:noProof/>
                <w:sz w:val="24"/>
                <w:szCs w:val="24"/>
              </w:rPr>
              <w:t xml:space="preserve"> диалози</w:t>
            </w:r>
            <w:r>
              <w:rPr>
                <w:rFonts w:ascii="Times New Roman" w:hAnsi="Times New Roman" w:cs="Times New Roman"/>
                <w:strike/>
                <w:noProof/>
                <w:sz w:val="24"/>
                <w:szCs w:val="24"/>
              </w:rPr>
              <w:t>те, декларациите и плановете за действие на ЕС относно наркотиците</w:t>
            </w:r>
            <w:r>
              <w:rPr>
                <w:rFonts w:ascii="Times New Roman" w:hAnsi="Times New Roman" w:cs="Times New Roman"/>
                <w:noProof/>
                <w:sz w:val="24"/>
                <w:szCs w:val="24"/>
              </w:rPr>
              <w:t xml:space="preserve"> с партньори, включително:</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присъединяващите се страни, страните кандидатки и потенциални кандидатки</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държавите в рамките на европейската политика за съседство</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Съединени американски щати  </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Руската федерация</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Други приоритетни държави или региони, по-специално:</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Афганистан и Пакистан </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централноазиатските републики</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Китай</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държавите в Латинска Америка и Карибския басейн (CELAC)</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Африка, по-конкретно Западна Африка</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Иран</w:t>
            </w:r>
          </w:p>
          <w:p>
            <w:pPr>
              <w:tabs>
                <w:tab w:val="left" w:pos="317"/>
              </w:tabs>
              <w:spacing w:after="100" w:afterAutospacing="1" w:line="240" w:lineRule="auto"/>
              <w:contextualSpacing/>
              <w:jc w:val="both"/>
              <w:rPr>
                <w:rFonts w:ascii="Times New Roman" w:hAnsi="Times New Roman" w:cs="Times New Roman"/>
                <w:strike/>
                <w:noProof/>
                <w:sz w:val="24"/>
                <w:szCs w:val="24"/>
              </w:rPr>
            </w:pPr>
          </w:p>
          <w:p>
            <w:pPr>
              <w:tabs>
                <w:tab w:val="left" w:pos="317"/>
              </w:tabs>
              <w:spacing w:after="100" w:afterAutospacing="1"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б) Проучване на възможностите за работа с други държави извън ЕС (като например двустранни диалози, съвместни проекти) по сериозни въпроси, свързани с наркотиците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Тройка</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tabs>
                <w:tab w:val="left" w:pos="317"/>
              </w:tabs>
              <w:spacing w:after="100" w:afterAutospacing="1" w:line="240" w:lineRule="auto"/>
              <w:contextualSpacing/>
              <w:rPr>
                <w:rFonts w:ascii="Times New Roman" w:hAnsi="Times New Roman" w:cs="Times New Roman"/>
                <w:strike/>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Трансверсален показател 13</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Засилено сътрудничество със съответните партньори в областта на наркотиците </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Организирани диалози</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 xml:space="preserve">Договорени декларации </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Изпълнени програми и планове за действие</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ЕСВД</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Междинен преглед на стратегията на ЕС за борба с наркотиците</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Модели на ЕС за отчитане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за изпълнението на приложимите планове за действие </w:t>
            </w:r>
          </w:p>
        </w:tc>
      </w:tr>
      <w:tr>
        <w:trPr>
          <w:trHeight w:val="2024"/>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Подобряване на консултативния механизъм на Дъблинската група чрез засилена координация и участие на ЕС, по-добро </w:t>
            </w:r>
            <w:r>
              <w:rPr>
                <w:rFonts w:ascii="Times New Roman" w:hAnsi="Times New Roman" w:cs="Times New Roman"/>
                <w:b/>
                <w:noProof/>
                <w:sz w:val="24"/>
                <w:szCs w:val="24"/>
              </w:rPr>
              <w:t>формулиране</w:t>
            </w:r>
            <w:r>
              <w:rPr>
                <w:rFonts w:ascii="Times New Roman" w:hAnsi="Times New Roman" w:cs="Times New Roman"/>
                <w:noProof/>
                <w:sz w:val="24"/>
                <w:szCs w:val="24"/>
              </w:rPr>
              <w:t xml:space="preserve">, прилагане и разпространение на нейните препоръки </w:t>
            </w:r>
            <w:r>
              <w:rPr>
                <w:rFonts w:ascii="Times New Roman" w:hAnsi="Times New Roman" w:cs="Times New Roman"/>
                <w:strike/>
                <w:noProof/>
                <w:sz w:val="24"/>
                <w:szCs w:val="24"/>
              </w:rPr>
              <w:t>от докладите на малката Дъблинска група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Дъблинска група</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Ритъм на дейност в структурите на Дъблинската група, вкл. брой ефективно приложени препоръки на Дъблинската група</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b/>
                <w:noProof/>
                <w:sz w:val="24"/>
                <w:szCs w:val="24"/>
              </w:rPr>
              <w:t>Постигнатa модернизация на методите на работа на Дъблинската група</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Дъблинската група</w:t>
            </w:r>
          </w:p>
        </w:tc>
      </w:tr>
      <w:tr>
        <w:trPr>
          <w:trHeight w:val="665"/>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tabs>
                <w:tab w:val="left" w:pos="459"/>
              </w:tabs>
              <w:spacing w:after="100" w:afterAutospacing="1" w:line="240" w:lineRule="auto"/>
              <w:ind w:left="34"/>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Ежегодно провеждане на диалог относно помощта на ЕС и на ДЧ за трети държави в областта на борбата с наркотиците, заедно с писмена актуализирана информация </w:t>
            </w:r>
          </w:p>
          <w:p>
            <w:pPr>
              <w:pStyle w:val="ListParagraph"/>
              <w:tabs>
                <w:tab w:val="left" w:pos="284"/>
              </w:tabs>
              <w:spacing w:after="100" w:afterAutospacing="1" w:line="240" w:lineRule="auto"/>
              <w:ind w:left="0"/>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От</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2014 г. </w:t>
            </w:r>
          </w:p>
          <w:p>
            <w:pPr>
              <w:spacing w:after="100" w:afterAutospacing="1" w:line="240" w:lineRule="auto"/>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Комисия</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ЕСВД</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ДЧ</w:t>
            </w:r>
          </w:p>
          <w:p>
            <w:pPr>
              <w:spacing w:after="100" w:afterAutospacing="1" w:line="240" w:lineRule="auto"/>
              <w:rPr>
                <w:rFonts w:ascii="Times New Roman" w:hAnsi="Times New Roman" w:cs="Times New Roman"/>
                <w:strike/>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strike/>
                <w:noProof/>
                <w:sz w:val="24"/>
                <w:szCs w:val="24"/>
              </w:rPr>
              <w:t xml:space="preserve">Ежегодно провеждане на диалог относно финансирането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Комисия </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за напредъка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Доклади на ДЧ</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Доклади на ЕСВД</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strike/>
                <w:noProof/>
                <w:sz w:val="24"/>
                <w:szCs w:val="24"/>
              </w:rPr>
              <w:t>Системи и доклади за мониторинг и оценка на проекти и програми</w:t>
            </w:r>
          </w:p>
        </w:tc>
      </w:tr>
      <w:tr>
        <w:trPr>
          <w:trHeight w:val="70"/>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Гарантиране, че утвърждаването и защитата на правата на човека са изцяло интегрирани в политическите диалози и в планирането и прилагането на съответните програми и проекти относно наркотиците, включително чрез </w:t>
            </w:r>
            <w:r>
              <w:rPr>
                <w:rFonts w:ascii="Times New Roman" w:hAnsi="Times New Roman" w:cs="Times New Roman"/>
                <w:b/>
                <w:noProof/>
                <w:sz w:val="24"/>
                <w:szCs w:val="24"/>
              </w:rPr>
              <w:t>прилагане на основания на права подход</w:t>
            </w:r>
            <w:r>
              <w:rPr>
                <w:rFonts w:ascii="Times New Roman" w:hAnsi="Times New Roman" w:cs="Times New Roman"/>
                <w:noProof/>
                <w:sz w:val="24"/>
                <w:szCs w:val="24"/>
              </w:rPr>
              <w:t xml:space="preserve"> </w:t>
            </w:r>
            <w:r>
              <w:rPr>
                <w:rFonts w:ascii="Times New Roman" w:hAnsi="Times New Roman" w:cs="Times New Roman"/>
                <w:b/>
                <w:noProof/>
                <w:sz w:val="24"/>
                <w:szCs w:val="24"/>
              </w:rPr>
              <w:t>и на специално адаптиран</w:t>
            </w:r>
            <w:r>
              <w:rPr>
                <w:rFonts w:ascii="Times New Roman" w:hAnsi="Times New Roman" w:cs="Times New Roman"/>
                <w:noProof/>
                <w:sz w:val="24"/>
                <w:szCs w:val="24"/>
              </w:rPr>
              <w:t xml:space="preserve"> инструмент за насоки по правата на човека и за оценка на въздействието </w:t>
            </w:r>
          </w:p>
          <w:p>
            <w:pPr>
              <w:tabs>
                <w:tab w:val="left" w:pos="317"/>
                <w:tab w:val="left" w:pos="742"/>
              </w:tabs>
              <w:spacing w:after="100" w:afterAutospacing="1" w:line="240" w:lineRule="auto"/>
              <w:contextualSpacing/>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tc>
        <w:tc>
          <w:tcPr>
            <w:tcW w:w="3402" w:type="dxa"/>
          </w:tcPr>
          <w:p>
            <w:pPr>
              <w:numPr>
                <w:ilvl w:val="0"/>
                <w:numId w:val="31"/>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Ефективно интегриране на правата на човека във външната дейност на ЕС по отношение на наркотиците</w:t>
            </w:r>
          </w:p>
          <w:p>
            <w:pPr>
              <w:widowControl w:val="0"/>
              <w:numPr>
                <w:ilvl w:val="0"/>
                <w:numId w:val="31"/>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cs="Times New Roman"/>
                <w:strike/>
                <w:noProof/>
                <w:sz w:val="24"/>
                <w:szCs w:val="24"/>
              </w:rPr>
              <w:t>Разработване и</w:t>
            </w:r>
            <w:r>
              <w:rPr>
                <w:rFonts w:ascii="Times New Roman" w:hAnsi="Times New Roman" w:cs="Times New Roman"/>
                <w:noProof/>
                <w:sz w:val="24"/>
                <w:szCs w:val="24"/>
              </w:rPr>
              <w:t xml:space="preserve"> Прилагане на инструмент за насоки по правата на човека и за оценка на въздействието</w:t>
            </w:r>
          </w:p>
          <w:p>
            <w:pPr>
              <w:tabs>
                <w:tab w:val="left" w:pos="459"/>
              </w:tabs>
              <w:spacing w:after="100" w:afterAutospacing="1" w:line="240" w:lineRule="auto"/>
              <w:contextualSpacing/>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Двугодишен доклад на СОМ за напредъка</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Ежегоден доклад на COHOM относно правата на човека</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tc>
      </w:tr>
      <w:tr>
        <w:trPr>
          <w:trHeight w:val="1378"/>
        </w:trPr>
        <w:tc>
          <w:tcPr>
            <w:tcW w:w="2093" w:type="dxa"/>
            <w:vMerge w:val="restart"/>
          </w:tcPr>
          <w:p>
            <w:pPr>
              <w:pageBreakBefore/>
              <w:tabs>
                <w:tab w:val="left" w:pos="-142"/>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12. Подобряване на последователността на подхода на ЕС и на видимостта на ЕС в ООН и засилване на координацията на ЕС с международните органи в областта на наркотиците</w:t>
            </w: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Принос за изготвянето на програмата на международната политика относно наркотиците, включително чрез: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действия на ЕС и на делегациите на ДЧ в Общото събрание на ООН и Комисията на ООН по наркотичните вещества (CND);</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действия на ЕС и на делегациите на ДЧ на всички форуми на ООН по въпросите на наркотиците (като например Общото събрание на ООН, Световната здравна асамблея, Съвета на ООН по правата на човека, Политическия форум на високо равнище за устойчиво развитие)</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подготовка, координация и приемане на общи позиции на ЕС и на съвместни резолюции в рамките на Общото събрание на ООН и Комисията по наркотични вещества (CND), </w:t>
            </w:r>
            <w:r>
              <w:rPr>
                <w:rFonts w:ascii="Times New Roman" w:hAnsi="Times New Roman" w:cs="Times New Roman"/>
                <w:b/>
                <w:noProof/>
                <w:sz w:val="24"/>
                <w:szCs w:val="24"/>
              </w:rPr>
              <w:t>включително относно списъците с вещества преди сесията на тази комисия</w:t>
            </w:r>
            <w:r>
              <w:rPr>
                <w:rFonts w:ascii="Times New Roman" w:hAnsi="Times New Roman" w:cs="Times New Roman"/>
                <w:noProof/>
                <w:sz w:val="24"/>
                <w:szCs w:val="24"/>
              </w:rPr>
              <w:t>, както и осигуряване на единен и силен глас на ЕС на тези и други международни форуми;</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 xml:space="preserve">изпълнение на препоръките на заключителния документ от специалната сесия на Общото събрание на ООН от 2016 г.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преглед през </w:t>
            </w:r>
            <w:r>
              <w:rPr>
                <w:rFonts w:ascii="Times New Roman" w:hAnsi="Times New Roman" w:cs="Times New Roman"/>
                <w:b/>
                <w:noProof/>
                <w:sz w:val="24"/>
                <w:szCs w:val="24"/>
              </w:rPr>
              <w:t>2019 г.</w:t>
            </w:r>
            <w:r>
              <w:rPr>
                <w:rFonts w:ascii="Times New Roman" w:hAnsi="Times New Roman" w:cs="Times New Roman"/>
                <w:noProof/>
                <w:sz w:val="24"/>
                <w:szCs w:val="24"/>
              </w:rPr>
              <w:t xml:space="preserve"> на приетите през 2009 г. политическа декларация и план за действие на ООН за международно сътрудничество за постигане на интегрирана и балансирана стратегия за справяне с международния проблем с наркотиците; и</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b/>
                <w:noProof/>
                <w:sz w:val="24"/>
                <w:szCs w:val="24"/>
              </w:rPr>
              <w:t>гарантиране на пълноценното участие на гражданското общество в процеса на преглед</w:t>
            </w:r>
          </w:p>
          <w:p>
            <w:pPr>
              <w:tabs>
                <w:tab w:val="left" w:pos="317"/>
              </w:tabs>
              <w:spacing w:after="100" w:afterAutospacing="1" w:line="240" w:lineRule="auto"/>
              <w:ind w:left="720"/>
              <w:contextualSpacing/>
              <w:rPr>
                <w:rFonts w:ascii="Times New Roman" w:hAnsi="Times New Roman" w:cs="Times New Roman"/>
                <w:b/>
                <w:i/>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Председателство</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tc>
        <w:tc>
          <w:tcPr>
            <w:tcW w:w="3402" w:type="dxa"/>
          </w:tcPr>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Трансверсален показател 13</w:t>
            </w:r>
          </w:p>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Брой изявления на ЕС на форумите на ООН и пред CND</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общи позиции на ЕС, подкрепени от други региони и международни органи</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Брой общи позиции на ЕС относно решенията на Комисията по наркотичните вещества (CND) относно списъците с вещества</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Резултат от решенията на Комисията по наркотичните вещества (CND) относно списъците с вещества</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Честота, с която ЕС заема единна и ефективна позиция на международните форуми и при диалозите с трети държави</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успешно приети резолюции на ЕС в ООН, вкл. в CND</w:t>
            </w:r>
          </w:p>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Ефективно популяризиране на политиките на ЕС в ООН, вкл. в CND</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Приемане на документ за обща позиция на ЕС за процеса на преразглеждане през 2019 г.; Принос на ЕС към определението от страна на CND на реда на протичане на процеса през 2019 г.</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Резултати от </w:t>
            </w:r>
            <w:r>
              <w:rPr>
                <w:rFonts w:ascii="Times New Roman" w:hAnsi="Times New Roman" w:cs="Times New Roman"/>
                <w:b/>
                <w:noProof/>
                <w:sz w:val="24"/>
                <w:szCs w:val="24"/>
              </w:rPr>
              <w:t>прегледа през 2019 г.</w:t>
            </w:r>
            <w:r>
              <w:rPr>
                <w:rFonts w:ascii="Times New Roman" w:hAnsi="Times New Roman" w:cs="Times New Roman"/>
                <w:noProof/>
                <w:sz w:val="24"/>
                <w:szCs w:val="24"/>
              </w:rPr>
              <w:t xml:space="preserve"> на политическата декларация и плана за действие на ООН за международно сътрудничество за постигане на интегрирана и балансирана стратегия за справяне с международния проблем с наркотиците</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на ЕСВД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Междинен преглед на стратегията на ЕС за борба с наркотиците</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Индикатор на сближаването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Междинен преглед</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UNGASS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Резултати от </w:t>
            </w:r>
            <w:r>
              <w:rPr>
                <w:rFonts w:ascii="Times New Roman" w:hAnsi="Times New Roman" w:cs="Times New Roman"/>
                <w:b/>
                <w:noProof/>
                <w:sz w:val="24"/>
                <w:szCs w:val="24"/>
              </w:rPr>
              <w:t>прегледа през 2019 г.</w:t>
            </w:r>
          </w:p>
        </w:tc>
      </w:tr>
      <w:tr>
        <w:trPr>
          <w:trHeight w:val="889"/>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Укрепване на партньорството със UNODC, СЗО, UNAIDS и други компетентни агенции на ООН, международни и регионални органи и организации и инициативи (като Съвета на Европа и инициативата „Парижки пакт“)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Съвет</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ЕСВД</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Председателство</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Работна група на Съвета</w:t>
            </w:r>
            <w:r>
              <w:rPr>
                <w:rFonts w:ascii="Times New Roman" w:hAnsi="Times New Roman" w:cs="Times New Roman"/>
                <w:noProof/>
                <w:sz w:val="24"/>
                <w:szCs w:val="24"/>
              </w:rPr>
              <w:t xml:space="preserve"> (HDG)</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EMCDDA</w:t>
            </w:r>
          </w:p>
          <w:p>
            <w:pPr>
              <w:spacing w:after="100" w:afterAutospacing="1" w:line="240" w:lineRule="auto"/>
              <w:rPr>
                <w:rFonts w:ascii="Times New Roman" w:hAnsi="Times New Roman" w:cs="Times New Roman"/>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 xml:space="preserve">Трансверсални показатели 13, </w:t>
            </w:r>
            <w:r>
              <w:rPr>
                <w:rFonts w:ascii="Times New Roman" w:hAnsi="Times New Roman" w:cs="Times New Roman"/>
                <w:b/>
                <w:noProof/>
                <w:sz w:val="24"/>
                <w:szCs w:val="24"/>
              </w:rPr>
              <w:t>15</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cs="Times New Roman"/>
                <w:noProof/>
                <w:sz w:val="24"/>
                <w:szCs w:val="24"/>
              </w:rPr>
              <w:t>Брой случаи на обмен на информация и съвместни дейности на ЕС и компетентни международни и регионални органи и организации и инициативи</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Ефективност на партньорствата със съответните органи</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Доклади на ЕСВД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Междинен преглед на стратегията на ЕС за борба с наркотиците</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strike/>
                <w:noProof/>
                <w:sz w:val="24"/>
                <w:szCs w:val="24"/>
              </w:rPr>
            </w:pPr>
          </w:p>
        </w:tc>
      </w:tr>
      <w:tr>
        <w:trPr>
          <w:trHeight w:val="386"/>
        </w:trPr>
        <w:tc>
          <w:tcPr>
            <w:tcW w:w="2093" w:type="dxa"/>
            <w:tcBorders>
              <w:top w:val="single" w:sz="4" w:space="0" w:color="auto"/>
              <w:left w:val="single" w:sz="4" w:space="0" w:color="auto"/>
              <w:bottom w:val="single" w:sz="4" w:space="0" w:color="auto"/>
              <w:right w:val="single" w:sz="4" w:space="0" w:color="auto"/>
            </w:tcBorders>
          </w:tcPr>
          <w:p>
            <w:pPr>
              <w:tabs>
                <w:tab w:val="left" w:pos="-142"/>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13. Подпомагане на присъединяващите се страни, страните кандидатки и потенциални кандидатки в процеса на адаптиране и привеждане в съответствие с достиженията на правото на ЕС в областта на наркотиците чрез целенасочена помощ и мониторинг</w:t>
            </w:r>
          </w:p>
        </w:tc>
        <w:tc>
          <w:tcPr>
            <w:tcW w:w="4536" w:type="dxa"/>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Осигуряване на целева техническа помощ и, когато е необходимо, на друга помощ и подкрепа, за присъединяващите се страни, страните кандидатки и потенциални кандидатки, така че да се улесни адаптацията и привеждането им в съответствие с достиженията на правото на ЕС в областта на наркотиците </w:t>
            </w:r>
          </w:p>
          <w:p>
            <w:pPr>
              <w:tabs>
                <w:tab w:val="left" w:pos="317"/>
              </w:tabs>
              <w:spacing w:after="100" w:afterAutospacing="1" w:line="240" w:lineRule="auto"/>
              <w:contextualSpacing/>
              <w:rPr>
                <w:rFonts w:ascii="Times New Roman" w:hAnsi="Times New Roman" w:cs="Times New Roman"/>
                <w:strike/>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Евроюст</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FRONTEX</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ЕСВД</w:t>
            </w:r>
          </w:p>
        </w:tc>
        <w:tc>
          <w:tcPr>
            <w:tcW w:w="3402" w:type="dxa"/>
            <w:tcBorders>
              <w:top w:val="single" w:sz="4" w:space="0" w:color="auto"/>
              <w:left w:val="single" w:sz="4" w:space="0" w:color="auto"/>
              <w:bottom w:val="single" w:sz="4" w:space="0" w:color="auto"/>
              <w:right w:val="single" w:sz="4" w:space="0" w:color="auto"/>
            </w:tcBorders>
          </w:tcPr>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b/>
                <w:noProof/>
                <w:sz w:val="24"/>
                <w:szCs w:val="24"/>
              </w:rPr>
              <w:t>Трансверсален показател 15</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Подобряване на спазването от страните на достиженията на правото на ЕС</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cs="Times New Roman"/>
                <w:noProof/>
                <w:sz w:val="24"/>
                <w:szCs w:val="24"/>
              </w:rPr>
              <w:t>Брой и качество на завършените проекти</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cs="Times New Roman"/>
                <w:noProof/>
                <w:sz w:val="24"/>
                <w:szCs w:val="24"/>
              </w:rPr>
              <w:t>Създадени национални стратегии за наркотиците и национални структури за координация по въпросите на наркотиците</w:t>
            </w:r>
          </w:p>
        </w:tc>
        <w:tc>
          <w:tcPr>
            <w:tcW w:w="1559"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Двугодишен доклад на Комисията за напредъка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присъединяващите се страни, страните кандидатки и потенциални кандидатки</w:t>
            </w:r>
          </w:p>
        </w:tc>
      </w:tr>
    </w:tbl>
    <w:p>
      <w:pPr>
        <w:pStyle w:val="Heading1"/>
        <w:numPr>
          <w:ilvl w:val="0"/>
          <w:numId w:val="69"/>
        </w:numPr>
        <w:spacing w:before="0" w:after="100" w:afterAutospacing="1"/>
        <w:rPr>
          <w:noProof/>
          <w:szCs w:val="24"/>
        </w:rPr>
      </w:pPr>
      <w:r>
        <w:rPr>
          <w:noProof/>
          <w:szCs w:val="24"/>
        </w:rPr>
        <w:br w:type="page"/>
      </w:r>
      <w:bookmarkStart w:id="4" w:name="_Toc472523118"/>
      <w:r>
        <w:rPr>
          <w:noProof/>
          <w:szCs w:val="24"/>
        </w:rPr>
        <w:t>Информация, научни изследвания, мониторинг и оценка</w:t>
      </w:r>
      <w:bookmarkEnd w:id="4"/>
    </w:p>
    <w:p>
      <w:pPr>
        <w:spacing w:after="100" w:afterAutospacing="1" w:line="240" w:lineRule="auto"/>
        <w:rPr>
          <w:rFonts w:ascii="Times New Roman" w:hAnsi="Times New Roman" w:cs="Times New Roman"/>
          <w:b/>
          <w:bCs/>
          <w:noProof/>
          <w:sz w:val="24"/>
          <w:szCs w:val="24"/>
        </w:rPr>
      </w:pPr>
      <w:r>
        <w:rPr>
          <w:rFonts w:ascii="Times New Roman" w:hAnsi="Times New Roman" w:cs="Times New Roman"/>
          <w:noProof/>
          <w:sz w:val="24"/>
          <w:szCs w:val="24"/>
        </w:rPr>
        <w:t>Да се способства за по-добро разбиране на всички аспекти на проблема с наркотиците и на ефекта от мерките, за да се осигури солидна и цялостна обективна основа за определяне на политиките и действията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536"/>
        <w:gridCol w:w="1276"/>
        <w:gridCol w:w="1559"/>
        <w:gridCol w:w="3544"/>
        <w:gridCol w:w="1559"/>
      </w:tblGrid>
      <w:tr>
        <w:trPr>
          <w:tblHeader/>
        </w:trPr>
        <w:tc>
          <w:tcPr>
            <w:tcW w:w="1809" w:type="dxa"/>
          </w:tcPr>
          <w:p>
            <w:pPr>
              <w:tabs>
                <w:tab w:val="left" w:pos="284"/>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cs="Times New Roman"/>
                <w:b/>
                <w:noProof/>
                <w:sz w:val="24"/>
                <w:szCs w:val="24"/>
              </w:rPr>
              <w:t>Цел</w:t>
            </w:r>
          </w:p>
        </w:tc>
        <w:tc>
          <w:tcPr>
            <w:tcW w:w="4536"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noProof/>
                <w:sz w:val="24"/>
                <w:szCs w:val="24"/>
              </w:rPr>
              <w:t>Действие</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noProof/>
                <w:sz w:val="24"/>
                <w:szCs w:val="24"/>
              </w:rPr>
              <w:t>График</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noProof/>
                <w:sz w:val="24"/>
                <w:szCs w:val="24"/>
              </w:rPr>
              <w:t>Отговорна страна</w:t>
            </w:r>
          </w:p>
        </w:tc>
        <w:tc>
          <w:tcPr>
            <w:tcW w:w="3544"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cs="Times New Roman"/>
                <w:b/>
                <w:noProof/>
                <w:sz w:val="24"/>
                <w:szCs w:val="24"/>
              </w:rPr>
              <w:t>Показател(и)</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cs="Times New Roman"/>
                <w:b/>
                <w:noProof/>
                <w:sz w:val="24"/>
                <w:szCs w:val="24"/>
              </w:rPr>
              <w:t xml:space="preserve">Механизми за събиране/оценка на данни </w:t>
            </w:r>
          </w:p>
        </w:tc>
      </w:tr>
      <w:tr>
        <w:trPr>
          <w:trHeight w:val="451"/>
        </w:trPr>
        <w:tc>
          <w:tcPr>
            <w:tcW w:w="1809" w:type="dxa"/>
          </w:tcPr>
          <w:p>
            <w:p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14. Осигуряване на достатъчно инвестиции в научни изследвания, събиране на данни, мониторинг, оценки и обмен на информация относно всички аспекти на проблема с наркотиците </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Насърчаване на достатъчно финансиране на свързани с борбата с наркотиците мултидисциплинарни научни изследвания и проучвания на равнище ЕС, в т.ч. чрез свързани с ЕС финансови програми (2014 — 2020 г.)</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г.</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EMCDDA</w:t>
            </w:r>
          </w:p>
          <w:p>
            <w:pPr>
              <w:spacing w:after="100" w:afterAutospacing="1" w:line="240" w:lineRule="auto"/>
              <w:rPr>
                <w:rFonts w:ascii="Times New Roman" w:hAnsi="Times New Roman" w:cs="Times New Roman"/>
                <w:strike/>
                <w:noProof/>
                <w:sz w:val="24"/>
                <w:szCs w:val="24"/>
              </w:rPr>
            </w:pPr>
          </w:p>
        </w:tc>
        <w:tc>
          <w:tcPr>
            <w:tcW w:w="3544" w:type="dxa"/>
          </w:tcPr>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Размер и вид на финансирането от ЕС, предвидено по различни програми и проекти</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Комисия </w:t>
            </w: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w:t>
            </w: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на ежегодния диалог по научноизследователски въпроси</w:t>
            </w:r>
            <w:r>
              <w:rPr>
                <w:rFonts w:ascii="Times New Roman" w:hAnsi="Times New Roman" w:cs="Times New Roman"/>
                <w:noProof/>
                <w:sz w:val="24"/>
                <w:szCs w:val="24"/>
              </w:rPr>
              <w:t xml:space="preserve"> </w:t>
            </w:r>
            <w:r>
              <w:rPr>
                <w:rFonts w:ascii="Times New Roman" w:hAnsi="Times New Roman" w:cs="Times New Roman"/>
                <w:strike/>
                <w:noProof/>
                <w:sz w:val="24"/>
                <w:szCs w:val="24"/>
              </w:rPr>
              <w:t>Двугодишен доклад за напредъка</w:t>
            </w:r>
            <w:r>
              <w:rPr>
                <w:rFonts w:ascii="Times New Roman" w:hAnsi="Times New Roman" w:cs="Times New Roman"/>
                <w:noProof/>
                <w:sz w:val="24"/>
                <w:szCs w:val="24"/>
              </w:rPr>
              <w:t xml:space="preserve"> </w:t>
            </w:r>
          </w:p>
        </w:tc>
      </w:tr>
      <w:tr>
        <w:trPr>
          <w:trHeight w:val="3892"/>
        </w:trPr>
        <w:tc>
          <w:tcPr>
            <w:tcW w:w="1809" w:type="dxa"/>
          </w:tcPr>
          <w:p>
            <w:pPr>
              <w:pageBreakBefore/>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Гарантиране, че подпомаганите от ЕС проекти: </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са съобразени с приоритетите на стратегията и плана за действие на ЕС за борба с наркотиците;</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вземат предвид пропуските във формулирането на политиките;</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постигат ясна добавена стойност и осигуряват съгласуваност и единодействие; и </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избягват дублиране с научни изследвания, осъществявани по други програми и от други органи</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са съобразени със значението на поведенческите изследвания и невронауките</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t>
            </w:r>
          </w:p>
          <w:p>
            <w:pPr>
              <w:pStyle w:val="ListParagraph"/>
              <w:pageBreakBefore/>
              <w:numPr>
                <w:ilvl w:val="0"/>
                <w:numId w:val="8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включват ясни показатели за измерване на тяхното въздействие</w:t>
            </w:r>
          </w:p>
          <w:p>
            <w:pPr>
              <w:pStyle w:val="ListParagraph"/>
              <w:tabs>
                <w:tab w:val="left" w:pos="858"/>
              </w:tabs>
              <w:spacing w:after="100" w:afterAutospacing="1" w:line="240" w:lineRule="auto"/>
              <w:ind w:left="0"/>
              <w:rPr>
                <w:rFonts w:ascii="Times New Roman" w:hAnsi="Times New Roman" w:cs="Times New Roman"/>
                <w:noProof/>
                <w:sz w:val="24"/>
                <w:szCs w:val="24"/>
              </w:rPr>
            </w:pPr>
          </w:p>
          <w:p>
            <w:pPr>
              <w:pStyle w:val="ListParagraph"/>
              <w:tabs>
                <w:tab w:val="left" w:pos="858"/>
              </w:tabs>
              <w:spacing w:after="100" w:afterAutospacing="1" w:line="240" w:lineRule="auto"/>
              <w:ind w:left="1080"/>
              <w:rPr>
                <w:rFonts w:ascii="Times New Roman" w:hAnsi="Times New Roman" w:cs="Times New Roman"/>
                <w:b/>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г.</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tc>
        <w:tc>
          <w:tcPr>
            <w:tcW w:w="3544" w:type="dxa"/>
          </w:tcPr>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Включване на приоритетите на стратегията и плана за действие на ЕС за борба с наркотиците в критериите за финансиране и оценка на финансираните от ЕС научни изследвания в областта на наркотиците </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Брой, въздействие, допълняемост и стойност на финансираните от ЕС безвъзмездни средства и възложени проекти за научни изследвания в областта на наркотиците </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Брой на финансираните от ЕС публикации и доклади за научни изследвания в областта на наркотиците, публикувани в специализирани научни списания с висок фактор на въздействие</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Ежегоден дебат в HDG, посветен на свързаните с наркотици проекти за научни изследвания, финансирани от ЕС, </w:t>
            </w:r>
            <w:r>
              <w:rPr>
                <w:rFonts w:ascii="Times New Roman" w:hAnsi="Times New Roman" w:cs="Times New Roman"/>
                <w:b/>
                <w:noProof/>
                <w:sz w:val="24"/>
                <w:szCs w:val="24"/>
              </w:rPr>
              <w:t xml:space="preserve">включително препоръки на научния комитет на EMCDDA относно изследователските приоритети  </w:t>
            </w:r>
          </w:p>
          <w:p>
            <w:pPr>
              <w:tabs>
                <w:tab w:val="left" w:pos="317"/>
              </w:tabs>
              <w:spacing w:after="100" w:afterAutospacing="1" w:line="240" w:lineRule="auto"/>
              <w:ind w:left="317" w:hanging="283"/>
              <w:contextualSpacing/>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за научни изследвания</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Изготвени от научния комитет на EMCDDA препоръки относно приоритетите в научните изследвания</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Индекс на цитирането на научни публикации и други подобни библиометрични средства</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br/>
              <w:t xml:space="preserve">Програма за стратегически изследвания, </w:t>
            </w:r>
            <w:r>
              <w:rPr>
                <w:rFonts w:ascii="Times New Roman" w:hAnsi="Times New Roman" w:cs="Times New Roman"/>
                <w:b/>
                <w:noProof/>
                <w:sz w:val="24"/>
                <w:szCs w:val="24"/>
              </w:rPr>
              <w:t>разработена от ERANID</w:t>
            </w:r>
            <w:r>
              <w:rPr>
                <w:rFonts w:ascii="Times New Roman" w:hAnsi="Times New Roman" w:cs="Times New Roman"/>
                <w:noProof/>
                <w:color w:val="000000"/>
                <w:sz w:val="24"/>
                <w:szCs w:val="24"/>
              </w:rPr>
              <w:t xml:space="preserve"> </w:t>
            </w:r>
          </w:p>
        </w:tc>
      </w:tr>
      <w:tr>
        <w:trPr>
          <w:trHeight w:val="1063"/>
        </w:trPr>
        <w:tc>
          <w:tcPr>
            <w:tcW w:w="1809" w:type="dxa"/>
            <w:tcBorders>
              <w:bottom w:val="single" w:sz="4" w:space="0" w:color="auto"/>
            </w:tcBorders>
          </w:tcPr>
          <w:p>
            <w:pPr>
              <w:pageBreakBefore/>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Borders>
              <w:bottom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Насърчаване на </w:t>
            </w:r>
            <w:r>
              <w:rPr>
                <w:rFonts w:ascii="Times New Roman" w:hAnsi="Times New Roman" w:cs="Times New Roman"/>
                <w:strike/>
                <w:noProof/>
                <w:sz w:val="24"/>
                <w:szCs w:val="24"/>
              </w:rPr>
              <w:t>научните</w:t>
            </w:r>
            <w:r>
              <w:rPr>
                <w:rFonts w:ascii="Times New Roman" w:hAnsi="Times New Roman" w:cs="Times New Roman"/>
                <w:noProof/>
                <w:sz w:val="24"/>
                <w:szCs w:val="24"/>
              </w:rPr>
              <w:t xml:space="preserve"> </w:t>
            </w:r>
            <w:r>
              <w:rPr>
                <w:rFonts w:ascii="Times New Roman" w:hAnsi="Times New Roman" w:cs="Times New Roman"/>
                <w:b/>
                <w:noProof/>
                <w:sz w:val="24"/>
                <w:szCs w:val="24"/>
              </w:rPr>
              <w:t>основани на факти</w:t>
            </w:r>
            <w:r>
              <w:rPr>
                <w:rFonts w:ascii="Times New Roman" w:hAnsi="Times New Roman" w:cs="Times New Roman"/>
                <w:noProof/>
                <w:sz w:val="24"/>
                <w:szCs w:val="24"/>
              </w:rPr>
              <w:t xml:space="preserve"> оценки на политиките и интервенциите на национално и международно равнище и на равнище ЕС</w:t>
            </w:r>
          </w:p>
        </w:tc>
        <w:tc>
          <w:tcPr>
            <w:tcW w:w="1276"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2017 — 2020 г.</w:t>
            </w:r>
          </w:p>
        </w:tc>
        <w:tc>
          <w:tcPr>
            <w:tcW w:w="1559"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r>
              <w:rPr>
                <w:rFonts w:ascii="Times New Roman" w:hAnsi="Times New Roman" w:cs="Times New Roman"/>
                <w:noProof/>
                <w:sz w:val="24"/>
                <w:szCs w:val="24"/>
              </w:rPr>
              <w:br/>
              <w:t>EMCDDA</w:t>
            </w:r>
          </w:p>
          <w:p>
            <w:pPr>
              <w:spacing w:after="100" w:afterAutospacing="1" w:line="240" w:lineRule="auto"/>
              <w:rPr>
                <w:rFonts w:ascii="Times New Roman" w:hAnsi="Times New Roman" w:cs="Times New Roman"/>
                <w:noProof/>
                <w:sz w:val="24"/>
                <w:szCs w:val="24"/>
              </w:rPr>
            </w:pPr>
          </w:p>
        </w:tc>
        <w:tc>
          <w:tcPr>
            <w:tcW w:w="3544" w:type="dxa"/>
            <w:tcBorders>
              <w:bottom w:val="single" w:sz="4" w:space="0" w:color="auto"/>
            </w:tcBorders>
          </w:tcPr>
          <w:p>
            <w:pPr>
              <w:numPr>
                <w:ilvl w:val="0"/>
                <w:numId w:val="20"/>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Трансверсален показател 14</w:t>
            </w:r>
          </w:p>
          <w:p>
            <w:pPr>
              <w:numPr>
                <w:ilvl w:val="0"/>
                <w:numId w:val="20"/>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Редовен доклад пред Съвета и Европейския парламент за напредъка в изпълнението на стратегията и плана за действие</w:t>
            </w:r>
          </w:p>
          <w:p>
            <w:pPr>
              <w:numPr>
                <w:ilvl w:val="0"/>
                <w:numId w:val="19"/>
              </w:numPr>
              <w:tabs>
                <w:tab w:val="left" w:pos="317"/>
              </w:tabs>
              <w:spacing w:after="100" w:afterAutospacing="1" w:line="240" w:lineRule="auto"/>
              <w:contextualSpacing/>
              <w:rPr>
                <w:rFonts w:ascii="Times New Roman" w:hAnsi="Times New Roman" w:cs="Times New Roman"/>
                <w:b/>
                <w:noProof/>
                <w:sz w:val="24"/>
                <w:szCs w:val="24"/>
              </w:rPr>
            </w:pPr>
            <w:r>
              <w:rPr>
                <w:rFonts w:ascii="Times New Roman" w:hAnsi="Times New Roman" w:cs="Times New Roman"/>
                <w:b/>
                <w:noProof/>
                <w:sz w:val="24"/>
                <w:szCs w:val="24"/>
              </w:rPr>
              <w:t>Брой държави, следващи структуриран подход, описан в ръководството на EMCDDA за възлагане и управление на оценки</w:t>
            </w:r>
          </w:p>
          <w:p>
            <w:pPr>
              <w:numPr>
                <w:ilvl w:val="0"/>
                <w:numId w:val="19"/>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cs="Times New Roman"/>
                <w:strike/>
                <w:noProof/>
                <w:sz w:val="24"/>
                <w:szCs w:val="24"/>
              </w:rPr>
              <w:t>Извършена външна междинна оценка на стратегията/плана за действие — 2016 г.</w:t>
            </w:r>
          </w:p>
          <w:p>
            <w:pPr>
              <w:numPr>
                <w:ilvl w:val="0"/>
                <w:numId w:val="19"/>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cs="Times New Roman"/>
                <w:strike/>
                <w:noProof/>
                <w:sz w:val="24"/>
                <w:szCs w:val="24"/>
              </w:rPr>
              <w:t>Насоки на ЕС за оценяването на публикуваните национални стратегии и планове за действие за борба с наркотиците</w:t>
            </w:r>
          </w:p>
          <w:p>
            <w:pPr>
              <w:numPr>
                <w:ilvl w:val="0"/>
                <w:numId w:val="19"/>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Осъществяване на специализирани проучвания за ефективността и въздействието на политиките на ЕС и на международните политики за борба с наркотиците</w:t>
            </w:r>
          </w:p>
          <w:p>
            <w:pPr>
              <w:numPr>
                <w:ilvl w:val="0"/>
                <w:numId w:val="19"/>
              </w:numPr>
              <w:tabs>
                <w:tab w:val="left" w:pos="317"/>
              </w:tabs>
              <w:spacing w:after="100" w:afterAutospacing="1" w:line="240" w:lineRule="auto"/>
              <w:contextualSpacing/>
              <w:rPr>
                <w:rFonts w:ascii="Times New Roman" w:hAnsi="Times New Roman" w:cs="Times New Roman"/>
                <w:b/>
                <w:strike/>
                <w:noProof/>
                <w:sz w:val="24"/>
                <w:szCs w:val="24"/>
              </w:rPr>
            </w:pPr>
            <w:r>
              <w:rPr>
                <w:rFonts w:ascii="Times New Roman" w:hAnsi="Times New Roman" w:cs="Times New Roman"/>
                <w:strike/>
                <w:noProof/>
                <w:sz w:val="24"/>
                <w:szCs w:val="24"/>
              </w:rPr>
              <w:t>Изготвена оценка на изпълнението на препоръката на Съвета от 2003 г. относно превенцията и намаляването на вредите за здравето, свързани с наркотичната зависимост</w:t>
            </w:r>
          </w:p>
        </w:tc>
        <w:tc>
          <w:tcPr>
            <w:tcW w:w="1559"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cs="Times New Roman"/>
                <w:strike/>
                <w:noProof/>
                <w:sz w:val="24"/>
                <w:szCs w:val="24"/>
              </w:rPr>
              <w:t xml:space="preserve">Двугодишен доклад на СОМ за напредъка </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Междинен доклад за оценка на стратегията на ЕС за борба с наркотиците</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Доклади на EMCDDA </w:t>
            </w:r>
          </w:p>
          <w:p>
            <w:pPr>
              <w:spacing w:after="100" w:afterAutospacing="1" w:line="240" w:lineRule="auto"/>
              <w:rPr>
                <w:rFonts w:ascii="Times New Roman" w:hAnsi="Times New Roman" w:cs="Times New Roman"/>
                <w:noProof/>
                <w:sz w:val="24"/>
                <w:szCs w:val="24"/>
                <w:highlight w:val="yellow"/>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Доклади на научния комитет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 xml:space="preserve">Доклади по проектите „Alice RAP“ и LINKSCH, както и на ERA-net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Национални доклади на Reitox</w:t>
            </w:r>
          </w:p>
        </w:tc>
      </w:tr>
      <w:tr>
        <w:trPr>
          <w:trHeight w:val="2293"/>
        </w:trPr>
        <w:tc>
          <w:tcPr>
            <w:tcW w:w="1809" w:type="dxa"/>
          </w:tcPr>
          <w:p>
            <w:pPr>
              <w:pageBreakBefore/>
              <w:tabs>
                <w:tab w:val="left" w:pos="284"/>
              </w:tabs>
              <w:spacing w:after="100" w:afterAutospacing="1" w:line="240" w:lineRule="auto"/>
              <w:ind w:left="284" w:hanging="284"/>
              <w:contextualSpacing/>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Събиране на доказателства относно потенциалните връзки между трафика на наркотици и:</w:t>
            </w:r>
          </w:p>
          <w:p>
            <w:pPr>
              <w:pStyle w:val="ListParagraph"/>
              <w:tabs>
                <w:tab w:val="left" w:pos="284"/>
              </w:tabs>
              <w:spacing w:after="100" w:afterAutospacing="1" w:line="240" w:lineRule="auto"/>
              <w:ind w:left="360"/>
              <w:rPr>
                <w:rFonts w:ascii="Times New Roman" w:hAnsi="Times New Roman" w:cs="Times New Roman"/>
                <w:b/>
                <w:noProof/>
                <w:sz w:val="24"/>
                <w:szCs w:val="24"/>
              </w:rPr>
            </w:pP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финансирането на терористични групи и дейности, включително всяко припокриване на установените маршрути за производство и трафик на наркотици и зоните на конфликти, както и източниците на финансиране на терористични групи в ЕС, свързани с незаконни дейности, включително трафик на наркотици;</w:t>
            </w: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контрабандата на мигранти, с цел изграждане на полезни взаимодействия с Плана за действие на ЕС срещу контрабандата на мигранти (2015 — 2020 г.), в който се предвиждат научни изследвания и анализ на риска между контрабандата и други престъпления като трафика на наркотици и включително:</w:t>
            </w:r>
          </w:p>
          <w:p>
            <w:pPr>
              <w:pStyle w:val="Default"/>
              <w:numPr>
                <w:ilvl w:val="0"/>
                <w:numId w:val="65"/>
              </w:numPr>
              <w:spacing w:after="100" w:afterAutospacing="1"/>
              <w:rPr>
                <w:b/>
                <w:noProof/>
                <w:color w:val="auto"/>
              </w:rPr>
            </w:pPr>
            <w:r>
              <w:rPr>
                <w:b/>
                <w:noProof/>
                <w:color w:val="auto"/>
              </w:rPr>
              <w:t>Акцент върху уязвимите мигранти и потенциалното им експлоатиране за целите на трафика на наркотици и/или като крайни потребители на наркотици, и по-конкретно малолетните и непълнолетните лица и жените.</w:t>
            </w:r>
          </w:p>
          <w:p>
            <w:pPr>
              <w:pStyle w:val="Default"/>
              <w:numPr>
                <w:ilvl w:val="0"/>
                <w:numId w:val="65"/>
              </w:numPr>
              <w:spacing w:after="100" w:afterAutospacing="1"/>
              <w:ind w:left="884" w:hanging="317"/>
              <w:rPr>
                <w:b/>
                <w:noProof/>
                <w:color w:val="auto"/>
              </w:rPr>
            </w:pPr>
            <w:r>
              <w:rPr>
                <w:b/>
                <w:noProof/>
                <w:color w:val="auto"/>
              </w:rPr>
              <w:t xml:space="preserve">Проучване на евентуалното припокриване между престъпните кръгове, начините на действие и маршрутите за трафик на наркотици и контрабанда на мигранти. </w:t>
            </w: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трафика на хора, с цел изграждане на полезни взаимодействия с правната и политическата рамка на Съюза за трафика на хора, включително Стратегията на ЕС за премахване на трафика на хора (2012 — 2016 г.)</w:t>
            </w:r>
          </w:p>
        </w:tc>
        <w:tc>
          <w:tcPr>
            <w:tcW w:w="1276" w:type="dxa"/>
          </w:tcPr>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2017 — 2020 г.</w:t>
            </w:r>
          </w:p>
        </w:tc>
        <w:tc>
          <w:tcPr>
            <w:tcW w:w="1559" w:type="dxa"/>
          </w:tcPr>
          <w:p>
            <w:pPr>
              <w:pStyle w:val="tbl-txt"/>
              <w:spacing w:before="0" w:after="100" w:afterAutospacing="1"/>
              <w:rPr>
                <w:b/>
                <w:noProof/>
                <w:color w:val="000000"/>
                <w:sz w:val="24"/>
                <w:szCs w:val="24"/>
              </w:rPr>
            </w:pPr>
            <w:r>
              <w:rPr>
                <w:b/>
                <w:noProof/>
                <w:color w:val="000000"/>
                <w:sz w:val="24"/>
                <w:szCs w:val="24"/>
              </w:rPr>
              <w:t>ДЧ</w:t>
            </w:r>
          </w:p>
          <w:p>
            <w:pPr>
              <w:pStyle w:val="tbl-txt"/>
              <w:spacing w:before="0" w:after="100" w:afterAutospacing="1"/>
              <w:rPr>
                <w:b/>
                <w:noProof/>
                <w:color w:val="000000"/>
                <w:sz w:val="24"/>
                <w:szCs w:val="24"/>
              </w:rPr>
            </w:pPr>
            <w:r>
              <w:rPr>
                <w:b/>
                <w:noProof/>
                <w:color w:val="000000"/>
                <w:sz w:val="24"/>
                <w:szCs w:val="24"/>
              </w:rPr>
              <w:t>Комисия</w:t>
            </w:r>
          </w:p>
          <w:p>
            <w:pPr>
              <w:pStyle w:val="tbl-txt"/>
              <w:spacing w:before="0" w:after="100" w:afterAutospacing="1"/>
              <w:rPr>
                <w:b/>
                <w:noProof/>
                <w:color w:val="000000"/>
                <w:sz w:val="24"/>
                <w:szCs w:val="24"/>
              </w:rPr>
            </w:pPr>
            <w:r>
              <w:rPr>
                <w:b/>
                <w:noProof/>
                <w:color w:val="000000"/>
                <w:sz w:val="24"/>
                <w:szCs w:val="24"/>
              </w:rPr>
              <w:t>Координатор на ЕС за борба с трафика на хора</w:t>
            </w:r>
          </w:p>
          <w:p>
            <w:pPr>
              <w:pStyle w:val="tbl-txt"/>
              <w:spacing w:before="0" w:after="100" w:afterAutospacing="1"/>
              <w:rPr>
                <w:b/>
                <w:noProof/>
                <w:color w:val="000000"/>
                <w:sz w:val="24"/>
                <w:szCs w:val="24"/>
              </w:rPr>
            </w:pPr>
            <w:r>
              <w:rPr>
                <w:b/>
                <w:noProof/>
                <w:color w:val="000000"/>
                <w:sz w:val="24"/>
                <w:szCs w:val="24"/>
              </w:rPr>
              <w:t>EMCDDA</w:t>
            </w:r>
          </w:p>
          <w:p>
            <w:pPr>
              <w:pStyle w:val="tbl-txt"/>
              <w:spacing w:before="0" w:after="100" w:afterAutospacing="1"/>
              <w:rPr>
                <w:b/>
                <w:noProof/>
                <w:color w:val="000000"/>
                <w:sz w:val="24"/>
                <w:szCs w:val="24"/>
              </w:rPr>
            </w:pPr>
            <w:r>
              <w:rPr>
                <w:b/>
                <w:noProof/>
                <w:color w:val="000000"/>
                <w:sz w:val="24"/>
                <w:szCs w:val="24"/>
              </w:rPr>
              <w:t>Европол</w:t>
            </w:r>
          </w:p>
          <w:p>
            <w:pPr>
              <w:pStyle w:val="tbl-txt"/>
              <w:spacing w:before="0" w:after="100" w:afterAutospacing="1"/>
              <w:rPr>
                <w:b/>
                <w:noProof/>
                <w:color w:val="000000"/>
                <w:sz w:val="24"/>
                <w:szCs w:val="24"/>
              </w:rPr>
            </w:pPr>
            <w:r>
              <w:rPr>
                <w:b/>
                <w:noProof/>
                <w:color w:val="000000"/>
                <w:sz w:val="24"/>
                <w:szCs w:val="24"/>
              </w:rPr>
              <w:t>FRONTEX</w:t>
            </w:r>
          </w:p>
          <w:p>
            <w:pPr>
              <w:pStyle w:val="tbl-txt"/>
              <w:spacing w:before="0" w:after="100" w:afterAutospacing="1"/>
              <w:rPr>
                <w:b/>
                <w:noProof/>
                <w:color w:val="000000"/>
                <w:sz w:val="24"/>
                <w:szCs w:val="24"/>
              </w:rPr>
            </w:pPr>
            <w:r>
              <w:rPr>
                <w:b/>
                <w:noProof/>
                <w:color w:val="000000"/>
                <w:sz w:val="24"/>
                <w:szCs w:val="24"/>
              </w:rPr>
              <w:t>FRA</w:t>
            </w:r>
          </w:p>
          <w:p>
            <w:pPr>
              <w:pStyle w:val="tbl-txt"/>
              <w:spacing w:before="0" w:after="100" w:afterAutospacing="1"/>
              <w:rPr>
                <w:b/>
                <w:noProof/>
                <w:sz w:val="24"/>
                <w:szCs w:val="24"/>
              </w:rPr>
            </w:pPr>
            <w:r>
              <w:rPr>
                <w:b/>
                <w:noProof/>
                <w:color w:val="000000"/>
                <w:sz w:val="24"/>
                <w:szCs w:val="24"/>
              </w:rPr>
              <w:t>EIGE</w:t>
            </w:r>
          </w:p>
        </w:tc>
        <w:tc>
          <w:tcPr>
            <w:tcW w:w="3544" w:type="dxa"/>
          </w:tcPr>
          <w:p>
            <w:pPr>
              <w:numPr>
                <w:ilvl w:val="0"/>
                <w:numId w:val="19"/>
              </w:numPr>
              <w:tabs>
                <w:tab w:val="left" w:pos="317"/>
              </w:tabs>
              <w:spacing w:after="100" w:afterAutospacing="1" w:line="240" w:lineRule="auto"/>
              <w:ind w:left="318" w:hanging="284"/>
              <w:contextualSpacing/>
              <w:rPr>
                <w:rFonts w:ascii="Times New Roman" w:hAnsi="Times New Roman" w:cs="Times New Roman"/>
                <w:b/>
                <w:noProof/>
                <w:sz w:val="24"/>
                <w:szCs w:val="24"/>
              </w:rPr>
            </w:pPr>
            <w:r>
              <w:rPr>
                <w:rFonts w:ascii="Times New Roman" w:hAnsi="Times New Roman" w:cs="Times New Roman"/>
                <w:b/>
                <w:noProof/>
                <w:sz w:val="24"/>
                <w:szCs w:val="24"/>
              </w:rPr>
              <w:t>Брой проекти, финансирани на равнище ЕС и на национално равнище</w:t>
            </w:r>
          </w:p>
        </w:tc>
        <w:tc>
          <w:tcPr>
            <w:tcW w:w="1559" w:type="dxa"/>
          </w:tcPr>
          <w:p>
            <w:pPr>
              <w:pStyle w:val="tbl-txt"/>
              <w:spacing w:before="0" w:after="100" w:afterAutospacing="1"/>
              <w:rPr>
                <w:b/>
                <w:noProof/>
                <w:color w:val="000000"/>
                <w:sz w:val="24"/>
                <w:szCs w:val="24"/>
              </w:rPr>
            </w:pPr>
            <w:r>
              <w:rPr>
                <w:b/>
                <w:noProof/>
                <w:color w:val="000000"/>
                <w:sz w:val="24"/>
                <w:szCs w:val="24"/>
              </w:rPr>
              <w:t>Доклади на ДЧ</w:t>
            </w:r>
          </w:p>
          <w:p>
            <w:pPr>
              <w:pStyle w:val="tbl-txt"/>
              <w:spacing w:before="0" w:after="100" w:afterAutospacing="1"/>
              <w:rPr>
                <w:b/>
                <w:noProof/>
                <w:color w:val="000000"/>
                <w:sz w:val="24"/>
                <w:szCs w:val="24"/>
              </w:rPr>
            </w:pPr>
            <w:r>
              <w:rPr>
                <w:b/>
                <w:noProof/>
                <w:color w:val="000000"/>
                <w:sz w:val="24"/>
                <w:szCs w:val="24"/>
              </w:rPr>
              <w:t>Доклади на Комисията</w:t>
            </w:r>
          </w:p>
          <w:p>
            <w:pPr>
              <w:pStyle w:val="tbl-txt"/>
              <w:spacing w:before="0" w:after="100" w:afterAutospacing="1"/>
              <w:rPr>
                <w:b/>
                <w:noProof/>
                <w:color w:val="000000"/>
                <w:sz w:val="24"/>
                <w:szCs w:val="24"/>
              </w:rPr>
            </w:pPr>
            <w:r>
              <w:rPr>
                <w:b/>
                <w:noProof/>
                <w:color w:val="000000"/>
                <w:sz w:val="24"/>
                <w:szCs w:val="24"/>
              </w:rPr>
              <w:t>Доклади на агенции на ЕС (EMCDDA, Европол</w:t>
            </w:r>
          </w:p>
          <w:p>
            <w:pPr>
              <w:pStyle w:val="tbl-txt"/>
              <w:spacing w:before="0" w:after="100" w:afterAutospacing="1"/>
              <w:rPr>
                <w:b/>
                <w:noProof/>
                <w:color w:val="000000"/>
                <w:sz w:val="24"/>
                <w:szCs w:val="24"/>
              </w:rPr>
            </w:pPr>
            <w:r>
              <w:rPr>
                <w:b/>
                <w:noProof/>
                <w:color w:val="000000"/>
                <w:sz w:val="24"/>
                <w:szCs w:val="24"/>
              </w:rPr>
              <w:t>FRONTEX и FRA в рамките на редовните им дейности по докладване,</w:t>
            </w:r>
          </w:p>
          <w:p>
            <w:pPr>
              <w:pStyle w:val="tbl-txt"/>
              <w:spacing w:before="0" w:after="100" w:afterAutospacing="1"/>
              <w:rPr>
                <w:b/>
                <w:noProof/>
                <w:color w:val="000000"/>
                <w:sz w:val="24"/>
                <w:szCs w:val="24"/>
              </w:rPr>
            </w:pPr>
            <w:r>
              <w:rPr>
                <w:b/>
                <w:noProof/>
                <w:color w:val="000000"/>
                <w:sz w:val="24"/>
                <w:szCs w:val="24"/>
              </w:rPr>
              <w:t>EIGE в рамките на редовните си дейности по докладване)</w:t>
            </w:r>
          </w:p>
        </w:tc>
      </w:tr>
      <w:tr>
        <w:trPr>
          <w:trHeight w:val="4497"/>
        </w:trPr>
        <w:tc>
          <w:tcPr>
            <w:tcW w:w="1809" w:type="dxa"/>
            <w:vMerge w:val="restart"/>
          </w:tcPr>
          <w:p>
            <w:pPr>
              <w:pageBreakBefore/>
              <w:tabs>
                <w:tab w:val="left" w:pos="0"/>
              </w:tabs>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15. Поддържане на работата в мрежа и сътрудничеството и повсеместно и съвместно развиване на капацитет в рамките на научната инфраструктура на ЕС за информацията, научните изследвания, мониторинга и оценката в областта на наркотиците, особено на забранените наркотични вещества</w:t>
            </w: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Като се работи съвместно със съответните заинтересовани страни, да продължи предоставянето на цялостни анализи на:</w:t>
            </w:r>
          </w:p>
          <w:p>
            <w:pPr>
              <w:pStyle w:val="ListParagraph"/>
              <w:pageBreakBefore/>
              <w:numPr>
                <w:ilvl w:val="0"/>
                <w:numId w:val="8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състоянието на проблема с наркотиците в ЕС;</w:t>
            </w:r>
          </w:p>
          <w:p>
            <w:pPr>
              <w:pStyle w:val="ListParagraph"/>
              <w:pageBreakBefore/>
              <w:numPr>
                <w:ilvl w:val="0"/>
                <w:numId w:val="8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динамиката на употребата на наркотици сред населението като цяло и целевите групи, </w:t>
            </w:r>
            <w:r>
              <w:rPr>
                <w:rFonts w:ascii="Times New Roman" w:hAnsi="Times New Roman" w:cs="Times New Roman"/>
                <w:b/>
                <w:noProof/>
                <w:sz w:val="24"/>
                <w:szCs w:val="24"/>
              </w:rPr>
              <w:t>включително етническите малцинства, мигрантите и търсещите убежище, ЛГБТИ, предоставящите сексуални услуги срещу заплащане и затворниците</w:t>
            </w:r>
            <w:r>
              <w:rPr>
                <w:rFonts w:ascii="Times New Roman" w:hAnsi="Times New Roman" w:cs="Times New Roman"/>
                <w:noProof/>
                <w:sz w:val="24"/>
                <w:szCs w:val="24"/>
              </w:rPr>
              <w:t>; и</w:t>
            </w:r>
          </w:p>
          <w:p>
            <w:pPr>
              <w:pStyle w:val="ListParagraph"/>
              <w:pageBreakBefore/>
              <w:numPr>
                <w:ilvl w:val="0"/>
                <w:numId w:val="85"/>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 xml:space="preserve"> мерки за борба с употребата на наркотици</w:t>
            </w:r>
          </w:p>
          <w:p>
            <w:pPr>
              <w:pStyle w:val="ListParagraph"/>
              <w:pageBreakBefore/>
              <w:numPr>
                <w:ilvl w:val="0"/>
                <w:numId w:val="85"/>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Промени в ЕС и в международен план на свързаните с канабис модели на политика и тяхното въздействие</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Текущо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Европол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Bold" w:hAnsi="Times New Roman Bold" w:cs="Times New Roman"/>
                <w:b/>
                <w:noProof/>
                <w:spacing w:val="-6"/>
                <w:sz w:val="24"/>
                <w:szCs w:val="24"/>
              </w:rPr>
            </w:pPr>
            <w:r>
              <w:rPr>
                <w:rFonts w:ascii="Times New Roman Bold" w:hAnsi="Times New Roman Bold" w:cs="Times New Roman"/>
                <w:b/>
                <w:noProof/>
                <w:spacing w:val="-6"/>
                <w:sz w:val="24"/>
                <w:szCs w:val="24"/>
              </w:rPr>
              <w:t>Форум на гражданското общество за наркотиците</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b/>
                <w:noProof/>
                <w:sz w:val="24"/>
                <w:szCs w:val="24"/>
              </w:rPr>
              <w:t>Комисия</w:t>
            </w:r>
          </w:p>
        </w:tc>
        <w:tc>
          <w:tcPr>
            <w:tcW w:w="3544" w:type="dxa"/>
          </w:tcPr>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Трансверсални показатели 1 — 15</w:t>
            </w:r>
            <w:r>
              <w:rPr>
                <w:rFonts w:ascii="Times New Roman" w:hAnsi="Times New Roman" w:cs="Times New Roman"/>
                <w:strike/>
                <w:noProof/>
                <w:sz w:val="24"/>
                <w:szCs w:val="24"/>
              </w:rPr>
              <w:t xml:space="preserve">  </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Установени пропуски в натрупаната база знания и развита рамка на равнище ЕС за максимален добив на анализи от наличните масиви данни </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Брой обзорни прегледи и тематични анализи относно състоянието на проблема с наркотиците</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Bold" w:hAnsi="Times New Roman Bold" w:cs="Times New Roman"/>
                <w:b/>
                <w:noProof/>
                <w:spacing w:val="-6"/>
                <w:sz w:val="24"/>
                <w:szCs w:val="24"/>
              </w:rPr>
            </w:pPr>
            <w:r>
              <w:rPr>
                <w:rFonts w:ascii="Times New Roman Bold" w:hAnsi="Times New Roman Bold" w:cs="Times New Roman"/>
                <w:b/>
                <w:noProof/>
                <w:spacing w:val="-6"/>
                <w:sz w:val="24"/>
                <w:szCs w:val="24"/>
              </w:rPr>
              <w:t>Форум на гражданското общество относно наркотиците</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Комисия</w:t>
            </w:r>
          </w:p>
          <w:p>
            <w:pPr>
              <w:spacing w:after="100" w:afterAutospacing="1" w:line="240" w:lineRule="auto"/>
              <w:rPr>
                <w:rFonts w:ascii="Times New Roman" w:hAnsi="Times New Roman" w:cs="Times New Roman"/>
                <w:noProof/>
                <w:sz w:val="24"/>
                <w:szCs w:val="24"/>
              </w:rPr>
            </w:pPr>
          </w:p>
        </w:tc>
      </w:tr>
      <w:tr>
        <w:trPr>
          <w:trHeight w:val="3252"/>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 Усъвършенстване на обучението на участниците в мерките за борба с употребата на наркотици</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w:t>
            </w:r>
            <w:r>
              <w:rPr>
                <w:rFonts w:ascii="Times New Roman" w:hAnsi="Times New Roman" w:cs="Times New Roman"/>
                <w:noProof/>
                <w:sz w:val="24"/>
                <w:szCs w:val="24"/>
              </w:rPr>
              <w:t>20</w:t>
            </w:r>
            <w:r>
              <w:rPr>
                <w:rFonts w:ascii="Times New Roman" w:hAnsi="Times New Roman" w:cs="Times New Roman"/>
                <w:b/>
                <w:noProof/>
                <w:sz w:val="24"/>
                <w:szCs w:val="24"/>
              </w:rPr>
              <w:t>20</w:t>
            </w:r>
            <w:r>
              <w:rPr>
                <w:rFonts w:ascii="Times New Roman" w:hAnsi="Times New Roman" w:cs="Times New Roman"/>
                <w:noProof/>
                <w:sz w:val="24"/>
                <w:szCs w:val="24"/>
              </w:rPr>
              <w:t xml:space="preserve"> г.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CEPOL</w:t>
            </w:r>
          </w:p>
        </w:tc>
        <w:tc>
          <w:tcPr>
            <w:tcW w:w="3544" w:type="dxa"/>
          </w:tcPr>
          <w:p>
            <w:pPr>
              <w:numPr>
                <w:ilvl w:val="0"/>
                <w:numId w:val="22"/>
              </w:numPr>
              <w:tabs>
                <w:tab w:val="left" w:pos="317"/>
              </w:tabs>
              <w:spacing w:after="100" w:afterAutospacing="1" w:line="240" w:lineRule="auto"/>
              <w:ind w:left="318"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Брой инициативи на равнище ДЧ и ЕС за обучение на специалисти по различни аспекти на намаляването на търсенето и на предлагането на наркотици</w:t>
            </w:r>
          </w:p>
          <w:p>
            <w:pPr>
              <w:numPr>
                <w:ilvl w:val="0"/>
                <w:numId w:val="22"/>
              </w:numPr>
              <w:tabs>
                <w:tab w:val="left" w:pos="317"/>
              </w:tabs>
              <w:spacing w:after="100" w:afterAutospacing="1" w:line="240" w:lineRule="auto"/>
              <w:ind w:left="318"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Брой осъществени инициативи на равнище ДЧ и ЕС за обучение на специалисти, свързани със събирането и докладването на данни относно намаляването на търсенето и на предлагането на наркотици</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Доклад на ЕЦМНН за обучението</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Годишен доклад на CEPOL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Годишни доклади на Reitox</w:t>
            </w:r>
          </w:p>
        </w:tc>
      </w:tr>
      <w:tr>
        <w:trPr>
          <w:trHeight w:val="70"/>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 Усъвършенстване на събирането на данни, научните изследвания, анализа и докладването относно: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намаляване на търсенето на наркотици;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намаляване на предлагането на наркотици,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новите тенденции, напр. едновременната употреба на няколко вида наркотици и злоупотребата с </w:t>
            </w:r>
            <w:r>
              <w:rPr>
                <w:rFonts w:ascii="Times New Roman" w:hAnsi="Times New Roman" w:cs="Times New Roman"/>
                <w:strike/>
                <w:noProof/>
                <w:sz w:val="24"/>
                <w:szCs w:val="24"/>
              </w:rPr>
              <w:t>изписвани по лекарско предписание контролирани</w:t>
            </w:r>
            <w:r>
              <w:rPr>
                <w:rFonts w:ascii="Times New Roman" w:hAnsi="Times New Roman" w:cs="Times New Roman"/>
                <w:noProof/>
                <w:sz w:val="24"/>
                <w:szCs w:val="24"/>
              </w:rPr>
              <w:t xml:space="preserve"> </w:t>
            </w:r>
            <w:r>
              <w:rPr>
                <w:rFonts w:ascii="Times New Roman" w:hAnsi="Times New Roman" w:cs="Times New Roman"/>
                <w:b/>
                <w:noProof/>
                <w:sz w:val="24"/>
                <w:szCs w:val="24"/>
              </w:rPr>
              <w:t>психоактивни</w:t>
            </w:r>
            <w:r>
              <w:rPr>
                <w:rFonts w:ascii="Times New Roman" w:hAnsi="Times New Roman" w:cs="Times New Roman"/>
                <w:noProof/>
                <w:sz w:val="24"/>
                <w:szCs w:val="24"/>
              </w:rPr>
              <w:t xml:space="preserve"> медикаменти, пораждащи риск за здравето и безопасността;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вируси, които се предават по кръвен път и се свързват с употребата на наркотици, но не се ограничават до ХИВ и вирусен хепатит, както и предавани по полов път заболявания и туберкулоза;</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 xml:space="preserve">психиатрична и соматична коморбидност;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noProof/>
                <w:sz w:val="24"/>
                <w:szCs w:val="24"/>
              </w:rPr>
              <w:t>проблеми с наркотиците сред затворниците, както и наличието и обхватът на интервенции и услуги, свързани с ограничаване на търсенето на наркотици в затворническа среда и</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cs="Times New Roman"/>
                <w:noProof/>
                <w:sz w:val="24"/>
                <w:szCs w:val="24"/>
              </w:rPr>
              <w:t xml:space="preserve">други </w:t>
            </w:r>
            <w:r>
              <w:rPr>
                <w:rFonts w:ascii="Times New Roman" w:hAnsi="Times New Roman" w:cs="Times New Roman"/>
                <w:strike/>
                <w:noProof/>
                <w:sz w:val="24"/>
                <w:szCs w:val="24"/>
              </w:rPr>
              <w:t xml:space="preserve">последици от проблема с наркотиците </w:t>
            </w:r>
            <w:r>
              <w:rPr>
                <w:rFonts w:ascii="Times New Roman" w:hAnsi="Times New Roman" w:cs="Times New Roman"/>
                <w:b/>
                <w:noProof/>
                <w:sz w:val="24"/>
                <w:szCs w:val="24"/>
              </w:rPr>
              <w:t xml:space="preserve">проблеми и последствия, свързани както с разрешени, така и със забранени вещества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cs="Times New Roman"/>
                <w:b/>
                <w:noProof/>
                <w:sz w:val="24"/>
                <w:szCs w:val="24"/>
              </w:rPr>
              <w:t>съобразяването на политиките в областта на наркотиците с международните стандарти и принципи в областта на правата на човека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ECDC</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3544" w:type="dxa"/>
          </w:tcPr>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Повече и по-масово прилагане на обективни и научно обосновани показатели относно намаляването на търсенето и на предлагането на наркотици</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На равнище ДЧ — обхват на новите научни изследвания на новите тенденции, напр. едновременната употреба на различни вещества и злоупотребата с изписвани по лекарско предписание контролирани медикаменти;  болести, които се предават по кръвен път и се свързват с употребата на наркотици, но не се ограничават до ХИВ и вирусен хепатит, както и предавани по полов път заболявания и туберкулоза; психиатрична и соматична коморбидност; и други последици от проблема с наркотиците</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Проучване в целия ЕС относно свързаното с наркотици сплашване на общности и въздействието му върху най-тежко засегнатите индивиди, семейства и общности, както и ефективни мерки за борба с това явление</w:t>
            </w:r>
          </w:p>
          <w:p>
            <w:pPr>
              <w:numPr>
                <w:ilvl w:val="0"/>
                <w:numId w:val="22"/>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cs="Times New Roman"/>
                <w:noProof/>
                <w:sz w:val="24"/>
                <w:szCs w:val="24"/>
              </w:rPr>
              <w:t>Възприемане на обективни и научно обосновани показатели по отношение на проблемите с наркотици сред затворници</w:t>
            </w:r>
            <w:r>
              <w:rPr>
                <w:rFonts w:ascii="Times New Roman" w:hAnsi="Times New Roman" w:cs="Times New Roman"/>
                <w:b/>
                <w:noProof/>
                <w:sz w:val="24"/>
                <w:szCs w:val="24"/>
              </w:rPr>
              <w:t xml:space="preserve">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ДЧ</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Хармонизирано отчитане на данни от органите на ЕС, в т.ч. ЕЦМНН</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noProof/>
                <w:sz w:val="24"/>
                <w:szCs w:val="24"/>
              </w:rPr>
              <w:t xml:space="preserve">EU SOCTA </w:t>
            </w:r>
          </w:p>
          <w:p>
            <w:pPr>
              <w:spacing w:after="100" w:afterAutospacing="1" w:line="240" w:lineRule="auto"/>
              <w:rPr>
                <w:rFonts w:ascii="Times New Roman" w:hAnsi="Times New Roman" w:cs="Times New Roman"/>
                <w:noProof/>
                <w:sz w:val="24"/>
                <w:szCs w:val="24"/>
              </w:rPr>
            </w:pPr>
          </w:p>
        </w:tc>
      </w:tr>
      <w:tr>
        <w:trPr>
          <w:trHeight w:val="3634"/>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b/>
                <w:noProof/>
                <w:sz w:val="24"/>
                <w:szCs w:val="24"/>
              </w:rPr>
            </w:pPr>
            <w:r>
              <w:rPr>
                <w:rFonts w:ascii="Times New Roman" w:hAnsi="Times New Roman" w:cs="Times New Roman"/>
                <w:noProof/>
                <w:sz w:val="24"/>
                <w:szCs w:val="24"/>
              </w:rPr>
              <w:t xml:space="preserve"> Повишаване на капацитета за установяване, оценка и ефективни действия срещу появата и употребата на нови психоактивни вещества и мониторинг на степента на въздействие на тези нови вещества върху броя и профила на употребяващите ги</w:t>
            </w:r>
          </w:p>
          <w:p>
            <w:pPr>
              <w:tabs>
                <w:tab w:val="left" w:pos="317"/>
              </w:tabs>
              <w:spacing w:after="100" w:afterAutospacing="1" w:line="240" w:lineRule="auto"/>
              <w:ind w:left="34"/>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Европол</w:t>
            </w:r>
          </w:p>
          <w:p>
            <w:pPr>
              <w:spacing w:after="100" w:afterAutospacing="1" w:line="240" w:lineRule="auto"/>
              <w:rPr>
                <w:rFonts w:ascii="Times New Roman" w:hAnsi="Times New Roman" w:cs="Times New Roman"/>
                <w:noProof/>
                <w:sz w:val="24"/>
                <w:szCs w:val="24"/>
              </w:rPr>
            </w:pPr>
          </w:p>
        </w:tc>
        <w:tc>
          <w:tcPr>
            <w:tcW w:w="3544" w:type="dxa"/>
          </w:tcPr>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Трансверсален показател 6</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Обхват на новите епидемиологични, фармакологични и токсикологични научни изследвания за нови психоактивни вещества, подкрепени от научноизследователски програми на ДЧ и ЕС</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Обхват на обмена на информация, добри практики и разузнавателни сведения</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Обхват на осъществения между токсикологични лаборатории и научни институти обмен на анализи на данни от областта на токсикологията и здравеопазването във връзка с новите психоактивни вещества</w:t>
            </w:r>
          </w:p>
          <w:p>
            <w:pPr>
              <w:tabs>
                <w:tab w:val="left" w:pos="317"/>
              </w:tabs>
              <w:spacing w:after="100" w:afterAutospacing="1" w:line="240" w:lineRule="auto"/>
              <w:contextualSpacing/>
              <w:rPr>
                <w:rFonts w:ascii="Times New Roman" w:hAnsi="Times New Roman" w:cs="Times New Roman"/>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 на ЕЦМНН и Европол за изпълнението</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токсикологичните лаборатории и научните институти</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Национални доклади на Reitox </w:t>
            </w:r>
          </w:p>
        </w:tc>
      </w:tr>
      <w:t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Укрепване на усилията за обмен на криминалистични данни, вкл. </w:t>
            </w:r>
            <w:r>
              <w:rPr>
                <w:rFonts w:ascii="Times New Roman" w:hAnsi="Times New Roman" w:cs="Times New Roman"/>
                <w:b/>
                <w:noProof/>
                <w:sz w:val="24"/>
                <w:szCs w:val="24"/>
              </w:rPr>
              <w:t>подпомагане на идентифицирането на нови психоактивни вещества</w:t>
            </w:r>
            <w:r>
              <w:rPr>
                <w:rFonts w:ascii="Times New Roman" w:hAnsi="Times New Roman" w:cs="Times New Roman"/>
                <w:noProof/>
                <w:sz w:val="24"/>
                <w:szCs w:val="24"/>
              </w:rPr>
              <w:t>, лабораторни референтни стандарти относно нови психоактивни вещества</w:t>
            </w:r>
            <w:r>
              <w:rPr>
                <w:rFonts w:ascii="Times New Roman" w:hAnsi="Times New Roman" w:cs="Times New Roman"/>
                <w:b/>
                <w:noProof/>
                <w:sz w:val="24"/>
                <w:szCs w:val="24"/>
              </w:rPr>
              <w:t>, и разработването на обща методология за идентифициране на нови вещества</w:t>
            </w:r>
            <w:r>
              <w:rPr>
                <w:rFonts w:ascii="Times New Roman" w:hAnsi="Times New Roman" w:cs="Times New Roman"/>
                <w:noProof/>
                <w:sz w:val="24"/>
                <w:szCs w:val="24"/>
              </w:rPr>
              <w:t xml:space="preserve">, като се подобрява сътрудничеството </w:t>
            </w:r>
            <w:r>
              <w:rPr>
                <w:rFonts w:ascii="Times New Roman" w:hAnsi="Times New Roman" w:cs="Times New Roman"/>
                <w:b/>
                <w:noProof/>
                <w:sz w:val="24"/>
                <w:szCs w:val="24"/>
              </w:rPr>
              <w:t>със Съвместния изследователски център на Комисията, както и</w:t>
            </w:r>
            <w:r>
              <w:rPr>
                <w:rFonts w:ascii="Times New Roman" w:hAnsi="Times New Roman" w:cs="Times New Roman"/>
                <w:noProof/>
                <w:sz w:val="24"/>
                <w:szCs w:val="24"/>
              </w:rPr>
              <w:t xml:space="preserve"> чрез съществуващите мрежи, напр. работна група „Наркотици“ на Европейската мрежа на институтите по криминалистика в рамките на заключенията на Съвета по ПВР „Визия за европейската криминалистика 2020 г.“ </w:t>
            </w:r>
            <w:r>
              <w:rPr>
                <w:rFonts w:ascii="Times New Roman" w:hAnsi="Times New Roman" w:cs="Times New Roman"/>
                <w:b/>
                <w:noProof/>
                <w:sz w:val="24"/>
                <w:szCs w:val="24"/>
              </w:rPr>
              <w:t>и Европейската мрежа на митническите лаборатории</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201</w:t>
            </w:r>
            <w:r>
              <w:rPr>
                <w:rFonts w:ascii="Times New Roman" w:hAnsi="Times New Roman" w:cs="Times New Roman"/>
                <w:b/>
                <w:noProof/>
                <w:sz w:val="24"/>
                <w:szCs w:val="24"/>
              </w:rPr>
              <w:t>7 — 2020 г.</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Комисия</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strike/>
                <w:noProof/>
                <w:sz w:val="24"/>
                <w:szCs w:val="24"/>
              </w:rPr>
            </w:pPr>
          </w:p>
        </w:tc>
        <w:tc>
          <w:tcPr>
            <w:tcW w:w="3544" w:type="dxa"/>
          </w:tcPr>
          <w:p>
            <w:pPr>
              <w:numPr>
                <w:ilvl w:val="0"/>
                <w:numId w:val="19"/>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cs="Times New Roman"/>
                <w:noProof/>
                <w:sz w:val="24"/>
                <w:szCs w:val="24"/>
              </w:rPr>
              <w:t>Трансверсален показател 15</w:t>
            </w:r>
          </w:p>
          <w:p>
            <w:pPr>
              <w:numPr>
                <w:ilvl w:val="0"/>
                <w:numId w:val="21"/>
              </w:numPr>
              <w:tabs>
                <w:tab w:val="left" w:pos="317"/>
              </w:tabs>
              <w:spacing w:after="100" w:afterAutospacing="1" w:line="240" w:lineRule="auto"/>
              <w:ind w:left="318" w:hanging="284"/>
              <w:contextualSpacing/>
              <w:rPr>
                <w:rFonts w:ascii="Times New Roman" w:hAnsi="Times New Roman" w:cs="Times New Roman"/>
                <w:b/>
                <w:noProof/>
                <w:sz w:val="24"/>
                <w:szCs w:val="24"/>
              </w:rPr>
            </w:pPr>
            <w:r>
              <w:rPr>
                <w:rFonts w:ascii="Times New Roman" w:hAnsi="Times New Roman" w:cs="Times New Roman"/>
                <w:noProof/>
                <w:sz w:val="24"/>
                <w:szCs w:val="24"/>
              </w:rPr>
              <w:t xml:space="preserve">Обхват на осъществения обмен на криминалистични данни във връзка с нови психоактивни вещества </w:t>
            </w:r>
            <w:r>
              <w:rPr>
                <w:rFonts w:ascii="Times New Roman" w:hAnsi="Times New Roman" w:cs="Times New Roman"/>
                <w:b/>
                <w:noProof/>
                <w:sz w:val="24"/>
                <w:szCs w:val="24"/>
              </w:rPr>
              <w:t xml:space="preserve">в подкрепа на идентифицирането на нови психоактивни вещества </w:t>
            </w:r>
          </w:p>
          <w:p>
            <w:pPr>
              <w:numPr>
                <w:ilvl w:val="0"/>
                <w:numId w:val="21"/>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noProof/>
                <w:sz w:val="24"/>
                <w:szCs w:val="24"/>
              </w:rPr>
              <w:t xml:space="preserve">Лесен достъп на лабораториите и институтите по криминалистика </w:t>
            </w:r>
            <w:r>
              <w:rPr>
                <w:rFonts w:ascii="Times New Roman" w:hAnsi="Times New Roman" w:cs="Times New Roman"/>
                <w:b/>
                <w:noProof/>
                <w:sz w:val="24"/>
                <w:szCs w:val="24"/>
              </w:rPr>
              <w:t>и митническите лаборатории</w:t>
            </w:r>
            <w:r>
              <w:rPr>
                <w:rFonts w:ascii="Times New Roman" w:hAnsi="Times New Roman" w:cs="Times New Roman"/>
                <w:noProof/>
                <w:sz w:val="24"/>
                <w:szCs w:val="24"/>
              </w:rPr>
              <w:t xml:space="preserve"> до лабораторни референтни стандарти</w:t>
            </w:r>
          </w:p>
          <w:p>
            <w:pPr>
              <w:numPr>
                <w:ilvl w:val="0"/>
                <w:numId w:val="21"/>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cs="Times New Roman"/>
                <w:b/>
                <w:noProof/>
                <w:color w:val="000000"/>
                <w:sz w:val="24"/>
                <w:szCs w:val="24"/>
              </w:rPr>
              <w:t>Напредък по разработването на обща методология за идентифициране на нови психоактивни вещества</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ЕЦМНН/Европол</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Доклади на Комисията</w:t>
            </w:r>
          </w:p>
          <w:p>
            <w:pPr>
              <w:spacing w:after="100" w:afterAutospacing="1" w:line="240" w:lineRule="auto"/>
              <w:rPr>
                <w:rFonts w:ascii="Times New Roman" w:hAnsi="Times New Roman" w:cs="Times New Roman"/>
                <w:b/>
                <w:i/>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cs="Times New Roman"/>
                <w:strike/>
                <w:noProof/>
                <w:sz w:val="24"/>
                <w:szCs w:val="24"/>
              </w:rPr>
              <w:t>Двугодишен доклад на СОМ за напредъка</w:t>
            </w:r>
          </w:p>
        </w:tc>
      </w:tr>
      <w:tr>
        <w:trPr>
          <w:trHeight w:val="2296"/>
        </w:trPr>
        <w:tc>
          <w:tcPr>
            <w:tcW w:w="1809" w:type="dxa"/>
          </w:tcPr>
          <w:p>
            <w:pPr>
              <w:pageBreakBefore/>
              <w:tabs>
                <w:tab w:val="left" w:pos="284"/>
              </w:tabs>
              <w:spacing w:after="100" w:afterAutospacing="1" w:line="240" w:lineRule="auto"/>
              <w:contextualSpacing/>
              <w:rPr>
                <w:rFonts w:ascii="Times New Roman" w:hAnsi="Times New Roman" w:cs="Times New Roman"/>
                <w:strike/>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Повишаване на способността на равнище ДЧ и ЕС за установяване, оценка и борба със а) поведенческите промени при употребата на наркотици и б) свързани с наркотиците епидемии</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ECDC</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EMA</w:t>
            </w:r>
          </w:p>
        </w:tc>
        <w:tc>
          <w:tcPr>
            <w:tcW w:w="3544" w:type="dxa"/>
          </w:tcPr>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Брой и ефективност на разработените и осъществени нови инициативи в областта на общественото здраве, свързани с наркотиците</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Брой и ефективност на съществуващите инициативи, пригодени за отчитане на употребата на наркотици или на случаите на епидемии</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Брой и въздействие на докладите за ранно предупреждение, оценката на риска и сигналите</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Национални доклади на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Доклади на системата за ранно предупреждение</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noProof/>
                <w:sz w:val="24"/>
                <w:szCs w:val="24"/>
              </w:rPr>
              <w:t>Доклади на EMCDDA</w:t>
            </w:r>
          </w:p>
        </w:tc>
      </w:tr>
      <w:tr>
        <w:trPr>
          <w:trHeight w:val="3466"/>
        </w:trPr>
        <w:tc>
          <w:tcPr>
            <w:tcW w:w="1809" w:type="dxa"/>
          </w:tcPr>
          <w:p>
            <w:pPr>
              <w:spacing w:after="100" w:afterAutospacing="1"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16. Подобряване на разпространението на резултатите от мониторинга, научните изследвания и оценките на равнище ЕС и на национално равнище </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cs="Times New Roman"/>
                <w:noProof/>
                <w:sz w:val="24"/>
                <w:szCs w:val="24"/>
              </w:rPr>
              <w:t xml:space="preserve"> Държавите-членки продължават да подпомагат усилията за мониторинг и обмен на информация, вкл. сътрудничество с и достатъчна подкрепа за Reitox и нейните национални координационни звена</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Текущо</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ДЧ</w:t>
            </w:r>
            <w:r>
              <w:rPr>
                <w:rFonts w:ascii="Times New Roman" w:hAnsi="Times New Roman" w:cs="Times New Roman"/>
                <w:noProof/>
                <w:sz w:val="24"/>
                <w:szCs w:val="24"/>
              </w:rPr>
              <w:br/>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EMCDDA</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cs="Times New Roman"/>
                <w:b/>
                <w:noProof/>
                <w:sz w:val="24"/>
                <w:szCs w:val="24"/>
              </w:rPr>
              <w:t>Комисия</w:t>
            </w:r>
          </w:p>
        </w:tc>
        <w:tc>
          <w:tcPr>
            <w:tcW w:w="3544" w:type="dxa"/>
          </w:tcPr>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 xml:space="preserve">Разпространени резултати от финансирани от ЕС проучвания със свободен достъп </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noProof/>
                <w:sz w:val="24"/>
                <w:szCs w:val="24"/>
              </w:rPr>
            </w:pPr>
            <w:r>
              <w:rPr>
                <w:rFonts w:ascii="Times New Roman" w:hAnsi="Times New Roman" w:cs="Times New Roman"/>
                <w:noProof/>
                <w:sz w:val="24"/>
                <w:szCs w:val="24"/>
              </w:rPr>
              <w:t>Степен на съответствие с изискванията за финансиране за националните координационни звена на Reitox и други ресурси</w:t>
            </w:r>
          </w:p>
          <w:p>
            <w:pPr>
              <w:pStyle w:val="ListParagraph"/>
              <w:numPr>
                <w:ilvl w:val="0"/>
                <w:numId w:val="43"/>
              </w:numPr>
              <w:tabs>
                <w:tab w:val="left" w:pos="317"/>
              </w:tabs>
              <w:spacing w:after="100" w:afterAutospacing="1" w:line="240" w:lineRule="auto"/>
              <w:ind w:left="318" w:hanging="284"/>
              <w:rPr>
                <w:rFonts w:ascii="Times New Roman" w:hAnsi="Times New Roman" w:cs="Times New Roman"/>
                <w:strike/>
                <w:noProof/>
                <w:sz w:val="24"/>
                <w:szCs w:val="24"/>
              </w:rPr>
            </w:pPr>
            <w:r>
              <w:rPr>
                <w:rFonts w:ascii="Times New Roman" w:hAnsi="Times New Roman" w:cs="Times New Roman"/>
                <w:noProof/>
                <w:sz w:val="24"/>
                <w:szCs w:val="24"/>
              </w:rPr>
              <w:t>Брой и ефективност на инициативите на националните координационни звена на Reitox за разпространение</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Разпространение по интернет, в т.ч. OpenAire, Cordis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Уебсайт на EMCDDA </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t>Национални доклади на Reitox</w:t>
            </w:r>
          </w:p>
        </w:tc>
      </w:tr>
    </w:tbl>
    <w:p>
      <w:pPr>
        <w:spacing w:after="100" w:afterAutospacing="1" w:line="240" w:lineRule="auto"/>
        <w:rPr>
          <w:rFonts w:ascii="Times New Roman" w:hAnsi="Times New Roman" w:cs="Times New Roman"/>
          <w:noProof/>
          <w:sz w:val="24"/>
          <w:szCs w:val="24"/>
        </w:rPr>
      </w:pPr>
    </w:p>
    <w:p>
      <w:pPr>
        <w:spacing w:after="100" w:afterAutospacing="1" w:line="240" w:lineRule="auto"/>
        <w:jc w:val="both"/>
        <w:rPr>
          <w:rFonts w:ascii="Times New Roman" w:hAnsi="Times New Roman" w:cs="Times New Roman"/>
          <w:b/>
          <w:bCs/>
          <w:noProof/>
          <w:sz w:val="24"/>
          <w:szCs w:val="24"/>
        </w:rPr>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6840" w:h="11907" w:orient="landscape" w:code="9"/>
          <w:pgMar w:top="1134" w:right="1134" w:bottom="1134" w:left="1134" w:header="567" w:footer="567" w:gutter="0"/>
          <w:cols w:space="720"/>
          <w:docGrid w:linePitch="326"/>
        </w:sectPr>
      </w:pPr>
    </w:p>
    <w:p>
      <w:pPr>
        <w:pStyle w:val="Heading1"/>
        <w:spacing w:before="0" w:after="100" w:afterAutospacing="1"/>
        <w:rPr>
          <w:rFonts w:eastAsia="Calibri"/>
          <w:noProof/>
          <w:szCs w:val="24"/>
        </w:rPr>
      </w:pPr>
      <w:bookmarkStart w:id="5" w:name="_Toc472523119"/>
      <w:r>
        <w:rPr>
          <w:noProof/>
        </w:rPr>
        <w:t>Приложение 1 — 15 трансверсални показателя за плана за действие на ЕС относно наркотиците за периода 2017 — 2020 г.</w:t>
      </w:r>
      <w:r>
        <w:rPr>
          <w:rStyle w:val="FootnoteReference"/>
          <w:noProof/>
        </w:rPr>
        <w:footnoteReference w:id="65"/>
      </w:r>
      <w:bookmarkEnd w:id="5"/>
      <w:r>
        <w:rPr>
          <w:noProof/>
        </w:rPr>
        <w:t xml:space="preserve">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Процент на хората, които употребяват наркотици в момента (през последния месец), употребявали са неотдавна (в рамките на последната година) и които някога са употребявали (през живота си), с разбивки по вид наркотик и по възраст (Общо проучване на населението, изготвено от EMCDDA)</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Оценка на тенденциите в разпространението на проблемната употреба на наркотици и употребата чрез инжектиране (Доклад на EMCDDA относно проблемната употреба на наркотици)</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Тенденции в областта на предизвикани от наркотици смъртни случаи и смъртност сред употребяващите наркотици (съгласно националните определения) (Доклад на EMCDDA относно смъртните случаи, свързани с употребата на наркотици)</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Употреба и разпространение сред употребяващите наркотици чрез инжектиране на инфекциозни заболявания, свързани с употребата на наркотици, в т.ч. ХИВ и вирусен хепатит, предавани по полов път заболявания и туберкулоза (Доклад на EMCDDA относно инфекциозните заболявания, свързани с употребата на наркотици)</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Тенденции по отношение на възрастта на първа употреба на забранени наркотични вещества (Проект за проучване на употребата на алкохол и наркотици в европейските училища (ESPAD), Поведение на децата в ученическа възраст във връзка със здравето (HBSC) и Общо проучване на населението за употреба на наркотици (Основен епидемиологичен индикатор на EMCDDA))</w:t>
      </w:r>
      <w:r>
        <w:rPr>
          <w:rFonts w:ascii="Times New Roman" w:hAnsi="Times New Roman"/>
          <w:b/>
          <w:noProof/>
          <w:sz w:val="24"/>
        </w:rPr>
        <w:t xml:space="preserve">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Тенденции в броя на лицата, постъпващи за лечение на наркотичната зависимост (Доклад на EMCDDA относно търсенето на лечение и здравни и социални мерки за борба с наркотиците)</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Тенденции в броя и количеството иззети забранени наркотични вещества (Доклад на EMCDDA относно изземването на наркотични вещества: канабис, в т.ч. растителен канабис, хероин, кокаин, крек, амфетамини, метамфетамини, екстази, ЛСД и други вещества)</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Тенденции в цената на дребно и чистотата на забранените наркотични вещества (Доклад на EMCDDA относно цените и чистотата: канабис, в т.ч. растителен канабис, хероин, кокаин, крек, амфетамини, метамфетамини, екстази, ЛСД и др. вещества)</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Тенденции в броя на първични сигнали за извършени нарушения на законите за борба с наркотиците, с разбивки по вид наркотици и вид нарушение (предлагане и употреба/притежание) (Доклад на EMCDDA относно престъпления, свързани с употребата на наркотици)</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Разпространение на употребата на наркотици сред затворници (Доклад на EMCDDA относно употребата в местата за лишаване от свобода)</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 xml:space="preserve">Оценка на наличието, обхвата и качеството на услугите и мерките в областта на превенцията, ограничаването на вредите, социалната интеграция и лечението (Доклад на EMCDDA относно здравните и социалните мерки за борба с наркотиците)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Обективни мерки за превенция, лечение, социална интеграция и възстановяване и очакваното въздействие от тях върху разпространението на употребата на наркотици и проблемната употреба на наркотици (портал на EMCDDA за добри практики)</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 xml:space="preserve">Убедителен диалог и сътрудничество в областта на борбата с наркотиците с други региони, трети държави, международни организации и други страни (външна междинна оценка на стратегията/плана за действие; доклади на ЕСВД)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Развитие на националните стратегии, оценки, законодателство, механизми за координация и прогнози за публичните разходи в областта на наркотиците в държавите-членки на ЕС (EMCDDA)</w:t>
      </w:r>
    </w:p>
    <w:p>
      <w:pPr>
        <w:spacing w:after="120" w:line="240" w:lineRule="auto"/>
        <w:ind w:left="567" w:hanging="567"/>
        <w:jc w:val="both"/>
        <w:rPr>
          <w:rFonts w:ascii="Times New Roman" w:eastAsia="Calibri" w:hAnsi="Times New Roman" w:cs="Times New Roman"/>
          <w:b/>
          <w:noProof/>
          <w:sz w:val="24"/>
          <w:szCs w:val="24"/>
        </w:rPr>
      </w:pPr>
      <w:r>
        <w:rPr>
          <w:rFonts w:ascii="Times New Roman" w:hAnsi="Times New Roman"/>
          <w:noProof/>
          <w:sz w:val="24"/>
        </w:rPr>
        <w:t>15.</w:t>
      </w:r>
      <w:r>
        <w:rPr>
          <w:noProof/>
        </w:rPr>
        <w:tab/>
      </w:r>
      <w:r>
        <w:rPr>
          <w:rFonts w:ascii="Times New Roman" w:hAnsi="Times New Roman"/>
          <w:noProof/>
          <w:sz w:val="24"/>
        </w:rPr>
        <w:t xml:space="preserve">Система за ранно предупреждение относно нови психоактивни вещества (EMCDDA/Европол) </w:t>
      </w:r>
      <w:r>
        <w:rPr>
          <w:rFonts w:ascii="Times New Roman" w:hAnsi="Times New Roman"/>
          <w:b/>
          <w:noProof/>
          <w:sz w:val="24"/>
        </w:rPr>
        <w:t>и оценка на риска относно нови психоактивни вещества (EMCDDA)</w:t>
      </w:r>
    </w:p>
    <w:p>
      <w:pPr>
        <w:spacing w:after="100" w:afterAutospacing="1" w:line="240" w:lineRule="auto"/>
        <w:ind w:left="567" w:hanging="567"/>
        <w:rPr>
          <w:rFonts w:ascii="Times New Roman" w:eastAsia="Calibri" w:hAnsi="Times New Roman" w:cs="Times New Roman"/>
          <w:b/>
          <w:noProof/>
          <w:sz w:val="24"/>
          <w:szCs w:val="24"/>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567" w:footer="567" w:gutter="0"/>
          <w:cols w:space="720"/>
        </w:sectPr>
      </w:pPr>
    </w:p>
    <w:p>
      <w:pPr>
        <w:pStyle w:val="Heading1"/>
        <w:spacing w:before="0" w:after="100" w:afterAutospacing="1"/>
        <w:rPr>
          <w:noProof/>
          <w:szCs w:val="24"/>
        </w:rPr>
      </w:pPr>
      <w:bookmarkStart w:id="6" w:name="_Toc472523120"/>
      <w:r>
        <w:rPr>
          <w:noProof/>
        </w:rPr>
        <w:t>Приложение 2 — Глосар на акронимите</w:t>
      </w:r>
      <w:bookmarkEnd w:id="6"/>
    </w:p>
    <w:tbl>
      <w:tblPr>
        <w:tblW w:w="0" w:type="auto"/>
        <w:tblLook w:val="0000" w:firstRow="0" w:lastRow="0" w:firstColumn="0" w:lastColumn="0" w:noHBand="0" w:noVBand="0"/>
      </w:tblPr>
      <w:tblGrid>
        <w:gridCol w:w="2369"/>
        <w:gridCol w:w="6919"/>
      </w:tblGrid>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Alice RAP</w:t>
            </w:r>
            <w:r>
              <w:rPr>
                <w:noProof/>
              </w:rPr>
              <w:tab/>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Addiction and Lifestyles in Contemporary Europe Reframing Addictions Project (Зависимост и начин на живот в съвременна Европа — проект за нова нормативна уредба в областта на зависимостите)</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АСЕАН</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Асоциация на страните от Югоизточна Азия.</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CCWP</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Съвет на ЕС — работна група „Митническо сътрудничество“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CELAC</w:t>
            </w:r>
            <w:r>
              <w:rPr>
                <w:noProof/>
              </w:rPr>
              <w:tab/>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Comunidad de Estados Latinoamericanos y Caribeños (Общност на държавите в Латинска Америка и Карибския басейн)</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CEPOL</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Европейски полицейски колеж</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CICAD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La Comisión Interamericana para el Control del Abuso de Drogas (Междуамериканска комисия за контрол върху злоупотребата с наркотици)</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CND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Комисия на ООН по наркотичните вещества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COAFR</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„Африка“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COASI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„Азия и Океания“</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COEST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„Източна Европа и Централна Азия“</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COHOM</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„Права на човека“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COLAT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„Латинска Америка“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Комисия</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Европейска комисия</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CONUN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Съвет на ЕС — работна група ООН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Съвет на ЕС — постоянен комитет за оперативно сътрудничество в областта на вътрешната сигурност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РГ на Съвета     </w:t>
            </w:r>
          </w:p>
        </w:tc>
        <w:tc>
          <w:tcPr>
            <w:tcW w:w="0" w:type="auto"/>
          </w:tcPr>
          <w:p>
            <w:pPr>
              <w:spacing w:after="120" w:line="240" w:lineRule="auto"/>
              <w:ind w:left="360" w:hanging="360"/>
              <w:rPr>
                <w:rFonts w:ascii="Times New Roman" w:hAnsi="Times New Roman" w:cs="Times New Roman"/>
                <w:b/>
                <w:dstrike/>
                <w:noProof/>
                <w:sz w:val="24"/>
                <w:szCs w:val="24"/>
              </w:rPr>
            </w:pPr>
            <w:r>
              <w:rPr>
                <w:rFonts w:ascii="Times New Roman" w:hAnsi="Times New Roman"/>
                <w:b/>
                <w:noProof/>
                <w:sz w:val="24"/>
              </w:rPr>
              <w:t>Работна група на Съвета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COWEB</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„Западни Балкани“</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CUG</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работна група „Митнически съюз“</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ECDC</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Европейски център за профилактика и контрол върху заболяванията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ECOWAS</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Икономическа общност на западноафриканските държави.</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ЕСВД</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Европейска служба за външна дейност</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EMA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Европейска агенция по лекарствата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EMCDDA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Европейски център за мониторинг на наркотиците и наркоманиите</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Доклади на ръководителите на проекти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Европейска мултидисциплинарна платформа за борба със заплахите от престъпления</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ENFSI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Европейска мрежа на институтите по криминалистика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ERA-net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Мрежа на европейското изследователско пространство</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ERANID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Мрежа на европейското изследователско пространство относно наркотиците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ESPAD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Проект за проучване на употребата на алкохол и наркотици в европейските училища</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ЕС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Европейски съюз</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Евроюст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Европейско звено за съдебно сътрудничество</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Европол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Агенция на Европейския съюз за сътрудничество и обучение в областта на правоприлагането</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EU SOCTA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Оценка на заплахата от тежка и организирана престъпност в ЕС</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FRONTEX</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Европейска агенция за управление на оперативното сътрудничество по външните граници на държавите — членки на Европейския съюз</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HBSC</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Проучване на поведението на децата в ученическа възраст във връзка със здравето</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HCV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вирус на хепатит С</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HDG</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Съвет на ЕС — хоризонтална работна група „Наркотици“</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ХИВ</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Човешки имунодефицитен вирус</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INCB</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Международен съвет за контрол на наркотиците (ООН)</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ПВР</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Правосъдие и вътрешни работи</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ЛГБТИ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Лесбийки, гейове, бисексуални, трансполови/транссексуални и интерсексуални лица</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LSD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Диетиламид на лизергиновата киселина</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МСП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Многогодишни стратегически планове (Европол)</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MOU</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Меморандум за разбирателство</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strike/>
                <w:noProof/>
                <w:sz w:val="24"/>
              </w:rPr>
              <w:t xml:space="preserve">LINKSCH </w:t>
            </w:r>
          </w:p>
        </w:tc>
        <w:tc>
          <w:tcPr>
            <w:tcW w:w="0" w:type="auto"/>
          </w:tcPr>
          <w:p>
            <w:pPr>
              <w:spacing w:after="120" w:line="240" w:lineRule="auto"/>
              <w:rPr>
                <w:rFonts w:ascii="Times New Roman" w:hAnsi="Times New Roman" w:cs="Times New Roman"/>
                <w:noProof/>
                <w:sz w:val="24"/>
                <w:szCs w:val="24"/>
              </w:rPr>
            </w:pPr>
            <w:r>
              <w:rPr>
                <w:rFonts w:ascii="Times New Roman" w:hAnsi="Times New Roman"/>
                <w:strike/>
                <w:noProof/>
                <w:sz w:val="24"/>
              </w:rPr>
              <w:t>Проектът LINKSCH е сравнително проучване на двата основни пазара на наркотици — на канабис и на хероин, през призмата на транзитните канали, действащи между Централна Азия и ЕС и между Северна Африка и ЕС</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ДЧ</w:t>
            </w:r>
            <w:r>
              <w:rPr>
                <w:noProof/>
              </w:rPr>
              <w:tab/>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Държава членка</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НПВ</w:t>
            </w:r>
          </w:p>
          <w:p>
            <w:pPr>
              <w:spacing w:after="120" w:line="240" w:lineRule="auto"/>
              <w:rPr>
                <w:rFonts w:ascii="Times New Roman" w:hAnsi="Times New Roman" w:cs="Times New Roman"/>
                <w:noProof/>
                <w:sz w:val="24"/>
                <w:szCs w:val="24"/>
              </w:rPr>
            </w:pPr>
            <w:r>
              <w:rPr>
                <w:rFonts w:ascii="Times New Roman" w:hAnsi="Times New Roman"/>
                <w:noProof/>
                <w:sz w:val="24"/>
              </w:rPr>
              <w:t>PEN</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Нови психоактивни вещества</w:t>
            </w:r>
          </w:p>
          <w:p>
            <w:pPr>
              <w:spacing w:after="120" w:line="240" w:lineRule="auto"/>
              <w:rPr>
                <w:rFonts w:ascii="Times New Roman" w:hAnsi="Times New Roman" w:cs="Times New Roman"/>
                <w:noProof/>
                <w:sz w:val="24"/>
                <w:szCs w:val="24"/>
              </w:rPr>
            </w:pPr>
            <w:r>
              <w:rPr>
                <w:rFonts w:ascii="Times New Roman" w:hAnsi="Times New Roman"/>
                <w:noProof/>
                <w:sz w:val="24"/>
              </w:rPr>
              <w:t>Онлайн система за нотификация преди износ на Службата на ООН по наркотиците и престъпността</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PICS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Система за съобщаване на инциденти с прекурсори</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Председателство</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Ротационно председателство на Съвета на Европейския съюз</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Тройка</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Група от три последователни ротационни председателства на Съвета на Европейския съюз</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Reitox</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Европейска информационна мрежа за наркотиците и наркоманиите</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SOCTA</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Оценка на заплахата от тежка и организирана престъпност</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ООН</w:t>
            </w:r>
            <w:r>
              <w:rPr>
                <w:noProof/>
              </w:rPr>
              <w:tab/>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Организация на обединените нации</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UNAIDS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Обща програма на ООН срещу ХИВ/СПИН</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UNGASS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Специална сесия на Общото събрание на ООН</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UNODC</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Служба на ООН по наркотиците и престъпността</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ПРООН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Програма на ООН за развитие</w:t>
            </w:r>
          </w:p>
        </w:tc>
      </w:tr>
      <w:tr>
        <w:tc>
          <w:tcPr>
            <w:tcW w:w="0" w:type="auto"/>
          </w:tcPr>
          <w:p>
            <w:pPr>
              <w:spacing w:after="120" w:line="240" w:lineRule="auto"/>
              <w:rPr>
                <w:rFonts w:ascii="Times New Roman" w:hAnsi="Times New Roman" w:cs="Times New Roman"/>
                <w:b/>
                <w:noProof/>
                <w:sz w:val="24"/>
                <w:szCs w:val="24"/>
              </w:rPr>
            </w:pPr>
            <w:r>
              <w:rPr>
                <w:rFonts w:ascii="Times New Roman" w:hAnsi="Times New Roman"/>
                <w:strike/>
                <w:noProof/>
                <w:sz w:val="24"/>
              </w:rPr>
              <w:t>СМО</w:t>
            </w:r>
          </w:p>
        </w:tc>
        <w:tc>
          <w:tcPr>
            <w:tcW w:w="0" w:type="auto"/>
          </w:tcPr>
          <w:p>
            <w:pPr>
              <w:spacing w:after="120" w:line="240" w:lineRule="auto"/>
              <w:rPr>
                <w:rFonts w:ascii="Times New Roman" w:hAnsi="Times New Roman" w:cs="Times New Roman"/>
                <w:b/>
                <w:noProof/>
                <w:sz w:val="24"/>
                <w:szCs w:val="24"/>
              </w:rPr>
            </w:pPr>
            <w:r>
              <w:rPr>
                <w:rFonts w:ascii="Times New Roman" w:hAnsi="Times New Roman"/>
                <w:strike/>
                <w:noProof/>
                <w:sz w:val="24"/>
              </w:rPr>
              <w:t>Световна митническа организация</w:t>
            </w:r>
          </w:p>
        </w:tc>
      </w:tr>
      <w:tr>
        <w:tc>
          <w:tcPr>
            <w:tcW w:w="0" w:type="auto"/>
          </w:tcPr>
          <w:p>
            <w:pPr>
              <w:spacing w:after="120" w:line="240" w:lineRule="auto"/>
              <w:rPr>
                <w:rFonts w:ascii="Times New Roman" w:hAnsi="Times New Roman" w:cs="Times New Roman"/>
                <w:b/>
                <w:noProof/>
                <w:sz w:val="24"/>
                <w:szCs w:val="24"/>
              </w:rPr>
            </w:pPr>
            <w:r>
              <w:rPr>
                <w:rFonts w:ascii="Times New Roman" w:hAnsi="Times New Roman"/>
                <w:noProof/>
                <w:sz w:val="24"/>
              </w:rPr>
              <w:t>СЗО</w:t>
            </w:r>
          </w:p>
        </w:tc>
        <w:tc>
          <w:tcPr>
            <w:tcW w:w="0" w:type="auto"/>
          </w:tcPr>
          <w:p>
            <w:pPr>
              <w:spacing w:after="120" w:line="240" w:lineRule="auto"/>
              <w:rPr>
                <w:rFonts w:ascii="Times New Roman" w:hAnsi="Times New Roman" w:cs="Times New Roman"/>
                <w:b/>
                <w:noProof/>
                <w:sz w:val="24"/>
                <w:szCs w:val="24"/>
              </w:rPr>
            </w:pPr>
            <w:r>
              <w:rPr>
                <w:rFonts w:ascii="Times New Roman" w:hAnsi="Times New Roman"/>
                <w:noProof/>
                <w:sz w:val="24"/>
              </w:rPr>
              <w:t>Световна здравна организация (ООН)</w:t>
            </w:r>
          </w:p>
        </w:tc>
      </w:tr>
    </w:tbl>
    <w:p>
      <w:pPr>
        <w:spacing w:after="120" w:line="240" w:lineRule="auto"/>
        <w:rPr>
          <w:rFonts w:ascii="Times New Roman" w:hAnsi="Times New Roman" w:cs="Times New Roman"/>
          <w:noProof/>
          <w:sz w:val="24"/>
          <w:szCs w:val="24"/>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D8B69" w15:done="0"/>
  <w15:commentEx w15:paraId="7772A8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w:t>
    </w:r>
    <w:r>
      <w:rPr>
        <w:noProof/>
      </w:rPr>
      <w:fldChar w:fldCharType="end"/>
    </w:r>
  </w:p>
  <w:p>
    <w:pPr>
      <w:pStyle w:val="Footer"/>
      <w:tabs>
        <w:tab w:val="right" w:pos="9639"/>
        <w:tab w:val="right" w:pos="14601"/>
      </w:tabs>
      <w:spacing w:line="280"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141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73</w:t>
    </w:r>
    <w:r>
      <w:rPr>
        <w:noProof/>
      </w:rPr>
      <w:fldChar w:fldCharType="end"/>
    </w:r>
  </w:p>
  <w:p>
    <w:pPr>
      <w:pStyle w:val="Footer"/>
      <w:tabs>
        <w:tab w:val="right" w:pos="14601"/>
      </w:tabs>
      <w:spacing w:line="280"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720" w:hanging="720"/>
        <w:rPr>
          <w:lang w:val="pt-PT"/>
        </w:rPr>
      </w:pPr>
      <w:r>
        <w:rPr>
          <w:rStyle w:val="FootnoteReference"/>
        </w:rPr>
        <w:footnoteRef/>
      </w:r>
      <w:r>
        <w:t xml:space="preserve"> </w:t>
      </w:r>
      <w:r>
        <w:tab/>
        <w:t>OВ C 402, 29.12.2012 г., стр. 1.</w:t>
      </w:r>
    </w:p>
  </w:footnote>
  <w:footnote w:id="2">
    <w:p>
      <w:pPr>
        <w:pStyle w:val="FootnoteText"/>
        <w:spacing w:after="0"/>
        <w:ind w:left="720" w:hanging="720"/>
        <w:rPr>
          <w:lang w:val="pt-PT"/>
        </w:rPr>
      </w:pPr>
      <w:r>
        <w:rPr>
          <w:rStyle w:val="FootnoteReference"/>
        </w:rPr>
        <w:footnoteRef/>
      </w:r>
      <w:r>
        <w:t xml:space="preserve"> </w:t>
      </w:r>
      <w:r>
        <w:tab/>
        <w:t>ОВ С 351, 30.11.2013 г., стр. 1.</w:t>
      </w:r>
    </w:p>
  </w:footnote>
  <w:footnote w:id="3">
    <w:p>
      <w:pPr>
        <w:pStyle w:val="FootnoteText"/>
        <w:spacing w:after="0"/>
        <w:ind w:left="720" w:hanging="720"/>
        <w:rPr>
          <w:lang w:val="pt-PT"/>
        </w:rPr>
      </w:pPr>
      <w:r>
        <w:rPr>
          <w:rStyle w:val="FootnoteReference"/>
        </w:rPr>
        <w:footnoteRef/>
      </w:r>
      <w:r>
        <w:t xml:space="preserve"> </w:t>
      </w:r>
      <w:r>
        <w:tab/>
        <w:t>COM(2015) 185.</w:t>
      </w:r>
    </w:p>
  </w:footnote>
  <w:footnote w:id="4">
    <w:p>
      <w:pPr>
        <w:pStyle w:val="FootnoteText"/>
        <w:spacing w:after="0"/>
        <w:ind w:left="720" w:hanging="720"/>
      </w:pPr>
      <w:r>
        <w:rPr>
          <w:rStyle w:val="FootnoteReference"/>
        </w:rPr>
        <w:footnoteRef/>
      </w:r>
      <w:r>
        <w:t xml:space="preserve"> </w:t>
      </w:r>
      <w:r>
        <w:tab/>
        <w:t xml:space="preserve">Консорциум, съставен от Ernst &amp; Young и RAND Europe. </w:t>
      </w:r>
    </w:p>
  </w:footnote>
  <w:footnote w:id="5">
    <w:p>
      <w:pPr>
        <w:pStyle w:val="FootnoteText"/>
        <w:spacing w:after="0"/>
        <w:ind w:left="720" w:hanging="720"/>
      </w:pPr>
      <w:r>
        <w:rPr>
          <w:rStyle w:val="FootnoteReference"/>
        </w:rPr>
        <w:footnoteRef/>
      </w:r>
      <w:r>
        <w:t xml:space="preserve"> </w:t>
      </w:r>
      <w:r>
        <w:tab/>
      </w:r>
      <w:hyperlink r:id="rId1">
        <w:r>
          <w:rPr>
            <w:rStyle w:val="Hyperlink"/>
          </w:rPr>
          <w:t>http://ec.europa.eu/dgs/home-affairs/what-is-new/work-in-progress/initiatives/984ws_intro_en.htm</w:t>
        </w:r>
      </w:hyperlink>
      <w:r>
        <w:t xml:space="preserve"> </w:t>
      </w:r>
    </w:p>
  </w:footnote>
  <w:footnote w:id="6">
    <w:p>
      <w:pPr>
        <w:pStyle w:val="FootnoteText"/>
        <w:spacing w:after="0"/>
        <w:ind w:left="720" w:hanging="720"/>
      </w:pPr>
      <w:r>
        <w:rPr>
          <w:rStyle w:val="FootnoteReference"/>
        </w:rPr>
        <w:footnoteRef/>
      </w:r>
      <w:r>
        <w:t xml:space="preserve"> </w:t>
      </w:r>
      <w:r>
        <w:tab/>
        <w:t>Към съобщението е приложен работен документ на службите на Комисията, съдържащ обзор на резултатите от оценката — SWD (2017)95.</w:t>
      </w:r>
    </w:p>
  </w:footnote>
  <w:footnote w:id="7">
    <w:p>
      <w:pPr>
        <w:pStyle w:val="FootnoteText"/>
        <w:spacing w:after="0"/>
        <w:ind w:left="720" w:hanging="720"/>
        <w:rPr>
          <w:rStyle w:val="FootnoteReference"/>
          <w:vertAlign w:val="baseline"/>
        </w:rPr>
      </w:pPr>
      <w:r>
        <w:rPr>
          <w:rStyle w:val="FootnoteReference"/>
        </w:rPr>
        <w:footnoteRef/>
      </w:r>
      <w:r>
        <w:rPr>
          <w:rStyle w:val="FootnoteReference"/>
        </w:rPr>
        <w:t xml:space="preserve"> </w:t>
      </w:r>
      <w:r>
        <w:tab/>
      </w:r>
      <w:r>
        <w:rPr>
          <w:rStyle w:val="FootnoteReference"/>
          <w:vertAlign w:val="baseline"/>
        </w:rPr>
        <w:t>Настоящото съобщение няма за цел актуализиране на Стратегията на ЕС за борба с наркотиците, която остава валидна до 2020 г. Комисията счита, че</w:t>
      </w:r>
      <w:r>
        <w:t xml:space="preserve"> </w:t>
      </w:r>
      <w:r>
        <w:rPr>
          <w:rStyle w:val="FootnoteReference"/>
          <w:vertAlign w:val="baseline"/>
        </w:rPr>
        <w:t>промените, предложени в новия проект на план за действие са като цяло в съответствие със Стратегията.</w:t>
      </w:r>
    </w:p>
  </w:footnote>
  <w:footnote w:id="8">
    <w:p>
      <w:pPr>
        <w:pStyle w:val="FootnoteText"/>
        <w:spacing w:after="0"/>
        <w:ind w:left="720" w:hanging="720"/>
      </w:pPr>
      <w:r>
        <w:rPr>
          <w:rStyle w:val="FootnoteReference"/>
        </w:rPr>
        <w:footnoteRef/>
      </w:r>
      <w:r>
        <w:t xml:space="preserve"> </w:t>
      </w:r>
      <w:r>
        <w:tab/>
      </w:r>
      <w:r>
        <w:rPr>
          <w:i/>
        </w:rPr>
        <w:t>EU Drug Markets Report 2016</w:t>
      </w:r>
      <w:r>
        <w:t xml:space="preserve"> (Доклад за пазарите на наркотици в ЕС за 2016 г.), Европол и EMCDDA.</w:t>
      </w:r>
    </w:p>
  </w:footnote>
  <w:footnote w:id="9">
    <w:p>
      <w:pPr>
        <w:pStyle w:val="FootnoteText"/>
        <w:spacing w:after="0"/>
        <w:ind w:left="720" w:hanging="720"/>
      </w:pPr>
      <w:r>
        <w:rPr>
          <w:rStyle w:val="FootnoteReference"/>
        </w:rPr>
        <w:footnoteRef/>
      </w:r>
      <w:r>
        <w:t xml:space="preserve"> </w:t>
      </w:r>
      <w:r>
        <w:tab/>
      </w:r>
      <w:r>
        <w:rPr>
          <w:i/>
        </w:rPr>
        <w:t>European Drug Report 2016</w:t>
      </w:r>
      <w:r>
        <w:t xml:space="preserve"> (Европейски доклад относно наркотиците за 2016 г.), EMCDDA.</w:t>
      </w:r>
    </w:p>
  </w:footnote>
  <w:footnote w:id="10">
    <w:p>
      <w:pPr>
        <w:pStyle w:val="FootnoteText"/>
        <w:spacing w:after="0"/>
        <w:ind w:left="720" w:hanging="720"/>
      </w:pPr>
      <w:r>
        <w:rPr>
          <w:rStyle w:val="FootnoteReference"/>
        </w:rPr>
        <w:footnoteRef/>
      </w:r>
      <w:r>
        <w:t xml:space="preserve"> </w:t>
      </w:r>
      <w:r>
        <w:tab/>
        <w:t>Това представлява увеличение в сравнение с 2013 г.</w:t>
      </w:r>
    </w:p>
  </w:footnote>
  <w:footnote w:id="11">
    <w:p>
      <w:pPr>
        <w:pStyle w:val="FootnoteText"/>
        <w:spacing w:after="0"/>
        <w:ind w:left="720" w:hanging="720"/>
      </w:pPr>
      <w:r>
        <w:rPr>
          <w:rStyle w:val="FootnoteReference"/>
        </w:rPr>
        <w:footnoteRef/>
      </w:r>
      <w:r>
        <w:t xml:space="preserve"> </w:t>
      </w:r>
      <w:r>
        <w:tab/>
        <w:t xml:space="preserve">Всички данни в този абзац са взети от </w:t>
      </w:r>
      <w:r>
        <w:rPr>
          <w:i/>
        </w:rPr>
        <w:t>European Drug Report 2016</w:t>
      </w:r>
      <w:r>
        <w:t xml:space="preserve"> (Европейски доклад относно наркотиците за 2016 г.), EMCDDA.</w:t>
      </w:r>
    </w:p>
  </w:footnote>
  <w:footnote w:id="12">
    <w:p>
      <w:pPr>
        <w:pStyle w:val="FootnoteText"/>
        <w:spacing w:after="0"/>
        <w:ind w:left="720" w:hanging="720"/>
      </w:pPr>
      <w:r>
        <w:rPr>
          <w:rStyle w:val="FootnoteReference"/>
        </w:rPr>
        <w:footnoteRef/>
      </w:r>
      <w:r>
        <w:t xml:space="preserve"> </w:t>
      </w:r>
      <w:r>
        <w:tab/>
        <w:t>Включително РП7, „Хоризонт 2020“ и Здравната програма 2014 — 2020 г.</w:t>
      </w:r>
    </w:p>
  </w:footnote>
  <w:footnote w:id="13">
    <w:p>
      <w:pPr>
        <w:pStyle w:val="FootnoteText"/>
        <w:spacing w:after="0"/>
        <w:ind w:left="720" w:hanging="720"/>
      </w:pPr>
      <w:r>
        <w:rPr>
          <w:rStyle w:val="FootnoteReference"/>
        </w:rPr>
        <w:footnoteRef/>
      </w:r>
      <w:r>
        <w:t xml:space="preserve"> </w:t>
      </w:r>
      <w:r>
        <w:tab/>
        <w:t>Тя включва над 90 интервюта с представители от всички държави от ЕС, европейски институции, агенции, трети държави и други заинтересовани лица; онлайн анкета сред представители на Европейската служба за външна дейност (ЕСВД) в държави извън ЕС; онлайн обществена консултация и дискусия на кръгла маса с представители на Форума на гражданското общество по въпросите на наркотиците.</w:t>
      </w:r>
    </w:p>
  </w:footnote>
  <w:footnote w:id="14">
    <w:p>
      <w:pPr>
        <w:pStyle w:val="FootnoteText"/>
        <w:spacing w:after="0"/>
        <w:ind w:left="720" w:hanging="720"/>
      </w:pPr>
      <w:r>
        <w:rPr>
          <w:rStyle w:val="FootnoteReference"/>
        </w:rPr>
        <w:footnoteRef/>
      </w:r>
      <w:r>
        <w:t xml:space="preserve"> </w:t>
      </w:r>
      <w:r>
        <w:tab/>
        <w:t>Това се дължи на факта, че не всички държави членки предоставят данни по всички мерки, както и на факта, че различни показатели обхващат различни периоди и че някои показатели се основават на регистри или проучвания и са количествено измерими, докато други разчитат на експертни становища или качествени оценки.</w:t>
      </w:r>
    </w:p>
  </w:footnote>
  <w:footnote w:id="15">
    <w:p>
      <w:pPr>
        <w:pStyle w:val="FootnoteText"/>
        <w:ind w:left="720" w:hanging="720"/>
      </w:pPr>
      <w:r>
        <w:rPr>
          <w:rStyle w:val="FootnoteReference"/>
        </w:rPr>
        <w:footnoteRef/>
      </w:r>
      <w:r>
        <w:t xml:space="preserve"> </w:t>
      </w:r>
      <w:r>
        <w:tab/>
        <w:t>Интервюта, анкети, анализи на документи, обществена консултация, дискусии на кръгла маса.</w:t>
      </w:r>
    </w:p>
  </w:footnote>
  <w:footnote w:id="16">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hyperlink r:id="rId2">
        <w:r>
          <w:rPr>
            <w:rStyle w:val="Hyperlink"/>
            <w:rFonts w:ascii="Times New Roman" w:hAnsi="Times New Roman"/>
            <w:color w:val="auto"/>
            <w:sz w:val="20"/>
            <w:u w:val="none"/>
          </w:rPr>
          <w:t>Общо изявление на Съвета и представителите на правителствата на държавите членки на срещата на Съвета, Европейския парламент и Комисията относно политиката за сътрудничество на Европейския съюз: „Европейският консенсус“, ОВ C/46/1 от 24.2.2006 г.</w:t>
        </w:r>
      </w:hyperlink>
    </w:p>
  </w:footnote>
  <w:footnote w:id="17">
    <w:p>
      <w:pPr>
        <w:pStyle w:val="FootnoteText"/>
        <w:spacing w:after="0"/>
        <w:ind w:left="720" w:hanging="720"/>
      </w:pPr>
      <w:r>
        <w:rPr>
          <w:rStyle w:val="FootnoteReference"/>
        </w:rPr>
        <w:footnoteRef/>
      </w:r>
      <w:r>
        <w:t xml:space="preserve"> </w:t>
      </w:r>
      <w:r>
        <w:tab/>
      </w:r>
      <w:hyperlink r:id="rId3">
        <w:r>
          <w:rPr>
            <w:rStyle w:val="Hyperlink"/>
            <w:rFonts w:eastAsiaTheme="minorHAnsi"/>
            <w:color w:val="auto"/>
            <w:u w:val="none"/>
          </w:rPr>
          <w:t>COM (2007) 630 final</w:t>
        </w:r>
      </w:hyperlink>
      <w:r>
        <w:rPr>
          <w:rStyle w:val="Hyperlink"/>
          <w:rFonts w:eastAsiaTheme="minorHAnsi"/>
          <w:color w:val="auto"/>
          <w:u w:val="none"/>
        </w:rPr>
        <w:t xml:space="preserve"> и целите, определени през 2007 г., ще останат в сила и през следващото десетилетие в контекста на „Европа 2020“</w:t>
      </w:r>
      <w:r>
        <w:t>.</w:t>
      </w:r>
      <w:r>
        <w:rPr>
          <w:rStyle w:val="Hyperlink"/>
          <w:rFonts w:eastAsiaTheme="minorHAnsi"/>
          <w:color w:val="auto"/>
          <w:u w:val="none"/>
        </w:rPr>
        <w:t xml:space="preserve"> Освен това в </w:t>
      </w:r>
      <w:hyperlink r:id="rId4">
        <w:r>
          <w:rPr>
            <w:rStyle w:val="Hyperlink"/>
            <w:color w:val="auto"/>
            <w:u w:val="none"/>
          </w:rPr>
          <w:t>Третата здравна програма (2014 — 2020 г.)</w:t>
        </w:r>
      </w:hyperlink>
      <w:r>
        <w:rPr>
          <w:rStyle w:val="Hyperlink"/>
          <w:color w:val="auto"/>
          <w:u w:val="none"/>
        </w:rPr>
        <w:t xml:space="preserve"> се посочват подобни предизвикателства</w:t>
      </w:r>
      <w:r>
        <w:t>.</w:t>
      </w:r>
    </w:p>
  </w:footnote>
  <w:footnote w:id="18">
    <w:p>
      <w:pPr>
        <w:pStyle w:val="FootnoteText"/>
        <w:spacing w:after="0"/>
        <w:ind w:left="720" w:hanging="720"/>
      </w:pPr>
      <w:r>
        <w:rPr>
          <w:rStyle w:val="FootnoteReference"/>
        </w:rPr>
        <w:footnoteRef/>
      </w:r>
      <w:r>
        <w:t xml:space="preserve"> </w:t>
      </w:r>
      <w:r>
        <w:tab/>
        <w:t>Въведено е ново действие 3, а действие 4 е актуализирано.</w:t>
      </w:r>
    </w:p>
  </w:footnote>
  <w:footnote w:id="19">
    <w:p>
      <w:pPr>
        <w:pStyle w:val="FootnoteText"/>
        <w:spacing w:after="0"/>
        <w:ind w:left="720" w:hanging="720"/>
      </w:pPr>
      <w:r>
        <w:rPr>
          <w:rStyle w:val="FootnoteReference"/>
        </w:rPr>
        <w:footnoteRef/>
      </w:r>
      <w:r>
        <w:t xml:space="preserve"> </w:t>
      </w:r>
      <w:r>
        <w:tab/>
        <w:t>Действие 5 е актуализирано — сега то се отнася до „злоупотребата с психоактивни лекарства“; това включва всякакви видове психоактивни/пристрастяващи вещества, използвани за лечение, всички наркотични вещества, действащи върху централната нервна система, както и опиоидни вещества и лекарства, използвани при заместителна терапия.</w:t>
      </w:r>
    </w:p>
  </w:footnote>
  <w:footnote w:id="20">
    <w:p>
      <w:pPr>
        <w:pStyle w:val="FootnoteText"/>
        <w:spacing w:after="0"/>
        <w:ind w:left="720" w:hanging="720"/>
      </w:pPr>
      <w:r>
        <w:rPr>
          <w:rStyle w:val="FootnoteReference"/>
        </w:rPr>
        <w:footnoteRef/>
      </w:r>
      <w:r>
        <w:t xml:space="preserve"> </w:t>
      </w:r>
      <w:r>
        <w:tab/>
        <w:t xml:space="preserve">Действия 6 и 7 са актуализирани. </w:t>
      </w:r>
    </w:p>
  </w:footnote>
  <w:footnote w:id="21">
    <w:p>
      <w:pPr>
        <w:pStyle w:val="FootnoteText"/>
        <w:spacing w:after="0"/>
        <w:ind w:left="720" w:hanging="720"/>
      </w:pPr>
      <w:r>
        <w:rPr>
          <w:rStyle w:val="FootnoteReference"/>
        </w:rPr>
        <w:footnoteRef/>
      </w:r>
      <w:r>
        <w:t xml:space="preserve"> </w:t>
      </w:r>
      <w:r>
        <w:tab/>
        <w:t>Цел 2, няколко действия по стълба за намаляването на търсенето на наркотици и действие 48 бяха изменени, за да се отрази тази промяна. В този контекст се предлага да се изследват възможностите за полезно взаимодействие с Европейския корпус за солидарност.</w:t>
      </w:r>
    </w:p>
  </w:footnote>
  <w:footnote w:id="22">
    <w:p>
      <w:pPr>
        <w:pStyle w:val="FootnoteText"/>
        <w:spacing w:after="0"/>
        <w:ind w:left="720" w:hanging="720"/>
      </w:pPr>
      <w:r>
        <w:rPr>
          <w:rStyle w:val="FootnoteReference"/>
        </w:rPr>
        <w:footnoteRef/>
      </w:r>
      <w:r>
        <w:t xml:space="preserve"> </w:t>
      </w:r>
      <w:r>
        <w:tab/>
        <w:t>Действия 8 и 9 са засилени, за да се отрази централната цел на позициите на ЕС във връзка със специалната сесия на Общото събрание на ООН.</w:t>
      </w:r>
    </w:p>
  </w:footnote>
  <w:footnote w:id="23">
    <w:p>
      <w:pPr>
        <w:pStyle w:val="FootnoteText"/>
        <w:spacing w:after="0"/>
        <w:ind w:left="720" w:hanging="720"/>
      </w:pPr>
      <w:r>
        <w:rPr>
          <w:rStyle w:val="FootnoteReference"/>
        </w:rPr>
        <w:footnoteRef/>
      </w:r>
      <w:r>
        <w:t xml:space="preserve"> </w:t>
      </w:r>
      <w:r>
        <w:tab/>
        <w:t>Заключения на Съвета относно изпълнението на Плана за действие на ЕС по отношение на наркотиците за периода 2013 — 2016 г. по отношение на минималните стандарти за качество в намаляването на търсенето на наркотици в Европейския съюз, 11985/15</w:t>
      </w:r>
    </w:p>
  </w:footnote>
  <w:footnote w:id="24">
    <w:p>
      <w:pPr>
        <w:pStyle w:val="FootnoteText"/>
        <w:spacing w:after="0"/>
        <w:ind w:left="720" w:hanging="720"/>
      </w:pPr>
      <w:r>
        <w:rPr>
          <w:rStyle w:val="FootnoteReference"/>
        </w:rPr>
        <w:footnoteRef/>
      </w:r>
      <w:r>
        <w:t xml:space="preserve"> </w:t>
      </w:r>
      <w:r>
        <w:tab/>
        <w:t>Действие 10 е актуализирано.</w:t>
      </w:r>
    </w:p>
  </w:footnote>
  <w:footnote w:id="25">
    <w:p>
      <w:pPr>
        <w:pStyle w:val="FootnoteText"/>
        <w:spacing w:after="0"/>
        <w:ind w:left="720" w:hanging="720"/>
      </w:pPr>
      <w:r>
        <w:rPr>
          <w:rStyle w:val="FootnoteReference"/>
        </w:rPr>
        <w:footnoteRef/>
      </w:r>
      <w:r>
        <w:t xml:space="preserve"> </w:t>
      </w:r>
      <w:r>
        <w:tab/>
        <w:t>Действие 11 е актуализирано.</w:t>
      </w:r>
    </w:p>
  </w:footnote>
  <w:footnote w:id="26">
    <w:p>
      <w:pPr>
        <w:pStyle w:val="FootnoteText"/>
        <w:spacing w:after="0"/>
        <w:ind w:left="720" w:hanging="720"/>
      </w:pPr>
      <w:r>
        <w:rPr>
          <w:rStyle w:val="FootnoteReference"/>
        </w:rPr>
        <w:footnoteRef/>
      </w:r>
      <w:r>
        <w:t xml:space="preserve"> </w:t>
      </w:r>
      <w:r>
        <w:tab/>
        <w:t xml:space="preserve">Заключения на Съвета относно подобряването на наблюдението на предлагането на наркотици в Европейския съюз, 15 ноември 2013 г. </w:t>
      </w:r>
    </w:p>
  </w:footnote>
  <w:footnote w:id="27">
    <w:p>
      <w:pPr>
        <w:pStyle w:val="FootnoteText"/>
        <w:spacing w:after="0"/>
        <w:ind w:left="720" w:hanging="720"/>
      </w:pPr>
      <w:r>
        <w:rPr>
          <w:rStyle w:val="FootnoteReference"/>
        </w:rPr>
        <w:footnoteRef/>
      </w:r>
      <w:r>
        <w:t xml:space="preserve"> </w:t>
      </w:r>
      <w:r>
        <w:tab/>
        <w:t>Действие 17 е актуализирано.</w:t>
      </w:r>
    </w:p>
  </w:footnote>
  <w:footnote w:id="28">
    <w:p>
      <w:pPr>
        <w:pStyle w:val="FootnoteText"/>
        <w:spacing w:after="0"/>
        <w:ind w:left="720" w:hanging="720"/>
      </w:pPr>
      <w:r>
        <w:rPr>
          <w:rStyle w:val="FootnoteReference"/>
        </w:rPr>
        <w:footnoteRef/>
      </w:r>
      <w:r>
        <w:t xml:space="preserve"> </w:t>
      </w:r>
      <w:r>
        <w:tab/>
        <w:t>Действие 19 е актуализирано.</w:t>
      </w:r>
    </w:p>
  </w:footnote>
  <w:footnote w:id="29">
    <w:p>
      <w:pPr>
        <w:pStyle w:val="FootnoteText"/>
        <w:spacing w:after="0"/>
        <w:ind w:left="720" w:hanging="720"/>
      </w:pPr>
      <w:r>
        <w:rPr>
          <w:rStyle w:val="FootnoteReference"/>
        </w:rPr>
        <w:footnoteRef/>
      </w:r>
      <w:r>
        <w:t xml:space="preserve"> </w:t>
      </w:r>
      <w:r>
        <w:tab/>
        <w:t>Действие 20 е изменено съответно.</w:t>
      </w:r>
    </w:p>
  </w:footnote>
  <w:footnote w:id="30">
    <w:p>
      <w:pPr>
        <w:pStyle w:val="FootnoteText"/>
        <w:spacing w:after="0"/>
        <w:ind w:left="720" w:hanging="720"/>
      </w:pPr>
      <w:r>
        <w:rPr>
          <w:rStyle w:val="FootnoteReference"/>
        </w:rPr>
        <w:footnoteRef/>
      </w:r>
      <w:r>
        <w:t xml:space="preserve"> </w:t>
      </w:r>
      <w:r>
        <w:tab/>
        <w:t>Регламент (ЕО) № 273/2004 на Европейския парламент и на Съвета относно прекурсорите на наркотични вещества (ОВ L 47, 18.2.2004 г., стр. 1) и Регламент (ЕО) № 111/2005 на Съвета за определяне на правила за мониторинг на търговията между Съюза и трети страни в областта на прекурсорите (ОВ L 22, 26.1.2005 г., стр. 1)</w:t>
      </w:r>
    </w:p>
  </w:footnote>
  <w:footnote w:id="31">
    <w:p>
      <w:pPr>
        <w:pStyle w:val="FootnoteText"/>
        <w:spacing w:after="0"/>
        <w:ind w:left="720" w:hanging="720"/>
      </w:pPr>
      <w:r>
        <w:rPr>
          <w:rStyle w:val="FootnoteReference"/>
        </w:rPr>
        <w:footnoteRef/>
      </w:r>
      <w:r>
        <w:t xml:space="preserve"> </w:t>
      </w:r>
      <w:r>
        <w:tab/>
      </w:r>
      <w:r>
        <w:rPr>
          <w:i/>
        </w:rPr>
        <w:t>Study on alternatives to coercive sanctions as response to drug law offences and drug-related crimes</w:t>
      </w:r>
      <w:r>
        <w:t xml:space="preserve"> (Проучване на алтернативите на принудителните санкции в отговор на нарушения и престъпления, свързани с наркотици), май 2016 г., за Европейската комисия </w:t>
      </w:r>
    </w:p>
  </w:footnote>
  <w:footnote w:id="32">
    <w:p>
      <w:pPr>
        <w:pStyle w:val="FootnoteText"/>
        <w:spacing w:after="0"/>
        <w:ind w:left="720" w:hanging="720"/>
      </w:pPr>
      <w:r>
        <w:rPr>
          <w:rStyle w:val="FootnoteReference"/>
        </w:rPr>
        <w:footnoteRef/>
      </w:r>
      <w:r>
        <w:t xml:space="preserve"> </w:t>
      </w:r>
      <w:r>
        <w:tab/>
        <w:t>Действие 22 е актуализирано.</w:t>
      </w:r>
    </w:p>
  </w:footnote>
  <w:footnote w:id="33">
    <w:p>
      <w:pPr>
        <w:pStyle w:val="FootnoteText"/>
        <w:spacing w:after="0"/>
        <w:ind w:left="720" w:hanging="720"/>
      </w:pPr>
      <w:r>
        <w:rPr>
          <w:rStyle w:val="FootnoteReference"/>
        </w:rPr>
        <w:footnoteRef/>
      </w:r>
      <w:r>
        <w:t xml:space="preserve"> </w:t>
      </w:r>
      <w:r>
        <w:tab/>
        <w:t>Действие 23 е актуализирано. Предизвикателствата произтичат от фактори като надеждното криптиране на данни, уеб хостинга, преминаването от повърхностни към дълбоки уебсайтове и/или даркнет; появата на нови форми на плащане (като например „биткойни“); и разрастването на рекламата и обмена на наркотици по социалните медии. Особено внимание е отделено на използването на интернет за продажба на лекарства, изискващи лекарско предписание, и нови психоактивни вещества.</w:t>
      </w:r>
    </w:p>
  </w:footnote>
  <w:footnote w:id="34">
    <w:p>
      <w:pPr>
        <w:pStyle w:val="FootnoteText"/>
        <w:spacing w:after="0"/>
        <w:ind w:left="720" w:hanging="720"/>
      </w:pPr>
      <w:r>
        <w:rPr>
          <w:rStyle w:val="FootnoteReference"/>
        </w:rPr>
        <w:footnoteRef/>
      </w:r>
      <w:r>
        <w:t xml:space="preserve"> </w:t>
      </w:r>
      <w:r>
        <w:tab/>
        <w:t>Report from expert meeting "Internet and drugs” (Доклад от експертна среща „Интернет и наркотиците“), юни 2016 г.</w:t>
      </w:r>
    </w:p>
  </w:footnote>
  <w:footnote w:id="35">
    <w:p>
      <w:pPr>
        <w:pStyle w:val="FootnoteText"/>
        <w:spacing w:after="0"/>
        <w:ind w:left="720" w:hanging="720"/>
      </w:pPr>
      <w:r>
        <w:rPr>
          <w:rStyle w:val="FootnoteReference"/>
        </w:rPr>
        <w:footnoteRef/>
      </w:r>
      <w:r>
        <w:t xml:space="preserve"> </w:t>
      </w:r>
      <w:r>
        <w:tab/>
        <w:t>Действие 24 е изменено в съответствие с препоръката в оценката за преразглеждане на действащите механизми за координация между HDG и Постоянния комитет за оперативно сътрудничество в областта на вътрешната сигурност (COSI). Освен това в действия 24 и 28 (така, както са изменени) се отчита необходимостта от подобряване на координацията между HDG и тематичните работни групи на Съвета, като например работна група „ООН“ и работна група „Права на човека“. Така ще се подобрят полезните взаимодействия и сътрудничеството в областта на международните отношения, особено в рамките на процеса на преглед през 2019 г. на политическата декларация и плана за действие на ООН от 2009 г. за международно сътрудничество за постигане на интегрирана и балансирана стратегия за справяне с международния проблем с наркотиците.</w:t>
      </w:r>
    </w:p>
  </w:footnote>
  <w:footnote w:id="36">
    <w:p>
      <w:pPr>
        <w:pStyle w:val="FootnoteText"/>
        <w:spacing w:after="0"/>
        <w:ind w:left="720" w:hanging="720"/>
      </w:pPr>
      <w:r>
        <w:rPr>
          <w:rStyle w:val="FootnoteReference"/>
        </w:rPr>
        <w:footnoteRef/>
      </w:r>
      <w:r>
        <w:t xml:space="preserve"> </w:t>
      </w:r>
      <w:r>
        <w:tab/>
        <w:t>Действие 26 е актуализирано.</w:t>
      </w:r>
    </w:p>
  </w:footnote>
  <w:footnote w:id="37">
    <w:p>
      <w:pPr>
        <w:pStyle w:val="FootnoteText"/>
        <w:spacing w:after="0"/>
        <w:ind w:left="720" w:hanging="720"/>
      </w:pPr>
      <w:r>
        <w:rPr>
          <w:rStyle w:val="FootnoteReference"/>
        </w:rPr>
        <w:footnoteRef/>
      </w:r>
      <w:r>
        <w:t xml:space="preserve"> </w:t>
      </w:r>
      <w:r>
        <w:tab/>
        <w:t>Действие 31 е актуализирано.</w:t>
      </w:r>
    </w:p>
  </w:footnote>
  <w:footnote w:id="38">
    <w:p>
      <w:pPr>
        <w:pStyle w:val="FootnoteText"/>
        <w:spacing w:after="0"/>
        <w:ind w:left="720" w:hanging="720"/>
      </w:pPr>
      <w:r>
        <w:rPr>
          <w:rStyle w:val="FootnoteReference"/>
        </w:rPr>
        <w:footnoteRef/>
      </w:r>
      <w:r>
        <w:t xml:space="preserve"> </w:t>
      </w:r>
      <w:r>
        <w:tab/>
        <w:t>Действие 34 е изменено, за да се окаже пълна подкрепа на ролята на делегациите на ЕС при мониторинга на развитието на политиката в областта на наркотиците в държавите извън Съюза и при докладването за това до Комисията и Европейската служба за външна дейност (ЕСВД).</w:t>
      </w:r>
    </w:p>
  </w:footnote>
  <w:footnote w:id="39">
    <w:p>
      <w:pPr>
        <w:pStyle w:val="FootnoteText"/>
        <w:spacing w:after="0"/>
        <w:ind w:left="720" w:hanging="720"/>
      </w:pPr>
      <w:r>
        <w:rPr>
          <w:rStyle w:val="FootnoteReference"/>
        </w:rPr>
        <w:footnoteRef/>
      </w:r>
      <w:r>
        <w:t xml:space="preserve"> </w:t>
      </w:r>
      <w:r>
        <w:tab/>
        <w:t xml:space="preserve">Бившите действия 34 и 35 са слети в действие 35, тъй като разглеждат подобни въпроси: отглеждането на култури за производство на незаконни наркотици и алтернативното развитие продължават да бъдат предмет на интерес. </w:t>
      </w:r>
    </w:p>
  </w:footnote>
  <w:footnote w:id="40">
    <w:p>
      <w:pPr>
        <w:pStyle w:val="FootnoteText"/>
        <w:spacing w:after="0"/>
        <w:ind w:left="720" w:hanging="720"/>
      </w:pPr>
      <w:r>
        <w:rPr>
          <w:rStyle w:val="FootnoteReference"/>
        </w:rPr>
        <w:footnoteRef/>
      </w:r>
      <w:r>
        <w:t xml:space="preserve"> </w:t>
      </w:r>
      <w:r>
        <w:tab/>
        <w:t>Действие 38 е актуализирано. Предвид подновените дипломатически отношения Иран беше добавен към списъка на държавите, с които ЕС ще се стреми към по-тясно сътрудничество и ще провежда диалог по въпросите на наркотиците.</w:t>
      </w:r>
    </w:p>
  </w:footnote>
  <w:footnote w:id="41">
    <w:p>
      <w:pPr>
        <w:pStyle w:val="FootnoteText"/>
        <w:spacing w:after="0"/>
        <w:ind w:left="720" w:hanging="720"/>
      </w:pPr>
      <w:r>
        <w:rPr>
          <w:rStyle w:val="FootnoteReference"/>
        </w:rPr>
        <w:footnoteRef/>
      </w:r>
      <w:r>
        <w:t xml:space="preserve"> </w:t>
      </w:r>
      <w:r>
        <w:tab/>
        <w:t>Дъблинската група е гъвкав, неформален механизъм за консултация и координация по отношение на глобални, регионални и специфични за отделни държави проблеми, свързани с производството, трафика и търсенето на забранени наркотични вещества. Работата ѝ се основава на консенсус и взаимопомощ. В групата участват държавите — членки на Европейския съюз, Австралия, Канада, Япония, Норвегия, Съединените американски щати, Европейската комисия и Службата на ООН по наркотиците и престъпността.</w:t>
      </w:r>
    </w:p>
  </w:footnote>
  <w:footnote w:id="42">
    <w:p>
      <w:pPr>
        <w:pStyle w:val="FootnoteText"/>
        <w:spacing w:after="0"/>
        <w:ind w:left="720" w:hanging="720"/>
      </w:pPr>
      <w:r>
        <w:rPr>
          <w:rStyle w:val="FootnoteReference"/>
        </w:rPr>
        <w:footnoteRef/>
      </w:r>
      <w:r>
        <w:t xml:space="preserve"> </w:t>
      </w:r>
      <w:r>
        <w:tab/>
        <w:t xml:space="preserve">Действие 39 е актуализирано. </w:t>
      </w:r>
    </w:p>
  </w:footnote>
  <w:footnote w:id="43">
    <w:p>
      <w:pPr>
        <w:pStyle w:val="FootnoteText"/>
        <w:spacing w:after="0"/>
        <w:ind w:left="720" w:hanging="720"/>
      </w:pPr>
      <w:r>
        <w:rPr>
          <w:rStyle w:val="FootnoteReference"/>
        </w:rPr>
        <w:footnoteRef/>
      </w:r>
      <w:r>
        <w:t xml:space="preserve"> </w:t>
      </w:r>
      <w:r>
        <w:tab/>
        <w:t>Предишното действие 40 е премахнато.</w:t>
      </w:r>
    </w:p>
  </w:footnote>
  <w:footnote w:id="44">
    <w:p>
      <w:pPr>
        <w:pStyle w:val="FootnoteText"/>
        <w:spacing w:after="0"/>
        <w:ind w:left="720" w:hanging="720"/>
      </w:pPr>
      <w:r>
        <w:rPr>
          <w:rStyle w:val="FootnoteReference"/>
        </w:rPr>
        <w:footnoteRef/>
      </w:r>
      <w:r>
        <w:t xml:space="preserve"> </w:t>
      </w:r>
      <w:r>
        <w:tab/>
        <w:t xml:space="preserve">Действие 41 е актуализирано. </w:t>
      </w:r>
    </w:p>
  </w:footnote>
  <w:footnote w:id="45">
    <w:p>
      <w:pPr>
        <w:pStyle w:val="FootnoteText"/>
        <w:spacing w:after="0"/>
        <w:ind w:left="720" w:hanging="720"/>
      </w:pPr>
      <w:r>
        <w:rPr>
          <w:rStyle w:val="FootnoteReference"/>
        </w:rPr>
        <w:footnoteRef/>
      </w:r>
      <w:r>
        <w:t xml:space="preserve"> </w:t>
      </w:r>
      <w:r>
        <w:tab/>
        <w:t>Действие 45 е актуализирано.</w:t>
      </w:r>
    </w:p>
  </w:footnote>
  <w:footnote w:id="46">
    <w:p>
      <w:pPr>
        <w:pStyle w:val="FootnoteText"/>
        <w:spacing w:after="0"/>
        <w:ind w:left="720" w:hanging="720"/>
      </w:pPr>
      <w:r>
        <w:rPr>
          <w:rStyle w:val="FootnoteReference"/>
        </w:rPr>
        <w:footnoteRef/>
      </w:r>
      <w:r>
        <w:t xml:space="preserve"> </w:t>
      </w:r>
      <w:r>
        <w:tab/>
        <w:t>Действие 46 е актуализирано.</w:t>
      </w:r>
    </w:p>
  </w:footnote>
  <w:footnote w:id="47">
    <w:p>
      <w:pPr>
        <w:pStyle w:val="FootnoteText"/>
        <w:spacing w:after="0"/>
        <w:ind w:left="720" w:hanging="720"/>
        <w:rPr>
          <w:rStyle w:val="FootnoteReference"/>
          <w:vertAlign w:val="baseline"/>
        </w:rPr>
      </w:pPr>
      <w:r>
        <w:rPr>
          <w:rStyle w:val="FootnoteReference"/>
        </w:rPr>
        <w:footnoteRef/>
      </w:r>
      <w:r>
        <w:rPr>
          <w:rStyle w:val="FootnoteReference"/>
        </w:rPr>
        <w:t xml:space="preserve"> </w:t>
      </w:r>
      <w:r>
        <w:rPr>
          <w:lang w:val="en-GB"/>
        </w:rPr>
        <w:tab/>
      </w:r>
      <w:r>
        <w:rPr>
          <w:rStyle w:val="FootnoteReference"/>
          <w:vertAlign w:val="baseline"/>
        </w:rPr>
        <w:t>Също действие 8.</w:t>
      </w:r>
    </w:p>
  </w:footnote>
  <w:footnote w:id="48">
    <w:p>
      <w:pPr>
        <w:pStyle w:val="FootnoteText"/>
        <w:spacing w:after="0"/>
        <w:ind w:left="720" w:hanging="720"/>
      </w:pPr>
      <w:r>
        <w:rPr>
          <w:rStyle w:val="FootnoteReference"/>
        </w:rPr>
        <w:footnoteRef/>
      </w:r>
      <w:r>
        <w:t xml:space="preserve"> </w:t>
      </w:r>
      <w:r>
        <w:tab/>
        <w:t>Ново действие 47.</w:t>
      </w:r>
    </w:p>
  </w:footnote>
  <w:footnote w:id="49">
    <w:p>
      <w:pPr>
        <w:pStyle w:val="FootnoteText"/>
        <w:spacing w:after="0"/>
        <w:ind w:left="720" w:hanging="720"/>
      </w:pPr>
      <w:r>
        <w:rPr>
          <w:rStyle w:val="FootnoteReference"/>
        </w:rPr>
        <w:footnoteRef/>
      </w:r>
      <w:r>
        <w:t xml:space="preserve"> </w:t>
      </w:r>
      <w:r>
        <w:tab/>
        <w:t>COM (2015) 285 final.</w:t>
      </w:r>
    </w:p>
  </w:footnote>
  <w:footnote w:id="50">
    <w:p>
      <w:pPr>
        <w:pStyle w:val="FootnoteText"/>
        <w:spacing w:after="0"/>
        <w:ind w:left="720" w:hanging="720"/>
      </w:pPr>
      <w:r>
        <w:rPr>
          <w:rStyle w:val="FootnoteReference"/>
        </w:rPr>
        <w:footnoteRef/>
      </w:r>
      <w:r>
        <w:t xml:space="preserve"> </w:t>
      </w:r>
      <w:r>
        <w:tab/>
        <w:t>COM (2012) 286 final.</w:t>
      </w:r>
    </w:p>
  </w:footnote>
  <w:footnote w:id="51">
    <w:p>
      <w:pPr>
        <w:pStyle w:val="FootnoteText"/>
        <w:spacing w:after="0"/>
        <w:ind w:left="720" w:hanging="720"/>
      </w:pPr>
      <w:r>
        <w:rPr>
          <w:rStyle w:val="FootnoteReference"/>
        </w:rPr>
        <w:footnoteRef/>
      </w:r>
      <w:r>
        <w:t xml:space="preserve"> </w:t>
      </w:r>
      <w:r>
        <w:tab/>
        <w:t>Действие 48 е актуализирано. Канабисът е най-широко употребяваният наркотик в ЕС. През последните години в някои държави извън Съюза бяха извършени редица правни реформи по отношение на канабиса, като например декриминализация на употребата му, регулиране на пазарите или легализация.</w:t>
      </w:r>
    </w:p>
  </w:footnote>
  <w:footnote w:id="52">
    <w:p>
      <w:pPr>
        <w:pStyle w:val="FootnoteText"/>
        <w:spacing w:after="0"/>
        <w:ind w:left="720" w:hanging="720"/>
      </w:pPr>
      <w:r>
        <w:rPr>
          <w:rStyle w:val="FootnoteReference"/>
        </w:rPr>
        <w:footnoteRef/>
      </w:r>
      <w:r>
        <w:t xml:space="preserve"> </w:t>
      </w:r>
      <w:r>
        <w:tab/>
        <w:t>Действие 52 е актуализирано.</w:t>
      </w:r>
    </w:p>
  </w:footnote>
  <w:footnote w:id="53">
    <w:p>
      <w:pPr>
        <w:pStyle w:val="FootnoteText"/>
        <w:spacing w:after="0"/>
        <w:ind w:left="720" w:hanging="720"/>
      </w:pPr>
      <w:r>
        <w:rPr>
          <w:rStyle w:val="FootnoteReference"/>
        </w:rPr>
        <w:footnoteRef/>
      </w:r>
      <w:r>
        <w:t xml:space="preserve"> </w:t>
      </w:r>
      <w:r>
        <w:tab/>
        <w:t xml:space="preserve">Reitox е Европейската информационна мрежа за наркотици и наркомании. Тя е създадена по същото време като EMCDDA и е съставена от „национални координатори“ или „национални обсерватории в областта на наркотиците“ (определени национални институции или агенции, които отговарят за събиране на данни и за докладване по отношение на наркотиците и наркоманиите). </w:t>
      </w:r>
    </w:p>
  </w:footnote>
  <w:footnote w:id="54">
    <w:p>
      <w:pPr>
        <w:pStyle w:val="FootnoteText"/>
        <w:spacing w:after="0"/>
        <w:ind w:left="720" w:hanging="720"/>
      </w:pPr>
      <w:r>
        <w:rPr>
          <w:rStyle w:val="FootnoteReference"/>
        </w:rPr>
        <w:footnoteRef/>
      </w:r>
      <w:r>
        <w:t xml:space="preserve"> </w:t>
      </w:r>
      <w:r>
        <w:tab/>
        <w:t>Регламент (ЕО) № 1920/2006 на Европейския парламент и на Съвета от 12 декември 2006 г. относно Европейския център за мониторинг на наркотици и наркомании (преработен)</w:t>
      </w:r>
    </w:p>
  </w:footnote>
  <w:footnote w:id="55">
    <w:p>
      <w:pPr>
        <w:pStyle w:val="FootnoteText"/>
        <w:spacing w:after="0"/>
        <w:ind w:left="720" w:hanging="720"/>
        <w:rPr>
          <w:b/>
        </w:rPr>
      </w:pPr>
      <w:r>
        <w:rPr>
          <w:rStyle w:val="FootnoteReference"/>
          <w:b/>
        </w:rPr>
        <w:footnoteRef/>
      </w:r>
      <w:r>
        <w:rPr>
          <w:b/>
        </w:rPr>
        <w:t xml:space="preserve"> </w:t>
      </w:r>
      <w:r>
        <w:tab/>
      </w:r>
      <w:r>
        <w:rPr>
          <w:b/>
        </w:rPr>
        <w:t>В проекта на план за действие новият текст е в получер шрифт, а текстът, който Комисията предлага да се премахне, е отбелязан със зачертаване.</w:t>
      </w:r>
    </w:p>
  </w:footnote>
  <w:footnote w:id="56">
    <w:p>
      <w:pPr>
        <w:pStyle w:val="FootnoteText"/>
        <w:spacing w:after="0"/>
        <w:ind w:left="720" w:hanging="720"/>
        <w:rPr>
          <w:b/>
        </w:rPr>
      </w:pPr>
      <w:r>
        <w:rPr>
          <w:rStyle w:val="FootnoteReference"/>
          <w:b/>
        </w:rPr>
        <w:footnoteRef/>
      </w:r>
      <w:r>
        <w:rPr>
          <w:b/>
        </w:rPr>
        <w:t xml:space="preserve"> </w:t>
      </w:r>
      <w:r>
        <w:tab/>
      </w:r>
      <w:r>
        <w:rPr>
          <w:b/>
        </w:rPr>
        <w:t>„Основани на данни“ в този контекст следва да се разбира като „базирани на налични научни доказателства и опит“</w:t>
      </w:r>
    </w:p>
  </w:footnote>
  <w:footnote w:id="57">
    <w:p>
      <w:pPr>
        <w:pStyle w:val="FootnoteText"/>
        <w:spacing w:after="0"/>
        <w:ind w:left="720" w:hanging="720"/>
      </w:pPr>
      <w:r>
        <w:rPr>
          <w:rStyle w:val="FootnoteReference"/>
        </w:rPr>
        <w:footnoteRef/>
      </w:r>
      <w:r>
        <w:t xml:space="preserve"> </w:t>
      </w:r>
      <w:r>
        <w:tab/>
        <w:t>Заключения на Съвета относно изпълнението на Плана за действие на ЕС по отношение на наркотиците за периода 2013 — 2016 г. по отношение на минималните стандарти за качество в намаляването на търсенето на наркотици в Европейския съюз, 11985/15</w:t>
      </w:r>
    </w:p>
  </w:footnote>
  <w:footnote w:id="58">
    <w:p>
      <w:pPr>
        <w:pStyle w:val="FootnoteText"/>
        <w:spacing w:after="0"/>
        <w:ind w:left="720" w:hanging="720"/>
        <w:rPr>
          <w:b/>
        </w:rPr>
      </w:pPr>
      <w:r>
        <w:rPr>
          <w:rStyle w:val="FootnoteReference"/>
          <w:b/>
        </w:rPr>
        <w:footnoteRef/>
      </w:r>
      <w:r>
        <w:rPr>
          <w:b/>
        </w:rPr>
        <w:t xml:space="preserve"> </w:t>
      </w:r>
      <w:r>
        <w:tab/>
      </w:r>
      <w:r>
        <w:rPr>
          <w:b/>
        </w:rPr>
        <w:t>Центърът за морски анализи и операции — Наркотици (MAOC (N) със седалище в Лисабон е създаден по инициатива на 7 държави членки — Ирландия, Испания, Италия, Нидерландия, Обединеното кралство, Португалия и Франция — и се съфинансира от фонд „Вътрешна сигурност“ на Европейския съюз. Центърът представлява форум за многостранно сътрудничество за противодействие на трафика на забранени наркотични вещества по море и въздух.</w:t>
      </w:r>
    </w:p>
  </w:footnote>
  <w:footnote w:id="59">
    <w:p>
      <w:pPr>
        <w:pStyle w:val="FootnoteText"/>
        <w:ind w:left="720" w:hanging="720"/>
      </w:pPr>
      <w:r>
        <w:rPr>
          <w:rStyle w:val="FootnoteReference"/>
        </w:rPr>
        <w:footnoteRef/>
      </w:r>
      <w:r>
        <w:t xml:space="preserve"> </w:t>
      </w:r>
      <w:r>
        <w:tab/>
      </w:r>
      <w:r>
        <w:rPr>
          <w:b/>
        </w:rPr>
        <w:t>Заключения на Съвета относно подобряването на наблюдението на предлагането на наркотици в Европейския съюз, 15 ноември 2013 г.</w:t>
      </w:r>
      <w:r>
        <w:t xml:space="preserve"> </w:t>
      </w:r>
    </w:p>
  </w:footnote>
  <w:footnote w:id="60">
    <w:p>
      <w:pPr>
        <w:pStyle w:val="FootnoteText"/>
        <w:spacing w:after="0"/>
        <w:ind w:left="720" w:hanging="720"/>
        <w:rPr>
          <w:b/>
          <w:bCs/>
          <w:color w:val="0000FF" w:themeColor="hyperlink"/>
          <w:u w:val="single"/>
        </w:rPr>
      </w:pPr>
      <w:r>
        <w:rPr>
          <w:rStyle w:val="FootnoteReference"/>
          <w:b/>
        </w:rPr>
        <w:footnoteRef/>
      </w:r>
      <w:r>
        <w:rPr>
          <w:b/>
        </w:rPr>
        <w:t xml:space="preserve"> </w:t>
      </w:r>
      <w:r>
        <w:tab/>
      </w:r>
      <w:r>
        <w:rPr>
          <w:rStyle w:val="Hyperlink"/>
          <w:b/>
        </w:rPr>
        <w:t>Директива 2014/42/ЕС на Европейския парламент и на Съвета за обезпечаване и конфискация на средства и облаги от престъпна дейност в Европейския съюз; Решение 2007/845/ПВР на Съвета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 Рамково решение 2006/783/ПВР на Съвета за прилагане на принципа за взаимно признаване на решения за конфискация; Рамково решение 2003/577/ПВР на Съвета за изпълнение в Европейския съюз на решения за обезпечаване на имущество или доказателства</w:t>
      </w:r>
      <w:r>
        <w:t xml:space="preserve">, </w:t>
      </w:r>
      <w:r>
        <w:rPr>
          <w:rStyle w:val="Hyperlink"/>
          <w:b/>
        </w:rPr>
        <w:t>Предложение на Комисията за Регламент на Европейския парламент и на Съвета относно взаимното признаване на решенията за замразяване и конфискация на активи от престъпна дейност; Рамково решение 2005/212/ПВР на Съвета относно конфискация на облаги, средства и имущество от престъпления; Рамково решение 2003/577/ПВР на Съвета за изпълнение в Европейския съюз на решения за обезпечаване на имущество или доказателства.</w:t>
      </w:r>
      <w:r>
        <w:rPr>
          <w:b/>
        </w:rPr>
        <w:t xml:space="preserve"> </w:t>
      </w:r>
    </w:p>
  </w:footnote>
  <w:footnote w:id="61">
    <w:p>
      <w:pPr>
        <w:pStyle w:val="FootnoteText"/>
        <w:spacing w:after="0"/>
        <w:ind w:left="720" w:hanging="720"/>
        <w:rPr>
          <w:b/>
          <w:bCs/>
          <w:color w:val="0000FF" w:themeColor="hyperlink"/>
          <w:u w:val="single"/>
        </w:rPr>
      </w:pPr>
      <w:r>
        <w:rPr>
          <w:rStyle w:val="FootnoteReference"/>
          <w:b/>
        </w:rPr>
        <w:footnoteRef/>
      </w:r>
      <w:r>
        <w:rPr>
          <w:b/>
        </w:rPr>
        <w:t xml:space="preserve"> </w:t>
      </w:r>
      <w:r>
        <w:tab/>
      </w:r>
      <w:r>
        <w:rPr>
          <w:rStyle w:val="Hyperlink"/>
          <w:b/>
        </w:rPr>
        <w:t>Директива (ЕС) 2015/849 на Европейския парламент и на Съвета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Рамково решение 2001/500/ПВР на Съвета относно прането на пари, идентифицирането, проследяването, изземването и конфискацията на средствата и приходите от престъпна дейност. Предложение на Комисията за Директива на Европейския парламент и на Съвета за борба по наказателноправен ред с изпирането на пари, COM (2016) 826.Регламент (ЕС) 2015/847 на Европейския парламент и на Съвета относно информацията, придружаваща преводите на средства, и за отмяна на Регламент (ЕО) № 1781/2006; Регламент (ЕО) 1889/2005 на Европейския парламент и на Съвета относно контрола на пари в брой, които се внасят и изнасят от Общността. Предложение на Комисията за Регламент на Европейския парламент и на Съвета относно контрола на пари в брой, които се внасят и изнасят от Съюза и за отмяна на Регламент (ЕО) № 1889/2005</w:t>
      </w:r>
    </w:p>
  </w:footnote>
  <w:footnote w:id="62">
    <w:p>
      <w:pPr>
        <w:pStyle w:val="FootnoteText"/>
        <w:spacing w:after="0"/>
        <w:ind w:left="720" w:hanging="720"/>
        <w:rPr>
          <w:b/>
          <w:bCs/>
          <w:color w:val="0000FF" w:themeColor="hyperlink"/>
          <w:u w:val="single"/>
        </w:rPr>
      </w:pPr>
      <w:r>
        <w:rPr>
          <w:rStyle w:val="FootnoteReference"/>
          <w:b/>
        </w:rPr>
        <w:footnoteRef/>
      </w:r>
      <w:r>
        <w:rPr>
          <w:b/>
        </w:rPr>
        <w:t xml:space="preserve"> </w:t>
      </w:r>
      <w:r>
        <w:tab/>
      </w:r>
      <w:r>
        <w:rPr>
          <w:rStyle w:val="Hyperlink"/>
          <w:b/>
        </w:rPr>
        <w:t>за изменение на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във връзка с определението за „наркотици“</w:t>
      </w:r>
    </w:p>
  </w:footnote>
  <w:footnote w:id="63">
    <w:p>
      <w:pPr>
        <w:pStyle w:val="FootnoteText"/>
        <w:ind w:left="720" w:hanging="720"/>
        <w:rPr>
          <w:b/>
        </w:rPr>
      </w:pPr>
      <w:r>
        <w:rPr>
          <w:rStyle w:val="FootnoteReference"/>
          <w:b/>
        </w:rPr>
        <w:footnoteRef/>
      </w:r>
      <w:r>
        <w:rPr>
          <w:b/>
        </w:rPr>
        <w:t xml:space="preserve"> </w:t>
      </w:r>
      <w:r>
        <w:tab/>
      </w:r>
      <w:r>
        <w:rPr>
          <w:b/>
        </w:rPr>
        <w:t>Заключения на Съвета относно повишаване на ефективността на наказателното правосъдие в киберпространството, 9 юни 2016 г.</w:t>
      </w:r>
    </w:p>
  </w:footnote>
  <w:footnote w:id="64">
    <w:p>
      <w:pPr>
        <w:pStyle w:val="FootnoteText"/>
        <w:ind w:left="720" w:hanging="720"/>
      </w:pPr>
      <w:r>
        <w:rPr>
          <w:rStyle w:val="FootnoteReference"/>
        </w:rPr>
        <w:footnoteRef/>
      </w:r>
      <w:r>
        <w:t xml:space="preserve"> </w:t>
      </w:r>
      <w:r>
        <w:tab/>
        <w:t>По програма „Хоризонт 2020“ (2014 — 2020 г.) вече са разпределени около 27 милиона евро за проекти, свързани с наркотичната зависимост и включващи поведенчески изследвания и невронауки</w:t>
      </w:r>
    </w:p>
  </w:footnote>
  <w:footnote w:id="65">
    <w:p>
      <w:pPr>
        <w:pStyle w:val="FootnoteText"/>
        <w:ind w:left="720" w:hanging="720"/>
      </w:pPr>
      <w:r>
        <w:rPr>
          <w:rStyle w:val="FootnoteReference"/>
          <w:b/>
        </w:rPr>
        <w:footnoteRef/>
      </w:r>
      <w:r>
        <w:t xml:space="preserve"> </w:t>
      </w:r>
      <w:r>
        <w:tab/>
        <w:t>Тези показатели се основават на съществуващи системи за докладване, които предшестват целите на настоящите стратегия и план за действие на ЕС за борба с наркотиците, но предоставят възможно най-изчерпателния набор от ресурси на равнище ЕС за тяхното наблюдение и оценка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9BD"/>
    <w:multiLevelType w:val="hybridMultilevel"/>
    <w:tmpl w:val="9A065FC8"/>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1">
    <w:nsid w:val="013904BB"/>
    <w:multiLevelType w:val="hybridMultilevel"/>
    <w:tmpl w:val="FC0610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1735311"/>
    <w:multiLevelType w:val="hybridMultilevel"/>
    <w:tmpl w:val="17825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BF07C8"/>
    <w:multiLevelType w:val="multilevel"/>
    <w:tmpl w:val="8C88E91A"/>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3DF3637"/>
    <w:multiLevelType w:val="hybridMultilevel"/>
    <w:tmpl w:val="455EB0DE"/>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2A6F93"/>
    <w:multiLevelType w:val="multilevel"/>
    <w:tmpl w:val="632CF616"/>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043E5BEB"/>
    <w:multiLevelType w:val="multilevel"/>
    <w:tmpl w:val="00CE2158"/>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045317FD"/>
    <w:multiLevelType w:val="hybridMultilevel"/>
    <w:tmpl w:val="C7C462D8"/>
    <w:lvl w:ilvl="0" w:tplc="8B9C4970">
      <w:start w:val="11"/>
      <w:numFmt w:val="decimal"/>
      <w:lvlText w:val="%1"/>
      <w:lvlJc w:val="left"/>
      <w:pPr>
        <w:ind w:left="720" w:hanging="360"/>
      </w:pPr>
      <w:rPr>
        <w:rFonts w:eastAsia="Times New Roman"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052D4C34"/>
    <w:multiLevelType w:val="hybridMultilevel"/>
    <w:tmpl w:val="5E6A97C0"/>
    <w:lvl w:ilvl="0" w:tplc="B8704A4E">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nsid w:val="05442B1B"/>
    <w:multiLevelType w:val="hybridMultilevel"/>
    <w:tmpl w:val="B63EF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8404109"/>
    <w:multiLevelType w:val="hybridMultilevel"/>
    <w:tmpl w:val="57DA9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8671586"/>
    <w:multiLevelType w:val="hybridMultilevel"/>
    <w:tmpl w:val="D65864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09594EE9"/>
    <w:multiLevelType w:val="hybridMultilevel"/>
    <w:tmpl w:val="0A1E9860"/>
    <w:lvl w:ilvl="0" w:tplc="20245B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8364D7"/>
    <w:multiLevelType w:val="hybridMultilevel"/>
    <w:tmpl w:val="441E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5">
    <w:nsid w:val="0C222ED5"/>
    <w:multiLevelType w:val="hybridMultilevel"/>
    <w:tmpl w:val="A0B83458"/>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C6C3B97"/>
    <w:multiLevelType w:val="hybridMultilevel"/>
    <w:tmpl w:val="2F4276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0F249E8"/>
    <w:multiLevelType w:val="hybridMultilevel"/>
    <w:tmpl w:val="6972A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0FA73C9"/>
    <w:multiLevelType w:val="hybridMultilevel"/>
    <w:tmpl w:val="58A4E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2DB0E94"/>
    <w:multiLevelType w:val="multilevel"/>
    <w:tmpl w:val="418871F2"/>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nsid w:val="139B48A5"/>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nsid w:val="13C352BD"/>
    <w:multiLevelType w:val="hybridMultilevel"/>
    <w:tmpl w:val="A8F6679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7E4A27"/>
    <w:multiLevelType w:val="hybridMultilevel"/>
    <w:tmpl w:val="EC3416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5C61238"/>
    <w:multiLevelType w:val="multilevel"/>
    <w:tmpl w:val="74624B2A"/>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17DD3B06"/>
    <w:multiLevelType w:val="hybridMultilevel"/>
    <w:tmpl w:val="10A28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18E37850"/>
    <w:multiLevelType w:val="hybridMultilevel"/>
    <w:tmpl w:val="AFBE8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19631967"/>
    <w:multiLevelType w:val="hybridMultilevel"/>
    <w:tmpl w:val="45F67880"/>
    <w:lvl w:ilvl="0" w:tplc="6B22892E">
      <w:start w:val="1"/>
      <w:numFmt w:val="decimal"/>
      <w:pStyle w:val="Par-number1"/>
      <w:lvlText w:val="Recommendation %1."/>
      <w:lvlJc w:val="left"/>
      <w:pPr>
        <w:ind w:left="2629" w:hanging="360"/>
      </w:pPr>
      <w:rPr>
        <w:rFonts w:hint="default"/>
        <w:b/>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9F05528"/>
    <w:multiLevelType w:val="hybridMultilevel"/>
    <w:tmpl w:val="0890D03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1A5A1F2C"/>
    <w:multiLevelType w:val="hybridMultilevel"/>
    <w:tmpl w:val="2AE4F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1DFC7131"/>
    <w:multiLevelType w:val="hybridMultilevel"/>
    <w:tmpl w:val="A15CB9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1E0F4D64"/>
    <w:multiLevelType w:val="hybridMultilevel"/>
    <w:tmpl w:val="CBE6B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1F2C1462"/>
    <w:multiLevelType w:val="hybridMultilevel"/>
    <w:tmpl w:val="98043A5A"/>
    <w:lvl w:ilvl="0" w:tplc="18090001">
      <w:start w:val="1"/>
      <w:numFmt w:val="bullet"/>
      <w:lvlText w:val=""/>
      <w:lvlJc w:val="left"/>
      <w:pPr>
        <w:ind w:left="360" w:hanging="360"/>
      </w:pPr>
      <w:rPr>
        <w:rFonts w:ascii="Symbol" w:hAnsi="Symbol" w:hint="default"/>
        <w:strike w:val="0"/>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209D6F4B"/>
    <w:multiLevelType w:val="multilevel"/>
    <w:tmpl w:val="6F3A89FA"/>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34">
    <w:nsid w:val="22D918D1"/>
    <w:multiLevelType w:val="multilevel"/>
    <w:tmpl w:val="5F8CDD6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36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nsid w:val="238F5141"/>
    <w:multiLevelType w:val="hybridMultilevel"/>
    <w:tmpl w:val="C9647A32"/>
    <w:lvl w:ilvl="0" w:tplc="20245BF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4D000A7"/>
    <w:multiLevelType w:val="hybridMultilevel"/>
    <w:tmpl w:val="6BA4DF9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25A27F58"/>
    <w:multiLevelType w:val="hybridMultilevel"/>
    <w:tmpl w:val="3ECA30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260C647E"/>
    <w:multiLevelType w:val="hybridMultilevel"/>
    <w:tmpl w:val="8AA41734"/>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39">
    <w:nsid w:val="26635DF9"/>
    <w:multiLevelType w:val="hybridMultilevel"/>
    <w:tmpl w:val="C09A79E8"/>
    <w:lvl w:ilvl="0" w:tplc="983CC6AA">
      <w:start w:val="1"/>
      <w:numFmt w:val="decimal"/>
      <w:lvlText w:val="%1."/>
      <w:lvlJc w:val="left"/>
      <w:pPr>
        <w:ind w:left="360" w:hanging="360"/>
      </w:pPr>
      <w:rPr>
        <w:rFonts w:cs="Times New Roman" w:hint="default"/>
        <w:b w:val="0"/>
        <w:bCs w:val="0"/>
        <w:strike w:val="0"/>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0">
    <w:nsid w:val="274411CB"/>
    <w:multiLevelType w:val="hybridMultilevel"/>
    <w:tmpl w:val="82AC73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nsid w:val="28406532"/>
    <w:multiLevelType w:val="hybridMultilevel"/>
    <w:tmpl w:val="9E56BB9C"/>
    <w:lvl w:ilvl="0" w:tplc="C03C3E4C">
      <w:start w:val="1"/>
      <w:numFmt w:val="decimal"/>
      <w:pStyle w:val="Finding"/>
      <w:lvlText w:val="F%1."/>
      <w:lvlJc w:val="left"/>
      <w:pPr>
        <w:ind w:left="107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3">
    <w:nsid w:val="2E007F09"/>
    <w:multiLevelType w:val="hybridMultilevel"/>
    <w:tmpl w:val="60343282"/>
    <w:lvl w:ilvl="0" w:tplc="3CCE30E0">
      <w:start w:val="1"/>
      <w:numFmt w:val="bullet"/>
      <w:pStyle w:val="Par-numbera"/>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E8A1C50"/>
    <w:multiLevelType w:val="multilevel"/>
    <w:tmpl w:val="60F28AB6"/>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303D53E0"/>
    <w:multiLevelType w:val="hybridMultilevel"/>
    <w:tmpl w:val="E00E2FFC"/>
    <w:lvl w:ilvl="0" w:tplc="13C0F072">
      <w:start w:val="1"/>
      <w:numFmt w:val="decimal"/>
      <w:lvlText w:val="%1."/>
      <w:lvlJc w:val="left"/>
      <w:pPr>
        <w:ind w:left="720" w:hanging="360"/>
      </w:pPr>
      <w:rPr>
        <w:rFonts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30FE2A45"/>
    <w:multiLevelType w:val="hybridMultilevel"/>
    <w:tmpl w:val="A4FC077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6E5264"/>
    <w:multiLevelType w:val="hybridMultilevel"/>
    <w:tmpl w:val="AB989A8E"/>
    <w:lvl w:ilvl="0" w:tplc="18090001">
      <w:start w:val="1"/>
      <w:numFmt w:val="bullet"/>
      <w:lvlText w:val=""/>
      <w:lvlJc w:val="left"/>
      <w:pPr>
        <w:ind w:left="360" w:hanging="360"/>
      </w:pPr>
      <w:rPr>
        <w:rFonts w:ascii="Symbol" w:hAnsi="Symbol" w:hint="default"/>
        <w:strike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nsid w:val="38AF6322"/>
    <w:multiLevelType w:val="hybridMultilevel"/>
    <w:tmpl w:val="01B008DC"/>
    <w:lvl w:ilvl="0" w:tplc="1809000F">
      <w:start w:val="1"/>
      <w:numFmt w:val="decimal"/>
      <w:lvlText w:val="%1."/>
      <w:lvlJc w:val="left"/>
      <w:pPr>
        <w:ind w:left="1494" w:hanging="360"/>
      </w:pPr>
    </w:lvl>
    <w:lvl w:ilvl="1" w:tplc="7F08C7FC">
      <w:start w:val="1"/>
      <w:numFmt w:val="lowerLetter"/>
      <w:lvlText w:val="(%2)"/>
      <w:lvlJc w:val="left"/>
      <w:pPr>
        <w:ind w:left="2214" w:hanging="360"/>
      </w:pPr>
      <w:rPr>
        <w:rFonts w:hint="default"/>
      </w:rPr>
    </w:lvl>
    <w:lvl w:ilvl="2" w:tplc="1809001B" w:tentative="1">
      <w:start w:val="1"/>
      <w:numFmt w:val="lowerRoman"/>
      <w:lvlText w:val="%3."/>
      <w:lvlJc w:val="right"/>
      <w:pPr>
        <w:ind w:left="2934" w:hanging="180"/>
      </w:pPr>
      <w:rPr>
        <w:rFonts w:cs="Times New Roman"/>
      </w:rPr>
    </w:lvl>
    <w:lvl w:ilvl="3" w:tplc="1809000F" w:tentative="1">
      <w:start w:val="1"/>
      <w:numFmt w:val="decimal"/>
      <w:lvlText w:val="%4."/>
      <w:lvlJc w:val="left"/>
      <w:pPr>
        <w:ind w:left="3654" w:hanging="360"/>
      </w:pPr>
      <w:rPr>
        <w:rFonts w:cs="Times New Roman"/>
      </w:rPr>
    </w:lvl>
    <w:lvl w:ilvl="4" w:tplc="18090019" w:tentative="1">
      <w:start w:val="1"/>
      <w:numFmt w:val="lowerLetter"/>
      <w:lvlText w:val="%5."/>
      <w:lvlJc w:val="left"/>
      <w:pPr>
        <w:ind w:left="4374" w:hanging="360"/>
      </w:pPr>
      <w:rPr>
        <w:rFonts w:cs="Times New Roman"/>
      </w:rPr>
    </w:lvl>
    <w:lvl w:ilvl="5" w:tplc="1809001B" w:tentative="1">
      <w:start w:val="1"/>
      <w:numFmt w:val="lowerRoman"/>
      <w:lvlText w:val="%6."/>
      <w:lvlJc w:val="right"/>
      <w:pPr>
        <w:ind w:left="5094" w:hanging="180"/>
      </w:pPr>
      <w:rPr>
        <w:rFonts w:cs="Times New Roman"/>
      </w:rPr>
    </w:lvl>
    <w:lvl w:ilvl="6" w:tplc="1809000F" w:tentative="1">
      <w:start w:val="1"/>
      <w:numFmt w:val="decimal"/>
      <w:lvlText w:val="%7."/>
      <w:lvlJc w:val="left"/>
      <w:pPr>
        <w:ind w:left="5814" w:hanging="360"/>
      </w:pPr>
      <w:rPr>
        <w:rFonts w:cs="Times New Roman"/>
      </w:rPr>
    </w:lvl>
    <w:lvl w:ilvl="7" w:tplc="18090019" w:tentative="1">
      <w:start w:val="1"/>
      <w:numFmt w:val="lowerLetter"/>
      <w:lvlText w:val="%8."/>
      <w:lvlJc w:val="left"/>
      <w:pPr>
        <w:ind w:left="6534" w:hanging="360"/>
      </w:pPr>
      <w:rPr>
        <w:rFonts w:cs="Times New Roman"/>
      </w:rPr>
    </w:lvl>
    <w:lvl w:ilvl="8" w:tplc="1809001B" w:tentative="1">
      <w:start w:val="1"/>
      <w:numFmt w:val="lowerRoman"/>
      <w:lvlText w:val="%9."/>
      <w:lvlJc w:val="right"/>
      <w:pPr>
        <w:ind w:left="7254" w:hanging="180"/>
      </w:pPr>
      <w:rPr>
        <w:rFonts w:cs="Times New Roman"/>
      </w:rPr>
    </w:lvl>
  </w:abstractNum>
  <w:abstractNum w:abstractNumId="49">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50">
    <w:nsid w:val="3A173627"/>
    <w:multiLevelType w:val="hybridMultilevel"/>
    <w:tmpl w:val="A304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3CAD723C"/>
    <w:multiLevelType w:val="hybridMultilevel"/>
    <w:tmpl w:val="F294BD62"/>
    <w:lvl w:ilvl="0" w:tplc="13C0F072">
      <w:start w:val="1"/>
      <w:numFmt w:val="decimal"/>
      <w:lvlText w:val="%1."/>
      <w:lvlJc w:val="left"/>
      <w:pPr>
        <w:ind w:left="360" w:hanging="360"/>
      </w:pPr>
      <w:rPr>
        <w:rFonts w:cs="Times New Roman" w:hint="default"/>
        <w:b w:val="0"/>
        <w:bCs w:val="0"/>
      </w:rPr>
    </w:lvl>
    <w:lvl w:ilvl="1" w:tplc="3CFC1904">
      <w:start w:val="20"/>
      <w:numFmt w:val="decimal"/>
      <w:lvlText w:val="%2."/>
      <w:lvlJc w:val="left"/>
      <w:pPr>
        <w:tabs>
          <w:tab w:val="num" w:pos="1080"/>
        </w:tabs>
        <w:ind w:left="1080" w:hanging="360"/>
      </w:pPr>
      <w:rPr>
        <w:rFonts w:cs="Times New Roman" w:hint="default"/>
      </w:rPr>
    </w:lvl>
    <w:lvl w:ilvl="2" w:tplc="53622C12">
      <w:start w:val="20"/>
      <w:numFmt w:val="decimal"/>
      <w:lvlText w:val="%3"/>
      <w:lvlJc w:val="left"/>
      <w:pPr>
        <w:tabs>
          <w:tab w:val="num" w:pos="1980"/>
        </w:tabs>
        <w:ind w:left="1980" w:hanging="360"/>
      </w:pPr>
      <w:rPr>
        <w:rFonts w:cs="Times New Roman" w:hint="default"/>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2">
    <w:nsid w:val="3F01575C"/>
    <w:multiLevelType w:val="hybridMultilevel"/>
    <w:tmpl w:val="9A9CFC12"/>
    <w:lvl w:ilvl="0" w:tplc="70D2C1B4">
      <w:start w:val="10"/>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3">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54">
    <w:nsid w:val="4112158D"/>
    <w:multiLevelType w:val="hybridMultilevel"/>
    <w:tmpl w:val="D14A85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5">
    <w:nsid w:val="42AD2A7C"/>
    <w:multiLevelType w:val="hybridMultilevel"/>
    <w:tmpl w:val="2E14FD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57">
    <w:nsid w:val="4400683C"/>
    <w:multiLevelType w:val="hybridMultilevel"/>
    <w:tmpl w:val="D2243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446401FB"/>
    <w:multiLevelType w:val="hybridMultilevel"/>
    <w:tmpl w:val="53742028"/>
    <w:lvl w:ilvl="0" w:tplc="1809000F">
      <w:start w:val="1"/>
      <w:numFmt w:val="decimal"/>
      <w:lvlText w:val="%1."/>
      <w:lvlJc w:val="left"/>
      <w:pPr>
        <w:ind w:left="360" w:hanging="360"/>
      </w:pPr>
    </w:lvl>
    <w:lvl w:ilvl="1" w:tplc="7F08C7FC">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9">
    <w:nsid w:val="4543556B"/>
    <w:multiLevelType w:val="hybridMultilevel"/>
    <w:tmpl w:val="9A809B5A"/>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60">
    <w:nsid w:val="47123273"/>
    <w:multiLevelType w:val="hybridMultilevel"/>
    <w:tmpl w:val="48CE5D6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49310F93"/>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D174033"/>
    <w:multiLevelType w:val="hybridMultilevel"/>
    <w:tmpl w:val="53880A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nsid w:val="4D725403"/>
    <w:multiLevelType w:val="multilevel"/>
    <w:tmpl w:val="520862CC"/>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nsid w:val="4D9A60DB"/>
    <w:multiLevelType w:val="hybridMultilevel"/>
    <w:tmpl w:val="CB168CA0"/>
    <w:lvl w:ilvl="0" w:tplc="FDC03E3E">
      <w:start w:val="1"/>
      <w:numFmt w:val="bullet"/>
      <w:pStyle w:val="Pa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DFC7BAA"/>
    <w:multiLevelType w:val="hybridMultilevel"/>
    <w:tmpl w:val="A4E6B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50311C25"/>
    <w:multiLevelType w:val="hybridMultilevel"/>
    <w:tmpl w:val="CC321FC0"/>
    <w:lvl w:ilvl="0" w:tplc="20245B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0A22D3A"/>
    <w:multiLevelType w:val="hybridMultilevel"/>
    <w:tmpl w:val="FF0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40C0795"/>
    <w:multiLevelType w:val="hybridMultilevel"/>
    <w:tmpl w:val="FE78C508"/>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69">
    <w:nsid w:val="56AC56F7"/>
    <w:multiLevelType w:val="hybridMultilevel"/>
    <w:tmpl w:val="0D561D82"/>
    <w:lvl w:ilvl="0" w:tplc="E6E231AA">
      <w:start w:val="19"/>
      <w:numFmt w:val="decimal"/>
      <w:lvlText w:val="%1."/>
      <w:lvlJc w:val="left"/>
      <w:pPr>
        <w:ind w:left="785"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9A67942"/>
    <w:multiLevelType w:val="multilevel"/>
    <w:tmpl w:val="B3A2CCC0"/>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nsid w:val="5A082038"/>
    <w:multiLevelType w:val="hybridMultilevel"/>
    <w:tmpl w:val="6E7E37A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2">
    <w:nsid w:val="5B7F63BB"/>
    <w:multiLevelType w:val="multilevel"/>
    <w:tmpl w:val="D868B76C"/>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nsid w:val="5BB61114"/>
    <w:multiLevelType w:val="hybridMultilevel"/>
    <w:tmpl w:val="D480E79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5C516332"/>
    <w:multiLevelType w:val="hybridMultilevel"/>
    <w:tmpl w:val="76F64E9E"/>
    <w:lvl w:ilvl="0" w:tplc="08090001">
      <w:start w:val="1"/>
      <w:numFmt w:val="bullet"/>
      <w:pStyle w:val="Par-number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C8408C6"/>
    <w:multiLevelType w:val="hybridMultilevel"/>
    <w:tmpl w:val="7F821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nsid w:val="5DEA2A80"/>
    <w:multiLevelType w:val="hybridMultilevel"/>
    <w:tmpl w:val="79A41924"/>
    <w:lvl w:ilvl="0" w:tplc="18090001">
      <w:start w:val="1"/>
      <w:numFmt w:val="bullet"/>
      <w:lvlText w:val=""/>
      <w:lvlJc w:val="left"/>
      <w:pPr>
        <w:ind w:left="394" w:hanging="360"/>
      </w:pPr>
      <w:rPr>
        <w:rFonts w:ascii="Symbol" w:hAnsi="Symbol" w:hint="default"/>
        <w:strike w:val="0"/>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77">
    <w:nsid w:val="6019624F"/>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8">
    <w:nsid w:val="635E63D6"/>
    <w:multiLevelType w:val="hybridMultilevel"/>
    <w:tmpl w:val="95C09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9">
    <w:nsid w:val="64E5633F"/>
    <w:multiLevelType w:val="hybridMultilevel"/>
    <w:tmpl w:val="67E41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nsid w:val="66075627"/>
    <w:multiLevelType w:val="hybridMultilevel"/>
    <w:tmpl w:val="4A2268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1">
    <w:nsid w:val="6A076C92"/>
    <w:multiLevelType w:val="multilevel"/>
    <w:tmpl w:val="AC420222"/>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nsid w:val="6B6A1238"/>
    <w:multiLevelType w:val="hybridMultilevel"/>
    <w:tmpl w:val="21447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CAE0B39"/>
    <w:multiLevelType w:val="hybridMultilevel"/>
    <w:tmpl w:val="6A6E715A"/>
    <w:lvl w:ilvl="0" w:tplc="20245BF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6DA64D35"/>
    <w:multiLevelType w:val="hybridMultilevel"/>
    <w:tmpl w:val="607CDE8E"/>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6E0877FF"/>
    <w:multiLevelType w:val="multilevel"/>
    <w:tmpl w:val="FADA160C"/>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nsid w:val="6E260492"/>
    <w:multiLevelType w:val="multilevel"/>
    <w:tmpl w:val="05000D00"/>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88">
    <w:nsid w:val="6F0A3489"/>
    <w:multiLevelType w:val="hybridMultilevel"/>
    <w:tmpl w:val="6A8C0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nsid w:val="70123AA1"/>
    <w:multiLevelType w:val="multilevel"/>
    <w:tmpl w:val="313C4C8E"/>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nsid w:val="70EA1ABE"/>
    <w:multiLevelType w:val="hybridMultilevel"/>
    <w:tmpl w:val="6E3EC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nsid w:val="70F35D61"/>
    <w:multiLevelType w:val="hybridMultilevel"/>
    <w:tmpl w:val="75D602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nsid w:val="70FD5EE5"/>
    <w:multiLevelType w:val="hybridMultilevel"/>
    <w:tmpl w:val="5DD4250A"/>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93">
    <w:nsid w:val="7182489C"/>
    <w:multiLevelType w:val="multilevel"/>
    <w:tmpl w:val="508C9D2A"/>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nsid w:val="7359001E"/>
    <w:multiLevelType w:val="hybridMultilevel"/>
    <w:tmpl w:val="8E143188"/>
    <w:lvl w:ilvl="0" w:tplc="396EB6B6">
      <w:start w:val="35"/>
      <w:numFmt w:val="decimal"/>
      <w:lvlText w:val="%1."/>
      <w:lvlJc w:val="left"/>
      <w:pPr>
        <w:ind w:left="394"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5">
    <w:nsid w:val="74750222"/>
    <w:multiLevelType w:val="hybridMultilevel"/>
    <w:tmpl w:val="3426E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nsid w:val="76C36A8E"/>
    <w:multiLevelType w:val="hybridMultilevel"/>
    <w:tmpl w:val="1E284D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nsid w:val="77EC5F97"/>
    <w:multiLevelType w:val="hybridMultilevel"/>
    <w:tmpl w:val="BEC87EC6"/>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nsid w:val="77EE3332"/>
    <w:multiLevelType w:val="hybridMultilevel"/>
    <w:tmpl w:val="A8A8A9CE"/>
    <w:lvl w:ilvl="0" w:tplc="13C0F072">
      <w:start w:val="1"/>
      <w:numFmt w:val="decimal"/>
      <w:lvlText w:val="%1."/>
      <w:lvlJc w:val="left"/>
      <w:pPr>
        <w:ind w:left="720" w:hanging="360"/>
      </w:pPr>
      <w:rPr>
        <w:rFonts w:cs="Times New Roman" w:hint="default"/>
        <w:b w:val="0"/>
        <w:bCs w:val="0"/>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9">
    <w:nsid w:val="78563D03"/>
    <w:multiLevelType w:val="hybridMultilevel"/>
    <w:tmpl w:val="6BFAB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nsid w:val="78A76D24"/>
    <w:multiLevelType w:val="hybridMultilevel"/>
    <w:tmpl w:val="BCDE2FA6"/>
    <w:lvl w:ilvl="0" w:tplc="20245B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1"/>
  </w:num>
  <w:num w:numId="2">
    <w:abstractNumId w:val="43"/>
  </w:num>
  <w:num w:numId="3">
    <w:abstractNumId w:val="64"/>
  </w:num>
  <w:num w:numId="4">
    <w:abstractNumId w:val="13"/>
  </w:num>
  <w:num w:numId="5">
    <w:abstractNumId w:val="74"/>
  </w:num>
  <w:num w:numId="6">
    <w:abstractNumId w:val="26"/>
  </w:num>
  <w:num w:numId="7">
    <w:abstractNumId w:val="82"/>
  </w:num>
  <w:num w:numId="8">
    <w:abstractNumId w:val="41"/>
  </w:num>
  <w:num w:numId="9">
    <w:abstractNumId w:val="67"/>
  </w:num>
  <w:num w:numId="10">
    <w:abstractNumId w:val="101"/>
  </w:num>
  <w:num w:numId="11">
    <w:abstractNumId w:val="33"/>
  </w:num>
  <w:num w:numId="12">
    <w:abstractNumId w:val="56"/>
  </w:num>
  <w:num w:numId="13">
    <w:abstractNumId w:val="49"/>
  </w:num>
  <w:num w:numId="14">
    <w:abstractNumId w:val="53"/>
  </w:num>
  <w:num w:numId="15">
    <w:abstractNumId w:val="87"/>
  </w:num>
  <w:num w:numId="16">
    <w:abstractNumId w:val="42"/>
  </w:num>
  <w:num w:numId="17">
    <w:abstractNumId w:val="14"/>
  </w:num>
  <w:num w:numId="18">
    <w:abstractNumId w:val="34"/>
  </w:num>
  <w:num w:numId="19">
    <w:abstractNumId w:val="59"/>
  </w:num>
  <w:num w:numId="20">
    <w:abstractNumId w:val="75"/>
  </w:num>
  <w:num w:numId="21">
    <w:abstractNumId w:val="99"/>
  </w:num>
  <w:num w:numId="22">
    <w:abstractNumId w:val="25"/>
  </w:num>
  <w:num w:numId="23">
    <w:abstractNumId w:val="16"/>
  </w:num>
  <w:num w:numId="24">
    <w:abstractNumId w:val="79"/>
  </w:num>
  <w:num w:numId="25">
    <w:abstractNumId w:val="24"/>
  </w:num>
  <w:num w:numId="26">
    <w:abstractNumId w:val="71"/>
  </w:num>
  <w:num w:numId="27">
    <w:abstractNumId w:val="17"/>
  </w:num>
  <w:num w:numId="28">
    <w:abstractNumId w:val="95"/>
  </w:num>
  <w:num w:numId="29">
    <w:abstractNumId w:val="18"/>
  </w:num>
  <w:num w:numId="30">
    <w:abstractNumId w:val="38"/>
  </w:num>
  <w:num w:numId="31">
    <w:abstractNumId w:val="91"/>
  </w:num>
  <w:num w:numId="32">
    <w:abstractNumId w:val="62"/>
  </w:num>
  <w:num w:numId="33">
    <w:abstractNumId w:val="57"/>
  </w:num>
  <w:num w:numId="34">
    <w:abstractNumId w:val="28"/>
  </w:num>
  <w:num w:numId="35">
    <w:abstractNumId w:val="88"/>
  </w:num>
  <w:num w:numId="36">
    <w:abstractNumId w:val="9"/>
  </w:num>
  <w:num w:numId="37">
    <w:abstractNumId w:val="2"/>
  </w:num>
  <w:num w:numId="38">
    <w:abstractNumId w:val="90"/>
  </w:num>
  <w:num w:numId="39">
    <w:abstractNumId w:val="29"/>
  </w:num>
  <w:num w:numId="40">
    <w:abstractNumId w:val="8"/>
  </w:num>
  <w:num w:numId="41">
    <w:abstractNumId w:val="94"/>
  </w:num>
  <w:num w:numId="42">
    <w:abstractNumId w:val="11"/>
  </w:num>
  <w:num w:numId="43">
    <w:abstractNumId w:val="30"/>
  </w:num>
  <w:num w:numId="44">
    <w:abstractNumId w:val="52"/>
  </w:num>
  <w:num w:numId="45">
    <w:abstractNumId w:val="40"/>
  </w:num>
  <w:num w:numId="46">
    <w:abstractNumId w:val="98"/>
  </w:num>
  <w:num w:numId="47">
    <w:abstractNumId w:val="51"/>
  </w:num>
  <w:num w:numId="48">
    <w:abstractNumId w:val="39"/>
  </w:num>
  <w:num w:numId="49">
    <w:abstractNumId w:val="7"/>
  </w:num>
  <w:num w:numId="50">
    <w:abstractNumId w:val="48"/>
  </w:num>
  <w:num w:numId="51">
    <w:abstractNumId w:val="78"/>
  </w:num>
  <w:num w:numId="52">
    <w:abstractNumId w:val="31"/>
  </w:num>
  <w:num w:numId="53">
    <w:abstractNumId w:val="68"/>
  </w:num>
  <w:num w:numId="54">
    <w:abstractNumId w:val="45"/>
  </w:num>
  <w:num w:numId="55">
    <w:abstractNumId w:val="10"/>
  </w:num>
  <w:num w:numId="56">
    <w:abstractNumId w:val="96"/>
  </w:num>
  <w:num w:numId="57">
    <w:abstractNumId w:val="0"/>
  </w:num>
  <w:num w:numId="58">
    <w:abstractNumId w:val="54"/>
  </w:num>
  <w:num w:numId="59">
    <w:abstractNumId w:val="76"/>
  </w:num>
  <w:num w:numId="60">
    <w:abstractNumId w:val="80"/>
  </w:num>
  <w:num w:numId="61">
    <w:abstractNumId w:val="47"/>
  </w:num>
  <w:num w:numId="62">
    <w:abstractNumId w:val="55"/>
  </w:num>
  <w:num w:numId="63">
    <w:abstractNumId w:val="92"/>
  </w:num>
  <w:num w:numId="64">
    <w:abstractNumId w:val="69"/>
  </w:num>
  <w:num w:numId="65">
    <w:abstractNumId w:val="37"/>
  </w:num>
  <w:num w:numId="66">
    <w:abstractNumId w:val="65"/>
  </w:num>
  <w:num w:numId="67">
    <w:abstractNumId w:val="97"/>
  </w:num>
  <w:num w:numId="68">
    <w:abstractNumId w:val="6"/>
  </w:num>
  <w:num w:numId="6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num>
  <w:num w:numId="71">
    <w:abstractNumId w:val="50"/>
  </w:num>
  <w:num w:numId="72">
    <w:abstractNumId w:val="3"/>
  </w:num>
  <w:num w:numId="73">
    <w:abstractNumId w:val="23"/>
  </w:num>
  <w:num w:numId="74">
    <w:abstractNumId w:val="27"/>
  </w:num>
  <w:num w:numId="75">
    <w:abstractNumId w:val="63"/>
  </w:num>
  <w:num w:numId="76">
    <w:abstractNumId w:val="44"/>
  </w:num>
  <w:num w:numId="77">
    <w:abstractNumId w:val="81"/>
  </w:num>
  <w:num w:numId="78">
    <w:abstractNumId w:val="72"/>
  </w:num>
  <w:num w:numId="79">
    <w:abstractNumId w:val="5"/>
  </w:num>
  <w:num w:numId="80">
    <w:abstractNumId w:val="85"/>
  </w:num>
  <w:num w:numId="81">
    <w:abstractNumId w:val="70"/>
  </w:num>
  <w:num w:numId="82">
    <w:abstractNumId w:val="19"/>
  </w:num>
  <w:num w:numId="83">
    <w:abstractNumId w:val="89"/>
  </w:num>
  <w:num w:numId="84">
    <w:abstractNumId w:val="93"/>
  </w:num>
  <w:num w:numId="85">
    <w:abstractNumId w:val="86"/>
  </w:num>
  <w:num w:numId="86">
    <w:abstractNumId w:val="32"/>
  </w:num>
  <w:num w:numId="87">
    <w:abstractNumId w:val="21"/>
  </w:num>
  <w:num w:numId="88">
    <w:abstractNumId w:val="46"/>
  </w:num>
  <w:num w:numId="89">
    <w:abstractNumId w:val="66"/>
  </w:num>
  <w:num w:numId="90">
    <w:abstractNumId w:val="77"/>
  </w:num>
  <w:num w:numId="91">
    <w:abstractNumId w:val="61"/>
  </w:num>
  <w:num w:numId="92">
    <w:abstractNumId w:val="20"/>
  </w:num>
  <w:num w:numId="93">
    <w:abstractNumId w:val="60"/>
  </w:num>
  <w:num w:numId="94">
    <w:abstractNumId w:val="4"/>
  </w:num>
  <w:num w:numId="95">
    <w:abstractNumId w:val="84"/>
  </w:num>
  <w:num w:numId="96">
    <w:abstractNumId w:val="36"/>
  </w:num>
  <w:num w:numId="97">
    <w:abstractNumId w:val="73"/>
  </w:num>
  <w:num w:numId="98">
    <w:abstractNumId w:val="15"/>
  </w:num>
  <w:num w:numId="99">
    <w:abstractNumId w:val="35"/>
  </w:num>
  <w:num w:numId="100">
    <w:abstractNumId w:val="83"/>
  </w:num>
  <w:num w:numId="101">
    <w:abstractNumId w:val="100"/>
  </w:num>
  <w:num w:numId="102">
    <w:abstractNumId w:val="22"/>
  </w:num>
  <w:num w:numId="103">
    <w:abstractNumId w:val="12"/>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U">
    <w15:presenceInfo w15:providerId="None" w15:userId="R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5FD656B940541F4BEB1E30B92CCEAA3"/>
    <w:docVar w:name="LW_CROSSREFERENCE" w:val="{SWD(2017) 95 final}"/>
    <w:docVar w:name="LW_DocType" w:val="NORMAL"/>
    <w:docVar w:name="LW_EMISSION" w:val="15.3.2017"/>
    <w:docVar w:name="LW_EMISSION_ISODATE" w:val="2017-03-15"/>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95"/>
    <w:docVar w:name="LW_REF.INTERNE" w:val="&lt;UNUSED&gt;"/>
    <w:docVar w:name="LW_SOUS.TITRE.OBJ.CP" w:val="&lt;UNUSED&gt;"/>
    <w:docVar w:name="LW_SUPERTITRE" w:val="&lt;UNUSED&gt;"/>
    <w:docVar w:name="LW_TITRE.OBJ.CP" w:val="\u1054?\u1094?\u1077?\u1085?\u1082?\u1072? \u1085?\u1072? \u1080?\u1079?\u1087?\u1098?\u1083?\u1085?\u1077?\u1085?\u1080?\u1077?\u1090?\u1086? \u1085?\u1072? \u1057?\u1090?\u1088?\u1072?\u1090?\u1077?\u1075?\u1080?\u1103?\u1090?\u1072? \u1085?\u1072? \u1045?\u1057? \u1079?\u1072? \u1073?\u1086?\u1088?\u1073?\u1072? \u1089? \u1085?\u1072?\u1088?\u1082?\u1086?\u1090?\u1080?\u1094?\u1080?\u1090?\u1077? \u1079?\u1072? 2013 \u8212? 2020 \u1075?. \u1080? \u1055?\u1083?\u1072?\u1085?\u1072? \u1079?\u1072? \u1076?\u1077?\u1081?\u1089?\u1090?\u1074?\u1080?\u1077? \u1085?\u1072? \u1045?\u1057? \u1086?\u1090?\u1085?\u1086?\u1089?\u1085?\u1086? \u1085?\u1072?\u1088?\u1082?\u1086?\u1090?\u1080?\u1094?\u1080?\u1090?\u1077? \u1079?\u1072? 2013 \u8212? 2016 \u1075?.: \u1085?\u1077?\u1086?\u1073?\u1093?\u1086?\u1076?\u1080?\u1084?\u1086?\u1089?\u1090? \u1086?\u1090? \u1055?\u1083?\u1072?\u1085? \u1079?\u1072? \u1076?\u1077?\u1081?\u1089?\u1090?\u1074?\u1080?\u1077? \u1085?\u1072? \u1045?\u1057? \u1086?\u1090?\u1085?\u1086?\u1089?\u1085?\u1086? \u1085?\u1072?\u1088?\u1082?\u1086?\u1090?\u1080?\u1094?\u1080?\u1090?\u1077? \u1079?\u1072? 2017 \u8212? 2020 \u1075?."/>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8"/>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8"/>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8"/>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8"/>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Bullet 1"/>
    <w:basedOn w:val="Normal"/>
    <w:link w:val="ListParagraphChar"/>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Text4">
    <w:name w:val="Text 4"/>
    <w:basedOn w:val="Normal"/>
    <w:uiPriority w:val="99"/>
    <w:pPr>
      <w:tabs>
        <w:tab w:val="left" w:pos="2302"/>
      </w:tabs>
      <w:spacing w:after="240" w:line="240" w:lineRule="auto"/>
      <w:ind w:left="1202"/>
      <w:jc w:val="both"/>
    </w:pPr>
    <w:rPr>
      <w:rFonts w:ascii="Verdana" w:eastAsia="Calibri" w:hAnsi="Verdana" w:cs="Times New Roman"/>
      <w:sz w:val="18"/>
      <w:szCs w:val="20"/>
    </w:r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Bullet 1 Char"/>
    <w:basedOn w:val="DefaultParagraphFont"/>
    <w:link w:val="ListParagraph"/>
    <w:uiPriority w:val="34"/>
    <w:qFormat/>
    <w:locked/>
  </w:style>
  <w:style w:type="paragraph" w:styleId="BodyText">
    <w:name w:val="Body Text"/>
    <w:basedOn w:val="Normal"/>
    <w:link w:val="BodyTextChar"/>
    <w:qFormat/>
    <w:pPr>
      <w:spacing w:after="120" w:line="240" w:lineRule="auto"/>
      <w:jc w:val="both"/>
    </w:pPr>
    <w:rPr>
      <w:rFonts w:ascii="Verdana" w:eastAsia="Calibri" w:hAnsi="Verdana" w:cs="Times New Roman"/>
      <w:sz w:val="18"/>
      <w:szCs w:val="20"/>
    </w:rPr>
  </w:style>
  <w:style w:type="character" w:customStyle="1" w:styleId="BodyTextChar">
    <w:name w:val="Body Text Char"/>
    <w:basedOn w:val="DefaultParagraphFont"/>
    <w:link w:val="BodyText"/>
    <w:rPr>
      <w:rFonts w:ascii="Verdana" w:eastAsia="Calibri" w:hAnsi="Verdana" w:cs="Times New Roman"/>
      <w:sz w:val="18"/>
      <w:szCs w:val="20"/>
    </w:rPr>
  </w:style>
  <w:style w:type="paragraph" w:customStyle="1" w:styleId="Recommendation1">
    <w:name w:val="Recommendation1"/>
    <w:basedOn w:val="ListBullet"/>
    <w:link w:val="Recommendation1Char"/>
    <w:qFormat/>
    <w:pPr>
      <w:spacing w:after="240" w:line="240" w:lineRule="auto"/>
      <w:ind w:left="851" w:hanging="425"/>
      <w:contextualSpacing w:val="0"/>
      <w:jc w:val="both"/>
    </w:pPr>
    <w:rPr>
      <w:rFonts w:ascii="Verdana" w:eastAsia="Calibri" w:hAnsi="Verdana" w:cs="Times New Roman"/>
      <w:sz w:val="20"/>
      <w:szCs w:val="20"/>
    </w:rPr>
  </w:style>
  <w:style w:type="character" w:customStyle="1" w:styleId="Recommendation1Char">
    <w:name w:val="Recommendation1 Char"/>
    <w:basedOn w:val="DefaultParagraphFont"/>
    <w:link w:val="Recommendation1"/>
    <w:rPr>
      <w:rFonts w:ascii="Verdana" w:eastAsia="Calibri" w:hAnsi="Verdana" w:cs="Times New Roman"/>
      <w:sz w:val="20"/>
      <w:szCs w:val="20"/>
      <w:lang w:val="bg-BG"/>
    </w:rPr>
  </w:style>
  <w:style w:type="paragraph" w:styleId="ListBullet">
    <w:name w:val="List Bullet"/>
    <w:basedOn w:val="Normal"/>
    <w:uiPriority w:val="99"/>
    <w:semiHidden/>
    <w:unhideWhenUsed/>
    <w:pPr>
      <w:ind w:left="2629" w:hanging="360"/>
      <w:contextualSpacing/>
    </w:pPr>
  </w:style>
  <w:style w:type="paragraph" w:customStyle="1" w:styleId="Finding">
    <w:name w:val="Finding"/>
    <w:basedOn w:val="Normal"/>
    <w:link w:val="FindingChar"/>
    <w:qFormat/>
    <w:pPr>
      <w:numPr>
        <w:numId w:val="8"/>
      </w:numPr>
      <w:spacing w:after="120" w:line="240" w:lineRule="auto"/>
      <w:ind w:left="851" w:hanging="494"/>
      <w:jc w:val="both"/>
    </w:pPr>
    <w:rPr>
      <w:rFonts w:ascii="Verdana" w:eastAsia="Calibri" w:hAnsi="Verdana" w:cs="Times New Roman"/>
      <w:sz w:val="20"/>
      <w:szCs w:val="20"/>
    </w:rPr>
  </w:style>
  <w:style w:type="character" w:customStyle="1" w:styleId="FindingChar">
    <w:name w:val="Finding Char"/>
    <w:basedOn w:val="DefaultParagraphFont"/>
    <w:link w:val="Finding"/>
    <w:rPr>
      <w:rFonts w:ascii="Verdana" w:eastAsia="Calibri" w:hAnsi="Verdana" w:cs="Times New Roman"/>
      <w:sz w:val="20"/>
      <w:szCs w:val="20"/>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eastAsia="bg-BG"/>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numPr>
        <w:numId w:val="14"/>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styleId="TOC1">
    <w:name w:val="toc 1"/>
    <w:basedOn w:val="Normal"/>
    <w:next w:val="Normal"/>
    <w:uiPriority w:val="39"/>
    <w:pPr>
      <w:widowControl w:val="0"/>
      <w:numPr>
        <w:numId w:val="12"/>
      </w:numPr>
      <w:tabs>
        <w:tab w:val="left" w:pos="567"/>
        <w:tab w:val="right" w:leader="dot" w:pos="9639"/>
      </w:tabs>
      <w:spacing w:after="0" w:line="360" w:lineRule="auto"/>
      <w:ind w:right="567"/>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customStyle="1" w:styleId="Par-number10">
    <w:name w:val="Par-number 1."/>
    <w:basedOn w:val="Normal"/>
    <w:next w:val="Normal"/>
    <w:pPr>
      <w:widowControl w:val="0"/>
      <w:numPr>
        <w:numId w:val="13"/>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5"/>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17"/>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numPr>
        <w:numId w:val="11"/>
      </w:numPr>
      <w:tabs>
        <w:tab w:val="clear" w:pos="567"/>
      </w:tabs>
      <w:spacing w:after="0" w:line="360" w:lineRule="auto"/>
      <w:ind w:left="0" w:firstLine="0"/>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spacing w:after="0" w:line="360" w:lineRule="auto"/>
      <w:ind w:left="1070" w:hanging="360"/>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numPr>
        <w:numId w:val="16"/>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s>
      <w:spacing w:after="0" w:line="360" w:lineRule="auto"/>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DocumentMap">
    <w:name w:val="Document Map"/>
    <w:basedOn w:val="Normal"/>
    <w:link w:val="DocumentMapChar"/>
    <w:semiHidden/>
    <w:pPr>
      <w:widowControl w:val="0"/>
      <w:shd w:val="clear" w:color="auto" w:fill="000080"/>
      <w:spacing w:after="0" w:line="36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eastAsia="bg-BG"/>
    </w:rPr>
  </w:style>
  <w:style w:type="paragraph" w:customStyle="1" w:styleId="CarCar">
    <w:name w:val="Car Car"/>
    <w:basedOn w:val="Normal"/>
    <w:pPr>
      <w:spacing w:after="160" w:line="240" w:lineRule="exact"/>
    </w:pPr>
    <w:rPr>
      <w:rFonts w:ascii="Tahoma" w:eastAsia="Times New Roman" w:hAnsi="Tahoma" w:cs="Times New Roman"/>
      <w:sz w:val="20"/>
      <w:szCs w:val="20"/>
    </w:rPr>
  </w:style>
  <w:style w:type="table" w:customStyle="1" w:styleId="TableNormal1">
    <w:name w:val="Table Normal1"/>
    <w:next w:val="TableNormal"/>
    <w:semiHidden/>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numbering" w:customStyle="1" w:styleId="NoList1">
    <w:name w:val="No List1"/>
    <w:next w:val="NoList"/>
    <w:semiHidden/>
  </w:style>
  <w:style w:type="table" w:styleId="TableGrid">
    <w:name w:val="Table Grid"/>
    <w:basedOn w:val="TableNormal"/>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spacing w:after="160" w:line="240" w:lineRule="exact"/>
    </w:pPr>
    <w:rPr>
      <w:rFonts w:ascii="Tahoma" w:eastAsia="Times New Roman" w:hAnsi="Tahoma" w:cs="Tahoma"/>
      <w:sz w:val="20"/>
      <w:szCs w:val="20"/>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tbl-txt">
    <w:name w:val="tbl-txt"/>
    <w:basedOn w:val="Normal"/>
    <w:pPr>
      <w:spacing w:before="60" w:after="60" w:line="240" w:lineRule="auto"/>
    </w:pPr>
    <w:rPr>
      <w:rFonts w:ascii="Times New Roman" w:eastAsia="Times New Roman" w:hAnsi="Times New Roman" w:cs="Times New Roman"/>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8"/>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8"/>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8"/>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8"/>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Bullet 1"/>
    <w:basedOn w:val="Normal"/>
    <w:link w:val="ListParagraphChar"/>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Text4">
    <w:name w:val="Text 4"/>
    <w:basedOn w:val="Normal"/>
    <w:uiPriority w:val="99"/>
    <w:pPr>
      <w:tabs>
        <w:tab w:val="left" w:pos="2302"/>
      </w:tabs>
      <w:spacing w:after="240" w:line="240" w:lineRule="auto"/>
      <w:ind w:left="1202"/>
      <w:jc w:val="both"/>
    </w:pPr>
    <w:rPr>
      <w:rFonts w:ascii="Verdana" w:eastAsia="Calibri" w:hAnsi="Verdana" w:cs="Times New Roman"/>
      <w:sz w:val="18"/>
      <w:szCs w:val="20"/>
    </w:r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Bullet 1 Char"/>
    <w:basedOn w:val="DefaultParagraphFont"/>
    <w:link w:val="ListParagraph"/>
    <w:uiPriority w:val="34"/>
    <w:qFormat/>
    <w:locked/>
  </w:style>
  <w:style w:type="paragraph" w:styleId="BodyText">
    <w:name w:val="Body Text"/>
    <w:basedOn w:val="Normal"/>
    <w:link w:val="BodyTextChar"/>
    <w:qFormat/>
    <w:pPr>
      <w:spacing w:after="120" w:line="240" w:lineRule="auto"/>
      <w:jc w:val="both"/>
    </w:pPr>
    <w:rPr>
      <w:rFonts w:ascii="Verdana" w:eastAsia="Calibri" w:hAnsi="Verdana" w:cs="Times New Roman"/>
      <w:sz w:val="18"/>
      <w:szCs w:val="20"/>
    </w:rPr>
  </w:style>
  <w:style w:type="character" w:customStyle="1" w:styleId="BodyTextChar">
    <w:name w:val="Body Text Char"/>
    <w:basedOn w:val="DefaultParagraphFont"/>
    <w:link w:val="BodyText"/>
    <w:rPr>
      <w:rFonts w:ascii="Verdana" w:eastAsia="Calibri" w:hAnsi="Verdana" w:cs="Times New Roman"/>
      <w:sz w:val="18"/>
      <w:szCs w:val="20"/>
    </w:rPr>
  </w:style>
  <w:style w:type="paragraph" w:customStyle="1" w:styleId="Recommendation1">
    <w:name w:val="Recommendation1"/>
    <w:basedOn w:val="ListBullet"/>
    <w:link w:val="Recommendation1Char"/>
    <w:qFormat/>
    <w:pPr>
      <w:spacing w:after="240" w:line="240" w:lineRule="auto"/>
      <w:ind w:left="851" w:hanging="425"/>
      <w:contextualSpacing w:val="0"/>
      <w:jc w:val="both"/>
    </w:pPr>
    <w:rPr>
      <w:rFonts w:ascii="Verdana" w:eastAsia="Calibri" w:hAnsi="Verdana" w:cs="Times New Roman"/>
      <w:sz w:val="20"/>
      <w:szCs w:val="20"/>
    </w:rPr>
  </w:style>
  <w:style w:type="character" w:customStyle="1" w:styleId="Recommendation1Char">
    <w:name w:val="Recommendation1 Char"/>
    <w:basedOn w:val="DefaultParagraphFont"/>
    <w:link w:val="Recommendation1"/>
    <w:rPr>
      <w:rFonts w:ascii="Verdana" w:eastAsia="Calibri" w:hAnsi="Verdana" w:cs="Times New Roman"/>
      <w:sz w:val="20"/>
      <w:szCs w:val="20"/>
      <w:lang w:val="bg-BG"/>
    </w:rPr>
  </w:style>
  <w:style w:type="paragraph" w:styleId="ListBullet">
    <w:name w:val="List Bullet"/>
    <w:basedOn w:val="Normal"/>
    <w:uiPriority w:val="99"/>
    <w:semiHidden/>
    <w:unhideWhenUsed/>
    <w:pPr>
      <w:ind w:left="2629" w:hanging="360"/>
      <w:contextualSpacing/>
    </w:pPr>
  </w:style>
  <w:style w:type="paragraph" w:customStyle="1" w:styleId="Finding">
    <w:name w:val="Finding"/>
    <w:basedOn w:val="Normal"/>
    <w:link w:val="FindingChar"/>
    <w:qFormat/>
    <w:pPr>
      <w:numPr>
        <w:numId w:val="8"/>
      </w:numPr>
      <w:spacing w:after="120" w:line="240" w:lineRule="auto"/>
      <w:ind w:left="851" w:hanging="494"/>
      <w:jc w:val="both"/>
    </w:pPr>
    <w:rPr>
      <w:rFonts w:ascii="Verdana" w:eastAsia="Calibri" w:hAnsi="Verdana" w:cs="Times New Roman"/>
      <w:sz w:val="20"/>
      <w:szCs w:val="20"/>
    </w:rPr>
  </w:style>
  <w:style w:type="character" w:customStyle="1" w:styleId="FindingChar">
    <w:name w:val="Finding Char"/>
    <w:basedOn w:val="DefaultParagraphFont"/>
    <w:link w:val="Finding"/>
    <w:rPr>
      <w:rFonts w:ascii="Verdana" w:eastAsia="Calibri" w:hAnsi="Verdana" w:cs="Times New Roman"/>
      <w:sz w:val="20"/>
      <w:szCs w:val="20"/>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eastAsia="bg-BG"/>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numPr>
        <w:numId w:val="14"/>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styleId="TOC1">
    <w:name w:val="toc 1"/>
    <w:basedOn w:val="Normal"/>
    <w:next w:val="Normal"/>
    <w:uiPriority w:val="39"/>
    <w:pPr>
      <w:widowControl w:val="0"/>
      <w:numPr>
        <w:numId w:val="12"/>
      </w:numPr>
      <w:tabs>
        <w:tab w:val="left" w:pos="567"/>
        <w:tab w:val="right" w:leader="dot" w:pos="9639"/>
      </w:tabs>
      <w:spacing w:after="0" w:line="360" w:lineRule="auto"/>
      <w:ind w:right="567"/>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customStyle="1" w:styleId="Par-number10">
    <w:name w:val="Par-number 1."/>
    <w:basedOn w:val="Normal"/>
    <w:next w:val="Normal"/>
    <w:pPr>
      <w:widowControl w:val="0"/>
      <w:numPr>
        <w:numId w:val="13"/>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5"/>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17"/>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numPr>
        <w:numId w:val="11"/>
      </w:numPr>
      <w:tabs>
        <w:tab w:val="clear" w:pos="567"/>
      </w:tabs>
      <w:spacing w:after="0" w:line="360" w:lineRule="auto"/>
      <w:ind w:left="0" w:firstLine="0"/>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spacing w:after="0" w:line="360" w:lineRule="auto"/>
      <w:ind w:left="1070" w:hanging="360"/>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numPr>
        <w:numId w:val="16"/>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s>
      <w:spacing w:after="0" w:line="360" w:lineRule="auto"/>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DocumentMap">
    <w:name w:val="Document Map"/>
    <w:basedOn w:val="Normal"/>
    <w:link w:val="DocumentMapChar"/>
    <w:semiHidden/>
    <w:pPr>
      <w:widowControl w:val="0"/>
      <w:shd w:val="clear" w:color="auto" w:fill="000080"/>
      <w:spacing w:after="0" w:line="36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eastAsia="bg-BG"/>
    </w:rPr>
  </w:style>
  <w:style w:type="paragraph" w:customStyle="1" w:styleId="CarCar">
    <w:name w:val="Car Car"/>
    <w:basedOn w:val="Normal"/>
    <w:pPr>
      <w:spacing w:after="160" w:line="240" w:lineRule="exact"/>
    </w:pPr>
    <w:rPr>
      <w:rFonts w:ascii="Tahoma" w:eastAsia="Times New Roman" w:hAnsi="Tahoma" w:cs="Times New Roman"/>
      <w:sz w:val="20"/>
      <w:szCs w:val="20"/>
    </w:rPr>
  </w:style>
  <w:style w:type="table" w:customStyle="1" w:styleId="TableNormal1">
    <w:name w:val="Table Normal1"/>
    <w:next w:val="TableNormal"/>
    <w:semiHidden/>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numbering" w:customStyle="1" w:styleId="NoList1">
    <w:name w:val="No List1"/>
    <w:next w:val="NoList"/>
    <w:semiHidden/>
  </w:style>
  <w:style w:type="table" w:styleId="TableGrid">
    <w:name w:val="Table Grid"/>
    <w:basedOn w:val="TableNormal"/>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spacing w:after="160" w:line="240" w:lineRule="exact"/>
    </w:pPr>
    <w:rPr>
      <w:rFonts w:ascii="Tahoma" w:eastAsia="Times New Roman" w:hAnsi="Tahoma" w:cs="Tahoma"/>
      <w:sz w:val="20"/>
      <w:szCs w:val="20"/>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tbl-txt">
    <w:name w:val="tbl-txt"/>
    <w:basedOn w:val="Normal"/>
    <w:pPr>
      <w:spacing w:before="60" w:after="60" w:line="240" w:lineRule="auto"/>
    </w:pPr>
    <w:rPr>
      <w:rFonts w:ascii="Times New Roman" w:eastAsia="Times New Roman" w:hAnsi="Times New Roman" w:cs="Times New Roman"/>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ph_overview/Documents/strategy_wp_bg.pdf" TargetMode="External"/><Relationship Id="rId2" Type="http://schemas.openxmlformats.org/officeDocument/2006/relationships/hyperlink" Target="http://eur-lex.europa.eu/LexUriServ/LexUriServ.do?uri=OJ:C:2006:046:0001:0019:EN:PDF" TargetMode="External"/><Relationship Id="rId1" Type="http://schemas.openxmlformats.org/officeDocument/2006/relationships/hyperlink" Target="http://ec.europa.eu/dgs/home-affairs/what-is-new/work-in-progress/initiatives/984ws_intro_en.htm" TargetMode="External"/><Relationship Id="rId4" Type="http://schemas.openxmlformats.org/officeDocument/2006/relationships/hyperlink" Target="http://ec.europa.eu/health/programme/policy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99D7-121A-4218-8B5F-35FEAC3D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78</Pages>
  <Words>13891</Words>
  <Characters>81545</Characters>
  <Application>Microsoft Office Word</Application>
  <DocSecurity>0</DocSecurity>
  <Lines>4291</Lines>
  <Paragraphs>1325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84</cp:revision>
  <cp:lastPrinted>2017-02-28T09:21:00Z</cp:lastPrinted>
  <dcterms:created xsi:type="dcterms:W3CDTF">2017-02-24T15:33:00Z</dcterms:created>
  <dcterms:modified xsi:type="dcterms:W3CDTF">2017-03-08T11:41:00Z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