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79C13398E3F44D2ABF672416BBF0BA6E" style="width:450.75pt;height:407.25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417" w:bottom="1134" w:left="1417" w:header="709" w:footer="709" w:gutter="0"/>
          <w:pgNumType w:start="1"/>
          <w:cols w:space="720"/>
          <w:docGrid w:linePitch="299"/>
        </w:sectPr>
      </w:pPr>
    </w:p>
    <w:p>
      <w:pPr>
        <w:pStyle w:val="Typedudocument"/>
        <w:rPr>
          <w:noProof/>
        </w:rPr>
      </w:pPr>
      <w:bookmarkStart w:id="1" w:name="_GoBack"/>
      <w:bookmarkEnd w:id="1"/>
      <w:r>
        <w:rPr>
          <w:noProof/>
        </w:rPr>
        <w:lastRenderedPageBreak/>
        <w:t>ПОПРАВКА</w:t>
      </w:r>
    </w:p>
    <w:p>
      <w:pPr>
        <w:pStyle w:val="Titreobjet"/>
        <w:rPr>
          <w:noProof/>
        </w:rPr>
      </w:pPr>
      <w:r>
        <w:rPr>
          <w:noProof/>
        </w:rPr>
        <w:t xml:space="preserve">на Делегиран регламент на Комисията от 8 юни 2016 година за допълнение на Директива 2014/65/ЕС на Европейския парламент и на Съвета относно пазарите на финансови инструменти по отношение на регулаторните технически стандарти за данните, публикувани от местата за изпълнение, относно качеството на изпълнение на сделките </w:t>
      </w:r>
      <w:r>
        <w:rPr>
          <w:noProof/>
        </w:rPr>
        <w:br/>
      </w:r>
      <w:r>
        <w:rPr>
          <w:noProof/>
        </w:rPr>
        <w:br/>
        <w:t>C(2016) 3333 final</w:t>
      </w:r>
    </w:p>
    <w:p>
      <w:pPr>
        <w:rPr>
          <w:rFonts w:ascii="Times New Roman" w:hAnsi="Times New Roman"/>
          <w:noProof/>
          <w:sz w:val="24"/>
        </w:rPr>
        <w:sectPr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/>
          <w:pgMar w:top="1134" w:right="1417" w:bottom="1134" w:left="1417" w:header="709" w:footer="709" w:gutter="0"/>
          <w:pgNumType w:start="2"/>
          <w:cols w:space="720"/>
          <w:docGrid w:linePitch="360"/>
        </w:sect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В член 1:</w:t>
      </w:r>
    </w:p>
    <w:p>
      <w:pPr>
        <w:pStyle w:val="ManualNumPar1"/>
        <w:rPr>
          <w:noProof/>
          <w:szCs w:val="24"/>
        </w:rPr>
      </w:pPr>
      <w:r>
        <w:rPr>
          <w:i/>
          <w:noProof/>
        </w:rPr>
        <w:t>вместо:</w:t>
      </w:r>
      <w:r>
        <w:rPr>
          <w:noProof/>
        </w:rPr>
        <w:tab/>
        <w:t>„В настоящия регламент се установяват задълженията на местата за изпълнение да публикуват данни във връзка с качеството на изпълнение на сделките.“,</w:t>
      </w:r>
    </w:p>
    <w:p>
      <w:pPr>
        <w:numPr>
          <w:ilvl w:val="3"/>
          <w:numId w:val="0"/>
        </w:numPr>
        <w:tabs>
          <w:tab w:val="num" w:pos="1417"/>
        </w:tabs>
        <w:ind w:left="1417" w:hanging="567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ManualNumPar1"/>
        <w:rPr>
          <w:noProof/>
          <w:szCs w:val="24"/>
        </w:rPr>
      </w:pPr>
      <w:r>
        <w:rPr>
          <w:i/>
          <w:noProof/>
        </w:rPr>
        <w:t xml:space="preserve">да се чете:  </w:t>
      </w:r>
      <w:r>
        <w:rPr>
          <w:noProof/>
        </w:rPr>
        <w:tab/>
        <w:t>„В настоящия регламент се установява конкретното съдържание, форматът и периодичността на данните, които трябва да се публикуват от местата за изпълнение, относно качеството на изпълнение на сделките.“.</w:t>
      </w:r>
    </w:p>
    <w:p>
      <w:pPr>
        <w:pStyle w:val="Point1letter"/>
        <w:numPr>
          <w:ilvl w:val="3"/>
          <w:numId w:val="0"/>
        </w:numPr>
        <w:tabs>
          <w:tab w:val="num" w:pos="1417"/>
        </w:tabs>
        <w:ind w:left="1417" w:hanging="567"/>
        <w:rPr>
          <w:i/>
          <w:noProof/>
          <w:szCs w:val="24"/>
          <w:highlight w:val="yellow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2, буква б):</w:t>
      </w:r>
    </w:p>
    <w:p>
      <w:pPr>
        <w:pStyle w:val="ManualNumPar1"/>
        <w:rPr>
          <w:noProof/>
          <w:szCs w:val="24"/>
        </w:rPr>
      </w:pPr>
      <w:r>
        <w:rPr>
          <w:i/>
          <w:noProof/>
        </w:rPr>
        <w:t>вместо:</w:t>
      </w:r>
      <w:r>
        <w:rPr>
          <w:noProof/>
        </w:rPr>
        <w:tab/>
        <w:t>„б)</w:t>
      </w:r>
      <w:r>
        <w:rPr>
          <w:noProof/>
        </w:rPr>
        <w:tab/>
        <w:t>специфичен за финансовия инструмент размер“ означава размер, който е специфичен за дадена облигация, структуриран финансов продукт, квота за емисии или дериват, търгуван на място на търговия, за който няма ликвиден пазар, като сделките с такива инструменти може да подлежат на отложено публикуване в съответствие с член 11 от Регламент (ЕС) № 600/2014;“,</w:t>
      </w:r>
    </w:p>
    <w:p>
      <w:pPr>
        <w:numPr>
          <w:ilvl w:val="3"/>
          <w:numId w:val="0"/>
        </w:numPr>
        <w:tabs>
          <w:tab w:val="num" w:pos="1417"/>
        </w:tabs>
        <w:ind w:left="1417" w:hanging="567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ManualNumPar1"/>
        <w:rPr>
          <w:noProof/>
          <w:szCs w:val="24"/>
        </w:rPr>
      </w:pPr>
      <w:r>
        <w:rPr>
          <w:i/>
          <w:noProof/>
        </w:rPr>
        <w:t xml:space="preserve">да се чете:  </w:t>
      </w:r>
      <w:r>
        <w:rPr>
          <w:noProof/>
        </w:rPr>
        <w:tab/>
        <w:t>„б)</w:t>
      </w:r>
      <w:r>
        <w:rPr>
          <w:noProof/>
        </w:rPr>
        <w:tab/>
        <w:t>„специфичен за финансовия инструмент размер“ означава размер, който е специфичен за дадена облигация, структуриран финансов продукт, квота за емисии или дериват, търгуван на място на търговия, за който няма ликвиден пазар и когато сделките с такива инструменти подлежат на отложено публикуване в съответствие с член 11 от Регламент (ЕС) № 600/2014;“</w:t>
      </w:r>
    </w:p>
    <w:p>
      <w:pPr>
        <w:pStyle w:val="Point1letter"/>
        <w:numPr>
          <w:ilvl w:val="3"/>
          <w:numId w:val="0"/>
        </w:numPr>
        <w:tabs>
          <w:tab w:val="num" w:pos="1417"/>
        </w:tabs>
        <w:ind w:left="1417" w:hanging="567"/>
        <w:rPr>
          <w:i/>
          <w:noProof/>
          <w:szCs w:val="24"/>
          <w:highlight w:val="yellow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3, параграф 2, втората алинея: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ManualNumPar1"/>
        <w:rPr>
          <w:noProof/>
          <w:szCs w:val="24"/>
        </w:rPr>
      </w:pPr>
      <w:r>
        <w:rPr>
          <w:i/>
          <w:noProof/>
        </w:rPr>
        <w:t>вместо:</w:t>
      </w:r>
      <w:r>
        <w:rPr>
          <w:noProof/>
        </w:rPr>
        <w:tab/>
        <w:t>„Местата за изпълнение публикуват за всеки пазарен сегмент, който те организират, и всеки финансов инструмент, който не подлежи на задължението за търговия съгласно членове 23 и 28 от Регламент (ЕС) № 600/2014, информация за финансовия инструмент в съответствие с трета алинея.“,</w:t>
      </w:r>
    </w:p>
    <w:p>
      <w:pPr>
        <w:numPr>
          <w:ilvl w:val="3"/>
          <w:numId w:val="0"/>
        </w:numPr>
        <w:tabs>
          <w:tab w:val="num" w:pos="1417"/>
        </w:tabs>
        <w:ind w:left="1417" w:hanging="567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ManualNumPar1"/>
        <w:rPr>
          <w:noProof/>
          <w:szCs w:val="24"/>
        </w:rPr>
      </w:pPr>
      <w:r>
        <w:rPr>
          <w:i/>
          <w:noProof/>
        </w:rPr>
        <w:t xml:space="preserve">да се чете:  </w:t>
      </w:r>
      <w:r>
        <w:rPr>
          <w:noProof/>
        </w:rPr>
        <w:t>„Местата за изпълнение публикуват за всеки пазарен сегмент, който те организират, и всеки финансов инструмент, който не подлежи на задължението за търговия съгласно членове 23 и 28 от Регламент (ЕС) № 600/2014, информация относно вида на финансовия инструмент в съответствие с трета алинея от настоящия параграф.“.</w:t>
      </w:r>
    </w:p>
    <w:p>
      <w:pPr>
        <w:pStyle w:val="Text1"/>
        <w:rPr>
          <w:noProof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4, първата и втората алинеи:</w:t>
      </w:r>
    </w:p>
    <w:p>
      <w:pPr>
        <w:pStyle w:val="ManualNumPar1"/>
        <w:rPr>
          <w:noProof/>
          <w:szCs w:val="24"/>
        </w:rPr>
      </w:pPr>
      <w:r>
        <w:rPr>
          <w:i/>
          <w:noProof/>
        </w:rPr>
        <w:t>вместо:</w:t>
      </w:r>
      <w:r>
        <w:rPr>
          <w:noProof/>
        </w:rPr>
        <w:tab/>
        <w:t>„Местата на търговия и систематичните участници публикуват за всеки пазарен сегмент, който те организират, и за всеки финансов инструмент, който подлежи на задължението за търговия съгласно членове 23 и 28 от Регламент (ЕС) № 600/2014, информация по отношение на цената за всеки ден на търговия, през който са изпълнявани нареждания за финансовия инструмент, в съответствие с трета алинея.</w:t>
      </w:r>
    </w:p>
    <w:p>
      <w:pPr>
        <w:pStyle w:val="Text1"/>
        <w:rPr>
          <w:noProof/>
        </w:rPr>
      </w:pPr>
      <w:r>
        <w:rPr>
          <w:noProof/>
        </w:rPr>
        <w:t>Местата за изпълнение публикуват за всеки пазарен сегмент, който те организират, и всеки финансов инструмент, който не подлежи на задължението за търговия съгласно членове 23 и 28 от Регламент (ЕС) № 600/2014, информация относно цената за всеки ден на търговия, през който са изпълнявани нареждания за финансовия инструмент, в съответствие с трета алинея:“,</w:t>
      </w:r>
    </w:p>
    <w:p>
      <w:pPr>
        <w:pStyle w:val="Text1"/>
        <w:rPr>
          <w:noProof/>
        </w:rPr>
      </w:pPr>
    </w:p>
    <w:p>
      <w:pPr>
        <w:pStyle w:val="ManualNumPar1"/>
        <w:rPr>
          <w:noProof/>
          <w:szCs w:val="24"/>
        </w:rPr>
      </w:pPr>
      <w:r>
        <w:rPr>
          <w:i/>
          <w:noProof/>
        </w:rPr>
        <w:t xml:space="preserve">да се чете:  </w:t>
      </w:r>
      <w:r>
        <w:rPr>
          <w:noProof/>
        </w:rPr>
        <w:tab/>
        <w:t xml:space="preserve">Местата на търговия и систематичните участници публикуват за всеки пазарен сегмент, който те организират, и за всеки финансов инструмент, който подлежи на задължението за търговия съгласно членове 23 и 28 от Регламент (ЕС) № 600/2014, информация по отношение на цената за всеки ден на търговия, през който са изпълнявани нареждания за финансовия инструмент, в съответствие с трета и четвърта алинея от настоящия член. </w:t>
      </w:r>
    </w:p>
    <w:p>
      <w:pPr>
        <w:pStyle w:val="Text1"/>
        <w:rPr>
          <w:noProof/>
        </w:rPr>
      </w:pPr>
      <w:r>
        <w:rPr>
          <w:noProof/>
        </w:rPr>
        <w:t>Местата за изпълнение публикуват за всеки пазарен сегмент, който те организират, и всеки финансов инструмент, който не подлежи на задължението за търговия съгласно членове 23 и 28 от Регламент (ЕС) № 600/2014, информация относно цената за всеки ден на търговия, през който са изпълнявани нареждания за финансовия инструмент, в съответствие с трета и четвърта алинея от настоящия член.“.</w:t>
      </w:r>
    </w:p>
    <w:p>
      <w:pPr>
        <w:pStyle w:val="Text1"/>
        <w:ind w:left="0"/>
        <w:rPr>
          <w:noProof/>
          <w:szCs w:val="24"/>
        </w:rPr>
      </w:pPr>
    </w:p>
    <w:p>
      <w:pPr>
        <w:pStyle w:val="Text1"/>
        <w:ind w:left="0"/>
        <w:rPr>
          <w:noProof/>
          <w:szCs w:val="24"/>
        </w:rPr>
      </w:pPr>
      <w:r>
        <w:rPr>
          <w:noProof/>
        </w:rPr>
        <w:t xml:space="preserve">В член 5, първата и втората алинеи: </w:t>
      </w:r>
    </w:p>
    <w:p>
      <w:pPr>
        <w:pStyle w:val="ManualNumPar1"/>
        <w:rPr>
          <w:noProof/>
          <w:szCs w:val="24"/>
        </w:rPr>
      </w:pPr>
      <w:r>
        <w:rPr>
          <w:i/>
          <w:noProof/>
        </w:rPr>
        <w:t>вместо:</w:t>
      </w:r>
      <w:r>
        <w:rPr>
          <w:noProof/>
        </w:rPr>
        <w:tab/>
        <w:t>„Местата на търговия и систематичните участници публикуват за всеки пазарен сегмент, който те организират, и за всеки финансов инструмент, който подлежи на задължението за търговия съгласно членове 23 и 28 от Регламент (ЕС) № 600/2014, информация относно разходите, начислявани от мястото на търговия на всички членове или потребители на мястото, в съответствие с трета алинея.</w:t>
      </w:r>
    </w:p>
    <w:p>
      <w:pPr>
        <w:pStyle w:val="Text1"/>
        <w:rPr>
          <w:noProof/>
        </w:rPr>
      </w:pPr>
      <w:r>
        <w:rPr>
          <w:noProof/>
        </w:rPr>
        <w:t>Местата за изпълнение публикуват за всеки пазарен сегмент, който те организират, и всеки финансов инструмент, който не подлежи на задължението за търговия съгласно членове 23 и 28 от Регламент (ЕС) № 600/2014, информация относно разходите, начислявани от местата за изпълнение на всички членове или потребители на мястото, в съответствие с трета алинея.“,</w:t>
      </w:r>
    </w:p>
    <w:p>
      <w:pPr>
        <w:pStyle w:val="Text1"/>
        <w:ind w:left="0"/>
        <w:rPr>
          <w:noProof/>
        </w:rPr>
      </w:pPr>
    </w:p>
    <w:p>
      <w:pPr>
        <w:pStyle w:val="ManualNumPar1"/>
        <w:rPr>
          <w:noProof/>
          <w:szCs w:val="24"/>
        </w:rPr>
      </w:pPr>
      <w:r>
        <w:rPr>
          <w:i/>
          <w:noProof/>
        </w:rPr>
        <w:t xml:space="preserve">да се чете:  </w:t>
      </w:r>
      <w:r>
        <w:rPr>
          <w:noProof/>
        </w:rPr>
        <w:tab/>
        <w:t>„Местата на търговия и систематичните участници публикуват за всеки пазарен сегмент, който те организират, и за всеки финансов инструмент, който подлежи на задължението за търговия съгласно членове 23 и 28 от Регламент (ЕС) № 600/2014, информация относно разходите, начислявани от мястото на търговия на всички членове или потребители на мястото, в съответствие с трета алинея от настоящия член.</w:t>
      </w:r>
    </w:p>
    <w:p>
      <w:pPr>
        <w:pStyle w:val="Text1"/>
        <w:rPr>
          <w:noProof/>
        </w:rPr>
      </w:pPr>
      <w:r>
        <w:rPr>
          <w:noProof/>
        </w:rPr>
        <w:t xml:space="preserve">Местата за изпълнение публикуват за всеки пазарен сегмент, който те организират, и всеки финансов инструмент, който не подлежи на задължението за търговия съгласно членове 23 и 28 от Регламент (ЕС) № 600/2014, информация относно разходите, начислявани от местата за изпълнение на всички членове или потребители на мястото, в съответствие с трета алинея от настоящия член.“ </w:t>
      </w:r>
    </w:p>
    <w:p>
      <w:pPr>
        <w:pStyle w:val="Text1"/>
        <w:ind w:left="0"/>
        <w:rPr>
          <w:noProof/>
        </w:rPr>
      </w:pPr>
    </w:p>
    <w:p>
      <w:pPr>
        <w:pStyle w:val="Text1"/>
        <w:ind w:left="0"/>
        <w:rPr>
          <w:noProof/>
          <w:szCs w:val="24"/>
        </w:rPr>
      </w:pPr>
      <w:r>
        <w:rPr>
          <w:noProof/>
        </w:rPr>
        <w:t xml:space="preserve">В член 6, първата и втората алинеи: </w:t>
      </w:r>
    </w:p>
    <w:p>
      <w:pPr>
        <w:pStyle w:val="ManualNumPar1"/>
        <w:rPr>
          <w:noProof/>
          <w:szCs w:val="24"/>
        </w:rPr>
      </w:pPr>
      <w:r>
        <w:rPr>
          <w:i/>
          <w:noProof/>
        </w:rPr>
        <w:t>вместо:</w:t>
      </w:r>
      <w:r>
        <w:rPr>
          <w:noProof/>
        </w:rPr>
        <w:tab/>
        <w:t>„Местата на търговия и систематичните участници публикуват за всеки пазарен сегмент, който те организират, и за всеки финансов инструмент, който подлежи на задължението за търговия съгласно членове 23 и 28 от Регламент (ЕС) № 600/2014, информация относно вероятността за изпълнение за всеки ден на търговия в съответствие с трета алинея.</w:t>
      </w:r>
    </w:p>
    <w:p>
      <w:pPr>
        <w:pStyle w:val="Text1"/>
        <w:rPr>
          <w:noProof/>
          <w:szCs w:val="24"/>
        </w:rPr>
      </w:pPr>
      <w:r>
        <w:rPr>
          <w:noProof/>
        </w:rPr>
        <w:t>Местата за изпълнение публикуват за всеки пазарен сегмент, който те организират, и всеки финансов инструмент, който не подлежи на задължението за търговия съгласно член 23 и 28 от Регламент (ЕС) № 600/2014, информация относно вероятността за изпълнение за всеки ден на търговия в съответствие с трета алинея.“,</w:t>
      </w:r>
    </w:p>
    <w:p>
      <w:pPr>
        <w:pStyle w:val="Text1"/>
        <w:rPr>
          <w:noProof/>
          <w:szCs w:val="24"/>
        </w:rPr>
      </w:pPr>
    </w:p>
    <w:p>
      <w:pPr>
        <w:pStyle w:val="ManualNumPar1"/>
        <w:rPr>
          <w:noProof/>
          <w:szCs w:val="24"/>
        </w:rPr>
      </w:pPr>
      <w:r>
        <w:rPr>
          <w:i/>
          <w:noProof/>
        </w:rPr>
        <w:t xml:space="preserve">да се чете:  </w:t>
      </w:r>
      <w:r>
        <w:rPr>
          <w:noProof/>
        </w:rPr>
        <w:tab/>
        <w:t>„Местата на търговия и систематичните участници публикуват за всеки пазарен сегмент, който те организират, и за всеки финансов инструмент, който подлежи на задължението за търговия съгласно членове 23 и 28 от Регламент (ЕС) № 600/2014, информация относно вероятността за изпълнение за всеки ден на търговия в съответствие с трета алинея от настоящия член.</w:t>
      </w:r>
    </w:p>
    <w:p>
      <w:pPr>
        <w:pStyle w:val="Text1"/>
        <w:rPr>
          <w:noProof/>
          <w:szCs w:val="24"/>
        </w:rPr>
      </w:pPr>
      <w:r>
        <w:rPr>
          <w:noProof/>
        </w:rPr>
        <w:t>Местата за изпълнение публикуват за всеки пазарен сегмент, който те организират, и всеки финансов инструмент, който не подлежи на задължението за търговия съгласно членове 23 и 28 от Регламент (ЕС) № 600/2014, информация относно вероятността за изпълнение за всеки ден на търговия в съответствие с трета алинея от настоящия член.“.</w:t>
      </w:r>
    </w:p>
    <w:p>
      <w:pPr>
        <w:pStyle w:val="Text1"/>
        <w:ind w:left="0"/>
        <w:rPr>
          <w:noProof/>
          <w:szCs w:val="24"/>
        </w:rPr>
      </w:pPr>
    </w:p>
    <w:p>
      <w:pPr>
        <w:pStyle w:val="Text1"/>
        <w:ind w:left="0"/>
        <w:rPr>
          <w:noProof/>
          <w:szCs w:val="24"/>
        </w:rPr>
      </w:pPr>
      <w:r>
        <w:rPr>
          <w:noProof/>
        </w:rPr>
        <w:t xml:space="preserve">В член 7, параграф 1, първата и втората алинеи: </w:t>
      </w:r>
    </w:p>
    <w:p>
      <w:pPr>
        <w:pStyle w:val="ManualNumPar1"/>
        <w:rPr>
          <w:noProof/>
        </w:rPr>
      </w:pPr>
      <w:r>
        <w:rPr>
          <w:i/>
          <w:noProof/>
        </w:rPr>
        <w:t>вместо:</w:t>
      </w:r>
      <w:r>
        <w:rPr>
          <w:noProof/>
        </w:rPr>
        <w:tab/>
        <w:t>„1.   Местата на търговия и систематичните участници, които функционират в условията на система за търговия при непрекъснат аукцион чрез регистър за нареждания, основана на непрекъснати котировки или друг вид система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подлежи на задължението за търговия съгласно член 23 и 28 от Регламент (ЕС) № 600/2014, допълнителна информация към референтните часове, посочени в член 4, буква а), подточки i) и ii), за всеки ден на търговия в съответствие с трета алинея.</w:t>
      </w:r>
    </w:p>
    <w:p>
      <w:pPr>
        <w:pStyle w:val="Text1"/>
        <w:rPr>
          <w:noProof/>
        </w:rPr>
      </w:pPr>
      <w:r>
        <w:rPr>
          <w:noProof/>
        </w:rPr>
        <w:t>Местата за изпълнение, които функционират в условията на система за търговия при непрекъснат аукцион чрез регистър за нарежданията, основана на непрекъснати котировки или друг вид система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не подлежи на задължението за търговия съгласно член 23 и 28 от Регламент (ЕС) № 600/2014, допълнителна информация към референтните часове, посочени в член 4, буква а), подточки i) и ii), за всеки ден на търговия в съответствие с трета алинея.“,</w:t>
      </w:r>
    </w:p>
    <w:p>
      <w:pPr>
        <w:pStyle w:val="Text1"/>
        <w:rPr>
          <w:noProof/>
        </w:rPr>
      </w:pPr>
    </w:p>
    <w:p>
      <w:pPr>
        <w:pStyle w:val="ManualNumPar1"/>
        <w:rPr>
          <w:noProof/>
        </w:rPr>
      </w:pPr>
      <w:r>
        <w:rPr>
          <w:i/>
          <w:noProof/>
        </w:rPr>
        <w:t xml:space="preserve">да се чете:  </w:t>
      </w:r>
      <w:r>
        <w:rPr>
          <w:noProof/>
        </w:rPr>
        <w:tab/>
        <w:t>„1.    Местата на търговия и систематичните участници, които функционират в условията на система за търговия при непрекъснат аукцион чрез регистър за нареждания, основана на непрекъснати котировки или друг вид система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подлежи на задължението за търговия съгласно членове 23 и 28 от Регламент (ЕС) № 600/2014, допълнителна информация към референтните часове, посочени в член 4, буква а), подточки i) и ii), за всеки ден на търговия в съответствие с трета алинея от настоящия параграф.</w:t>
      </w:r>
    </w:p>
    <w:p>
      <w:pPr>
        <w:pStyle w:val="Text1"/>
        <w:rPr>
          <w:noProof/>
        </w:rPr>
      </w:pPr>
      <w:r>
        <w:rPr>
          <w:noProof/>
        </w:rPr>
        <w:t>Местата за изпълнение, които функционират в условията на система за търговия при непрекъснат аукцион чрез регистър за нарежданията, основана на непрекъснати котировки или друг вид система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не подлежи на задължението за търговия съгласно членове 23 и 28 от Регламент (ЕС) № 600/2014, допълнителна информация към референтните часове, посочени в член 4, буква а), подточки i) и ii), за всеки ден на търговия в съответствие с трета алинея от настоящия параграф.“.</w:t>
      </w:r>
    </w:p>
    <w:p>
      <w:pPr>
        <w:pStyle w:val="Text1"/>
        <w:ind w:left="0"/>
        <w:rPr>
          <w:noProof/>
        </w:rPr>
      </w:pPr>
    </w:p>
    <w:p>
      <w:pPr>
        <w:pStyle w:val="Text1"/>
        <w:ind w:left="0"/>
        <w:rPr>
          <w:noProof/>
          <w:szCs w:val="24"/>
        </w:rPr>
      </w:pPr>
      <w:r>
        <w:rPr>
          <w:noProof/>
        </w:rPr>
        <w:t xml:space="preserve">В член 7, параграф 2, първата и втората алинеи: </w:t>
      </w:r>
    </w:p>
    <w:p>
      <w:pPr>
        <w:pStyle w:val="ManualNumPar1"/>
        <w:rPr>
          <w:noProof/>
        </w:rPr>
      </w:pPr>
      <w:r>
        <w:rPr>
          <w:i/>
          <w:noProof/>
        </w:rPr>
        <w:t>вместо:</w:t>
      </w:r>
      <w:r>
        <w:rPr>
          <w:noProof/>
        </w:rPr>
        <w:tab/>
        <w:t>„2.   Местата на търговия и систематичните участници, които функционират в условията на система за търговия при непрекъснат аукцион чрез регистър за нарежданията, основана на непрекъснати котировки или друг вид система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подлежи на задължението за търговия съгласно член 23 и 28 от Регламент (ЕС) № 600/2014, допълнителна информация за всеки ден на търговия в съответствие с трета алинея.</w:t>
      </w:r>
    </w:p>
    <w:p>
      <w:pPr>
        <w:pStyle w:val="Text1"/>
        <w:rPr>
          <w:noProof/>
        </w:rPr>
      </w:pPr>
      <w:r>
        <w:rPr>
          <w:noProof/>
        </w:rPr>
        <w:t>Местата за изпълнение, които функционират в условията на система за търговия при непрекъснат аукцион чрез регистър за нарежданията, система, основана на непрекъснати котировки или друг вид системи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не подлежи на задължението за търговия съгласно член 23 и 28 от Регламент (ЕС) № 600/2014, допълнителна информация за всеки ден на търговия в съответствие с трета алинея.“,</w:t>
      </w:r>
    </w:p>
    <w:p>
      <w:pPr>
        <w:pStyle w:val="Text1"/>
        <w:rPr>
          <w:noProof/>
        </w:rPr>
      </w:pPr>
    </w:p>
    <w:p>
      <w:pPr>
        <w:pStyle w:val="ManualNumPar1"/>
        <w:rPr>
          <w:noProof/>
        </w:rPr>
      </w:pPr>
      <w:r>
        <w:rPr>
          <w:i/>
          <w:noProof/>
        </w:rPr>
        <w:t xml:space="preserve">да се чете:  </w:t>
      </w:r>
      <w:r>
        <w:rPr>
          <w:noProof/>
        </w:rPr>
        <w:tab/>
        <w:t>„2.    Местата на търговия и систематичните участници, които функционират в условията на система за търговия при непрекъснат аукцион чрез регистър за нарежданията, основана на непрекъснати котировки или друг вид система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подлежи на задължението за търговия съгласно членове 23 и 28 от Регламент (ЕС) № 600/2014, допълнителна информация за всеки ден на търговия в съответствие с трета алинея от настоящия параграф.</w:t>
      </w:r>
    </w:p>
    <w:p>
      <w:pPr>
        <w:pStyle w:val="Text1"/>
        <w:rPr>
          <w:noProof/>
        </w:rPr>
      </w:pPr>
      <w:r>
        <w:rPr>
          <w:noProof/>
        </w:rPr>
        <w:t>Местата за изпълнение, които функционират в условията на система за търговия при непрекъснат аукцион чрез регистър за нарежданията, система, основана на непрекъснати котировки или друг вид системи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не подлежи на задължението за търговия съгласно членове 23 и 28 от Регламент (ЕС) № 600/2014, допълнителна информация за всеки ден на търговия в съответствие с трета алинея от настоящия параграф.“.</w:t>
      </w:r>
    </w:p>
    <w:p>
      <w:pPr>
        <w:pStyle w:val="Text1"/>
        <w:rPr>
          <w:noProof/>
        </w:rPr>
      </w:pPr>
    </w:p>
    <w:p>
      <w:pPr>
        <w:pStyle w:val="Text1"/>
        <w:rPr>
          <w:noProof/>
        </w:rPr>
      </w:pPr>
    </w:p>
    <w:p>
      <w:pPr>
        <w:pStyle w:val="Text1"/>
        <w:rPr>
          <w:noProof/>
        </w:rPr>
      </w:pPr>
    </w:p>
    <w:p>
      <w:pPr>
        <w:pStyle w:val="Text1"/>
        <w:ind w:left="0"/>
        <w:rPr>
          <w:noProof/>
          <w:szCs w:val="24"/>
        </w:rPr>
      </w:pPr>
      <w:r>
        <w:rPr>
          <w:noProof/>
        </w:rPr>
        <w:t xml:space="preserve">В член 7, параграф 3, първата и втората алинеи: </w:t>
      </w:r>
    </w:p>
    <w:p>
      <w:pPr>
        <w:pStyle w:val="ManualNumPar1"/>
        <w:rPr>
          <w:noProof/>
        </w:rPr>
      </w:pPr>
      <w:r>
        <w:rPr>
          <w:i/>
          <w:noProof/>
        </w:rPr>
        <w:t>вместо:</w:t>
      </w:r>
      <w:r>
        <w:rPr>
          <w:noProof/>
        </w:rPr>
        <w:tab/>
        <w:t xml:space="preserve">„3.   Местата на търговия и систематичните участници, които функционират, независимо дали изцяло или частично, в условията на система за търговия, основана на непрекъснати котировки, публикуват за всеки пазарен сегмент, който те организират, и финансов инструмент, който подлежи на задължението за търговия съгласно членове 23 и 28 от Регламент (ЕС) № 600/2014, допълнителна информация в съответствие с трета алинея. </w:t>
      </w:r>
    </w:p>
    <w:p>
      <w:pPr>
        <w:pStyle w:val="Text1"/>
        <w:rPr>
          <w:noProof/>
        </w:rPr>
      </w:pPr>
      <w:r>
        <w:rPr>
          <w:noProof/>
        </w:rPr>
        <w:t xml:space="preserve">Местата за изпълнение, които функционират, независимо дали изцяло или частично, в условията на система за търговия, основана на непрекъснати котировки, публикуват за всеки пазарен сегмент, който те организират, и за всеки финансов инструмент, който не подлежи на задължението за търговия съгласно членове 23 и 28 от Регламент (ЕС) № 600/2014, допълнителна информация в съответствие с трета алинея.“, </w:t>
      </w:r>
    </w:p>
    <w:p>
      <w:pPr>
        <w:pStyle w:val="ManualNumPar1"/>
        <w:rPr>
          <w:noProof/>
        </w:rPr>
      </w:pPr>
    </w:p>
    <w:p>
      <w:pPr>
        <w:pStyle w:val="ManualNumPar1"/>
        <w:rPr>
          <w:noProof/>
        </w:rPr>
      </w:pPr>
      <w:r>
        <w:rPr>
          <w:i/>
          <w:noProof/>
        </w:rPr>
        <w:t xml:space="preserve">да се чете:  </w:t>
      </w:r>
      <w:r>
        <w:rPr>
          <w:noProof/>
        </w:rPr>
        <w:tab/>
        <w:t xml:space="preserve">„3. Местата на търговия и систематичните участници, които функционират, независимо дали изцяло или частично, в условията на система за търговия, основана на непрекъснати котировки, публикуват за всеки пазарен сегмент, който те организират, и финансов инструмент, който подлежи на задължението за търговия съгласно членове 23 и 28 от Регламент (ЕС) № 600/2014, допълнителна информация в съответствие с трета алинея от настоящия параграф. </w:t>
      </w:r>
    </w:p>
    <w:p>
      <w:pPr>
        <w:pStyle w:val="Text1"/>
        <w:rPr>
          <w:noProof/>
        </w:rPr>
      </w:pPr>
      <w:r>
        <w:rPr>
          <w:noProof/>
        </w:rPr>
        <w:t xml:space="preserve">Местата за изпълнение, които функционират, независимо дали изцяло или частично, в условията на система за търговия, основана на непрекъснати котировки, публикуват за всеки пазарен сегмент, който те организират, и за всеки финансов инструмент, който не подлежи на задължението за търговия съгласно членове 23 и 28 от Регламент (ЕС) № 600/2014, допълнителна информация в съответствие с трета алинея от настоящия параграф.“. </w:t>
      </w:r>
    </w:p>
    <w:p>
      <w:pPr>
        <w:pStyle w:val="Text1"/>
        <w:rPr>
          <w:noProof/>
          <w:szCs w:val="24"/>
        </w:rPr>
      </w:pPr>
    </w:p>
    <w:p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В член 8, първата и втората алинеи:</w:t>
      </w:r>
    </w:p>
    <w:p>
      <w:pPr>
        <w:pStyle w:val="ManualNumPar1"/>
        <w:rPr>
          <w:noProof/>
          <w:szCs w:val="24"/>
        </w:rPr>
      </w:pPr>
      <w:r>
        <w:rPr>
          <w:i/>
          <w:noProof/>
        </w:rPr>
        <w:t>вместо:</w:t>
      </w:r>
      <w:r>
        <w:rPr>
          <w:noProof/>
        </w:rPr>
        <w:tab/>
        <w:t>„1.</w:t>
      </w:r>
      <w:r>
        <w:rPr>
          <w:noProof/>
        </w:rPr>
        <w:tab/>
        <w:t>Местата на търговия и систематичните участници, които функционират в условията на система за търговия, основана на искане на котировки, или друг вид система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подлежи на задължението за търговия съгласно член 23 и 28 от Регламент (ЕС) № 600/2014, допълнителна информация за всеки ден на търговия в съответствие с трета алинея.</w:t>
      </w:r>
    </w:p>
    <w:p>
      <w:pPr>
        <w:pStyle w:val="ManualNumPar1"/>
        <w:ind w:firstLine="0"/>
        <w:rPr>
          <w:noProof/>
          <w:szCs w:val="24"/>
        </w:rPr>
      </w:pPr>
      <w:r>
        <w:rPr>
          <w:noProof/>
        </w:rPr>
        <w:t>Местата за изпълнение, които функционират в условията на система за търговия, основана на искане на котировки, или друг вид система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не подлежи на задължението за търговия съгласно член 23 и 28 от Регламент (ЕС) № 600/2014, допълнителна информация за всеки ден на търговия в съответствие с трета алинея.“,</w:t>
      </w:r>
    </w:p>
    <w:p>
      <w:pPr>
        <w:numPr>
          <w:ilvl w:val="3"/>
          <w:numId w:val="0"/>
        </w:numPr>
        <w:tabs>
          <w:tab w:val="num" w:pos="1417"/>
        </w:tabs>
        <w:ind w:left="1417" w:hanging="567"/>
        <w:rPr>
          <w:rFonts w:ascii="Times New Roman" w:hAnsi="Times New Roman" w:cs="Times New Roman"/>
          <w:noProof/>
          <w:sz w:val="24"/>
          <w:szCs w:val="24"/>
        </w:rPr>
      </w:pPr>
    </w:p>
    <w:p>
      <w:pPr>
        <w:pStyle w:val="ManualNumPar1"/>
        <w:rPr>
          <w:noProof/>
          <w:szCs w:val="24"/>
        </w:rPr>
      </w:pPr>
      <w:r>
        <w:rPr>
          <w:i/>
          <w:noProof/>
        </w:rPr>
        <w:t xml:space="preserve">да се чете:  </w:t>
      </w:r>
      <w:r>
        <w:rPr>
          <w:noProof/>
        </w:rPr>
        <w:tab/>
        <w:t>Местата на търговия и систематичните участници, които функционират в условията на система за търговия, основана на искане на котировки, или друг вид система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подлежи на задължението за търговия съгласно членове 23 и 28 от Регламент (ЕС) № 600/2014, допълнителна информация за всеки ден на търговия в съответствие с трета алинея от настоящия член.</w:t>
      </w:r>
    </w:p>
    <w:p>
      <w:pPr>
        <w:pStyle w:val="ManualNumPar1"/>
        <w:ind w:firstLine="0"/>
        <w:rPr>
          <w:noProof/>
          <w:szCs w:val="24"/>
        </w:rPr>
      </w:pPr>
      <w:r>
        <w:rPr>
          <w:noProof/>
        </w:rPr>
        <w:t>Местата за изпълнение, които функционират в условията на система за търговия, основана на искане на котировки, или друг вид система за търговия, които разполагат с посочената информация, публикуват за всеки пазарен сегмент, който те организират, и за всеки финансов инструмент, който не подлежи на задължението за търговия съгласно членове 23 и 28 от Регламент (ЕС) № 600/2014, допълнителна информация за всеки ден на търговия в съответствие с трета алинея от настоящия член.“.</w:t>
      </w:r>
    </w:p>
    <w:p>
      <w:pPr>
        <w:pStyle w:val="Text1"/>
        <w:ind w:left="0"/>
        <w:rPr>
          <w:noProof/>
        </w:rPr>
      </w:pPr>
    </w:p>
    <w:p>
      <w:pPr>
        <w:pStyle w:val="Text1"/>
        <w:ind w:left="0"/>
        <w:rPr>
          <w:noProof/>
        </w:rPr>
      </w:pPr>
      <w:r>
        <w:rPr>
          <w:noProof/>
        </w:rPr>
        <w:t>В член 12, втората алинея:</w:t>
      </w:r>
    </w:p>
    <w:p>
      <w:pPr>
        <w:pStyle w:val="ManualNumPar1"/>
        <w:rPr>
          <w:noProof/>
          <w:szCs w:val="24"/>
        </w:rPr>
      </w:pPr>
      <w:r>
        <w:rPr>
          <w:i/>
          <w:noProof/>
        </w:rPr>
        <w:t>вместо:</w:t>
      </w:r>
      <w:r>
        <w:rPr>
          <w:noProof/>
        </w:rPr>
        <w:tab/>
        <w:t>„Настоящият регламент се прилага от първата от посочените дати в член 93, параграф 1, втора алинея от Директива 2014/65/ЕС.“,</w:t>
      </w:r>
    </w:p>
    <w:p>
      <w:pPr>
        <w:pStyle w:val="ManualNumPar1"/>
        <w:rPr>
          <w:noProof/>
          <w:szCs w:val="24"/>
        </w:rPr>
      </w:pPr>
      <w:r>
        <w:rPr>
          <w:i/>
          <w:noProof/>
        </w:rPr>
        <w:t xml:space="preserve">да се чете:  </w:t>
      </w:r>
      <w:r>
        <w:rPr>
          <w:noProof/>
        </w:rPr>
        <w:tab/>
        <w:t>„Той се прилага от 3 януари 2018 г.“.</w:t>
      </w:r>
    </w:p>
    <w:p>
      <w:pPr>
        <w:rPr>
          <w:rFonts w:ascii="Times New Roman" w:hAnsi="Times New Roman" w:cs="Times New Roman"/>
          <w:noProof/>
          <w:sz w:val="24"/>
          <w:szCs w:val="24"/>
        </w:rPr>
      </w:pPr>
    </w:p>
    <w:sectPr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713539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0295527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pStyle w:val="Footer"/>
      <w:rPr>
        <w:rFonts w:ascii="Arial" w:hAnsi="Arial" w:cs="Arial"/>
        <w:b/>
        <w:sz w:val="4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drawingGridHorizontalSpacing w:val="74"/>
  <w:drawingGridVerticalSpacing w:val="10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VERPAGE_GUID" w:val="79C13398E3F44D2ABF672416BBF0BA6E"/>
    <w:docVar w:name="LW_CROSSREFERENCE" w:val="&lt;UNUSED&gt;"/>
    <w:docVar w:name="LW_DATE.ADOPT.CP" w:val="\u1086?\u1090? 15.3.2017 \u1075?\u1086?\u1076?\u1080?\u1085?\u1072?"/>
    <w:docVar w:name="LW_DATE.ADOPT.CP_ISODATE" w:val="2017-03-15"/>
    <w:docVar w:name="LW_DocType" w:val="NORMAL"/>
    <w:docVar w:name="LW_EMISSION" w:val="15.3.2017"/>
    <w:docVar w:name="LW_EMISSION_ISODATE" w:val="2017-03-15"/>
    <w:docVar w:name="LW_EMISSION_LOCATION" w:val="BRX"/>
    <w:docVar w:name="LW_EMISSION_PREFIX" w:val="Брюксел, "/>
    <w:docVar w:name="LW_EMISSION_SUFFIX" w:val=" \u1075?."/>
    <w:docVar w:name="LW_ID_DOCTYPE_NONLW" w:val="CP-03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"/>
    <w:docVar w:name="LW_REF.INST.NEW_ADOPTED" w:val="final"/>
    <w:docVar w:name="LW_REF.INST.NEW_TEXT" w:val="(2017) 1878"/>
    <w:docVar w:name="LW_REF.INTERNE" w:val="&lt;UNUSED&gt;"/>
    <w:docVar w:name="LW_SOUS.TITRE.OBJ.CP" w:val="&lt;UNUSED&gt;"/>
    <w:docVar w:name="LW_SUPERTITRE" w:val="&lt;UNUSED&gt;"/>
    <w:docVar w:name="LW_TITRE.OBJ.CP" w:val="\u1085?\u1072? \u1044?\u1077?\u1083?\u1077?\u1075?\u1080?\u1088?\u1072?\u1085? \u1088?\u1077?\u1075?\u1083?\u1072?\u1084?\u1077?\u1085?\u1090? \u1085?\u1072? \u1050?\u1086?\u1084?\u1080?\u1089?\u1080?\u1103?\u1090?\u1072? \u1086?\u1090? 8 \u1102?\u1085?\u1080? 2016 \u1075?\u1086?\u1076?\u1080?\u1085?\u1072? \u1079?\u1072? \u1076?\u1086?\u1087?\u1098?\u1083?\u1085?\u1077?\u1085?\u1080?\u1077? \u1085?\u1072? \u1044?\u1080?\u1088?\u1077?\u1082?\u1090?\u1080?\u1074?\u1072? 2014/65/\u1045?\u1057? \u1085?\u1072? \u1045?\u1074?\u1088?\u1086?\u1087?\u1077?\u1081?\u1089?\u1082?\u1080?\u1103? \u1087?\u1072?\u1088?\u1083?\u1072?\u1084?\u1077?\u1085?\u1090? \u1080? \u1085?\u1072? \u1057?\u1098?\u1074?\u1077?\u1090?\u1072? \u1086?\u1090?\u1085?\u1086?\u1089?\u1085?\u1086? \u1087?\u1072?\u1079?\u1072?\u1088?\u1080?\u1090?\u1077? \u1085?\u1072? \u1092?\u1080?\u1085?\u1072?\u1085?\u1089?\u1086?\u1074?\u1080? \u1080?\u1085?\u1089?\u1090?\u1088?\u1091?\u1084?\u1077?\u1085?\u1090?\u1080? \u1087?\u1086? \u1086?\u1090?\u1085?\u1086?\u1096?\u1077?\u1085?\u1080?\u1077? \u1085?\u1072? \u1088?\u1077?\u1075?\u1091?\u1083?\u1072?\u1090?\u1086?\u1088?\u1085?\u1080?\u1090?\u1077? \u1090?\u1077?\u1093?\u1085?\u1080?\u1095?\u1077?\u1089?\u1082?\u1080? \u1089?\u1090?\u1072?\u1085?\u1076?\u1072?\u1088?\u1090?\u1080? \u1079?\u1072? \u1076?\u1072?\u1085?\u1085?\u1080?\u1090?\u1077?, \u1087?\u1091?\u1073?\u1083?\u1080?\u1082?\u1091?\u1074?\u1072?\u1085?\u1080? \u1086?\u1090? \u1084?\u1077?\u1089?\u1090?\u1072?\u1090?\u1072? \u1079?\u1072? \u1080?\u1079?\u1087?\u1098?\u1083?\u1085?\u1077?\u1085?\u1080?\u1077?, \u1086?\u1090?\u1085?\u1086?\u1089?\u1085?\u1086? \u1082?\u1072?\u1095?\u1077?\u1089?\u1090?\u1074?\u1086?\u1090?\u1086? \u1085?\u1072? \u1080?\u1079?\u1087?\u1098?\u1083?\u1085?\u1077?\u1085?\u1080?\u1077? \u1085?\u1072? \u1089?\u1076?\u1077?\u1083?\u1082?\u1080?\u1090?\u1077? _x000b__x000b_C(2016) 3333 final"/>
    <w:docVar w:name="LW_TYPE.DOC.CP" w:val="\u1055?\u1054?\u1055?\u1056?\u1040?\u1042?\u1050?\u1040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ypedudocument">
    <w:name w:val="Type du document"/>
    <w:basedOn w:val="Normal"/>
    <w:next w:val="Titreobjet"/>
    <w:pPr>
      <w:spacing w:before="360" w:after="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Text1">
    <w:name w:val="Text 1"/>
    <w:basedOn w:val="Normal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"/>
    <w:next w:val="Text1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customStyle="1" w:styleId="Point1letter">
    <w:name w:val="Point 1 (letter)"/>
    <w:basedOn w:val="Normal"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75AD-BBAA-4FB8-A31F-0001E9F61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2300</Words>
  <Characters>13136</Characters>
  <Application>Microsoft Office Word</Application>
  <DocSecurity>0</DocSecurity>
  <Lines>262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20</cp:revision>
  <dcterms:created xsi:type="dcterms:W3CDTF">2017-03-08T15:04:00Z</dcterms:created>
  <dcterms:modified xsi:type="dcterms:W3CDTF">2017-03-16T09:01:00Z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Classification">
    <vt:lpwstr> </vt:lpwstr>
  </property>
  <property fmtid="{D5CDD505-2E9C-101B-9397-08002B2CF9AE}" pid="5" name="DocStatus">
    <vt:lpwstr>Green</vt:lpwstr>
  </property>
</Properties>
</file>