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F35A2D1B06CE4E4EA404E9BA03D3D030" style="width:450.1pt;height:379.8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417" w:bottom="1134" w:left="1417" w:header="709" w:footer="709" w:gutter="0"/>
          <w:pgNumType w:start="2"/>
          <w:cols w:space="720"/>
          <w:docGrid w:linePitch="299"/>
        </w:sectPr>
      </w:pPr>
    </w:p>
    <w:p>
      <w:pPr>
        <w:pStyle w:val="Typedudocument"/>
        <w:rPr>
          <w:noProof/>
        </w:rPr>
      </w:pPr>
      <w:bookmarkStart w:id="1" w:name="_GoBack"/>
      <w:bookmarkEnd w:id="1"/>
      <w:r>
        <w:rPr>
          <w:noProof/>
        </w:rPr>
        <w:lastRenderedPageBreak/>
        <w:t>ПОПРАВКА</w:t>
      </w:r>
    </w:p>
    <w:p>
      <w:pPr>
        <w:pStyle w:val="Titreobjet"/>
        <w:rPr>
          <w:noProof/>
        </w:rPr>
      </w:pPr>
      <w:r>
        <w:rPr>
          <w:noProof/>
        </w:rPr>
        <w:t xml:space="preserve">на Делегиран регламент на Комисията от 18 май 2016 година за допълване на Регламент (ЕС) № 600/2014 на Европейския парламент и на Съвета по отношение на определенията, прозрачността, компресирането на портфейл и надзорните мерки за намеса по отношение на продукти и управление на позиции </w:t>
      </w:r>
    </w:p>
    <w:p>
      <w:pPr>
        <w:pStyle w:val="Sous-titreobjet"/>
        <w:rPr>
          <w:noProof/>
        </w:rPr>
      </w:pPr>
      <w:r>
        <w:rPr>
          <w:noProof/>
        </w:rPr>
        <w:t>C(2016) 2860 final</w:t>
      </w:r>
    </w:p>
    <w:p>
      <w:pPr>
        <w:rPr>
          <w:noProof/>
        </w:rPr>
      </w:pPr>
      <w:r>
        <w:rPr>
          <w:noProof/>
        </w:rPr>
        <w:t xml:space="preserve"> 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 xml:space="preserve"> 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 xml:space="preserve"> 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 xml:space="preserve"> 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В съображение 18: </w:t>
      </w:r>
    </w:p>
    <w:p>
      <w:pPr>
        <w:ind w:left="720" w:hanging="720"/>
        <w:rPr>
          <w:noProof/>
          <w:sz w:val="23"/>
          <w:szCs w:val="23"/>
        </w:rPr>
      </w:pPr>
      <w:r>
        <w:rPr>
          <w:rFonts w:ascii="Times New Roman" w:hAnsi="Times New Roman"/>
          <w:i/>
          <w:noProof/>
          <w:sz w:val="24"/>
        </w:rPr>
        <w:t>вместо: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„(18) Необходимо е да се разяснят някои аспекти на правомощията за намеса на съответните компетентни органи и, при извънредни обстоятелства, на ESMA, учреден и изпълняващ своите правомощия в съответствие с Регламент (ЕС) № 1095/2010 на Европейския парламент и на Съвета, и на Европейския банков орган (EBA), учреден и изпълняващ своите правомощия в съответствие с Регламент (ЕС) № 1093/2010 на Европейския парламент и на Съвета“,</w:t>
      </w:r>
    </w:p>
    <w:p>
      <w:pPr>
        <w:ind w:left="720" w:hanging="72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да се чете: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„(18) Необходимо е да се разяснят някои аспекти на правомощията за намеса на съответните компетентни органи и, при извънредни обстоятелства, на ESMA, учреден и изпълняващ своите правомощия в съответствие с Регламент (ЕС) № 1095/2010 на Европейския парламент и на Съвета</w:t>
      </w:r>
      <w:r>
        <w:rPr>
          <w:noProof/>
          <w:sz w:val="23"/>
          <w:vertAlign w:val="superscript"/>
        </w:rPr>
        <w:t>2</w:t>
      </w:r>
      <w:r>
        <w:rPr>
          <w:rFonts w:ascii="Times New Roman" w:hAnsi="Times New Roman"/>
          <w:noProof/>
          <w:sz w:val="24"/>
        </w:rPr>
        <w:t>, и на Европейския банков орган (EBA), учреден и изпълняващ своите правомощия в съответствие с Регламент (ЕС) № 1093/2010 на Европейския парламент и на Съвета</w:t>
      </w:r>
      <w:r>
        <w:rPr>
          <w:noProof/>
          <w:sz w:val="23"/>
          <w:vertAlign w:val="superscript"/>
        </w:rPr>
        <w:t>3</w:t>
      </w:r>
      <w:r>
        <w:rPr>
          <w:rFonts w:ascii="Times New Roman" w:hAnsi="Times New Roman"/>
          <w:noProof/>
          <w:sz w:val="24"/>
        </w:rPr>
        <w:t>“.</w:t>
      </w:r>
      <w:r>
        <w:rPr>
          <w:rFonts w:ascii="Times New Roman" w:hAnsi="Times New Roman" w:cs="Times New Roman"/>
          <w:i/>
          <w:noProof/>
          <w:sz w:val="24"/>
          <w:szCs w:val="24"/>
        </w:rPr>
        <w:br/>
      </w:r>
      <w:r>
        <w:rPr>
          <w:rFonts w:ascii="Times New Roman" w:hAnsi="Times New Roman"/>
          <w:i/>
          <w:noProof/>
          <w:sz w:val="24"/>
        </w:rPr>
        <w:t>________________</w:t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vertAlign w:val="superscript"/>
        </w:rPr>
        <w:t>2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OВ L 331, 15.12.2010 г., стр. 84.</w:t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vertAlign w:val="superscript"/>
        </w:rPr>
        <w:t>3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OВ L 331, 15.12.2010 г., стр. 12.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член 5, параграф 2, буква б):</w:t>
      </w:r>
      <w:r>
        <w:rPr>
          <w:rFonts w:ascii="Times New Roman" w:hAnsi="Times New Roman" w:cs="Times New Roman"/>
          <w:noProof/>
          <w:sz w:val="24"/>
          <w:szCs w:val="24"/>
        </w:rPr>
        <w:br/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вместо: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„б)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 xml:space="preserve">за период, започващ шест седмици след първия ден за търговия на финансовия инструмент и приключващ на 1 април на годината на публикуване на информация в съответствие с параграф 1, буква в) от настоящия член, когато оценката се извършва в съответствие с параграф 1, буква б) от настоящия член;“, </w:t>
      </w:r>
      <w:r>
        <w:rPr>
          <w:rFonts w:ascii="Times New Roman" w:hAnsi="Times New Roman" w:cs="Times New Roman"/>
          <w:noProof/>
          <w:sz w:val="24"/>
          <w:szCs w:val="24"/>
        </w:rPr>
        <w:br/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  <w:highlight w:val="yellow"/>
        </w:rPr>
      </w:pPr>
      <w:r>
        <w:rPr>
          <w:rFonts w:ascii="Times New Roman" w:hAnsi="Times New Roman"/>
          <w:i/>
          <w:noProof/>
          <w:sz w:val="24"/>
        </w:rPr>
        <w:t>да се чете: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„б)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за период, започващ шест седмици след първия ден за търговия на финансовия инструмент и приключващ на 31 март на годината на публикуване на информация в съответствие с параграф 1, буква в) от настоящия член, когато оценката се извършва в съответствие с параграф 1, буква б) от настоящия член;“.</w:t>
      </w:r>
      <w:r>
        <w:rPr>
          <w:rFonts w:ascii="Times New Roman" w:hAnsi="Times New Roman" w:cs="Times New Roman"/>
          <w:noProof/>
          <w:sz w:val="24"/>
          <w:szCs w:val="24"/>
        </w:rPr>
        <w:br/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член 11, параграф 2, буква а), шесто тире:</w:t>
      </w:r>
    </w:p>
    <w:p>
      <w:pPr>
        <w:ind w:left="720" w:hanging="720"/>
        <w:rPr>
          <w:noProof/>
          <w:sz w:val="23"/>
          <w:szCs w:val="23"/>
        </w:rPr>
      </w:pPr>
      <w:r>
        <w:rPr>
          <w:rFonts w:ascii="Times New Roman" w:hAnsi="Times New Roman"/>
          <w:i/>
          <w:noProof/>
          <w:sz w:val="24"/>
        </w:rPr>
        <w:t>вместо: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</w:t>
      </w:r>
      <w:r>
        <w:rPr>
          <w:noProof/>
          <w:sz w:val="23"/>
        </w:rPr>
        <w:t xml:space="preserve">–   </w:t>
      </w:r>
      <w:r>
        <w:rPr>
          <w:rFonts w:ascii="Times New Roman" w:hAnsi="Times New Roman"/>
          <w:noProof/>
          <w:sz w:val="24"/>
        </w:rPr>
        <w:t>такси за други подгрупи от информация, включително изискваните в съответствие с [позоваване на регулаторните технически стандарти по силата на член 12, параграф 2 от Регламент (ЕС) № 600/2014];“,</w:t>
      </w:r>
      <w:r>
        <w:rPr>
          <w:noProof/>
          <w:sz w:val="23"/>
        </w:rPr>
        <w:t xml:space="preserve"> </w:t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да се чете: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</w:t>
      </w:r>
      <w:r>
        <w:rPr>
          <w:noProof/>
          <w:sz w:val="23"/>
        </w:rPr>
        <w:t xml:space="preserve">–   </w:t>
      </w:r>
      <w:r>
        <w:rPr>
          <w:rFonts w:ascii="Times New Roman" w:hAnsi="Times New Roman"/>
          <w:noProof/>
          <w:sz w:val="24"/>
        </w:rPr>
        <w:t>такси за други подгрупи от информация, включително изискваните в съответствие с Делегиран регламент (ЕС) […/…] на Комисията*;“.</w:t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________________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*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Делегиран регламент (ЕС) […/…] на Комисията от 2 юни 2016 г. за допълване на Регламент (ЕС) № 600/2014 на Европейския парламент и на Съвета по отношение на регулаторните технически стандарти за определяне на данните, които да бъдат предоставяни преди и след сключването на сделките, и степента на подробност на данните (OВ L […], […], стр. […]).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член 13, параграф 4:</w:t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вместо: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„4. Систематичните участници оповестяват своите котировки във формат, четим от машина. Счита се, че котировките са публикувани във формат, четим от машина, когато публикуването отговаря на критериите, посочени в [регулаторния технически стандарт, приет в съответствие с член 9, параграф 5 от Регламент № 600/2014, относно машинната четимост по член 64, параграф 6 и член 65, параграф 6 от Директива 2014/65/ЕС].“,</w:t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да се чете: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</w:t>
      </w:r>
      <w:r>
        <w:rPr>
          <w:noProof/>
          <w:sz w:val="23"/>
        </w:rPr>
        <w:t>4</w:t>
      </w:r>
      <w:r>
        <w:rPr>
          <w:rFonts w:ascii="Times New Roman" w:hAnsi="Times New Roman"/>
          <w:noProof/>
          <w:sz w:val="24"/>
        </w:rPr>
        <w:t>. Систематичните участници оповестяват своите котировки във формат, четим от машина. Счита се, че котировките са публикувани във формат, четим от машина, когато публикуването отговаря на критериите, предвидени в Делегиран регламент (ЕС) [.../...] на Комисията*.“.</w:t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________________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*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Делегиран регламент (ЕС) […/…] на Комисията от 2 юни 2016 г. за допълване на Директива 2014/65/ЕС</w:t>
      </w:r>
      <w:r>
        <w:rPr>
          <w:noProof/>
        </w:rPr>
        <w:t xml:space="preserve"> </w:t>
      </w:r>
      <w:r>
        <w:rPr>
          <w:rFonts w:ascii="Times New Roman" w:hAnsi="Times New Roman"/>
          <w:noProof/>
          <w:sz w:val="24"/>
        </w:rPr>
        <w:t>на Европейския парламент и на Съвета по отношение на регулаторните технически стандарти относно лицензирането на доставчиците на услуги за докладване на данни, организационните изисквания към тях и публикуването на информация за сделките (OВ L […], […], стр. […]).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член 13, параграф 6:</w:t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вместо: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„6. Котировките се публикуват, като се използват стандартите и спецификациите, посочени в [регулаторния технически стандарт, приет в съответствие с член 17, параграф 3 от Регламент № 600/2014].“,</w:t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да се чете: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„6. Котировките се публикуват, като се използват стандартите и спецификациите, посочени в Делегиран регламент (ЕС) [.../...] на Комисията*.“.</w:t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________________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*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 xml:space="preserve">Таблица 2 от Приложение I към Делегиран регламент (ЕС) [.../...] на Комисията от 14 юли 2016 г. за допълване на Регламент (ЕС) № 600/2014 на Европейския парламент и на Съвета относно пазарите на финансови инструменти по отношение на регулаторните технически стандарти за изискванията за прозрачност към местата на търговия и инвестиционните посредници по отношение на акциите, депозитарните разписки, борсово търгуваните фондове, сертификатите и другите подобни финансови инструменти, както и за задълженията за изпълнение на сделките при някои търгувани на място на търговия акции или от страна на систематичен участник (OВ L […], […], стр. […]). 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член 14, параграф 1, буква г):</w:t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вместо: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„г) компетентен орган забранява късите продажби на този финансов инструмент съгласно член 20 от Регламент (ЕС) № 236/2012.“,</w:t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да се чете: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„г) компетентен орган забранява късите продажби на този финансов инструмент съгласно член 20 от Регламент (ЕС) № 236/2012</w:t>
      </w:r>
      <w:r>
        <w:rPr>
          <w:rFonts w:ascii="Times New Roman" w:hAnsi="Times New Roman"/>
          <w:noProof/>
          <w:sz w:val="24"/>
          <w:vertAlign w:val="superscript"/>
        </w:rPr>
        <w:t>3</w:t>
      </w:r>
      <w:r>
        <w:rPr>
          <w:rFonts w:ascii="Times New Roman" w:hAnsi="Times New Roman"/>
          <w:noProof/>
          <w:sz w:val="24"/>
        </w:rPr>
        <w:t>.“.</w:t>
      </w:r>
    </w:p>
    <w:p>
      <w:pPr>
        <w:ind w:left="720" w:hanging="72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________________</w:t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vertAlign w:val="superscript"/>
        </w:rPr>
        <w:t>3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OВ L 86, 24.3.2012 г., стр. 1.</w:t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член 14, параграф 3, буква б):</w:t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вместо: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„в съответствие с член 14, параграф 7 от РПФИ.“,</w:t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да се чете: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 xml:space="preserve">„в съответствие с член 14, параграф 7 от Регламент (ЕС) № 600/2014.“. </w:t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член 14, параграф 4:</w:t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вместо: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„За целите на член 15, параграф 3 от Регламент (ЕС) № 600/2014, счита се, че изпълнение, свързано с няколко ценни книжа, е част от една сделка, когато са изпълнени критериите, определени в [делегирания регламент, приет в съответствие с член 4, параграф 6, буква г) от Регламент № 600/2014].“,</w:t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да се чете: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„За целите на член 15, параграф 3 от Регламент (ЕС) № 600/2014, счита се, че изпълнение, свързано с няколко ценни книжа, е част от една сделка, когато са изпълнени критериите, определени в Делегиран регламент (ЕС) […/…] на Комисията*.“.</w:t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________________</w:t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*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 xml:space="preserve"> Делегиран регламент (ЕС) [.../...] на Комисията от 14 юли 2017 г. за допълване на Регламент (ЕС) № 600/2014 на Европейския парламент и на Съвета относно пазарите на финансови инструменти по отношение на регулаторните технически стандарти за изискванията за прозрачност към местата на търговия и инвестиционните посредници по отношение на акциите, депозитарните разписки, борсово търгуваните фондове, сертификатите и другите подобни финансови инструменти, както и за задълженията за изпълнение на сделките при някои търгувани на място на търговия акции или от страна на систематичен участник (OВ L […], […], стр. […]).</w:t>
      </w:r>
    </w:p>
    <w:p>
      <w:pPr>
        <w:pStyle w:val="Default"/>
        <w:rPr>
          <w:noProof/>
        </w:rPr>
      </w:pPr>
    </w:p>
    <w:p>
      <w:pPr>
        <w:pStyle w:val="Default"/>
        <w:rPr>
          <w:noProof/>
          <w:sz w:val="23"/>
          <w:szCs w:val="23"/>
        </w:rPr>
      </w:pPr>
      <w:r>
        <w:rPr>
          <w:noProof/>
          <w:sz w:val="23"/>
        </w:rPr>
        <w:t>В член 16:</w:t>
      </w:r>
    </w:p>
    <w:p>
      <w:pPr>
        <w:pStyle w:val="Default"/>
        <w:rPr>
          <w:noProof/>
          <w:sz w:val="23"/>
          <w:szCs w:val="23"/>
        </w:rPr>
      </w:pP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вместо: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„приложение III към Делегиран регламент …/... на Комисията, приет в съответствие с член 9, параграф 5 от Регламент № 600/2014.“,</w:t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да се чете: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„приложение III към Делегиран регламент (ЕС) [.../...] на Комисията.*“.</w:t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________________</w:t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*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Делегиран регламент (ЕС) [.../...] на Комисията от 2 юни 2016 г. за допълване на Регламент (ЕС) № 600/2014 на Европейския парламент и на Съвета относно пазарите на финансови инструменти по отношение на регулаторните технически стандарти за изискванията за прозрачност, засягащи местата на търговия и инвестиционните посредници, във връзка с облигациите, структурираните финансови продукти, квотите за емисии и дериватите (OВ L […], […], стр. […]).</w:t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Default"/>
        <w:rPr>
          <w:noProof/>
          <w:sz w:val="23"/>
          <w:szCs w:val="23"/>
        </w:rPr>
      </w:pPr>
    </w:p>
    <w:p>
      <w:pPr>
        <w:pStyle w:val="Default"/>
        <w:rPr>
          <w:noProof/>
          <w:sz w:val="23"/>
          <w:szCs w:val="23"/>
        </w:rPr>
      </w:pPr>
      <w:r>
        <w:rPr>
          <w:noProof/>
          <w:sz w:val="23"/>
        </w:rPr>
        <w:t>В член 19, параграф 1:</w:t>
      </w:r>
    </w:p>
    <w:p>
      <w:pPr>
        <w:pStyle w:val="Default"/>
        <w:rPr>
          <w:noProof/>
          <w:sz w:val="23"/>
          <w:szCs w:val="23"/>
        </w:rPr>
      </w:pPr>
    </w:p>
    <w:p>
      <w:pPr>
        <w:pStyle w:val="Default"/>
        <w:rPr>
          <w:noProof/>
          <w:sz w:val="23"/>
          <w:szCs w:val="23"/>
        </w:rPr>
      </w:pP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вместо: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„За целите на член 40, параграф 2, буква а) от Регламент № 600/2014,“,</w:t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да се чете: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„За целите на член 40, параграф 2, буква а) от Регламент (ЕС) № 600/2014,“.</w:t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Default"/>
        <w:rPr>
          <w:noProof/>
          <w:sz w:val="23"/>
          <w:szCs w:val="23"/>
        </w:rPr>
      </w:pPr>
      <w:r>
        <w:rPr>
          <w:noProof/>
          <w:sz w:val="23"/>
        </w:rPr>
        <w:t>В член 20, параграф 1:</w:t>
      </w:r>
    </w:p>
    <w:p>
      <w:pPr>
        <w:pStyle w:val="Default"/>
        <w:rPr>
          <w:noProof/>
          <w:sz w:val="23"/>
          <w:szCs w:val="23"/>
        </w:rPr>
      </w:pPr>
    </w:p>
    <w:p>
      <w:pPr>
        <w:pStyle w:val="Default"/>
        <w:rPr>
          <w:noProof/>
          <w:sz w:val="23"/>
          <w:szCs w:val="23"/>
        </w:rPr>
      </w:pP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вместо: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„За целите на член 41, параграф 2, буква а) от Регламент № 600/2014,“,</w:t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да се чете: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„За целите на член 41, параграф 2, буква а) от Регламент (ЕС) № 600/2014,“.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член 20, параграф 2, буква б), десето тире:</w:t>
      </w:r>
    </w:p>
    <w:p>
      <w:pPr>
        <w:pStyle w:val="Default"/>
        <w:rPr>
          <w:noProof/>
          <w:sz w:val="23"/>
          <w:szCs w:val="23"/>
        </w:rPr>
      </w:pPr>
      <w:r>
        <w:rPr>
          <w:i/>
          <w:noProof/>
        </w:rPr>
        <w:t>вместо:</w:t>
      </w:r>
      <w:r>
        <w:rPr>
          <w:noProof/>
        </w:rPr>
        <w:tab/>
        <w:t>„ - размерът на гаранцията, определен в Директива 2014/49/ЕС;“,</w:t>
      </w:r>
    </w:p>
    <w:p>
      <w:pPr>
        <w:pStyle w:val="Default"/>
        <w:rPr>
          <w:noProof/>
          <w:sz w:val="23"/>
          <w:szCs w:val="23"/>
        </w:rPr>
      </w:pPr>
    </w:p>
    <w:p>
      <w:pPr>
        <w:ind w:left="720" w:hanging="720"/>
        <w:rPr>
          <w:rFonts w:ascii="Times New Roman" w:hAnsi="Times New Roman" w:cs="Times New Roman"/>
          <w:noProof/>
          <w:color w:val="000000"/>
          <w:sz w:val="23"/>
          <w:szCs w:val="23"/>
        </w:rPr>
      </w:pPr>
      <w:r>
        <w:rPr>
          <w:rFonts w:ascii="Times New Roman" w:hAnsi="Times New Roman"/>
          <w:i/>
          <w:noProof/>
          <w:sz w:val="24"/>
        </w:rPr>
        <w:t>да се чете:</w:t>
      </w:r>
      <w:r>
        <w:rPr>
          <w:noProof/>
        </w:rPr>
        <w:tab/>
      </w:r>
      <w:r>
        <w:rPr>
          <w:rFonts w:ascii="Times New Roman" w:hAnsi="Times New Roman"/>
          <w:noProof/>
          <w:color w:val="000000"/>
          <w:sz w:val="23"/>
        </w:rPr>
        <w:t>„ - размерът на гаранцията, определен в Директива 2014/49/ЕС</w:t>
      </w:r>
      <w:r>
        <w:rPr>
          <w:rFonts w:ascii="Times New Roman" w:hAnsi="Times New Roman"/>
          <w:noProof/>
          <w:color w:val="000000"/>
          <w:sz w:val="23"/>
          <w:vertAlign w:val="superscript"/>
        </w:rPr>
        <w:t>4</w:t>
      </w:r>
      <w:r>
        <w:rPr>
          <w:rFonts w:ascii="Times New Roman" w:hAnsi="Times New Roman"/>
          <w:noProof/>
          <w:color w:val="000000"/>
          <w:sz w:val="23"/>
        </w:rPr>
        <w:t>;“.</w:t>
      </w:r>
    </w:p>
    <w:p>
      <w:pPr>
        <w:ind w:left="720" w:hanging="72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________________</w:t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vertAlign w:val="superscript"/>
        </w:rPr>
        <w:t>4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OВ L 173, 12.6.2014 г., стр. 149.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Default"/>
        <w:rPr>
          <w:noProof/>
          <w:sz w:val="23"/>
          <w:szCs w:val="23"/>
        </w:rPr>
      </w:pPr>
      <w:r>
        <w:rPr>
          <w:noProof/>
          <w:sz w:val="23"/>
        </w:rPr>
        <w:t>В член 21, параграф 1:</w:t>
      </w:r>
    </w:p>
    <w:p>
      <w:pPr>
        <w:pStyle w:val="Default"/>
        <w:rPr>
          <w:noProof/>
          <w:sz w:val="23"/>
          <w:szCs w:val="23"/>
        </w:rPr>
      </w:pPr>
    </w:p>
    <w:p>
      <w:pPr>
        <w:pStyle w:val="Default"/>
        <w:rPr>
          <w:noProof/>
          <w:sz w:val="23"/>
          <w:szCs w:val="23"/>
        </w:rPr>
      </w:pP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вместо: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„За целите на член 42, параграф 2, буква а) от Регламент № 600/2014“,</w:t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да се чете: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„За целите на член 42, параграф 2, буква а) от Регламент (ЕС) № 600/2014“.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/>
          <w:noProof/>
          <w:sz w:val="24"/>
        </w:rPr>
        <w:t>В член 21, параграф 2, буква з):</w:t>
      </w:r>
      <w:r>
        <w:rPr>
          <w:rFonts w:ascii="Times New Roman" w:hAnsi="Times New Roman" w:cs="Times New Roman"/>
          <w:noProof/>
          <w:sz w:val="24"/>
          <w:szCs w:val="24"/>
        </w:rPr>
        <w:br/>
      </w:r>
    </w:p>
    <w:p>
      <w:pPr>
        <w:pStyle w:val="ManualNumPar1"/>
        <w:rPr>
          <w:noProof/>
          <w:szCs w:val="24"/>
        </w:rPr>
      </w:pPr>
      <w:r>
        <w:rPr>
          <w:i/>
          <w:noProof/>
        </w:rPr>
        <w:t>вместо:</w:t>
      </w:r>
      <w:r>
        <w:rPr>
          <w:noProof/>
        </w:rPr>
        <w:tab/>
        <w:t>„з)</w:t>
      </w:r>
      <w:r>
        <w:rPr>
          <w:noProof/>
        </w:rPr>
        <w:tab/>
        <w:t xml:space="preserve">ценообразуването и свързаните разходи на финансовия инструмент, финансовата дейност или финансовата практика, като се взема предвид по-специално: </w:t>
      </w:r>
    </w:p>
    <w:p>
      <w:pPr>
        <w:ind w:left="720" w:firstLine="13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– използването на скрити или вторични такси, или </w:t>
      </w:r>
    </w:p>
    <w:p>
      <w:pPr>
        <w:ind w:left="720" w:firstLine="13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– таксите, които не отразяват нивото на предлаганите услуги;“,</w:t>
      </w:r>
      <w:r>
        <w:rPr>
          <w:rFonts w:ascii="Times New Roman" w:hAnsi="Times New Roman" w:cs="Times New Roman"/>
          <w:noProof/>
          <w:sz w:val="24"/>
          <w:szCs w:val="24"/>
        </w:rPr>
        <w:br/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да се чете: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 xml:space="preserve">„з) 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 xml:space="preserve">ценообразуването и свързаните разходи на структурирания депозит, финансовия инструмент, финансовата дейност или финансовата практика, като се взема предвид по-специално: </w:t>
      </w:r>
    </w:p>
    <w:p>
      <w:pPr>
        <w:ind w:left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– използването на скрити или вторични такси, или </w:t>
      </w:r>
    </w:p>
    <w:p>
      <w:pPr>
        <w:ind w:left="720"/>
        <w:rPr>
          <w:rFonts w:ascii="Times New Roman" w:hAnsi="Times New Roman" w:cs="Times New Roman"/>
          <w:noProof/>
          <w:sz w:val="24"/>
          <w:szCs w:val="24"/>
          <w:highlight w:val="yellow"/>
        </w:rPr>
      </w:pPr>
      <w:r>
        <w:rPr>
          <w:rFonts w:ascii="Times New Roman" w:hAnsi="Times New Roman"/>
          <w:noProof/>
          <w:sz w:val="24"/>
        </w:rPr>
        <w:t>– таксите, които не отразяват нивото на предлаганите услуги;“.</w:t>
      </w:r>
      <w:r>
        <w:rPr>
          <w:rFonts w:ascii="Times New Roman" w:hAnsi="Times New Roman" w:cs="Times New Roman"/>
          <w:noProof/>
          <w:sz w:val="24"/>
          <w:szCs w:val="24"/>
        </w:rPr>
        <w:br/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член 24, втора алинея:</w:t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вместо: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„Той се прилага от датата, посочена в член 55, алинея втора от Регламент (ЕС) № 600/2014.“,</w:t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да се чете: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„Той се прилага от 3 януари 2018 г.“.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/>
      <w:pgMar w:top="1134" w:right="1417" w:bottom="1134" w:left="1417" w:header="709" w:footer="709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373408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hideSpellingErrors/>
  <w:hideGrammaticalErrors/>
  <w:revisionView w:markup="0"/>
  <w:defaultTabStop w:val="720"/>
  <w:hyphenationZone w:val="425"/>
  <w:drawingGridHorizontalSpacing w:val="74"/>
  <w:drawingGridVerticalSpacing w:val="10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VERPAGE_GUID" w:val="F35A2D1B06CE4E4EA404E9BA03D3D030"/>
    <w:docVar w:name="LW_CROSSREFERENCE" w:val="&lt;UNUSED&gt;"/>
    <w:docVar w:name="LW_DATE.ADOPT.CP" w:val="\u1086?\u1090? 15.3.2017 \u1075?\u1086?\u1076?\u1080?\u1085?\u1072?"/>
    <w:docVar w:name="LW_DATE.ADOPT.CP_ISODATE" w:val="2017-03-15"/>
    <w:docVar w:name="LW_DocType" w:val="NORMAL"/>
    <w:docVar w:name="LW_EMISSION" w:val="15.3.2017"/>
    <w:docVar w:name="LW_EMISSION_ISODATE" w:val="2017-03-15"/>
    <w:docVar w:name="LW_EMISSION_LOCATION" w:val="BRX"/>
    <w:docVar w:name="LW_EMISSION_PREFIX" w:val="Брюксел, "/>
    <w:docVar w:name="LW_EMISSION_SUFFIX" w:val=" \u1075?."/>
    <w:docVar w:name="LW_ID_DOCTYPE_NONLW" w:val="CP-034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"/>
    <w:docVar w:name="LW_REF.INST.NEW_ADOPTED" w:val="final"/>
    <w:docVar w:name="LW_REF.INST.NEW_TEXT" w:val="(2017) 1877"/>
    <w:docVar w:name="LW_REF.INTERNE" w:val="&lt;UNUSED&gt;"/>
    <w:docVar w:name="LW_SOUS.TITRE.OBJ.CP" w:val="C(2016) 2860 final"/>
    <w:docVar w:name="LW_SUPERTITRE" w:val="&lt;UNUSED&gt;"/>
    <w:docVar w:name="LW_TITRE.OBJ.CP" w:val="\u1085?\u1072? \u1044?\u1077?\u1083?\u1077?\u1075?\u1080?\u1088?\u1072?\u1085? \u1088?\u1077?\u1075?\u1083?\u1072?\u1084?\u1077?\u1085?\u1090? \u1085?\u1072? \u1050?\u1086?\u1084?\u1080?\u1089?\u1080?\u1103?\u1090?\u1072? \u1086?\u1090? 18 \u1084?\u1072?\u1081? 2016 \u1075?\u1086?\u1076?\u1080?\u1085?\u1072? \u1079?\u1072? \u1076?\u1086?\u1087?\u1098?\u1083?\u1074?\u1072?\u1085?\u1077? \u1085?\u1072? \u1056?\u1077?\u1075?\u1083?\u1072?\u1084?\u1077?\u1085?\u1090? (\u1045?\u1057?) \u8470? 600/2014 \u1085?\u1072? \u1045?\u1074?\u1088?\u1086?\u1087?\u1077?\u1081?\u1089?\u1082?\u1080?\u1103? \u1087?\u1072?\u1088?\u1083?\u1072?\u1084?\u1077?\u1085?\u1090? \u1080? \u1085?\u1072? \u1057?\u1098?\u1074?\u1077?\u1090?\u1072? \u1087?\u1086? \u1086?\u1090?\u1085?\u1086?\u1096?\u1077?\u1085?\u1080?\u1077? \u1085?\u1072? \u1086?\u1087?\u1088?\u1077?\u1076?\u1077?\u1083?\u1077?\u1085?\u1080?\u1103?\u1090?\u1072?, \u1087?\u1088?\u1086?\u1079?\u1088?\u1072?\u1095?\u1085?\u1086?\u1089?\u1090?\u1090?\u1072?, \u1082?\u1086?\u1084?\u1087?\u1088?\u1077?\u1089?\u1080?\u1088?\u1072?\u1085?\u1077?\u1090?\u1086? \u1085?\u1072? \u1087?\u1086?\u1088?\u1090?\u1092?\u1077?\u1081?\u1083? \u1080? \u1085?\u1072?\u1076?\u1079?\u1086?\u1088?\u1085?\u1080?\u1090?\u1077? \u1084?\u1077?\u1088?\u1082?\u1080? \u1079?\u1072? \u1085?\u1072?\u1084?\u1077?\u1089?\u1072? \u1087?\u1086? \u1086?\u1090?\u1085?\u1086?\u1096?\u1077?\u1085?\u1080?\u1077? \u1085?\u1072? \u1087?\u1088?\u1086?\u1076?\u1091?\u1082?\u1090?\u1080? \u1080? \u1091?\u1087?\u1088?\u1072?\u1074?\u1083?\u1077?\u1085?\u1080?\u1077? \u1085?\u1072? \u1087?\u1086?\u1079?\u1080?\u1094?\u1080?\u1080? "/>
    <w:docVar w:name="LW_TYPE.DOC.CP" w:val="\u1055?\u1054?\u1055?\u1056?\u1040?\u1042?\u1050?\u1040?"/>
    <w:docVar w:name="LW_TYPE.DOC.CP.USERTEXT" w:val="&lt;EMPTY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Tiret2">
    <w:name w:val="Tiret 2"/>
    <w:basedOn w:val="Normal"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ManualNumPar1">
    <w:name w:val="Manual NumPar 1"/>
    <w:basedOn w:val="Normal"/>
    <w:next w:val="Normal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Sous-titreobjet">
    <w:name w:val="Sous-titre objet"/>
    <w:basedOn w:val="Normal"/>
    <w:pPr>
      <w:spacing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Tiret2">
    <w:name w:val="Tiret 2"/>
    <w:basedOn w:val="Normal"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ManualNumPar1">
    <w:name w:val="Manual NumPar 1"/>
    <w:basedOn w:val="Normal"/>
    <w:next w:val="Normal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Sous-titreobjet">
    <w:name w:val="Sous-titre objet"/>
    <w:basedOn w:val="Normal"/>
    <w:pPr>
      <w:spacing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27943-8C2E-416D-ACB3-E0D82634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1384</Words>
  <Characters>7573</Characters>
  <Application>Microsoft Office Word</Application>
  <DocSecurity>0</DocSecurity>
  <Lines>189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25</cp:revision>
  <cp:lastPrinted>2017-03-14T14:31:00Z</cp:lastPrinted>
  <dcterms:created xsi:type="dcterms:W3CDTF">2017-03-08T15:21:00Z</dcterms:created>
  <dcterms:modified xsi:type="dcterms:W3CDTF">2017-03-16T08:57:00Z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Classification">
    <vt:lpwstr> </vt:lpwstr>
  </property>
  <property fmtid="{D5CDD505-2E9C-101B-9397-08002B2CF9AE}" pid="5" name="DocStatus">
    <vt:lpwstr>Green</vt:lpwstr>
  </property>
</Properties>
</file>