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29E1F74D85F454CB5867CA087257E82" style="width:450.7pt;height:379.4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2"/>
          <w:cols w:space="720"/>
          <w:docGrid w:linePitch="299"/>
        </w:sectPr>
      </w:pPr>
    </w:p>
    <w:p>
      <w:pPr>
        <w:pStyle w:val="Typedudocument"/>
        <w:rPr>
          <w:noProof/>
        </w:rPr>
      </w:pPr>
      <w:bookmarkStart w:id="1" w:name="_GoBack"/>
      <w:bookmarkEnd w:id="1"/>
      <w:r>
        <w:rPr>
          <w:noProof/>
        </w:rPr>
        <w:lastRenderedPageBreak/>
        <w:t>CORRIGENDUM</w:t>
      </w:r>
    </w:p>
    <w:p>
      <w:pPr>
        <w:pStyle w:val="Titreobjet"/>
        <w:rPr>
          <w:noProof/>
        </w:rPr>
      </w:pPr>
      <w:r>
        <w:rPr>
          <w:noProof/>
        </w:rPr>
        <w:t xml:space="preserve">to Commission Delegated Regulation of 18 May 2016 supplementing Regulation (EU) No 600/2014 of the European Parliament and of the Council with regard to definitions, transparency, portfolio compression and supervisory measures on product intervention and positions </w:t>
      </w:r>
    </w:p>
    <w:p>
      <w:pPr>
        <w:pStyle w:val="Sous-titreobjet"/>
        <w:rPr>
          <w:noProof/>
        </w:rPr>
      </w:pPr>
      <w:r>
        <w:rPr>
          <w:noProof/>
        </w:rPr>
        <w:t>C(2016) 2860 final</w:t>
      </w:r>
    </w:p>
    <w:p>
      <w:pPr>
        <w:rPr>
          <w:noProof/>
        </w:rPr>
      </w:pPr>
      <w:r>
        <w:rPr>
          <w:noProof/>
        </w:rPr>
        <w:t xml:space="preserve"> </w:t>
      </w:r>
    </w:p>
    <w:p>
      <w:pPr>
        <w:rPr>
          <w:noProof/>
        </w:rPr>
      </w:pPr>
    </w:p>
    <w:p>
      <w:pPr>
        <w:rPr>
          <w:noProof/>
        </w:rPr>
      </w:pPr>
      <w:r>
        <w:rPr>
          <w:noProof/>
        </w:rPr>
        <w:t xml:space="preserve"> </w:t>
      </w:r>
    </w:p>
    <w:p>
      <w:pPr>
        <w:rPr>
          <w:noProof/>
        </w:rPr>
      </w:pPr>
    </w:p>
    <w:p>
      <w:pPr>
        <w:rPr>
          <w:noProof/>
        </w:rPr>
      </w:pPr>
      <w:r>
        <w:rPr>
          <w:noProof/>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 xml:space="preserve">In Recital (18): </w:t>
      </w:r>
    </w:p>
    <w:p>
      <w:pPr>
        <w:ind w:left="720" w:hanging="720"/>
        <w:rPr>
          <w:noProof/>
          <w:sz w:val="23"/>
          <w:szCs w:val="23"/>
        </w:rPr>
      </w:pPr>
      <w:r>
        <w:rPr>
          <w:rFonts w:ascii="Times New Roman" w:hAnsi="Times New Roman" w:cs="Times New Roman"/>
          <w:i/>
          <w:noProof/>
          <w:sz w:val="24"/>
          <w:szCs w:val="24"/>
        </w:rPr>
        <w:t>for:</w:t>
      </w:r>
      <w:r>
        <w:rPr>
          <w:rFonts w:ascii="Times New Roman" w:hAnsi="Times New Roman" w:cs="Times New Roman"/>
          <w:noProof/>
          <w:sz w:val="24"/>
          <w:szCs w:val="24"/>
        </w:rPr>
        <w:tab/>
        <w:t>'(18)    It is necessary to specify certain aspects of the intervention powers of both the relevant competent authorities and, in exceptional cases, ESMA established and exercising its powers in accordance with Regulation (EU) No 1095/2010 of the European Parliament and of the Council and the European Banking Authority (EBA) established and exercising its powers in accordance with Regulation (EU) No 1093/2010 of the European Parliament and of the Council’</w:t>
      </w:r>
    </w:p>
    <w:p>
      <w:pPr>
        <w:ind w:left="720" w:hanging="720"/>
        <w:rPr>
          <w:rFonts w:ascii="Times New Roman" w:hAnsi="Times New Roman" w:cs="Times New Roman"/>
          <w:i/>
          <w:noProof/>
          <w:sz w:val="24"/>
          <w:szCs w:val="24"/>
        </w:rPr>
      </w:pPr>
      <w:r>
        <w:rPr>
          <w:rFonts w:ascii="Times New Roman" w:hAnsi="Times New Roman" w:cs="Times New Roman"/>
          <w:i/>
          <w:noProof/>
          <w:sz w:val="24"/>
          <w:szCs w:val="24"/>
        </w:rPr>
        <w:t>read:</w:t>
      </w:r>
      <w:r>
        <w:rPr>
          <w:rFonts w:ascii="Times New Roman" w:hAnsi="Times New Roman" w:cs="Times New Roman"/>
          <w:i/>
          <w:noProof/>
          <w:sz w:val="24"/>
          <w:szCs w:val="24"/>
        </w:rPr>
        <w:tab/>
      </w:r>
      <w:r>
        <w:rPr>
          <w:rFonts w:ascii="Times New Roman" w:hAnsi="Times New Roman" w:cs="Times New Roman"/>
          <w:noProof/>
          <w:sz w:val="24"/>
          <w:szCs w:val="24"/>
        </w:rPr>
        <w:t>'(18)    It is necessary to specify certain aspects of the intervention powers of both the relevant competent authorities and, in exceptional cases, ESMA established and exercising its powers in accordance with Regulation (EU) No 1095/2010 of the European Parliament and of the Council</w:t>
      </w:r>
      <w:r>
        <w:rPr>
          <w:noProof/>
          <w:sz w:val="23"/>
          <w:szCs w:val="23"/>
          <w:vertAlign w:val="superscript"/>
        </w:rPr>
        <w:t>2</w:t>
      </w:r>
      <w:r>
        <w:rPr>
          <w:rFonts w:ascii="Times New Roman" w:hAnsi="Times New Roman" w:cs="Times New Roman"/>
          <w:noProof/>
          <w:sz w:val="24"/>
          <w:szCs w:val="24"/>
        </w:rPr>
        <w:t xml:space="preserve"> and the European Banking Authority (EBA) established and exercising its powers in accordance with Regulation (EU) No 1093/2010 of the European Parliament and of the Council</w:t>
      </w:r>
      <w:r>
        <w:rPr>
          <w:noProof/>
          <w:sz w:val="23"/>
          <w:szCs w:val="23"/>
          <w:vertAlign w:val="superscript"/>
        </w:rPr>
        <w:t>3</w:t>
      </w:r>
      <w:r>
        <w:rPr>
          <w:rFonts w:ascii="Times New Roman" w:hAnsi="Times New Roman" w:cs="Times New Roman"/>
          <w:noProof/>
          <w:sz w:val="24"/>
          <w:szCs w:val="24"/>
        </w:rPr>
        <w:t>’.</w:t>
      </w:r>
      <w:r>
        <w:rPr>
          <w:rFonts w:ascii="Times New Roman" w:hAnsi="Times New Roman" w:cs="Times New Roman"/>
          <w:i/>
          <w:noProof/>
          <w:sz w:val="24"/>
          <w:szCs w:val="24"/>
        </w:rPr>
        <w:br/>
        <w:t>________________</w:t>
      </w:r>
    </w:p>
    <w:p>
      <w:pPr>
        <w:ind w:left="720" w:hanging="720"/>
        <w:rPr>
          <w:rFonts w:ascii="Times New Roman" w:hAnsi="Times New Roman" w:cs="Times New Roman"/>
          <w:noProof/>
          <w:sz w:val="24"/>
          <w:szCs w:val="24"/>
        </w:rPr>
      </w:pPr>
      <w:r>
        <w:rPr>
          <w:rFonts w:ascii="Times New Roman" w:hAnsi="Times New Roman" w:cs="Times New Roman"/>
          <w:noProof/>
          <w:sz w:val="24"/>
          <w:szCs w:val="24"/>
          <w:vertAlign w:val="superscript"/>
        </w:rPr>
        <w:t>2</w:t>
      </w:r>
      <w:r>
        <w:rPr>
          <w:rFonts w:ascii="Times New Roman" w:hAnsi="Times New Roman" w:cs="Times New Roman"/>
          <w:noProof/>
          <w:sz w:val="24"/>
          <w:szCs w:val="24"/>
        </w:rPr>
        <w:tab/>
        <w:t>OJ L 331, 15.12.2010, p. 84.</w:t>
      </w:r>
    </w:p>
    <w:p>
      <w:pPr>
        <w:ind w:left="720" w:hanging="720"/>
        <w:rPr>
          <w:rFonts w:ascii="Times New Roman" w:hAnsi="Times New Roman" w:cs="Times New Roman"/>
          <w:noProof/>
          <w:sz w:val="24"/>
          <w:szCs w:val="24"/>
        </w:rPr>
      </w:pPr>
      <w:r>
        <w:rPr>
          <w:rFonts w:ascii="Times New Roman" w:hAnsi="Times New Roman" w:cs="Times New Roman"/>
          <w:noProof/>
          <w:sz w:val="24"/>
          <w:szCs w:val="24"/>
          <w:vertAlign w:val="superscript"/>
        </w:rPr>
        <w:t>3</w:t>
      </w:r>
      <w:r>
        <w:rPr>
          <w:rFonts w:ascii="Times New Roman" w:hAnsi="Times New Roman" w:cs="Times New Roman"/>
          <w:noProof/>
          <w:sz w:val="24"/>
          <w:szCs w:val="24"/>
        </w:rPr>
        <w:tab/>
        <w:t>OJ L 331, 15.12.2010, p. 12.</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Article 3(3):</w:t>
      </w:r>
      <w:r>
        <w:rPr>
          <w:rFonts w:ascii="Times New Roman" w:hAnsi="Times New Roman" w:cs="Times New Roman"/>
          <w:noProof/>
          <w:sz w:val="24"/>
          <w:szCs w:val="24"/>
        </w:rPr>
        <w:br/>
      </w: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'3.</w:t>
      </w:r>
      <w:r>
        <w:rPr>
          <w:rFonts w:ascii="Times New Roman" w:hAnsi="Times New Roman" w:cs="Times New Roman"/>
          <w:noProof/>
          <w:sz w:val="24"/>
          <w:szCs w:val="24"/>
        </w:rPr>
        <w:tab/>
        <w:t xml:space="preserve">For the purposes of paragraph 1(c), the daily turnover for the exchange traded fund shall be calculated by aggregating the results of multiplying, for each transaction executed during a trading day, the number of units of the exchanged traded fund exchanged between the buyer and the seller by the price per unit.’ </w:t>
      </w:r>
      <w:r>
        <w:rPr>
          <w:rFonts w:ascii="Times New Roman" w:hAnsi="Times New Roman" w:cs="Times New Roman"/>
          <w:noProof/>
          <w:sz w:val="24"/>
          <w:szCs w:val="24"/>
        </w:rPr>
        <w:br/>
      </w:r>
    </w:p>
    <w:p>
      <w:pPr>
        <w:ind w:left="720" w:hanging="720"/>
        <w:rPr>
          <w:rFonts w:ascii="Times New Roman" w:hAnsi="Times New Roman" w:cs="Times New Roman"/>
          <w:noProof/>
          <w:sz w:val="24"/>
          <w:szCs w:val="24"/>
        </w:rPr>
      </w:pPr>
      <w:r>
        <w:rPr>
          <w:rFonts w:ascii="Times New Roman" w:hAnsi="Times New Roman" w:cs="Times New Roman"/>
          <w:i/>
          <w:noProof/>
          <w:sz w:val="24"/>
          <w:szCs w:val="24"/>
        </w:rPr>
        <w:lastRenderedPageBreak/>
        <w:t>read:</w:t>
      </w:r>
      <w:r>
        <w:rPr>
          <w:rFonts w:ascii="Times New Roman" w:hAnsi="Times New Roman" w:cs="Times New Roman"/>
          <w:noProof/>
          <w:sz w:val="24"/>
          <w:szCs w:val="24"/>
        </w:rPr>
        <w:tab/>
        <w:t>'3.</w:t>
      </w:r>
      <w:r>
        <w:rPr>
          <w:rFonts w:ascii="Times New Roman" w:hAnsi="Times New Roman" w:cs="Times New Roman"/>
          <w:noProof/>
          <w:sz w:val="24"/>
          <w:szCs w:val="24"/>
        </w:rPr>
        <w:tab/>
        <w:t xml:space="preserve">For the purposes of paragraph 1(c), the daily turnover for the exchange traded fund shall be calculated by aggregating the results of multiplying, for each transaction executed during a trading day, the number of units of the exchange traded fund exchanged between the buyer and the seller by the price per unit.'. </w:t>
      </w:r>
      <w:r>
        <w:rPr>
          <w:rFonts w:ascii="Times New Roman" w:hAnsi="Times New Roman" w:cs="Times New Roman"/>
          <w:noProof/>
          <w:sz w:val="24"/>
          <w:szCs w:val="24"/>
        </w:rPr>
        <w:br/>
      </w:r>
      <w:r>
        <w:rPr>
          <w:rFonts w:ascii="Times New Roman" w:hAnsi="Times New Roman" w:cs="Times New Roman"/>
          <w:i/>
          <w:noProof/>
          <w:sz w:val="24"/>
          <w:szCs w:val="24"/>
        </w:rPr>
        <w:br/>
      </w:r>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Article 5(2)(b):</w:t>
      </w:r>
      <w:r>
        <w:rPr>
          <w:rFonts w:ascii="Times New Roman" w:hAnsi="Times New Roman" w:cs="Times New Roman"/>
          <w:noProof/>
          <w:sz w:val="24"/>
          <w:szCs w:val="24"/>
        </w:rPr>
        <w:br/>
      </w: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'(b)</w:t>
      </w:r>
      <w:r>
        <w:rPr>
          <w:rFonts w:ascii="Times New Roman" w:hAnsi="Times New Roman" w:cs="Times New Roman"/>
          <w:noProof/>
          <w:sz w:val="24"/>
          <w:szCs w:val="24"/>
        </w:rPr>
        <w:tab/>
        <w:t xml:space="preserve">for a period commencing six weeks after the first day of trading of that financial instrument and ending on 1 April of the year of publication of the information in accordance with paragraph 1(c) of this Article where the assessment is carried out pursuant to paragraph 1(b) of this Article;’ </w:t>
      </w:r>
      <w:r>
        <w:rPr>
          <w:rFonts w:ascii="Times New Roman" w:hAnsi="Times New Roman" w:cs="Times New Roman"/>
          <w:noProof/>
          <w:sz w:val="24"/>
          <w:szCs w:val="24"/>
        </w:rPr>
        <w:br/>
      </w:r>
    </w:p>
    <w:p>
      <w:pPr>
        <w:ind w:left="720" w:hanging="720"/>
        <w:rPr>
          <w:rFonts w:ascii="Times New Roman" w:hAnsi="Times New Roman" w:cs="Times New Roman"/>
          <w:noProof/>
          <w:sz w:val="24"/>
          <w:szCs w:val="24"/>
          <w:highlight w:val="yellow"/>
        </w:rPr>
      </w:pPr>
      <w:r>
        <w:rPr>
          <w:rFonts w:ascii="Times New Roman" w:hAnsi="Times New Roman" w:cs="Times New Roman"/>
          <w:i/>
          <w:noProof/>
          <w:sz w:val="24"/>
          <w:szCs w:val="24"/>
        </w:rPr>
        <w:t>read:</w:t>
      </w:r>
      <w:r>
        <w:rPr>
          <w:rFonts w:ascii="Times New Roman" w:hAnsi="Times New Roman" w:cs="Times New Roman"/>
          <w:noProof/>
          <w:sz w:val="24"/>
          <w:szCs w:val="24"/>
        </w:rPr>
        <w:tab/>
        <w:t>'(b)</w:t>
      </w:r>
      <w:r>
        <w:rPr>
          <w:rFonts w:ascii="Times New Roman" w:hAnsi="Times New Roman" w:cs="Times New Roman"/>
          <w:noProof/>
          <w:sz w:val="24"/>
          <w:szCs w:val="24"/>
        </w:rPr>
        <w:tab/>
        <w:t>for a period commencing six weeks after the first day of trading of that financial instrument and ending on 31 March of the year of publication of the information in accordance with paragraph 1(c) of this Article where the assessment is carried out pursuant to paragraph 1(b) of this Article;’ .</w:t>
      </w:r>
      <w:r>
        <w:rPr>
          <w:rFonts w:ascii="Times New Roman" w:hAnsi="Times New Roman" w:cs="Times New Roman"/>
          <w:noProof/>
          <w:sz w:val="24"/>
          <w:szCs w:val="24"/>
        </w:rPr>
        <w:br/>
      </w:r>
    </w:p>
    <w:p>
      <w:pPr>
        <w:ind w:left="720" w:hanging="720"/>
        <w:rPr>
          <w:rFonts w:ascii="Times New Roman" w:hAnsi="Times New Roman" w:cs="Times New Roman"/>
          <w:noProof/>
          <w:sz w:val="24"/>
          <w:szCs w:val="24"/>
        </w:rPr>
      </w:pPr>
      <w:r>
        <w:rPr>
          <w:rFonts w:ascii="Times New Roman" w:hAnsi="Times New Roman" w:cs="Times New Roman"/>
          <w:noProof/>
          <w:sz w:val="24"/>
          <w:szCs w:val="24"/>
        </w:rPr>
        <w:t>In Article 11(2) point a) sixth indent:</w:t>
      </w:r>
    </w:p>
    <w:p>
      <w:pPr>
        <w:ind w:left="720" w:hanging="720"/>
        <w:rPr>
          <w:noProof/>
          <w:sz w:val="23"/>
          <w:szCs w:val="23"/>
        </w:rPr>
      </w:pPr>
      <w:r>
        <w:rPr>
          <w:rFonts w:ascii="Times New Roman" w:hAnsi="Times New Roman" w:cs="Times New Roman"/>
          <w:i/>
          <w:noProof/>
          <w:sz w:val="24"/>
          <w:szCs w:val="24"/>
        </w:rPr>
        <w:t>for:</w:t>
      </w:r>
      <w:r>
        <w:rPr>
          <w:rFonts w:ascii="Times New Roman" w:hAnsi="Times New Roman" w:cs="Times New Roman"/>
          <w:noProof/>
          <w:sz w:val="24"/>
          <w:szCs w:val="24"/>
        </w:rPr>
        <w:tab/>
        <w:t>'</w:t>
      </w:r>
      <w:r>
        <w:rPr>
          <w:noProof/>
          <w:sz w:val="23"/>
          <w:szCs w:val="23"/>
        </w:rPr>
        <w:t xml:space="preserve">–   </w:t>
      </w:r>
      <w:r>
        <w:rPr>
          <w:rFonts w:ascii="Times New Roman" w:hAnsi="Times New Roman" w:cs="Times New Roman"/>
          <w:noProof/>
          <w:sz w:val="24"/>
          <w:szCs w:val="24"/>
        </w:rPr>
        <w:t>fees for other subsets of information, including those required in accordance with [reference to the regulatory technical standards pursuant to Article 12(2) of Regulation (EU) No 600/2014];</w:t>
      </w:r>
      <w:r>
        <w:rPr>
          <w:noProof/>
          <w:sz w:val="23"/>
          <w:szCs w:val="23"/>
        </w:rPr>
        <w:t xml:space="preserve"> </w:t>
      </w: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i/>
          <w:noProof/>
          <w:sz w:val="24"/>
          <w:szCs w:val="24"/>
        </w:rPr>
        <w:tab/>
      </w:r>
      <w:r>
        <w:rPr>
          <w:rFonts w:ascii="Times New Roman" w:hAnsi="Times New Roman" w:cs="Times New Roman"/>
          <w:noProof/>
          <w:sz w:val="24"/>
          <w:szCs w:val="24"/>
        </w:rPr>
        <w:t>'</w:t>
      </w:r>
      <w:r>
        <w:rPr>
          <w:noProof/>
          <w:sz w:val="23"/>
          <w:szCs w:val="23"/>
        </w:rPr>
        <w:t xml:space="preserve">–   </w:t>
      </w:r>
      <w:r>
        <w:rPr>
          <w:rFonts w:ascii="Times New Roman" w:hAnsi="Times New Roman" w:cs="Times New Roman"/>
          <w:noProof/>
          <w:sz w:val="24"/>
          <w:szCs w:val="24"/>
        </w:rPr>
        <w:t>fees for other subsets of information, including those required in accordance with Commission Delegated Regulation (EU) […/…]*;'.</w:t>
      </w:r>
    </w:p>
    <w:p>
      <w:pPr>
        <w:ind w:left="720" w:hanging="720"/>
        <w:rPr>
          <w:rFonts w:ascii="Times New Roman" w:hAnsi="Times New Roman" w:cs="Times New Roman"/>
          <w:noProof/>
          <w:sz w:val="24"/>
          <w:szCs w:val="24"/>
        </w:rPr>
      </w:pPr>
      <w:r>
        <w:rPr>
          <w:rFonts w:ascii="Times New Roman" w:hAnsi="Times New Roman" w:cs="Times New Roman"/>
          <w:noProof/>
          <w:sz w:val="24"/>
          <w:szCs w:val="24"/>
        </w:rPr>
        <w:t>________________</w:t>
      </w:r>
    </w:p>
    <w:p>
      <w:pPr>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Commission Delegated Regulation (EU) […/…] of 2 June 2016 supplementing Regulation (EU) No 600/2014 of the European Parliament and of the Council with regard to regulatory technical standards on the specification of the offering of pre-and post-trade data and the level of disaggregation of data (OJ L […], […], p. […]).'.</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In Article 13(4):</w:t>
      </w: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'4. Systematic internalisers shall make public their quotes in a machine-readable format. Quotes shall be considered to be published in a machine-readable format where the publication meets the criteria set out in the [Regulatory Technical Standard adopted in accordance with Article 9(5) of Regulation No 600/2014, on machine readability under Articles 64(6) and 65(6) of Directive 2014/65/EU.’</w:t>
      </w: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i/>
          <w:noProof/>
          <w:sz w:val="24"/>
          <w:szCs w:val="24"/>
        </w:rPr>
        <w:tab/>
      </w:r>
      <w:r>
        <w:rPr>
          <w:rFonts w:ascii="Times New Roman" w:hAnsi="Times New Roman" w:cs="Times New Roman"/>
          <w:noProof/>
          <w:sz w:val="24"/>
          <w:szCs w:val="24"/>
        </w:rPr>
        <w:t>'</w:t>
      </w:r>
      <w:r>
        <w:rPr>
          <w:noProof/>
          <w:sz w:val="23"/>
          <w:szCs w:val="23"/>
        </w:rPr>
        <w:t>4</w:t>
      </w:r>
      <w:r>
        <w:rPr>
          <w:rFonts w:ascii="Times New Roman" w:hAnsi="Times New Roman" w:cs="Times New Roman"/>
          <w:noProof/>
          <w:sz w:val="24"/>
          <w:szCs w:val="24"/>
        </w:rPr>
        <w:t>. Systematic internalisers shall make public their quotes in a machine-readable format. Quotes shall be considered to be published in a machine-readable format where the publication meets the criteria set out in the Commission Delegated Regulation (EU) […/…]*.'.</w:t>
      </w:r>
    </w:p>
    <w:p>
      <w:pPr>
        <w:ind w:left="720" w:hanging="720"/>
        <w:rPr>
          <w:rFonts w:ascii="Times New Roman" w:hAnsi="Times New Roman" w:cs="Times New Roman"/>
          <w:noProof/>
          <w:sz w:val="24"/>
          <w:szCs w:val="24"/>
        </w:rPr>
      </w:pPr>
      <w:r>
        <w:rPr>
          <w:rFonts w:ascii="Times New Roman" w:hAnsi="Times New Roman" w:cs="Times New Roman"/>
          <w:noProof/>
          <w:sz w:val="24"/>
          <w:szCs w:val="24"/>
        </w:rPr>
        <w:t>________________</w:t>
      </w:r>
    </w:p>
    <w:p>
      <w:pPr>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Commission Delegated Regulation (EU) […/…] of 2 June 2016 supplementing Directive 2014/65/EU</w:t>
      </w:r>
      <w:r>
        <w:rPr>
          <w:noProof/>
        </w:rPr>
        <w:t xml:space="preserve"> </w:t>
      </w:r>
      <w:r>
        <w:rPr>
          <w:rFonts w:ascii="Times New Roman" w:hAnsi="Times New Roman" w:cs="Times New Roman"/>
          <w:noProof/>
          <w:sz w:val="24"/>
          <w:szCs w:val="24"/>
        </w:rPr>
        <w:t>of the European Parliament and of the Council with regard to regulatory technical standards  on the authorization, organisational requirements and the publication of transactions for data reporting services providers (OJ L […], […], p. […]).'.</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In Article 13(6):</w:t>
      </w: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'6. Quotes shall be published using the standards and specifications set out in [reference to the Regulatory Technical Standard adopted in accordance with Article 17(3) of Regulation No 600/2014].’</w:t>
      </w:r>
    </w:p>
    <w:p>
      <w:pPr>
        <w:ind w:left="720" w:hanging="720"/>
        <w:rPr>
          <w:rFonts w:ascii="Times New Roman" w:hAnsi="Times New Roman" w:cs="Times New Roman"/>
          <w:noProof/>
          <w:sz w:val="24"/>
          <w:szCs w:val="24"/>
        </w:rPr>
      </w:pP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i/>
          <w:noProof/>
          <w:sz w:val="24"/>
          <w:szCs w:val="24"/>
        </w:rPr>
        <w:tab/>
      </w:r>
      <w:r>
        <w:rPr>
          <w:rFonts w:ascii="Times New Roman" w:hAnsi="Times New Roman" w:cs="Times New Roman"/>
          <w:noProof/>
          <w:sz w:val="24"/>
          <w:szCs w:val="24"/>
        </w:rPr>
        <w:t>'6. Quotes shall be published using the standards and specifications set out in the Commission Delegated Regulation (EU) […/…]*.'.</w:t>
      </w:r>
    </w:p>
    <w:p>
      <w:pPr>
        <w:ind w:left="720" w:hanging="720"/>
        <w:rPr>
          <w:rFonts w:ascii="Times New Roman" w:hAnsi="Times New Roman" w:cs="Times New Roman"/>
          <w:noProof/>
          <w:sz w:val="24"/>
          <w:szCs w:val="24"/>
        </w:rPr>
      </w:pPr>
      <w:r>
        <w:rPr>
          <w:rFonts w:ascii="Times New Roman" w:hAnsi="Times New Roman" w:cs="Times New Roman"/>
          <w:noProof/>
          <w:sz w:val="24"/>
          <w:szCs w:val="24"/>
        </w:rPr>
        <w:t>________________</w:t>
      </w:r>
    </w:p>
    <w:p>
      <w:pPr>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 xml:space="preserve">Table 2 of Annex I to Commission Delegated Regulation (EU) […/…] Commission Delegated Regulation (EU) […/…] of 14 July 2016 supplementing Regulation (EU) No 600/2014 of the European Parliament and of the Council on markets in financial instruments with regard to regulatory technical standards  on transparency requirements for trading venues and investment firms in respect of shares, depositary receipts, exchange-traded funds, certificates and other similar financial instruments and on transaction execution obligations in respect of certain shares on a trading venue or by a systematic internaliser (OJ L […], […], p. […]).'. </w:t>
      </w:r>
    </w:p>
    <w:p>
      <w:pPr>
        <w:rPr>
          <w:rFonts w:ascii="Times New Roman" w:hAnsi="Times New Roman" w:cs="Times New Roman"/>
          <w:noProof/>
          <w:sz w:val="24"/>
          <w:szCs w:val="24"/>
        </w:rPr>
      </w:pPr>
    </w:p>
    <w:p>
      <w:pPr>
        <w:ind w:left="720" w:hanging="720"/>
        <w:rPr>
          <w:rFonts w:ascii="Times New Roman" w:hAnsi="Times New Roman" w:cs="Times New Roman"/>
          <w:noProof/>
          <w:sz w:val="24"/>
          <w:szCs w:val="24"/>
        </w:rPr>
      </w:pPr>
      <w:r>
        <w:rPr>
          <w:rFonts w:ascii="Times New Roman" w:hAnsi="Times New Roman" w:cs="Times New Roman"/>
          <w:noProof/>
          <w:sz w:val="24"/>
          <w:szCs w:val="24"/>
        </w:rPr>
        <w:t>In Article 14(1), point d):</w:t>
      </w: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'(d)  a competent authority prohibits short sales in that financial instrument according to Article 20 of Regulation (EU) No 236/2012.’</w:t>
      </w: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i/>
          <w:noProof/>
          <w:sz w:val="24"/>
          <w:szCs w:val="24"/>
        </w:rPr>
        <w:tab/>
      </w:r>
      <w:r>
        <w:rPr>
          <w:rFonts w:ascii="Times New Roman" w:hAnsi="Times New Roman" w:cs="Times New Roman"/>
          <w:noProof/>
          <w:sz w:val="24"/>
          <w:szCs w:val="24"/>
        </w:rPr>
        <w:t>'(d)  a competent authority prohibits short sales in that financial instrument according to Article 20 of Regulation (EU) No 236/2012</w:t>
      </w:r>
      <w:r>
        <w:rPr>
          <w:rFonts w:ascii="Times New Roman" w:hAnsi="Times New Roman" w:cs="Times New Roman"/>
          <w:noProof/>
          <w:sz w:val="24"/>
          <w:szCs w:val="24"/>
          <w:vertAlign w:val="superscript"/>
        </w:rPr>
        <w:t>3</w:t>
      </w:r>
      <w:r>
        <w:rPr>
          <w:rFonts w:ascii="Times New Roman" w:hAnsi="Times New Roman" w:cs="Times New Roman"/>
          <w:noProof/>
          <w:sz w:val="24"/>
          <w:szCs w:val="24"/>
        </w:rPr>
        <w:t>.’.</w:t>
      </w:r>
    </w:p>
    <w:p>
      <w:pPr>
        <w:ind w:left="720" w:hanging="720"/>
        <w:rPr>
          <w:rFonts w:ascii="Times New Roman" w:hAnsi="Times New Roman" w:cs="Times New Roman"/>
          <w:i/>
          <w:noProof/>
          <w:sz w:val="24"/>
          <w:szCs w:val="24"/>
        </w:rPr>
      </w:pPr>
      <w:r>
        <w:rPr>
          <w:rFonts w:ascii="Times New Roman" w:hAnsi="Times New Roman" w:cs="Times New Roman"/>
          <w:i/>
          <w:noProof/>
          <w:sz w:val="24"/>
          <w:szCs w:val="24"/>
        </w:rPr>
        <w:t>________________</w:t>
      </w:r>
    </w:p>
    <w:p>
      <w:pPr>
        <w:ind w:left="720" w:hanging="720"/>
        <w:rPr>
          <w:rFonts w:ascii="Times New Roman" w:hAnsi="Times New Roman" w:cs="Times New Roman"/>
          <w:noProof/>
          <w:sz w:val="24"/>
          <w:szCs w:val="24"/>
        </w:rPr>
      </w:pPr>
      <w:r>
        <w:rPr>
          <w:rFonts w:ascii="Times New Roman" w:hAnsi="Times New Roman" w:cs="Times New Roman"/>
          <w:noProof/>
          <w:sz w:val="24"/>
          <w:szCs w:val="24"/>
          <w:vertAlign w:val="superscript"/>
        </w:rPr>
        <w:t>3</w:t>
      </w:r>
      <w:r>
        <w:rPr>
          <w:rFonts w:ascii="Times New Roman" w:hAnsi="Times New Roman" w:cs="Times New Roman"/>
          <w:noProof/>
          <w:sz w:val="24"/>
          <w:szCs w:val="24"/>
        </w:rPr>
        <w:tab/>
        <w:t>OJ L 86, 24.3.2012, p. 1.</w:t>
      </w:r>
    </w:p>
    <w:p>
      <w:pPr>
        <w:ind w:left="720" w:hanging="720"/>
        <w:rPr>
          <w:rFonts w:ascii="Times New Roman" w:hAnsi="Times New Roman" w:cs="Times New Roman"/>
          <w:noProof/>
          <w:sz w:val="24"/>
          <w:szCs w:val="24"/>
        </w:rPr>
      </w:pPr>
    </w:p>
    <w:p>
      <w:pPr>
        <w:ind w:left="720" w:hanging="720"/>
        <w:rPr>
          <w:rFonts w:ascii="Times New Roman" w:hAnsi="Times New Roman" w:cs="Times New Roman"/>
          <w:noProof/>
          <w:sz w:val="24"/>
          <w:szCs w:val="24"/>
        </w:rPr>
      </w:pPr>
      <w:r>
        <w:rPr>
          <w:rFonts w:ascii="Times New Roman" w:hAnsi="Times New Roman" w:cs="Times New Roman"/>
          <w:noProof/>
          <w:sz w:val="24"/>
          <w:szCs w:val="24"/>
        </w:rPr>
        <w:t>In Article 14(3), point b):</w:t>
      </w: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'in accordance with Article 14(7) of MiFIR.’</w:t>
      </w: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i/>
          <w:noProof/>
          <w:sz w:val="24"/>
          <w:szCs w:val="24"/>
        </w:rPr>
        <w:tab/>
      </w:r>
      <w:r>
        <w:rPr>
          <w:rFonts w:ascii="Times New Roman" w:hAnsi="Times New Roman" w:cs="Times New Roman"/>
          <w:noProof/>
          <w:sz w:val="24"/>
          <w:szCs w:val="24"/>
        </w:rPr>
        <w:t xml:space="preserve">'in accordance with Article 14(7) of Regulation (EU) No 600/2014 ’. </w:t>
      </w:r>
    </w:p>
    <w:p>
      <w:pPr>
        <w:ind w:left="720" w:hanging="720"/>
        <w:rPr>
          <w:rFonts w:ascii="Times New Roman" w:hAnsi="Times New Roman" w:cs="Times New Roman"/>
          <w:noProof/>
          <w:sz w:val="24"/>
          <w:szCs w:val="24"/>
        </w:rPr>
      </w:pPr>
    </w:p>
    <w:p>
      <w:pPr>
        <w:ind w:left="720" w:hanging="720"/>
        <w:rPr>
          <w:rFonts w:ascii="Times New Roman" w:hAnsi="Times New Roman" w:cs="Times New Roman"/>
          <w:noProof/>
          <w:sz w:val="24"/>
          <w:szCs w:val="24"/>
        </w:rPr>
      </w:pPr>
      <w:r>
        <w:rPr>
          <w:rFonts w:ascii="Times New Roman" w:hAnsi="Times New Roman" w:cs="Times New Roman"/>
          <w:noProof/>
          <w:sz w:val="24"/>
          <w:szCs w:val="24"/>
        </w:rPr>
        <w:t>In Article 14(4):</w:t>
      </w: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'For the purposes of Article 15(3) of Regulation (EU) No 600/2014, execution in several securities shall be considered part of one transaction where the criteria laid down in [delegated regulation adopted in accordance with Article 4(6)(d) of Regulation No 600/2014] are fulfilled.’</w:t>
      </w: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i/>
          <w:noProof/>
          <w:sz w:val="24"/>
          <w:szCs w:val="24"/>
        </w:rPr>
        <w:tab/>
      </w:r>
      <w:r>
        <w:rPr>
          <w:rFonts w:ascii="Times New Roman" w:hAnsi="Times New Roman" w:cs="Times New Roman"/>
          <w:noProof/>
          <w:sz w:val="24"/>
          <w:szCs w:val="24"/>
        </w:rPr>
        <w:t>'For the purposes of Article 15(3) of Regulation (EU) No 600/2014, execution in several securities shall be considered part of one transaction where the criteria laid down in Commission Delegated Regulation (EU) […/…]* are fulfilled.’.</w:t>
      </w:r>
    </w:p>
    <w:p>
      <w:pPr>
        <w:ind w:left="720" w:hanging="720"/>
        <w:rPr>
          <w:rFonts w:ascii="Times New Roman" w:hAnsi="Times New Roman" w:cs="Times New Roman"/>
          <w:noProof/>
          <w:sz w:val="24"/>
          <w:szCs w:val="24"/>
        </w:rPr>
      </w:pPr>
      <w:r>
        <w:rPr>
          <w:rFonts w:ascii="Times New Roman" w:hAnsi="Times New Roman" w:cs="Times New Roman"/>
          <w:noProof/>
          <w:sz w:val="24"/>
          <w:szCs w:val="24"/>
        </w:rPr>
        <w:t>________________</w:t>
      </w:r>
    </w:p>
    <w:p>
      <w:pPr>
        <w:ind w:left="720" w:hanging="720"/>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 xml:space="preserve"> Commission Delegated Regulation (EU) […/…] of 14 July 2017 supplementing Regulation (EU) No 600/2014 of the European Parliament and of the Council on markets in financial instruments with regard to regulatory technical standards  on transparency requirements for trading venues and investment firms in respect of shares, depositary receipts, exchange-traded funds, certificates and other similar financial instruments and on transaction execution obligations in respect of certain shares on a trading venue or by a systematic internaliser (OJ L […], […], p. […]).</w:t>
      </w:r>
    </w:p>
    <w:p>
      <w:pPr>
        <w:pStyle w:val="Default"/>
        <w:rPr>
          <w:noProof/>
          <w:lang w:val="en-GB"/>
        </w:rPr>
      </w:pPr>
    </w:p>
    <w:p>
      <w:pPr>
        <w:pStyle w:val="Default"/>
        <w:rPr>
          <w:noProof/>
          <w:sz w:val="23"/>
          <w:szCs w:val="23"/>
          <w:lang w:val="en-GB"/>
        </w:rPr>
      </w:pPr>
      <w:r>
        <w:rPr>
          <w:noProof/>
          <w:sz w:val="23"/>
          <w:szCs w:val="23"/>
          <w:lang w:val="en-GB"/>
        </w:rPr>
        <w:t>In Article 16:</w:t>
      </w:r>
    </w:p>
    <w:p>
      <w:pPr>
        <w:pStyle w:val="Default"/>
        <w:rPr>
          <w:noProof/>
          <w:sz w:val="23"/>
          <w:szCs w:val="23"/>
          <w:lang w:val="en-GB"/>
        </w:rPr>
      </w:pP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'Annex III to the Commission Delegated Regulation …/...adopted in accordance with Article 9(5) of Regulation No 600/2014.’</w:t>
      </w: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i/>
          <w:noProof/>
          <w:sz w:val="24"/>
          <w:szCs w:val="24"/>
        </w:rPr>
        <w:tab/>
      </w:r>
      <w:r>
        <w:rPr>
          <w:rFonts w:ascii="Times New Roman" w:hAnsi="Times New Roman" w:cs="Times New Roman"/>
          <w:noProof/>
          <w:sz w:val="24"/>
          <w:szCs w:val="24"/>
        </w:rPr>
        <w:t>'Annex III to the Commission Delegated Regulation (EU) […/…].*’.</w:t>
      </w:r>
    </w:p>
    <w:p>
      <w:pPr>
        <w:ind w:left="720" w:hanging="720"/>
        <w:rPr>
          <w:rFonts w:ascii="Times New Roman" w:hAnsi="Times New Roman" w:cs="Times New Roman"/>
          <w:noProof/>
          <w:sz w:val="24"/>
          <w:szCs w:val="24"/>
        </w:rPr>
      </w:pPr>
      <w:r>
        <w:rPr>
          <w:rFonts w:ascii="Times New Roman" w:hAnsi="Times New Roman" w:cs="Times New Roman"/>
          <w:noProof/>
          <w:sz w:val="24"/>
          <w:szCs w:val="24"/>
        </w:rPr>
        <w:t>________________</w:t>
      </w:r>
    </w:p>
    <w:p>
      <w:pPr>
        <w:ind w:left="720" w:hanging="720"/>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Commission Delegated Regulation (EU) […/…] of 2 June 2016 supplementing Regulation (EU) No 600/2014 of the European Parliament and of the Council with regard to regulatory technical standards  on transparency requirements for trading venues and investment firms in respect of bonds, structured finance products, emission allowances and derivatives (OJ L […], […], p. […]).'..’</w:t>
      </w:r>
    </w:p>
    <w:p>
      <w:pPr>
        <w:ind w:left="720" w:hanging="720"/>
        <w:rPr>
          <w:rFonts w:ascii="Times New Roman" w:hAnsi="Times New Roman" w:cs="Times New Roman"/>
          <w:noProof/>
          <w:sz w:val="24"/>
          <w:szCs w:val="24"/>
        </w:rPr>
      </w:pPr>
    </w:p>
    <w:p>
      <w:pPr>
        <w:pStyle w:val="Default"/>
        <w:rPr>
          <w:noProof/>
          <w:sz w:val="23"/>
          <w:szCs w:val="23"/>
          <w:lang w:val="en-GB"/>
        </w:rPr>
      </w:pPr>
    </w:p>
    <w:p>
      <w:pPr>
        <w:pStyle w:val="Default"/>
        <w:rPr>
          <w:noProof/>
          <w:sz w:val="23"/>
          <w:szCs w:val="23"/>
          <w:lang w:val="en-GB"/>
        </w:rPr>
      </w:pPr>
      <w:r>
        <w:rPr>
          <w:noProof/>
          <w:sz w:val="23"/>
          <w:szCs w:val="23"/>
          <w:lang w:val="en-GB"/>
        </w:rPr>
        <w:t>In Article 19(1):</w:t>
      </w:r>
    </w:p>
    <w:p>
      <w:pPr>
        <w:pStyle w:val="Default"/>
        <w:rPr>
          <w:noProof/>
          <w:sz w:val="23"/>
          <w:szCs w:val="23"/>
          <w:lang w:val="en-GB"/>
        </w:rPr>
      </w:pPr>
    </w:p>
    <w:p>
      <w:pPr>
        <w:pStyle w:val="Default"/>
        <w:rPr>
          <w:noProof/>
          <w:sz w:val="23"/>
          <w:szCs w:val="23"/>
          <w:lang w:val="en-GB"/>
        </w:rPr>
      </w:pP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‘For the purposes of Article 40(2)(a) of Regulation No 600/2014,’</w:t>
      </w: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i/>
          <w:noProof/>
          <w:sz w:val="24"/>
          <w:szCs w:val="24"/>
        </w:rPr>
        <w:tab/>
      </w:r>
      <w:r>
        <w:rPr>
          <w:rFonts w:ascii="Times New Roman" w:hAnsi="Times New Roman" w:cs="Times New Roman"/>
          <w:noProof/>
          <w:sz w:val="24"/>
          <w:szCs w:val="24"/>
        </w:rPr>
        <w:t>'.For the purposes of Article 40(2)(a) of Regulation (EU) No 600/2014,’.</w:t>
      </w:r>
    </w:p>
    <w:p>
      <w:pPr>
        <w:ind w:left="720" w:hanging="720"/>
        <w:rPr>
          <w:rFonts w:ascii="Times New Roman" w:hAnsi="Times New Roman" w:cs="Times New Roman"/>
          <w:noProof/>
          <w:sz w:val="24"/>
          <w:szCs w:val="24"/>
        </w:rPr>
      </w:pPr>
    </w:p>
    <w:p>
      <w:pPr>
        <w:pStyle w:val="Default"/>
        <w:rPr>
          <w:noProof/>
          <w:sz w:val="23"/>
          <w:szCs w:val="23"/>
          <w:lang w:val="en-GB"/>
        </w:rPr>
      </w:pPr>
      <w:r>
        <w:rPr>
          <w:noProof/>
          <w:sz w:val="23"/>
          <w:szCs w:val="23"/>
          <w:lang w:val="en-GB"/>
        </w:rPr>
        <w:t>In Article 20(1):</w:t>
      </w:r>
    </w:p>
    <w:p>
      <w:pPr>
        <w:pStyle w:val="Default"/>
        <w:rPr>
          <w:noProof/>
          <w:sz w:val="23"/>
          <w:szCs w:val="23"/>
          <w:lang w:val="en-GB"/>
        </w:rPr>
      </w:pPr>
    </w:p>
    <w:p>
      <w:pPr>
        <w:pStyle w:val="Default"/>
        <w:rPr>
          <w:noProof/>
          <w:sz w:val="23"/>
          <w:szCs w:val="23"/>
          <w:lang w:val="en-GB"/>
        </w:rPr>
      </w:pP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‘For the purposes of Article 41(2)(a) of Regulation No 600/2014,’</w:t>
      </w: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i/>
          <w:noProof/>
          <w:sz w:val="24"/>
          <w:szCs w:val="24"/>
        </w:rPr>
        <w:tab/>
      </w:r>
      <w:r>
        <w:rPr>
          <w:rFonts w:ascii="Times New Roman" w:hAnsi="Times New Roman" w:cs="Times New Roman"/>
          <w:noProof/>
          <w:sz w:val="24"/>
          <w:szCs w:val="24"/>
        </w:rPr>
        <w:t>'.For the purposes of Article 41(2)(a) of Regulation (EU) No 600/2014,’.</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In Article 20(2) point b), tenth intent:</w:t>
      </w:r>
    </w:p>
    <w:p>
      <w:pPr>
        <w:pStyle w:val="Default"/>
        <w:rPr>
          <w:noProof/>
          <w:sz w:val="23"/>
          <w:szCs w:val="23"/>
          <w:lang w:val="en-GB"/>
        </w:rPr>
      </w:pPr>
      <w:r>
        <w:rPr>
          <w:i/>
          <w:noProof/>
          <w:lang w:val="en-GB"/>
        </w:rPr>
        <w:t>for:</w:t>
      </w:r>
      <w:r>
        <w:rPr>
          <w:noProof/>
          <w:lang w:val="en-GB"/>
        </w:rPr>
        <w:tab/>
        <w:t xml:space="preserve">‘- </w:t>
      </w:r>
      <w:r>
        <w:rPr>
          <w:noProof/>
          <w:sz w:val="23"/>
          <w:szCs w:val="23"/>
          <w:lang w:val="en-GB"/>
        </w:rPr>
        <w:t>the coverage level defined in Directive 2014/49/EU;’</w:t>
      </w:r>
    </w:p>
    <w:p>
      <w:pPr>
        <w:pStyle w:val="Default"/>
        <w:rPr>
          <w:noProof/>
          <w:sz w:val="23"/>
          <w:szCs w:val="23"/>
          <w:lang w:val="en-GB"/>
        </w:rPr>
      </w:pPr>
    </w:p>
    <w:p>
      <w:pPr>
        <w:ind w:left="720" w:hanging="720"/>
        <w:rPr>
          <w:rFonts w:ascii="Times New Roman" w:hAnsi="Times New Roman" w:cs="Times New Roman"/>
          <w:noProof/>
          <w:color w:val="000000"/>
          <w:sz w:val="23"/>
          <w:szCs w:val="23"/>
        </w:rPr>
      </w:pPr>
      <w:r>
        <w:rPr>
          <w:rFonts w:ascii="Times New Roman" w:hAnsi="Times New Roman" w:cs="Times New Roman"/>
          <w:i/>
          <w:noProof/>
          <w:sz w:val="24"/>
          <w:szCs w:val="24"/>
        </w:rPr>
        <w:t>read:</w:t>
      </w:r>
      <w:r>
        <w:rPr>
          <w:rFonts w:ascii="Times New Roman" w:hAnsi="Times New Roman" w:cs="Times New Roman"/>
          <w:i/>
          <w:noProof/>
          <w:sz w:val="24"/>
          <w:szCs w:val="24"/>
        </w:rPr>
        <w:tab/>
      </w:r>
      <w:r>
        <w:rPr>
          <w:rFonts w:ascii="Times New Roman" w:hAnsi="Times New Roman" w:cs="Times New Roman"/>
          <w:noProof/>
          <w:sz w:val="24"/>
          <w:szCs w:val="24"/>
        </w:rPr>
        <w:t>'</w:t>
      </w:r>
      <w:r>
        <w:rPr>
          <w:noProof/>
        </w:rPr>
        <w:t xml:space="preserve">- </w:t>
      </w:r>
      <w:r>
        <w:rPr>
          <w:rFonts w:ascii="Times New Roman" w:hAnsi="Times New Roman" w:cs="Times New Roman"/>
          <w:noProof/>
          <w:color w:val="000000"/>
          <w:sz w:val="23"/>
          <w:szCs w:val="23"/>
        </w:rPr>
        <w:t>the coverage level defined in Directive 2014/49/EU</w:t>
      </w:r>
      <w:r>
        <w:rPr>
          <w:rFonts w:ascii="Times New Roman" w:hAnsi="Times New Roman" w:cs="Times New Roman"/>
          <w:noProof/>
          <w:color w:val="000000"/>
          <w:sz w:val="23"/>
          <w:szCs w:val="23"/>
          <w:vertAlign w:val="superscript"/>
        </w:rPr>
        <w:t>4</w:t>
      </w:r>
      <w:r>
        <w:rPr>
          <w:rFonts w:ascii="Times New Roman" w:hAnsi="Times New Roman" w:cs="Times New Roman"/>
          <w:noProof/>
          <w:color w:val="000000"/>
          <w:sz w:val="23"/>
          <w:szCs w:val="23"/>
        </w:rPr>
        <w:t>;’.</w:t>
      </w:r>
    </w:p>
    <w:p>
      <w:pPr>
        <w:ind w:left="720" w:hanging="720"/>
        <w:rPr>
          <w:rFonts w:ascii="Times New Roman" w:hAnsi="Times New Roman" w:cs="Times New Roman"/>
          <w:i/>
          <w:noProof/>
          <w:sz w:val="24"/>
          <w:szCs w:val="24"/>
        </w:rPr>
      </w:pPr>
      <w:r>
        <w:rPr>
          <w:rFonts w:ascii="Times New Roman" w:hAnsi="Times New Roman" w:cs="Times New Roman"/>
          <w:i/>
          <w:noProof/>
          <w:sz w:val="24"/>
          <w:szCs w:val="24"/>
        </w:rPr>
        <w:t>________________</w:t>
      </w:r>
    </w:p>
    <w:p>
      <w:pPr>
        <w:ind w:left="720" w:hanging="720"/>
        <w:rPr>
          <w:rFonts w:ascii="Times New Roman" w:hAnsi="Times New Roman" w:cs="Times New Roman"/>
          <w:noProof/>
          <w:sz w:val="24"/>
          <w:szCs w:val="24"/>
        </w:rPr>
      </w:pPr>
      <w:r>
        <w:rPr>
          <w:rFonts w:ascii="Times New Roman" w:hAnsi="Times New Roman" w:cs="Times New Roman"/>
          <w:noProof/>
          <w:sz w:val="24"/>
          <w:szCs w:val="24"/>
          <w:vertAlign w:val="superscript"/>
        </w:rPr>
        <w:t>4</w:t>
      </w:r>
      <w:r>
        <w:rPr>
          <w:rFonts w:ascii="Times New Roman" w:hAnsi="Times New Roman" w:cs="Times New Roman"/>
          <w:noProof/>
          <w:sz w:val="24"/>
          <w:szCs w:val="24"/>
        </w:rPr>
        <w:tab/>
        <w:t>OJ L 173, 12.6.2014, p. 149.</w:t>
      </w:r>
    </w:p>
    <w:p>
      <w:pPr>
        <w:rPr>
          <w:rFonts w:ascii="Times New Roman" w:hAnsi="Times New Roman" w:cs="Times New Roman"/>
          <w:noProof/>
          <w:sz w:val="24"/>
          <w:szCs w:val="24"/>
        </w:rPr>
      </w:pPr>
    </w:p>
    <w:p>
      <w:pPr>
        <w:pStyle w:val="Default"/>
        <w:rPr>
          <w:noProof/>
          <w:sz w:val="23"/>
          <w:szCs w:val="23"/>
          <w:lang w:val="en-GB"/>
        </w:rPr>
      </w:pPr>
      <w:r>
        <w:rPr>
          <w:noProof/>
          <w:sz w:val="23"/>
          <w:szCs w:val="23"/>
          <w:lang w:val="en-GB"/>
        </w:rPr>
        <w:t>In Article 21(1):</w:t>
      </w:r>
    </w:p>
    <w:p>
      <w:pPr>
        <w:pStyle w:val="Default"/>
        <w:rPr>
          <w:noProof/>
          <w:sz w:val="23"/>
          <w:szCs w:val="23"/>
          <w:lang w:val="en-GB"/>
        </w:rPr>
      </w:pPr>
    </w:p>
    <w:p>
      <w:pPr>
        <w:pStyle w:val="Default"/>
        <w:rPr>
          <w:noProof/>
          <w:sz w:val="23"/>
          <w:szCs w:val="23"/>
          <w:lang w:val="en-GB"/>
        </w:rPr>
      </w:pP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‘For the purposes of Article 42(2)(a) of Regulation No 600/2014’</w:t>
      </w: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i/>
          <w:noProof/>
          <w:sz w:val="24"/>
          <w:szCs w:val="24"/>
        </w:rPr>
        <w:tab/>
      </w:r>
      <w:r>
        <w:rPr>
          <w:rFonts w:ascii="Times New Roman" w:hAnsi="Times New Roman" w:cs="Times New Roman"/>
          <w:noProof/>
          <w:sz w:val="24"/>
          <w:szCs w:val="24"/>
        </w:rPr>
        <w:t>'.For the purposes of Article 42(2)(a) of Regulation (EU) No 600/2014’</w:t>
      </w:r>
    </w:p>
    <w:p>
      <w:pPr>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br/>
        <w:t>Article 21(2)(h):</w:t>
      </w:r>
      <w:r>
        <w:rPr>
          <w:rFonts w:ascii="Times New Roman" w:hAnsi="Times New Roman" w:cs="Times New Roman"/>
          <w:noProof/>
          <w:sz w:val="24"/>
          <w:szCs w:val="24"/>
        </w:rPr>
        <w:br/>
      </w:r>
    </w:p>
    <w:p>
      <w:pPr>
        <w:pStyle w:val="ManualNumPar1"/>
        <w:rPr>
          <w:noProof/>
          <w:szCs w:val="24"/>
          <w:lang w:eastAsia="en-GB"/>
        </w:rPr>
      </w:pPr>
      <w:r>
        <w:rPr>
          <w:i/>
          <w:noProof/>
          <w:szCs w:val="24"/>
        </w:rPr>
        <w:t>for:</w:t>
      </w:r>
      <w:r>
        <w:rPr>
          <w:i/>
          <w:noProof/>
          <w:szCs w:val="24"/>
        </w:rPr>
        <w:tab/>
      </w:r>
      <w:r>
        <w:rPr>
          <w:noProof/>
          <w:szCs w:val="24"/>
        </w:rPr>
        <w:t>'(h)</w:t>
      </w:r>
      <w:r>
        <w:rPr>
          <w:noProof/>
          <w:szCs w:val="24"/>
        </w:rPr>
        <w:tab/>
      </w:r>
      <w:r>
        <w:rPr>
          <w:noProof/>
          <w:szCs w:val="24"/>
          <w:lang w:eastAsia="en-GB"/>
        </w:rPr>
        <w:t xml:space="preserve">the pricing and associated costs of the financial instrument, financial activity or financial practice, taking into account, in particular: </w:t>
      </w:r>
    </w:p>
    <w:p>
      <w:pPr>
        <w:ind w:left="720" w:firstLine="130"/>
        <w:rPr>
          <w:rFonts w:ascii="Times New Roman" w:hAnsi="Times New Roman" w:cs="Times New Roman"/>
          <w:noProof/>
          <w:sz w:val="24"/>
          <w:szCs w:val="24"/>
        </w:rPr>
      </w:pPr>
      <w:r>
        <w:rPr>
          <w:rFonts w:ascii="Times New Roman" w:hAnsi="Times New Roman" w:cs="Times New Roman"/>
          <w:noProof/>
          <w:sz w:val="24"/>
          <w:szCs w:val="24"/>
        </w:rPr>
        <w:t xml:space="preserve">–  the use of hidden or secondary charges; or </w:t>
      </w:r>
    </w:p>
    <w:p>
      <w:pPr>
        <w:ind w:left="720" w:firstLine="130"/>
        <w:rPr>
          <w:rFonts w:ascii="Times New Roman" w:hAnsi="Times New Roman" w:cs="Times New Roman"/>
          <w:noProof/>
          <w:sz w:val="24"/>
          <w:szCs w:val="24"/>
        </w:rPr>
      </w:pPr>
      <w:r>
        <w:rPr>
          <w:rFonts w:ascii="Times New Roman" w:hAnsi="Times New Roman" w:cs="Times New Roman"/>
          <w:noProof/>
          <w:sz w:val="24"/>
          <w:szCs w:val="24"/>
        </w:rPr>
        <w:t>–  charges that do not reflect the level of service provided;'</w:t>
      </w:r>
      <w:r>
        <w:rPr>
          <w:rFonts w:ascii="Times New Roman" w:hAnsi="Times New Roman" w:cs="Times New Roman"/>
          <w:noProof/>
          <w:sz w:val="24"/>
          <w:szCs w:val="24"/>
        </w:rPr>
        <w:br/>
      </w: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 xml:space="preserve">'(h) </w:t>
      </w:r>
      <w:r>
        <w:rPr>
          <w:rFonts w:ascii="Times New Roman" w:hAnsi="Times New Roman" w:cs="Times New Roman"/>
          <w:noProof/>
          <w:sz w:val="24"/>
          <w:szCs w:val="24"/>
        </w:rPr>
        <w:tab/>
        <w:t xml:space="preserve">the pricing and associated costs of the structured deposit, financial instrument, financial activity or financial practice, taking into account, in particular: </w:t>
      </w:r>
    </w:p>
    <w:p>
      <w:pPr>
        <w:ind w:left="720"/>
        <w:rPr>
          <w:rFonts w:ascii="Times New Roman" w:hAnsi="Times New Roman" w:cs="Times New Roman"/>
          <w:noProof/>
          <w:sz w:val="24"/>
          <w:szCs w:val="24"/>
        </w:rPr>
      </w:pPr>
      <w:r>
        <w:rPr>
          <w:rFonts w:ascii="Times New Roman" w:hAnsi="Times New Roman" w:cs="Times New Roman"/>
          <w:noProof/>
          <w:sz w:val="24"/>
          <w:szCs w:val="24"/>
        </w:rPr>
        <w:t xml:space="preserve">–  the use of hidden or secondary charges; or </w:t>
      </w:r>
    </w:p>
    <w:p>
      <w:pPr>
        <w:ind w:left="720"/>
        <w:rPr>
          <w:rFonts w:ascii="Times New Roman" w:hAnsi="Times New Roman" w:cs="Times New Roman"/>
          <w:noProof/>
          <w:sz w:val="24"/>
          <w:szCs w:val="24"/>
          <w:highlight w:val="yellow"/>
        </w:rPr>
      </w:pPr>
      <w:r>
        <w:rPr>
          <w:rFonts w:ascii="Times New Roman" w:hAnsi="Times New Roman" w:cs="Times New Roman"/>
          <w:noProof/>
          <w:sz w:val="24"/>
          <w:szCs w:val="24"/>
        </w:rPr>
        <w:t>–  charges that do not reflect the level of service provided;'.</w:t>
      </w:r>
      <w:r>
        <w:rPr>
          <w:rFonts w:ascii="Times New Roman" w:hAnsi="Times New Roman" w:cs="Times New Roman"/>
          <w:noProof/>
          <w:sz w:val="24"/>
          <w:szCs w:val="24"/>
        </w:rPr>
        <w:br/>
      </w:r>
    </w:p>
    <w:p>
      <w:pPr>
        <w:ind w:left="720" w:hanging="720"/>
        <w:rPr>
          <w:rFonts w:ascii="Times New Roman" w:hAnsi="Times New Roman" w:cs="Times New Roman"/>
          <w:noProof/>
          <w:sz w:val="24"/>
          <w:szCs w:val="24"/>
        </w:rPr>
      </w:pPr>
    </w:p>
    <w:p>
      <w:pPr>
        <w:ind w:left="720" w:hanging="720"/>
        <w:rPr>
          <w:rFonts w:ascii="Times New Roman" w:hAnsi="Times New Roman" w:cs="Times New Roman"/>
          <w:noProof/>
          <w:sz w:val="24"/>
          <w:szCs w:val="24"/>
        </w:rPr>
      </w:pPr>
      <w:r>
        <w:rPr>
          <w:rFonts w:ascii="Times New Roman" w:hAnsi="Times New Roman" w:cs="Times New Roman"/>
          <w:noProof/>
          <w:sz w:val="24"/>
          <w:szCs w:val="24"/>
        </w:rPr>
        <w:t>Article 24, second paragraph:</w:t>
      </w:r>
    </w:p>
    <w:p>
      <w:pPr>
        <w:ind w:left="720" w:hanging="720"/>
        <w:rPr>
          <w:rFonts w:ascii="Times New Roman" w:hAnsi="Times New Roman" w:cs="Times New Roman"/>
          <w:noProof/>
          <w:sz w:val="24"/>
          <w:szCs w:val="24"/>
        </w:rPr>
      </w:pP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'It shall apply from the date referred to in the second paragraph of Article 55 of Regulation (EU) No 600/2014.'</w:t>
      </w: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i/>
          <w:noProof/>
          <w:sz w:val="24"/>
          <w:szCs w:val="24"/>
        </w:rPr>
        <w:tab/>
      </w:r>
      <w:r>
        <w:rPr>
          <w:rFonts w:ascii="Times New Roman" w:hAnsi="Times New Roman" w:cs="Times New Roman"/>
          <w:noProof/>
          <w:sz w:val="24"/>
          <w:szCs w:val="24"/>
        </w:rPr>
        <w:t>'It shall apply from 3 January 2018.'.</w:t>
      </w:r>
    </w:p>
    <w:p>
      <w:pPr>
        <w:ind w:left="720" w:hanging="720"/>
        <w:rPr>
          <w:rFonts w:ascii="Times New Roman" w:hAnsi="Times New Roman" w:cs="Times New Roman"/>
          <w:noProof/>
          <w:sz w:val="24"/>
          <w:szCs w:val="24"/>
        </w:rPr>
      </w:pPr>
    </w:p>
    <w:p>
      <w:pPr>
        <w:ind w:left="720" w:hanging="720"/>
        <w:rPr>
          <w:rFonts w:ascii="Times New Roman" w:hAnsi="Times New Roman" w:cs="Times New Roman"/>
          <w:noProof/>
          <w:sz w:val="24"/>
          <w:szCs w:val="24"/>
        </w:rPr>
      </w:pPr>
      <w:r>
        <w:rPr>
          <w:rFonts w:ascii="Times New Roman" w:hAnsi="Times New Roman" w:cs="Times New Roman"/>
          <w:noProof/>
          <w:sz w:val="24"/>
          <w:szCs w:val="24"/>
        </w:rPr>
        <w:t>In the Annex, in the title of Table 2:</w:t>
      </w:r>
    </w:p>
    <w:p>
      <w:pPr>
        <w:ind w:left="720" w:hanging="720"/>
        <w:rPr>
          <w:rFonts w:ascii="Times New Roman" w:hAnsi="Times New Roman" w:cs="Times New Roman"/>
          <w:noProof/>
          <w:sz w:val="24"/>
          <w:szCs w:val="24"/>
        </w:rPr>
      </w:pP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'Details of the data to be provided for the purpose of determining a liquid for shares, depositary receipts, exchange-traded funds and certificates'</w:t>
      </w: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i/>
          <w:noProof/>
          <w:sz w:val="24"/>
          <w:szCs w:val="24"/>
        </w:rPr>
        <w:tab/>
      </w:r>
      <w:r>
        <w:rPr>
          <w:rFonts w:ascii="Times New Roman" w:hAnsi="Times New Roman" w:cs="Times New Roman"/>
          <w:noProof/>
          <w:sz w:val="24"/>
          <w:szCs w:val="24"/>
        </w:rPr>
        <w:t>'Details of the data to be provided for the purpose of determining a liquid market for shares, depositary receipts, exchange-traded funds and certificates'.</w:t>
      </w:r>
    </w:p>
    <w:p>
      <w:pPr>
        <w:rPr>
          <w:rFonts w:ascii="Times New Roman" w:hAnsi="Times New Roman" w:cs="Times New Roman"/>
          <w:noProof/>
          <w:sz w:val="24"/>
          <w:szCs w:val="24"/>
        </w:rPr>
      </w:pPr>
    </w:p>
    <w:sectPr>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7340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revisionView w:markup="0"/>
  <w:defaultTabStop w:val="720"/>
  <w:hyphenationZone w:val="425"/>
  <w:drawingGridHorizontalSpacing w:val="74"/>
  <w:drawingGridVerticalSpacing w:val="109"/>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VERPAGE_GUID" w:val="A29E1F74D85F454CB5867CA087257E82"/>
    <w:docVar w:name="LW_CROSSREFERENCE" w:val="&lt;UNUSED&gt;"/>
    <w:docVar w:name="LW_DATE.ADOPT.CP" w:val="of 15.3.2017"/>
    <w:docVar w:name="LW_DATE.ADOPT.CP_ISODATE" w:val="2017-03-15"/>
    <w:docVar w:name="LW_DocType" w:val="NORMAL"/>
    <w:docVar w:name="LW_EMISSION" w:val="15.3.2017"/>
    <w:docVar w:name="LW_EMISSION_ISODATE" w:val="2017-03-15"/>
    <w:docVar w:name="LW_EMISSION_LOCATION" w:val="BRX"/>
    <w:docVar w:name="LW_EMISSION_PREFIX" w:val="Brussels, "/>
    <w:docVar w:name="LW_EMISSION_SUFFIX" w:val=" "/>
    <w:docVar w:name="LW_ID_DOCTYPE_NONLW" w:val="CP-034"/>
    <w:docVar w:name="LW_LANGUE" w:val="EN"/>
    <w:docVar w:name="LW_MARKING" w:val="&lt;UNUSED&g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17) 1877"/>
    <w:docVar w:name="LW_REF.INTERNE" w:val="&lt;UNUSED&gt;"/>
    <w:docVar w:name="LW_SOUS.TITRE.OBJ.CP" w:val="C(2016) 2860 final"/>
    <w:docVar w:name="LW_SUPERTITRE" w:val="&lt;UNUSED&gt;"/>
    <w:docVar w:name="LW_TITRE.OBJ.CP" w:val="to Commission Delegated Regulation of 18 May 2016 supplementing Regulation (EU) No 600/2014 of the European Parliament and of the Council with regard to definitions, transparency, portfolio compression and supervisory measures on product intervention and positions "/>
    <w:docVar w:name="LW_TYPE.DOC.CP" w:val="CORRIGENDUM"/>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iret2">
    <w:name w:val="Tiret 2"/>
    <w:basedOn w:val="Normal"/>
    <w:pPr>
      <w:spacing w:before="120" w:after="120" w:line="240" w:lineRule="auto"/>
      <w:jc w:val="both"/>
    </w:pPr>
    <w:rPr>
      <w:rFonts w:ascii="Times New Roman" w:hAnsi="Times New Roman" w:cs="Times New Roman"/>
      <w:sz w:val="24"/>
    </w:rPr>
  </w:style>
  <w:style w:type="paragraph" w:customStyle="1" w:styleId="ManualNumPar1">
    <w:name w:val="Manual NumPar 1"/>
    <w:basedOn w:val="Normal"/>
    <w:next w:val="Normal"/>
    <w:pPr>
      <w:spacing w:before="120" w:after="120" w:line="240" w:lineRule="auto"/>
      <w:ind w:left="850" w:hanging="850"/>
      <w:jc w:val="both"/>
    </w:pPr>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iret2">
    <w:name w:val="Tiret 2"/>
    <w:basedOn w:val="Normal"/>
    <w:pPr>
      <w:spacing w:before="120" w:after="120" w:line="240" w:lineRule="auto"/>
      <w:jc w:val="both"/>
    </w:pPr>
    <w:rPr>
      <w:rFonts w:ascii="Times New Roman" w:hAnsi="Times New Roman" w:cs="Times New Roman"/>
      <w:sz w:val="24"/>
    </w:rPr>
  </w:style>
  <w:style w:type="paragraph" w:customStyle="1" w:styleId="ManualNumPar1">
    <w:name w:val="Manual NumPar 1"/>
    <w:basedOn w:val="Normal"/>
    <w:next w:val="Normal"/>
    <w:pPr>
      <w:spacing w:before="120" w:after="120" w:line="240" w:lineRule="auto"/>
      <w:ind w:left="850" w:hanging="850"/>
      <w:jc w:val="both"/>
    </w:pPr>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027831">
      <w:bodyDiv w:val="1"/>
      <w:marLeft w:val="0"/>
      <w:marRight w:val="0"/>
      <w:marTop w:val="0"/>
      <w:marBottom w:val="0"/>
      <w:divBdr>
        <w:top w:val="none" w:sz="0" w:space="0" w:color="auto"/>
        <w:left w:val="none" w:sz="0" w:space="0" w:color="auto"/>
        <w:bottom w:val="none" w:sz="0" w:space="0" w:color="auto"/>
        <w:right w:val="none" w:sz="0" w:space="0" w:color="auto"/>
      </w:divBdr>
    </w:div>
    <w:div w:id="938488009">
      <w:bodyDiv w:val="1"/>
      <w:marLeft w:val="0"/>
      <w:marRight w:val="0"/>
      <w:marTop w:val="0"/>
      <w:marBottom w:val="0"/>
      <w:divBdr>
        <w:top w:val="none" w:sz="0" w:space="0" w:color="auto"/>
        <w:left w:val="none" w:sz="0" w:space="0" w:color="auto"/>
        <w:bottom w:val="none" w:sz="0" w:space="0" w:color="auto"/>
        <w:right w:val="none" w:sz="0" w:space="0" w:color="auto"/>
      </w:divBdr>
    </w:div>
    <w:div w:id="1434743588">
      <w:bodyDiv w:val="1"/>
      <w:marLeft w:val="0"/>
      <w:marRight w:val="0"/>
      <w:marTop w:val="0"/>
      <w:marBottom w:val="0"/>
      <w:divBdr>
        <w:top w:val="none" w:sz="0" w:space="0" w:color="auto"/>
        <w:left w:val="none" w:sz="0" w:space="0" w:color="auto"/>
        <w:bottom w:val="none" w:sz="0" w:space="0" w:color="auto"/>
        <w:right w:val="none" w:sz="0" w:space="0" w:color="auto"/>
      </w:divBdr>
    </w:div>
    <w:div w:id="210823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61DA4-4E3B-447A-AEB8-33490C8BC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7</Pages>
  <Words>1448</Words>
  <Characters>8083</Characters>
  <Application>Microsoft Office Word</Application>
  <DocSecurity>0</DocSecurity>
  <Lines>197</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24</cp:revision>
  <cp:lastPrinted>2017-03-14T14:31:00Z</cp:lastPrinted>
  <dcterms:created xsi:type="dcterms:W3CDTF">2017-03-08T15:21:00Z</dcterms:created>
  <dcterms:modified xsi:type="dcterms:W3CDTF">2017-03-16T08:57:00Z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