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15EC241B60A45C0A579483F71F62C78" style="width:450.75pt;height:407.0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ПОПРАВКА</w:t>
      </w:r>
    </w:p>
    <w:p>
      <w:pPr>
        <w:pStyle w:val="Titreobjet"/>
        <w:rPr>
          <w:noProof/>
        </w:rPr>
      </w:pPr>
      <w:r>
        <w:rPr>
          <w:noProof/>
        </w:rPr>
        <w:t>на Делегирана директива на Комисията от 7 април 2016 година за допълване на Директива 2014/65/ЕС на Европейския парламент и на Съвета по отношение на защитата на финансовите инструменти и паричните средства, принадлежащи на клиенти, задълженията за управление на продукти и правилата, приложими към предоставянето или получаването на такси, комисиони или други парични или непарични облаги</w:t>
      </w:r>
    </w:p>
    <w:p>
      <w:pPr>
        <w:pStyle w:val="Sous-titreobjet"/>
        <w:rPr>
          <w:noProof/>
        </w:rPr>
      </w:pPr>
      <w:r>
        <w:rPr>
          <w:noProof/>
        </w:rPr>
        <w:t>C(2016) 2031 final</w:t>
      </w:r>
    </w:p>
    <w:p>
      <w:pPr>
        <w:rPr>
          <w:noProof/>
        </w:rPr>
      </w:pPr>
      <w:r>
        <w:rPr>
          <w:noProof/>
        </w:rPr>
        <w:t xml:space="preserve"> </w:t>
      </w:r>
    </w:p>
    <w:p>
      <w:pPr>
        <w:rPr>
          <w:noProof/>
        </w:rPr>
      </w:pPr>
    </w:p>
    <w:p>
      <w:pPr>
        <w:rPr>
          <w:noProof/>
        </w:rPr>
      </w:pPr>
      <w:r>
        <w:rPr>
          <w:noProof/>
        </w:rPr>
        <w:t xml:space="preserve"> </w:t>
      </w:r>
    </w:p>
    <w:p>
      <w:pPr>
        <w:rPr>
          <w:noProof/>
        </w:rPr>
      </w:pPr>
    </w:p>
    <w:p>
      <w:pPr>
        <w:rPr>
          <w:noProof/>
        </w:rPr>
      </w:pPr>
      <w:r>
        <w:rPr>
          <w:noProof/>
        </w:rPr>
        <w:t xml:space="preserve"> </w:t>
      </w:r>
    </w:p>
    <w:p>
      <w:pPr>
        <w:jc w:val="center"/>
        <w:rPr>
          <w:b/>
          <w:noProof/>
        </w:rPr>
      </w:pPr>
    </w:p>
    <w:p>
      <w:pPr>
        <w:jc w:val="left"/>
        <w:rPr>
          <w:noProof/>
        </w:rPr>
      </w:pPr>
      <w:r>
        <w:rPr>
          <w:i/>
          <w:noProof/>
        </w:rPr>
        <w:br/>
      </w:r>
      <w:r>
        <w:rPr>
          <w:noProof/>
        </w:rPr>
        <w:t>В член 1, параграф 1:</w:t>
      </w:r>
      <w:r>
        <w:rPr>
          <w:noProof/>
        </w:rPr>
        <w:br/>
      </w:r>
    </w:p>
    <w:p>
      <w:pPr>
        <w:ind w:left="720" w:hanging="720"/>
        <w:jc w:val="left"/>
        <w:rPr>
          <w:noProof/>
        </w:rPr>
      </w:pPr>
      <w:r>
        <w:rPr>
          <w:i/>
          <w:noProof/>
        </w:rPr>
        <w:t>вместо:</w:t>
      </w:r>
      <w:r>
        <w:rPr>
          <w:noProof/>
        </w:rPr>
        <w:tab/>
        <w:t xml:space="preserve">„1. </w:t>
      </w:r>
      <w:r>
        <w:rPr>
          <w:noProof/>
        </w:rPr>
        <w:tab/>
        <w:t xml:space="preserve">Настоящата директива се прилага за управляващи дружества в съответствие с член 6, параграф 4 от Директива 2009/65/ЕО и член 6, параграф 6 от Директива 2011/61/ЕС.“, </w:t>
      </w:r>
      <w:r>
        <w:rPr>
          <w:noProof/>
        </w:rPr>
        <w:br/>
      </w:r>
    </w:p>
    <w:p>
      <w:pPr>
        <w:ind w:left="720" w:hanging="720"/>
        <w:rPr>
          <w:noProof/>
        </w:rPr>
      </w:pPr>
      <w:r>
        <w:rPr>
          <w:i/>
          <w:noProof/>
        </w:rPr>
        <w:t>да се чете:</w:t>
      </w:r>
      <w:r>
        <w:rPr>
          <w:noProof/>
        </w:rPr>
        <w:tab/>
        <w:t>„1.</w:t>
      </w:r>
      <w:r>
        <w:rPr>
          <w:noProof/>
        </w:rPr>
        <w:tab/>
        <w:t>Настоящата директива се прилага за инвестиционни посредници, управляващи дружества в съответствие с член 6, параграф 4 от Директива 2009/65/ЕО на Европейския парламент и на Съвета* и за лица, управляващи алтернативни инвестиционни фондове в съответствие с член 6, параграф 6 от Директива 2011/61/ЕС на Европейския парламент и на Съвета**.</w:t>
      </w:r>
    </w:p>
    <w:p>
      <w:pPr>
        <w:ind w:left="720"/>
        <w:rPr>
          <w:i/>
          <w:noProof/>
        </w:rPr>
      </w:pPr>
      <w:r>
        <w:rPr>
          <w:i/>
          <w:noProof/>
        </w:rPr>
        <w:t>____________________</w:t>
      </w:r>
    </w:p>
    <w:p>
      <w:pPr>
        <w:ind w:left="720"/>
        <w:rPr>
          <w:noProof/>
        </w:rPr>
      </w:pPr>
      <w:r>
        <w:rPr>
          <w:noProof/>
        </w:rPr>
        <w:t>*</w:t>
      </w:r>
      <w:r>
        <w:rPr>
          <w:noProof/>
        </w:rPr>
        <w:tab/>
        <w:t>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(ОВ L 302, 17.11.2009 г., стр. 32).</w:t>
      </w:r>
    </w:p>
    <w:p>
      <w:pPr>
        <w:ind w:left="720"/>
        <w:rPr>
          <w:noProof/>
        </w:rPr>
      </w:pPr>
      <w:r>
        <w:rPr>
          <w:noProof/>
        </w:rPr>
        <w:t>**</w:t>
      </w:r>
      <w:r>
        <w:rPr>
          <w:noProof/>
        </w:rPr>
        <w:tab/>
        <w:t xml:space="preserve">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(ОВ L 174, 1.7.2011 г., стр. 1).“. </w:t>
      </w:r>
    </w:p>
    <w:p>
      <w:pPr>
        <w:ind w:left="720" w:hanging="720"/>
        <w:rPr>
          <w:noProof/>
        </w:rPr>
      </w:pPr>
    </w:p>
    <w:p>
      <w:pPr>
        <w:rPr>
          <w:noProof/>
        </w:rPr>
      </w:pPr>
      <w:r>
        <w:rPr>
          <w:noProof/>
        </w:rPr>
        <w:t>В член 2, параграф 5, буква б):</w:t>
      </w:r>
    </w:p>
    <w:p>
      <w:pPr>
        <w:ind w:left="720" w:hanging="720"/>
        <w:jc w:val="left"/>
        <w:rPr>
          <w:i/>
          <w:noProof/>
        </w:rPr>
      </w:pPr>
      <w:r>
        <w:rPr>
          <w:i/>
          <w:noProof/>
        </w:rPr>
        <w:t>вместо:</w:t>
      </w:r>
      <w:r>
        <w:rPr>
          <w:noProof/>
        </w:rPr>
        <w:tab/>
        <w:t xml:space="preserve">„б) </w:t>
      </w:r>
      <w:r>
        <w:rPr>
          <w:noProof/>
        </w:rPr>
        <w:tab/>
        <w:t xml:space="preserve">къде се държат паричните средства на клиентите от инвестиционния посредник в съответствие с член 4, както и подробни данни за сметките, в които се държат паричните средства на клиентите, и съответните споразумения с тези субекти;“, </w:t>
      </w:r>
    </w:p>
    <w:p>
      <w:pPr>
        <w:ind w:left="720" w:hanging="720"/>
        <w:jc w:val="left"/>
        <w:rPr>
          <w:noProof/>
        </w:rPr>
      </w:pPr>
      <w:r>
        <w:rPr>
          <w:i/>
          <w:noProof/>
        </w:rPr>
        <w:t>да се чете:</w:t>
      </w:r>
      <w:r>
        <w:rPr>
          <w:noProof/>
        </w:rPr>
        <w:tab/>
        <w:t xml:space="preserve">„б) </w:t>
      </w:r>
      <w:r>
        <w:rPr>
          <w:noProof/>
        </w:rPr>
        <w:tab/>
        <w:t xml:space="preserve">къде инвестиционните посредници държат паричните средства на клиентите в съответствие с член 4, подробни данни за сметките, в които се държат паричните средства на клиентите, както и за съответните споразумения с тези инвестиционни посредници;“. </w:t>
      </w:r>
    </w:p>
    <w:p>
      <w:pPr>
        <w:ind w:left="720" w:hanging="720"/>
        <w:jc w:val="left"/>
        <w:rPr>
          <w:noProof/>
        </w:rPr>
      </w:pPr>
    </w:p>
    <w:p>
      <w:pPr>
        <w:rPr>
          <w:noProof/>
        </w:rPr>
      </w:pPr>
      <w:r>
        <w:rPr>
          <w:noProof/>
        </w:rPr>
        <w:t>В член 2, параграф 5, буква в):</w:t>
      </w:r>
    </w:p>
    <w:p>
      <w:pPr>
        <w:ind w:left="720" w:hanging="720"/>
        <w:jc w:val="left"/>
        <w:rPr>
          <w:noProof/>
        </w:rPr>
      </w:pPr>
    </w:p>
    <w:p>
      <w:pPr>
        <w:ind w:left="720" w:hanging="720"/>
        <w:jc w:val="left"/>
        <w:rPr>
          <w:noProof/>
        </w:rPr>
      </w:pPr>
      <w:r>
        <w:rPr>
          <w:i/>
          <w:noProof/>
        </w:rPr>
        <w:t>вместо</w:t>
      </w:r>
      <w:r>
        <w:rPr>
          <w:noProof/>
        </w:rPr>
        <w:t>:</w:t>
      </w:r>
      <w:r>
        <w:rPr>
          <w:noProof/>
        </w:rPr>
        <w:tab/>
        <w:t xml:space="preserve">„в) </w:t>
      </w:r>
      <w:r>
        <w:rPr>
          <w:noProof/>
        </w:rPr>
        <w:tab/>
        <w:t xml:space="preserve">къде се държат финансовите инструменти от инвестиционния посредник в съответствие с член 3, както и подробни данни за сметките, открити при трети страни, и съответните споразумения с тези субекти;“, </w:t>
      </w:r>
    </w:p>
    <w:p>
      <w:pPr>
        <w:ind w:left="720" w:hanging="720"/>
        <w:jc w:val="left"/>
        <w:rPr>
          <w:noProof/>
        </w:rPr>
      </w:pPr>
      <w:r>
        <w:rPr>
          <w:i/>
          <w:noProof/>
        </w:rPr>
        <w:t>да се чете:</w:t>
      </w:r>
      <w:r>
        <w:rPr>
          <w:noProof/>
        </w:rPr>
        <w:tab/>
        <w:t xml:space="preserve">„в) </w:t>
      </w:r>
      <w:r>
        <w:rPr>
          <w:noProof/>
        </w:rPr>
        <w:tab/>
        <w:t>къде инвестиционните посредници държат финансовите инструменти в съответствие с член 3, подробни данни за откритите при трети страни сметки и за съответните споразумения с тези трети страни, както и подробни данни за съответните споразумения с тези инвестиционни посредници;“.</w:t>
      </w:r>
    </w:p>
    <w:p>
      <w:pPr>
        <w:ind w:left="720" w:hanging="720"/>
        <w:jc w:val="left"/>
        <w:rPr>
          <w:noProof/>
        </w:rPr>
      </w:pPr>
    </w:p>
    <w:p>
      <w:pPr>
        <w:jc w:val="left"/>
        <w:rPr>
          <w:noProof/>
        </w:rPr>
      </w:pPr>
    </w:p>
    <w:p>
      <w:pPr>
        <w:rPr>
          <w:noProof/>
        </w:rPr>
      </w:pPr>
      <w:r>
        <w:rPr>
          <w:noProof/>
        </w:rPr>
        <w:t>В член 9, параграф 7:</w:t>
      </w:r>
    </w:p>
    <w:p>
      <w:pPr>
        <w:ind w:left="720" w:hanging="720"/>
        <w:jc w:val="left"/>
        <w:rPr>
          <w:noProof/>
        </w:rPr>
      </w:pPr>
      <w:r>
        <w:rPr>
          <w:i/>
          <w:noProof/>
        </w:rPr>
        <w:t>вместо:</w:t>
      </w:r>
      <w:r>
        <w:rPr>
          <w:noProof/>
        </w:rPr>
        <w:tab/>
        <w:t>„7.</w:t>
      </w:r>
      <w:r>
        <w:rPr>
          <w:noProof/>
        </w:rPr>
        <w:tab/>
      </w:r>
      <w:r>
        <w:rPr>
          <w:noProof/>
          <w:sz w:val="23"/>
        </w:rPr>
        <w:t xml:space="preserve">Инвестиционните посредници гарантират, че звеното по спазването следи развитието и периодичния преглед на процедурите за управление на продукта с цел откриване на всякакъв риск от неизпълнение от страна на посредника на задълженията, предвидени в настоящия член.“, </w:t>
      </w:r>
      <w:r>
        <w:rPr>
          <w:noProof/>
        </w:rPr>
        <w:br/>
      </w:r>
    </w:p>
    <w:p>
      <w:pPr>
        <w:ind w:left="720" w:hanging="720"/>
        <w:jc w:val="left"/>
        <w:rPr>
          <w:noProof/>
        </w:rPr>
      </w:pPr>
      <w:r>
        <w:rPr>
          <w:i/>
          <w:noProof/>
        </w:rPr>
        <w:t>да се чете:</w:t>
      </w:r>
      <w:r>
        <w:rPr>
          <w:noProof/>
        </w:rPr>
        <w:tab/>
        <w:t>„7.</w:t>
      </w:r>
      <w:r>
        <w:rPr>
          <w:noProof/>
        </w:rPr>
        <w:tab/>
        <w:t>Държавите членки изискват от инвестиционните посредници да гарантират, че звеното по спазването следи развитието и периодичния преглед на процедурите за управление на продукти с цел откриване на всякакъв риск от неизпълнение от страна на инвестиционния посредник на задълженията, предвидени в настоящия член.“.</w:t>
      </w:r>
      <w:r>
        <w:rPr>
          <w:noProof/>
          <w:sz w:val="23"/>
        </w:rPr>
        <w:t xml:space="preserve"> </w:t>
      </w:r>
    </w:p>
    <w:p>
      <w:pPr>
        <w:ind w:left="720" w:hanging="720"/>
        <w:jc w:val="left"/>
        <w:rPr>
          <w:noProof/>
        </w:rPr>
      </w:pPr>
    </w:p>
    <w:p>
      <w:pPr>
        <w:rPr>
          <w:noProof/>
          <w:highlight w:val="yellow"/>
        </w:rPr>
      </w:pPr>
    </w:p>
    <w:p>
      <w:pPr>
        <w:rPr>
          <w:noProof/>
        </w:rPr>
      </w:pPr>
      <w:r>
        <w:rPr>
          <w:noProof/>
        </w:rPr>
        <w:t>В член 11, параграф 5, втора алинея:</w:t>
      </w:r>
    </w:p>
    <w:p>
      <w:pPr>
        <w:ind w:left="720" w:hanging="720"/>
        <w:rPr>
          <w:noProof/>
        </w:rPr>
      </w:pPr>
      <w:r>
        <w:rPr>
          <w:i/>
          <w:noProof/>
        </w:rPr>
        <w:t>вместо:</w:t>
      </w:r>
      <w:r>
        <w:rPr>
          <w:noProof/>
        </w:rPr>
        <w:tab/>
        <w:t>„При изпълнението на тези изисквания инвестиционните посредници вземат под внимание правилата за разходите и таксите, определени в член 24, параграф 4, буква в) от Директива 2014/65/ЕС и член 45 от [ДЕЛЕГИРАН РЕГЛАМЕНТ (ЕС) …/... НА КОМИСИЯТА от XXX г. за допълване на Директива 2014/65/ЕС на Европейския парламент и на Съвета по отношение на организационните изисквания и условията за извършване на дейност от инвестиционните посредници и за даването на определения за целите на посочената директива — да се попълни от Службата за публикации].“,</w:t>
      </w:r>
    </w:p>
    <w:p>
      <w:pPr>
        <w:ind w:left="720" w:hanging="720"/>
        <w:rPr>
          <w:noProof/>
        </w:rPr>
      </w:pPr>
    </w:p>
    <w:p>
      <w:pPr>
        <w:ind w:left="720" w:hanging="720"/>
        <w:jc w:val="left"/>
        <w:rPr>
          <w:i/>
          <w:noProof/>
        </w:rPr>
      </w:pPr>
      <w:r>
        <w:rPr>
          <w:i/>
          <w:noProof/>
        </w:rPr>
        <w:t>да се чете:</w:t>
      </w:r>
      <w:r>
        <w:rPr>
          <w:noProof/>
        </w:rPr>
        <w:tab/>
        <w:t>„При изпълнението на тези изисквания инвестиционните посредници вземат под внимание правилата за разходите и таксите, определени в член 24, параграф 4, буква в) от Директива 2014/65/ЕС и в член 50 от [ДЕЛЕГИРАН РЕГЛАМЕНТ (ЕС) …/... НА КОМИСИЯТА от XXX г.*]</w:t>
      </w:r>
      <w:r>
        <w:rPr>
          <w:noProof/>
        </w:rPr>
        <w:br/>
        <w:t>_________________</w:t>
      </w:r>
      <w:r>
        <w:rPr>
          <w:noProof/>
        </w:rPr>
        <w:br/>
        <w:t xml:space="preserve">* </w:t>
      </w:r>
      <w:r>
        <w:rPr>
          <w:noProof/>
        </w:rPr>
        <w:tab/>
        <w:t>Делегиран регламент (ЕС) .../... на Комисията от ... г. за допълване на Директива 2014/65/ЕС на Европейския парламент и на Съвета по отношение на организационните изисквания и условията за извършване на дейност от инвестиционните посредници и за даването на определения за целите на посочената директива (OJ В […], [дд/мм/гггг], стр. […]).“.</w:t>
      </w:r>
    </w:p>
    <w:p>
      <w:pPr>
        <w:ind w:left="720" w:hanging="720"/>
        <w:jc w:val="left"/>
        <w:rPr>
          <w:i/>
          <w:noProof/>
        </w:rPr>
      </w:pPr>
    </w:p>
    <w:p>
      <w:pPr>
        <w:jc w:val="left"/>
        <w:rPr>
          <w:noProof/>
        </w:rPr>
      </w:pPr>
      <w:r>
        <w:rPr>
          <w:noProof/>
        </w:rPr>
        <w:t>В член 12, параграф 2:</w:t>
      </w:r>
      <w:r>
        <w:rPr>
          <w:noProof/>
        </w:rPr>
        <w:tab/>
      </w:r>
    </w:p>
    <w:p>
      <w:pPr>
        <w:ind w:left="720" w:hanging="720"/>
        <w:rPr>
          <w:noProof/>
        </w:rPr>
      </w:pPr>
      <w:r>
        <w:rPr>
          <w:i/>
          <w:noProof/>
        </w:rPr>
        <w:t>вместо:</w:t>
      </w:r>
      <w:r>
        <w:rPr>
          <w:noProof/>
        </w:rPr>
        <w:tab/>
        <w:t>„2.</w:t>
      </w:r>
      <w:r>
        <w:rPr>
          <w:noProof/>
        </w:rPr>
        <w:tab/>
      </w:r>
      <w:r>
        <w:rPr>
          <w:noProof/>
          <w:sz w:val="23"/>
        </w:rPr>
        <w:t xml:space="preserve">Инвестиционните посредници, които предоставят инвестиционни съвети по независим начин или управление на портфейли, не приемат непарични облаги, които не отговарят на условията на приемливите незначителни непарични облаги съгласно алинеята по-долу.“, </w:t>
      </w:r>
    </w:p>
    <w:p>
      <w:pPr>
        <w:ind w:left="720" w:hanging="720"/>
        <w:rPr>
          <w:noProof/>
        </w:rPr>
      </w:pPr>
      <w:r>
        <w:rPr>
          <w:i/>
          <w:noProof/>
        </w:rPr>
        <w:t>да се чете:</w:t>
      </w:r>
      <w:r>
        <w:rPr>
          <w:noProof/>
        </w:rPr>
        <w:tab/>
        <w:t>„2.</w:t>
      </w:r>
      <w:r>
        <w:rPr>
          <w:noProof/>
        </w:rPr>
        <w:tab/>
      </w:r>
      <w:r>
        <w:rPr>
          <w:noProof/>
          <w:sz w:val="23"/>
        </w:rPr>
        <w:t xml:space="preserve">Инвестиционните посредници, които предоставят инвестиционни съвети по независим начин или управление на портфейли, не приемат непарични облаги, които не отговарят на условията на приемливите незначителни непарични облаги в съответствие с параграф 3.“. </w:t>
      </w:r>
    </w:p>
    <w:p>
      <w:pPr>
        <w:ind w:left="720" w:hanging="720"/>
        <w:jc w:val="left"/>
        <w:rPr>
          <w:i/>
          <w:noProof/>
        </w:rPr>
      </w:pPr>
    </w:p>
    <w:p>
      <w:pPr>
        <w:jc w:val="left"/>
        <w:rPr>
          <w:noProof/>
        </w:rPr>
      </w:pPr>
      <w:r>
        <w:rPr>
          <w:noProof/>
        </w:rPr>
        <w:t>В член 12, параграф 3, трета алинея:</w:t>
      </w:r>
      <w:r>
        <w:rPr>
          <w:noProof/>
        </w:rPr>
        <w:tab/>
      </w:r>
    </w:p>
    <w:p>
      <w:pPr>
        <w:ind w:left="720" w:hanging="720"/>
        <w:rPr>
          <w:noProof/>
        </w:rPr>
      </w:pPr>
      <w:r>
        <w:rPr>
          <w:i/>
          <w:noProof/>
        </w:rPr>
        <w:t>вместо:</w:t>
      </w:r>
      <w:r>
        <w:rPr>
          <w:noProof/>
        </w:rPr>
        <w:tab/>
        <w:t>„Разкриването на незначителните непарични облаги се извършва преди предоставянето на клиентите на съответните инвестиционни или допълнителни услуги. В съответствие с член 47, параграф 5, буква а) незначителните непарични облаги могат да бъдат описани по общ начин.“,</w:t>
      </w:r>
    </w:p>
    <w:p>
      <w:pPr>
        <w:ind w:left="720" w:hanging="720"/>
        <w:rPr>
          <w:noProof/>
        </w:rPr>
      </w:pPr>
      <w:r>
        <w:rPr>
          <w:i/>
          <w:noProof/>
        </w:rPr>
        <w:t>да се чете:</w:t>
      </w:r>
      <w:r>
        <w:rPr>
          <w:noProof/>
        </w:rPr>
        <w:tab/>
        <w:t>„Разкриването на незначителните непарични облаги се извършва преди предоставянето на клиентите на съответните инвестиционни или допълнителни услуги. В съответствие с член 11, параграф 5, буква а) незначителните непарични облаги могат да бъдат описани по общ начин.“.</w:t>
      </w:r>
    </w:p>
    <w:p>
      <w:pPr>
        <w:ind w:left="720" w:hanging="720"/>
        <w:rPr>
          <w:noProof/>
        </w:rPr>
      </w:pPr>
    </w:p>
    <w:p>
      <w:pPr>
        <w:ind w:left="720" w:hanging="720"/>
        <w:rPr>
          <w:noProof/>
        </w:rPr>
      </w:pPr>
      <w:r>
        <w:rPr>
          <w:noProof/>
        </w:rPr>
        <w:t>В член 13, параграф 1:</w:t>
      </w:r>
    </w:p>
    <w:p>
      <w:pPr>
        <w:pStyle w:val="Default"/>
        <w:spacing w:after="120"/>
        <w:ind w:left="720" w:hanging="720"/>
        <w:rPr>
          <w:noProof/>
          <w:sz w:val="23"/>
          <w:szCs w:val="23"/>
        </w:rPr>
      </w:pPr>
      <w:r>
        <w:rPr>
          <w:i/>
          <w:noProof/>
        </w:rPr>
        <w:t>вместо:</w:t>
      </w:r>
      <w:r>
        <w:rPr>
          <w:noProof/>
        </w:rPr>
        <w:tab/>
        <w:t>„1.</w:t>
      </w:r>
      <w:r>
        <w:rPr>
          <w:noProof/>
        </w:rPr>
        <w:tab/>
      </w:r>
      <w:r>
        <w:rPr>
          <w:noProof/>
          <w:sz w:val="23"/>
        </w:rPr>
        <w:t xml:space="preserve"> Държавите членки гарантират, че предоставянето на проучване от трети страни на инвестиционни посредници, предоставящи управление на портфейли или други инвестиционни или допълнителни услуги на клиентите, не се счита за стимул, ако се получава в замяна на някое от следните: </w:t>
      </w:r>
    </w:p>
    <w:p>
      <w:pPr>
        <w:pStyle w:val="Default"/>
        <w:spacing w:after="120"/>
        <w:ind w:left="1440" w:hanging="720"/>
        <w:rPr>
          <w:noProof/>
          <w:sz w:val="23"/>
          <w:szCs w:val="23"/>
        </w:rPr>
      </w:pPr>
      <w:r>
        <w:rPr>
          <w:noProof/>
          <w:sz w:val="23"/>
        </w:rPr>
        <w:t xml:space="preserve">а) </w:t>
      </w:r>
      <w:r>
        <w:rPr>
          <w:noProof/>
        </w:rPr>
        <w:tab/>
      </w:r>
      <w:r>
        <w:rPr>
          <w:noProof/>
          <w:sz w:val="23"/>
        </w:rPr>
        <w:t xml:space="preserve">преки плащания от собствените ресурси на инвестиционния посредник; </w:t>
      </w:r>
    </w:p>
    <w:p>
      <w:pPr>
        <w:pStyle w:val="Default"/>
        <w:spacing w:after="120"/>
        <w:ind w:left="1440" w:hanging="720"/>
        <w:rPr>
          <w:noProof/>
          <w:sz w:val="23"/>
          <w:szCs w:val="23"/>
        </w:rPr>
      </w:pPr>
      <w:r>
        <w:rPr>
          <w:noProof/>
          <w:sz w:val="23"/>
        </w:rPr>
        <w:t xml:space="preserve">б) </w:t>
      </w:r>
      <w:r>
        <w:rPr>
          <w:noProof/>
        </w:rPr>
        <w:tab/>
      </w:r>
      <w:r>
        <w:rPr>
          <w:noProof/>
          <w:sz w:val="23"/>
        </w:rPr>
        <w:t xml:space="preserve">плащания от отделна сметка за плащане за проучване, контролирана от инвестиционния посредник, при условие че са изпълнени следните условия, засягащи управлението на сметката: </w:t>
      </w:r>
    </w:p>
    <w:p>
      <w:pPr>
        <w:pStyle w:val="Default"/>
        <w:spacing w:after="120"/>
        <w:ind w:left="1920" w:hanging="480"/>
        <w:rPr>
          <w:noProof/>
          <w:sz w:val="23"/>
          <w:szCs w:val="23"/>
        </w:rPr>
      </w:pPr>
      <w:r>
        <w:rPr>
          <w:noProof/>
          <w:sz w:val="23"/>
        </w:rPr>
        <w:t xml:space="preserve">i) </w:t>
      </w:r>
      <w:r>
        <w:rPr>
          <w:noProof/>
        </w:rPr>
        <w:tab/>
      </w:r>
      <w:r>
        <w:rPr>
          <w:noProof/>
          <w:sz w:val="23"/>
        </w:rPr>
        <w:t>сметката за плащане за проучване се финансира от специална такса за проучване, начислена на клиента,</w:t>
      </w:r>
    </w:p>
    <w:p>
      <w:pPr>
        <w:pStyle w:val="Default"/>
        <w:spacing w:after="120"/>
        <w:ind w:left="1920" w:hanging="480"/>
        <w:rPr>
          <w:noProof/>
          <w:sz w:val="23"/>
          <w:szCs w:val="23"/>
        </w:rPr>
      </w:pPr>
      <w:r>
        <w:rPr>
          <w:noProof/>
          <w:sz w:val="23"/>
        </w:rPr>
        <w:t xml:space="preserve">ii) </w:t>
      </w:r>
      <w:r>
        <w:rPr>
          <w:noProof/>
        </w:rPr>
        <w:tab/>
      </w:r>
      <w:r>
        <w:rPr>
          <w:noProof/>
          <w:sz w:val="23"/>
        </w:rPr>
        <w:t xml:space="preserve">като част от установяването на сметка за плащане за проучване и съгласуването на таксата за проучване с клиентите си, инвестиционните посредници определят и извършват редовна оценка на бюджета за проучване като вътрешна административна мярка, </w:t>
      </w:r>
    </w:p>
    <w:p>
      <w:pPr>
        <w:pStyle w:val="Default"/>
        <w:spacing w:after="120"/>
        <w:ind w:left="1920" w:hanging="480"/>
        <w:rPr>
          <w:noProof/>
          <w:sz w:val="23"/>
          <w:szCs w:val="23"/>
        </w:rPr>
      </w:pPr>
      <w:r>
        <w:rPr>
          <w:noProof/>
          <w:sz w:val="23"/>
        </w:rPr>
        <w:t xml:space="preserve">iii) </w:t>
      </w:r>
      <w:r>
        <w:rPr>
          <w:noProof/>
        </w:rPr>
        <w:tab/>
      </w:r>
      <w:r>
        <w:rPr>
          <w:noProof/>
          <w:sz w:val="23"/>
        </w:rPr>
        <w:t xml:space="preserve">инвестиционният посредник носи отговорност за сметката за плащане за проучване, </w:t>
      </w:r>
    </w:p>
    <w:p>
      <w:pPr>
        <w:pStyle w:val="Default"/>
        <w:spacing w:after="120"/>
        <w:ind w:left="1920" w:hanging="480"/>
        <w:rPr>
          <w:noProof/>
          <w:sz w:val="23"/>
          <w:szCs w:val="23"/>
        </w:rPr>
      </w:pPr>
      <w:r>
        <w:rPr>
          <w:noProof/>
          <w:sz w:val="23"/>
        </w:rPr>
        <w:t xml:space="preserve">iv) </w:t>
      </w:r>
      <w:r>
        <w:rPr>
          <w:noProof/>
        </w:rPr>
        <w:tab/>
      </w:r>
      <w:r>
        <w:rPr>
          <w:noProof/>
          <w:sz w:val="23"/>
        </w:rPr>
        <w:t xml:space="preserve">инвестиционният посредник извършва редовна оценка на качеството на закупените проучвания въз основа на солидни критерии за качество и способността им да допринасят за по-добри инвестиционни решения; . </w:t>
      </w:r>
    </w:p>
    <w:p>
      <w:pPr>
        <w:pStyle w:val="Default"/>
        <w:spacing w:after="120"/>
        <w:ind w:left="1440" w:hanging="720"/>
        <w:rPr>
          <w:noProof/>
        </w:rPr>
      </w:pPr>
      <w:r>
        <w:rPr>
          <w:noProof/>
        </w:rPr>
        <w:t>в)</w:t>
      </w:r>
      <w:r>
        <w:rPr>
          <w:noProof/>
        </w:rPr>
        <w:tab/>
        <w:t>когато инвестиционен посредник използва сметката за плащане за проучване, той предоставя следната информация на клиентите:</w:t>
      </w:r>
    </w:p>
    <w:p>
      <w:pPr>
        <w:pStyle w:val="Default"/>
        <w:spacing w:after="120"/>
        <w:ind w:left="1920" w:hanging="480"/>
        <w:rPr>
          <w:noProof/>
          <w:sz w:val="23"/>
          <w:szCs w:val="23"/>
        </w:rPr>
      </w:pPr>
      <w:r>
        <w:rPr>
          <w:noProof/>
          <w:sz w:val="23"/>
        </w:rPr>
        <w:t xml:space="preserve">i) </w:t>
      </w:r>
      <w:r>
        <w:rPr>
          <w:noProof/>
        </w:rPr>
        <w:tab/>
      </w:r>
      <w:r>
        <w:rPr>
          <w:noProof/>
          <w:sz w:val="23"/>
        </w:rPr>
        <w:t xml:space="preserve">преди предоставянето на инвестиционна услуга на клиентите — информация относно предвидената в бюджета сума за проучване и размера на приблизителната такса за проучване за всеки от тях, </w:t>
      </w:r>
    </w:p>
    <w:p>
      <w:pPr>
        <w:spacing w:before="0"/>
        <w:ind w:left="1920" w:hanging="480"/>
        <w:rPr>
          <w:noProof/>
        </w:rPr>
      </w:pPr>
      <w:r>
        <w:rPr>
          <w:noProof/>
          <w:sz w:val="23"/>
        </w:rPr>
        <w:t xml:space="preserve">ii) </w:t>
      </w:r>
      <w:r>
        <w:rPr>
          <w:noProof/>
        </w:rPr>
        <w:tab/>
        <w:t>годишна информация относно общите разходи, направени от всеки от тях за проучвания от трети страни.“,</w:t>
      </w:r>
    </w:p>
    <w:p>
      <w:pPr>
        <w:rPr>
          <w:noProof/>
        </w:rPr>
      </w:pPr>
    </w:p>
    <w:p>
      <w:pPr>
        <w:spacing w:before="0"/>
        <w:ind w:left="720" w:hanging="720"/>
        <w:jc w:val="left"/>
        <w:rPr>
          <w:noProof/>
          <w:sz w:val="23"/>
          <w:szCs w:val="23"/>
        </w:rPr>
      </w:pPr>
      <w:r>
        <w:rPr>
          <w:i/>
          <w:noProof/>
        </w:rPr>
        <w:t>да се чете:</w:t>
      </w:r>
      <w:r>
        <w:rPr>
          <w:noProof/>
        </w:rPr>
        <w:tab/>
        <w:t>„1.</w:t>
      </w:r>
      <w:r>
        <w:rPr>
          <w:noProof/>
        </w:rPr>
        <w:tab/>
      </w:r>
      <w:r>
        <w:rPr>
          <w:noProof/>
          <w:sz w:val="23"/>
        </w:rPr>
        <w:t xml:space="preserve"> Държавите членки гарантират, че предоставянето на проучване от трети страни на инвестиционни посредници, предоставящи управление на портфейли или други инвестиционни или допълнителни услуги на клиентите, не се счита за стимул, ако се получава в замяна на някое от следните: </w:t>
      </w:r>
    </w:p>
    <w:p>
      <w:pPr>
        <w:pStyle w:val="Default"/>
        <w:spacing w:after="120"/>
        <w:ind w:left="1440" w:hanging="720"/>
        <w:rPr>
          <w:noProof/>
          <w:sz w:val="23"/>
          <w:szCs w:val="23"/>
        </w:rPr>
      </w:pPr>
      <w:r>
        <w:rPr>
          <w:noProof/>
          <w:sz w:val="23"/>
        </w:rPr>
        <w:t xml:space="preserve">а) </w:t>
      </w:r>
      <w:r>
        <w:rPr>
          <w:noProof/>
        </w:rPr>
        <w:tab/>
      </w:r>
      <w:r>
        <w:rPr>
          <w:noProof/>
          <w:sz w:val="23"/>
        </w:rPr>
        <w:t xml:space="preserve">преки плащания от собствените ресурси на инвестиционния </w:t>
      </w:r>
      <w:r>
        <w:rPr>
          <w:noProof/>
          <w:color w:val="auto"/>
          <w:sz w:val="23"/>
        </w:rPr>
        <w:t>посредник</w:t>
      </w:r>
      <w:r>
        <w:rPr>
          <w:noProof/>
          <w:sz w:val="23"/>
        </w:rPr>
        <w:t xml:space="preserve">; </w:t>
      </w:r>
    </w:p>
    <w:p>
      <w:pPr>
        <w:pStyle w:val="Default"/>
        <w:spacing w:after="120"/>
        <w:ind w:left="1440" w:hanging="720"/>
        <w:rPr>
          <w:noProof/>
          <w:sz w:val="23"/>
          <w:szCs w:val="23"/>
        </w:rPr>
      </w:pPr>
      <w:r>
        <w:rPr>
          <w:noProof/>
          <w:sz w:val="23"/>
        </w:rPr>
        <w:t xml:space="preserve">б) </w:t>
      </w:r>
      <w:r>
        <w:rPr>
          <w:noProof/>
        </w:rPr>
        <w:tab/>
      </w:r>
      <w:r>
        <w:rPr>
          <w:noProof/>
          <w:sz w:val="23"/>
        </w:rPr>
        <w:t xml:space="preserve">плащания от отделна сметка за плащане за проучване, контролирана от инвестиционния посредник, при условие че са изпълнени следните условия, засягащи управлението на сметката: </w:t>
      </w:r>
    </w:p>
    <w:p>
      <w:pPr>
        <w:pStyle w:val="Default"/>
        <w:spacing w:after="120"/>
        <w:ind w:left="1920" w:hanging="480"/>
        <w:rPr>
          <w:noProof/>
          <w:sz w:val="23"/>
          <w:szCs w:val="23"/>
        </w:rPr>
      </w:pPr>
      <w:r>
        <w:rPr>
          <w:noProof/>
          <w:sz w:val="23"/>
        </w:rPr>
        <w:t xml:space="preserve">i) </w:t>
      </w:r>
      <w:r>
        <w:rPr>
          <w:noProof/>
        </w:rPr>
        <w:tab/>
      </w:r>
      <w:r>
        <w:rPr>
          <w:noProof/>
          <w:sz w:val="23"/>
        </w:rPr>
        <w:t>сметката за плащане за проучване се финансира от специална такса за проучване, начислена на клиента,</w:t>
      </w:r>
    </w:p>
    <w:p>
      <w:pPr>
        <w:pStyle w:val="Default"/>
        <w:spacing w:after="120"/>
        <w:ind w:left="1920" w:hanging="480"/>
        <w:rPr>
          <w:noProof/>
          <w:sz w:val="23"/>
          <w:szCs w:val="23"/>
        </w:rPr>
      </w:pPr>
      <w:r>
        <w:rPr>
          <w:noProof/>
          <w:sz w:val="23"/>
        </w:rPr>
        <w:t xml:space="preserve">ii) </w:t>
      </w:r>
      <w:r>
        <w:rPr>
          <w:noProof/>
        </w:rPr>
        <w:tab/>
      </w:r>
      <w:r>
        <w:rPr>
          <w:noProof/>
          <w:sz w:val="23"/>
        </w:rPr>
        <w:t xml:space="preserve">като част от установяването на сметка за плащане за проучване и съгласуването на таксата за проучване с клиентите си, инвестиционните посредници определят и извършват редовна оценка на бюджета за проучване като вътрешна административна мярка, </w:t>
      </w:r>
    </w:p>
    <w:p>
      <w:pPr>
        <w:pStyle w:val="Default"/>
        <w:spacing w:after="120"/>
        <w:ind w:left="1920" w:hanging="480"/>
        <w:rPr>
          <w:noProof/>
          <w:sz w:val="23"/>
          <w:szCs w:val="23"/>
        </w:rPr>
      </w:pPr>
      <w:r>
        <w:rPr>
          <w:noProof/>
          <w:sz w:val="23"/>
        </w:rPr>
        <w:t xml:space="preserve">iii) </w:t>
      </w:r>
      <w:r>
        <w:rPr>
          <w:noProof/>
        </w:rPr>
        <w:tab/>
      </w:r>
      <w:r>
        <w:rPr>
          <w:noProof/>
          <w:sz w:val="23"/>
        </w:rPr>
        <w:t xml:space="preserve">инвестиционният посредник носи отговорност за сметката за плащане за проучване, </w:t>
      </w:r>
    </w:p>
    <w:p>
      <w:pPr>
        <w:spacing w:before="0"/>
        <w:ind w:left="1920" w:hanging="480"/>
        <w:rPr>
          <w:noProof/>
          <w:sz w:val="23"/>
          <w:szCs w:val="23"/>
        </w:rPr>
      </w:pPr>
      <w:r>
        <w:rPr>
          <w:noProof/>
          <w:sz w:val="23"/>
        </w:rPr>
        <w:t xml:space="preserve">iv) </w:t>
      </w:r>
      <w:r>
        <w:rPr>
          <w:noProof/>
        </w:rPr>
        <w:tab/>
      </w:r>
      <w:r>
        <w:rPr>
          <w:noProof/>
          <w:sz w:val="23"/>
        </w:rPr>
        <w:t>инвестиционният посредник извършва редовна оценка на качеството на закупените проучвания въз основа на солидни критерии за качество и способността им да допринасят за по-добри инвестиционни решения.</w:t>
      </w:r>
    </w:p>
    <w:p>
      <w:pPr>
        <w:pStyle w:val="Default"/>
        <w:spacing w:after="120"/>
        <w:ind w:left="720"/>
        <w:rPr>
          <w:noProof/>
        </w:rPr>
      </w:pPr>
      <w:r>
        <w:rPr>
          <w:noProof/>
        </w:rPr>
        <w:t>Що се отнася до първата алинея, буква б), когато инвестиционен посредник използва сметката за плащане за проучване, той предоставя следната информация на клиентите:</w:t>
      </w:r>
    </w:p>
    <w:p>
      <w:pPr>
        <w:pStyle w:val="Default"/>
        <w:spacing w:after="120"/>
        <w:ind w:left="1200" w:hanging="480"/>
        <w:rPr>
          <w:noProof/>
          <w:sz w:val="23"/>
          <w:szCs w:val="23"/>
        </w:rPr>
      </w:pPr>
      <w:r>
        <w:rPr>
          <w:noProof/>
          <w:sz w:val="23"/>
        </w:rPr>
        <w:t xml:space="preserve">а) </w:t>
      </w:r>
      <w:r>
        <w:rPr>
          <w:noProof/>
        </w:rPr>
        <w:tab/>
      </w:r>
      <w:r>
        <w:rPr>
          <w:noProof/>
          <w:sz w:val="23"/>
        </w:rPr>
        <w:t>преди предоставянето на инвестиционна услуга на клиентите — информация относно предвидената в бюджета сума за проучване и размера на приблизителната такса за проучване за всеки от тях,</w:t>
      </w:r>
    </w:p>
    <w:p>
      <w:pPr>
        <w:spacing w:before="0"/>
        <w:ind w:left="1200" w:hanging="480"/>
        <w:jc w:val="left"/>
        <w:rPr>
          <w:noProof/>
        </w:rPr>
      </w:pPr>
      <w:r>
        <w:rPr>
          <w:noProof/>
          <w:sz w:val="23"/>
        </w:rPr>
        <w:t xml:space="preserve">б) </w:t>
      </w:r>
      <w:r>
        <w:rPr>
          <w:noProof/>
        </w:rPr>
        <w:tab/>
        <w:t>годишна информация относно общите разходи, направени от всеки от тях за проучвания от трети страни.“.</w:t>
      </w:r>
    </w:p>
    <w:p>
      <w:pPr>
        <w:jc w:val="left"/>
        <w:rPr>
          <w:noProof/>
        </w:rPr>
      </w:pPr>
      <w:r>
        <w:rPr>
          <w:i/>
          <w:noProof/>
        </w:rPr>
        <w:br/>
      </w:r>
    </w:p>
    <w:p>
      <w:pPr>
        <w:jc w:val="left"/>
        <w:rPr>
          <w:noProof/>
        </w:rPr>
      </w:pPr>
      <w:r>
        <w:rPr>
          <w:noProof/>
        </w:rPr>
        <w:t>В член 13, параграф 3:</w:t>
      </w:r>
    </w:p>
    <w:p>
      <w:pPr>
        <w:ind w:left="1440" w:hanging="1440"/>
        <w:rPr>
          <w:noProof/>
        </w:rPr>
      </w:pPr>
      <w:r>
        <w:rPr>
          <w:i/>
          <w:noProof/>
        </w:rPr>
        <w:t xml:space="preserve">вместо:            </w:t>
      </w:r>
      <w:r>
        <w:rPr>
          <w:noProof/>
        </w:rPr>
        <w:tab/>
        <w:t>„3.</w:t>
      </w:r>
      <w:r>
        <w:rPr>
          <w:noProof/>
        </w:rPr>
        <w:tab/>
        <w:t>Всяко оперативно споразумение за събирането на таксата за проучване от клиентите, когато тази такса не се събира отделно, а заедно с комисионата за сделката, показва ясно разграничима такса за проучване и отговаря напълно на условията на параграф 1, букви б) и в).“,</w:t>
      </w:r>
    </w:p>
    <w:p>
      <w:pPr>
        <w:ind w:left="1440" w:hanging="1440"/>
        <w:rPr>
          <w:noProof/>
        </w:rPr>
      </w:pPr>
      <w:r>
        <w:rPr>
          <w:i/>
          <w:noProof/>
        </w:rPr>
        <w:t>да се чете:</w:t>
      </w:r>
      <w:r>
        <w:rPr>
          <w:noProof/>
        </w:rPr>
        <w:t xml:space="preserve">       </w:t>
      </w:r>
      <w:r>
        <w:rPr>
          <w:noProof/>
        </w:rPr>
        <w:tab/>
        <w:t>„3.</w:t>
      </w:r>
      <w:r>
        <w:rPr>
          <w:noProof/>
        </w:rPr>
        <w:tab/>
        <w:t>Всяко оперативно споразумение за събирането на таксата за проучване от клиентите, когато тази такса не се събира отделно, а заедно с комисионата за сделката, показва ясно разграничима такса за проучване и отговаря напълно на условията на параграф 1, първа алинея, буква б) и параграф 1, втора алинея.“.</w:t>
      </w:r>
      <w:r>
        <w:rPr>
          <w:noProof/>
          <w:sz w:val="23"/>
        </w:rPr>
        <w:t xml:space="preserve">  </w:t>
      </w:r>
    </w:p>
    <w:p>
      <w:pPr>
        <w:jc w:val="left"/>
        <w:rPr>
          <w:i/>
          <w:noProof/>
        </w:rPr>
      </w:pPr>
      <w:r>
        <w:rPr>
          <w:i/>
          <w:noProof/>
        </w:rPr>
        <w:br/>
      </w:r>
    </w:p>
    <w:p>
      <w:pPr>
        <w:rPr>
          <w:noProof/>
        </w:rPr>
      </w:pPr>
      <w:r>
        <w:rPr>
          <w:noProof/>
        </w:rPr>
        <w:t>В член 13, параграф 6:</w:t>
      </w:r>
    </w:p>
    <w:p>
      <w:pPr>
        <w:ind w:left="1440" w:hanging="1440"/>
        <w:rPr>
          <w:noProof/>
        </w:rPr>
      </w:pPr>
      <w:r>
        <w:rPr>
          <w:i/>
          <w:noProof/>
        </w:rPr>
        <w:t xml:space="preserve">вместо:            </w:t>
      </w:r>
      <w:r>
        <w:rPr>
          <w:noProof/>
        </w:rPr>
        <w:tab/>
        <w:t>„За целите на параграф 1, буква б), подточка ii) бюджетът за проучване се управлява единствено от инвестиционния посредник и се основава на разумна оценка на нуждата от проучване от трета страна.“,</w:t>
      </w:r>
    </w:p>
    <w:p>
      <w:pPr>
        <w:ind w:left="1440" w:hanging="1440"/>
        <w:rPr>
          <w:noProof/>
        </w:rPr>
      </w:pPr>
      <w:r>
        <w:rPr>
          <w:i/>
          <w:noProof/>
        </w:rPr>
        <w:t>да се чете</w:t>
      </w:r>
      <w:r>
        <w:rPr>
          <w:noProof/>
        </w:rPr>
        <w:t xml:space="preserve">:       </w:t>
      </w:r>
      <w:r>
        <w:rPr>
          <w:noProof/>
        </w:rPr>
        <w:tab/>
        <w:t>„За целите на параграф 1, първа алинея, буква б), подточка ii) бюджетът за проучване се управлява единствено от инвестиционния посредник и се основава на разумна оценка на нуждата от проучване от трета страна.“.</w:t>
      </w:r>
      <w:r>
        <w:rPr>
          <w:noProof/>
          <w:highlight w:val="yellow"/>
        </w:rPr>
        <w:t xml:space="preserve"> </w:t>
      </w:r>
    </w:p>
    <w:p>
      <w:pPr>
        <w:rPr>
          <w:noProof/>
        </w:rPr>
      </w:pPr>
    </w:p>
    <w:p>
      <w:pPr>
        <w:rPr>
          <w:noProof/>
        </w:rPr>
      </w:pPr>
      <w:r>
        <w:rPr>
          <w:noProof/>
        </w:rPr>
        <w:t>В член 14, параграф 1, първа и втора алинея:</w:t>
      </w:r>
    </w:p>
    <w:p>
      <w:pPr>
        <w:ind w:left="1440" w:hanging="1440"/>
        <w:rPr>
          <w:noProof/>
        </w:rPr>
      </w:pPr>
    </w:p>
    <w:p>
      <w:pPr>
        <w:pStyle w:val="ManualNumPar1"/>
        <w:ind w:left="720" w:hanging="720"/>
        <w:rPr>
          <w:noProof/>
        </w:rPr>
      </w:pPr>
      <w:r>
        <w:rPr>
          <w:i/>
          <w:noProof/>
        </w:rPr>
        <w:t>вместо:</w:t>
      </w:r>
      <w:r>
        <w:rPr>
          <w:noProof/>
        </w:rPr>
        <w:tab/>
        <w:t>„Държавите членки приемат и публикуват не по-късно от датата, посочена в член 93, параграф 1, първа алинея от Директива 2014/65/ЕС,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pPr>
        <w:ind w:left="720"/>
        <w:rPr>
          <w:noProof/>
        </w:rPr>
      </w:pPr>
      <w:r>
        <w:rPr>
          <w:noProof/>
        </w:rPr>
        <w:t>Те прилагат тези разпоредби от първата посочена дата в член 93, параграф 1, втора алинея от Директива 2014/65/ЕС.“,</w:t>
      </w:r>
    </w:p>
    <w:p>
      <w:pPr>
        <w:pStyle w:val="ManualNumPar1"/>
        <w:ind w:left="720" w:hanging="720"/>
        <w:rPr>
          <w:noProof/>
        </w:rPr>
      </w:pPr>
      <w:r>
        <w:rPr>
          <w:i/>
          <w:noProof/>
        </w:rPr>
        <w:t>да се чете:</w:t>
      </w:r>
      <w:r>
        <w:rPr>
          <w:noProof/>
        </w:rPr>
        <w:tab/>
        <w:t>„Държавите членки приемат и публикуват не по-късно от 3 юли 2017 г.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pPr>
        <w:ind w:left="720"/>
        <w:rPr>
          <w:noProof/>
        </w:rPr>
      </w:pPr>
      <w:r>
        <w:rPr>
          <w:noProof/>
        </w:rPr>
        <w:t>Те прилагат тези разпоредби от 3 януари 2018 г.“.</w:t>
      </w:r>
    </w:p>
    <w:p>
      <w:pPr>
        <w:ind w:left="1440" w:hanging="1440"/>
        <w:rPr>
          <w:noProof/>
        </w:rPr>
      </w:pPr>
    </w:p>
    <w:p>
      <w:pPr>
        <w:ind w:left="1440" w:hanging="1440"/>
        <w:rPr>
          <w:noProof/>
        </w:rPr>
      </w:pPr>
    </w:p>
    <w:p>
      <w:pPr>
        <w:ind w:left="1440" w:hanging="1440"/>
        <w:rPr>
          <w:noProof/>
        </w:rPr>
      </w:pP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034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revisionView w:markup="0"/>
  <w:defaultTabStop w:val="720"/>
  <w:hyphenationZone w:val="425"/>
  <w:drawingGridHorizontalSpacing w:val="74"/>
  <w:drawingGridVerticalSpacing w:val="10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VERPAGE_GUID" w:val="715EC241B60A45C0A579483F71F62C78"/>
    <w:docVar w:name="LW_CROSSREFERENCE" w:val="&lt;UNUSED&gt;"/>
    <w:docVar w:name="LW_DATE.ADOPT.CP" w:val="\u1086?\u1090? 15.3.2017 \u1075?\u1086?\u1076?\u1080?\u1085?\u1072?"/>
    <w:docVar w:name="LW_DATE.ADOPT.CP_ISODATE" w:val="2017-03-15"/>
    <w:docVar w:name="LW_DocType" w:val="NORMAL"/>
    <w:docVar w:name="LW_EMISSION" w:val="15.3.2017"/>
    <w:docVar w:name="LW_EMISSION_ISODATE" w:val="2017-03-15"/>
    <w:docVar w:name="LW_EMISSION_LOCATION" w:val="BRX"/>
    <w:docVar w:name="LW_EMISSION_PREFIX" w:val="Брюксел, "/>
    <w:docVar w:name="LW_EMISSION_SUFFIX" w:val=" \u1075?."/>
    <w:docVar w:name="LW_ID_DOCTYPE_NONLW" w:val="CP-03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7) 1888"/>
    <w:docVar w:name="LW_REF.INTERNE" w:val="&lt;UNUSED&gt;"/>
    <w:docVar w:name="LW_SOUS.TITRE.OBJ.CP" w:val="C(2016) 2031 final"/>
    <w:docVar w:name="LW_SUPERTITRE" w:val="&lt;UNUSED&gt;"/>
    <w:docVar w:name="LW_TITRE.OBJ.CP" w:val="\u1085?\u1072? \u1044?\u1077?\u1083?\u1077?\u1075?\u1080?\u1088?\u1072?\u1085?\u1072? \u1076?\u1080?\u1088?\u1077?\u1082?\u1090?\u1080?\u1074?\u1072? \u1085?\u1072? \u1050?\u1086?\u1084?\u1080?\u1089?\u1080?\u1103?\u1090?\u1072? \u1086?\u1090? 7 \u1072?\u1087?\u1088?\u1080?\u1083? 2016 \u1075?\u1086?\u1076?\u1080?\u1085?\u1072? \u1079?\u1072? \u1076?\u1086?\u1087?\u1098?\u1083?\u1074?\u1072?\u1085?\u1077? \u1085?\u1072? \u1044?\u1080?\u1088?\u1077?\u1082?\u1090?\u1080?\u1074?\u1072? 2014/65/\u1045?\u1057? \u1085?\u1072? \u1045?\u1074?\u1088?\u1086?\u1087?\u1077?\u1081?\u1089?\u1082?\u1080?\u1103? \u1087?\u1072?\u1088?\u1083?\u1072?\u1084?\u1077?\u1085?\u1090? \u1080? \u1085?\u1072? \u1057?\u1098?\u1074?\u1077?\u1090?\u1072? \u1087?\u1086? \u1086?\u1090?\u1085?\u1086?\u1096?\u1077?\u1085?\u1080?\u1077? \u1085?\u1072? \u1079?\u1072?\u1097?\u1080?\u1090?\u1072?\u1090?\u1072? \u1085?\u1072? \u1092?\u1080?\u1085?\u1072?\u1085?\u1089?\u1086?\u1074?\u1080?\u1090?\u1077? \u1080?\u1085?\u1089?\u1090?\u1088?\u1091?\u1084?\u1077?\u1085?\u1090?\u1080? \u1080? \u1087?\u1072?\u1088?\u1080?\u1095?\u1085?\u1080?\u1090?\u1077? \u1089?\u1088?\u1077?\u1076?\u1089?\u1090?\u1074?\u1072?, \u1087?\u1088?\u1080?\u1085?\u1072?\u1076?\u1083?\u1077?\u1078?\u1072?\u1097?\u1080? \u1085?\u1072? \u1082?\u1083?\u1080?\u1077?\u1085?\u1090?\u1080?, \u1079?\u1072?\u1076?\u1098?\u1083?\u1078?\u1077?\u1085?\u1080?\u1103?\u1090?\u1072? \u1079?\u1072? \u1091?\u1087?\u1088?\u1072?\u1074?\u1083?\u1077?\u1085?\u1080?\u1077? \u1085?\u1072? \u1087?\u1088?\u1086?\u1076?\u1091?\u1082?\u1090?\u1080? \u1080? \u1087?\u1088?\u1072?\u1074?\u1080?\u1083?\u1072?\u1090?\u1072?, \u1087?\u1088?\u1080?\u1083?\u1086?\u1078?\u1080?\u1084?\u1080? \u1082?\u1098?\u1084? \u1087?\u1088?\u1077?\u1076?\u1086?\u1089?\u1090?\u1072?\u1074?\u1103?\u1085?\u1077?\u1090?\u1086? \u1080?\u1083?\u1080? \u1087?\u1086?\u1083?\u1091?\u1095?\u1072?\u1074?\u1072?\u1085?\u1077?\u1090?\u1086? \u1085?\u1072? \u1090?\u1072?\u1082?\u1089?\u1080?, \u1082?\u1086?\u1084?\u1080?\u1089?\u1080?\u1086?\u1085?\u1080? \u1080?\u1083?\u1080? \u1076?\u1088?\u1091?\u1075?\u1080? \u1087?\u1072?\u1088?\u1080?\u1095?\u1085?\u1080? \u1080?\u1083?\u1080? \u1085?\u1077?\u1087?\u1072?\u1088?\u1080?\u1095?\u1085?\u1080? \u1086?\u1073?\u1083?\u1072?\u1075?\u1080?"/>
    <w:docVar w:name="LW_TYPE.DOC.CP" w:val="\u1055?\u1054?\u1055?\u1056?\u1040?\u1042?\u1050?\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ManualNumPar1">
    <w:name w:val="Manual NumPar 1"/>
    <w:basedOn w:val="Normal"/>
    <w:next w:val="Normal"/>
    <w:pPr>
      <w:ind w:left="850" w:hanging="850"/>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ManualNumPar1">
    <w:name w:val="Manual NumPar 1"/>
    <w:basedOn w:val="Normal"/>
    <w:next w:val="Normal"/>
    <w:pPr>
      <w:ind w:left="850" w:hanging="850"/>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1587</Words>
  <Characters>9269</Characters>
  <Application>Microsoft Office Word</Application>
  <DocSecurity>0</DocSecurity>
  <Lines>215</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2017-03-13T14:02:00Z</dcterms:created>
  <dcterms:modified xsi:type="dcterms:W3CDTF">2017-03-16T08:56:00Z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