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7459" w:rsidRDefault="0077481A" w:rsidP="0077481A">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63B8486FAD3D4DDE9B51CA34F961244A" style="width:450.75pt;height:456pt">
            <v:imagedata r:id="rId9" o:title=""/>
          </v:shape>
        </w:pict>
      </w:r>
    </w:p>
    <w:bookmarkEnd w:id="0"/>
    <w:p w:rsidR="000A7459" w:rsidRDefault="000A7459">
      <w:pPr>
        <w:rPr>
          <w:noProof/>
        </w:rPr>
        <w:sectPr w:rsidR="000A7459" w:rsidSect="0077481A">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0A7459" w:rsidRDefault="00D83169">
      <w:pPr>
        <w:spacing w:before="120" w:after="120" w:line="240" w:lineRule="auto"/>
        <w:rPr>
          <w:rFonts w:ascii="Times New Roman" w:hAnsi="Times New Roman" w:cs="Times New Roman"/>
          <w:b/>
          <w:noProof/>
          <w:sz w:val="24"/>
          <w:szCs w:val="24"/>
        </w:rPr>
      </w:pPr>
      <w:bookmarkStart w:id="1" w:name="_GoBack"/>
      <w:bookmarkEnd w:id="1"/>
      <w:r>
        <w:rPr>
          <w:rFonts w:ascii="Times New Roman" w:hAnsi="Times New Roman"/>
          <w:b/>
          <w:noProof/>
          <w:sz w:val="24"/>
        </w:rPr>
        <w:lastRenderedPageBreak/>
        <w:t xml:space="preserve">1. Въведение </w:t>
      </w:r>
    </w:p>
    <w:p w:rsidR="000A7459" w:rsidRDefault="00D83169">
      <w:pPr>
        <w:spacing w:after="120" w:line="240" w:lineRule="auto"/>
        <w:jc w:val="both"/>
        <w:rPr>
          <w:rFonts w:ascii="Times New Roman" w:eastAsia="ヒラギノ角ゴ Pro W3" w:hAnsi="Times New Roman" w:cs="Times New Roman"/>
          <w:noProof/>
          <w:color w:val="000000"/>
          <w:sz w:val="24"/>
          <w:szCs w:val="24"/>
        </w:rPr>
      </w:pPr>
      <w:r>
        <w:rPr>
          <w:rFonts w:ascii="Times New Roman" w:hAnsi="Times New Roman"/>
          <w:noProof/>
          <w:color w:val="000000"/>
          <w:sz w:val="24"/>
        </w:rPr>
        <w:t>Рамката за партньорство</w:t>
      </w:r>
      <w:r>
        <w:rPr>
          <w:rFonts w:ascii="Times New Roman" w:hAnsi="Times New Roman"/>
          <w:noProof/>
          <w:color w:val="000000"/>
          <w:sz w:val="24"/>
          <w:vertAlign w:val="superscript"/>
        </w:rPr>
        <w:footnoteReference w:id="2"/>
      </w:r>
      <w:r>
        <w:rPr>
          <w:rFonts w:ascii="Times New Roman" w:hAnsi="Times New Roman"/>
          <w:noProof/>
          <w:color w:val="000000"/>
          <w:sz w:val="24"/>
        </w:rPr>
        <w:t xml:space="preserve"> вече се утвърди като подходът на ЕС за справяне с предизвикателството на незаконната миграция и нейните първопричини в рамките на по-широкото сътрудничество с трети държави</w:t>
      </w:r>
      <w:r>
        <w:rPr>
          <w:rStyle w:val="FootnoteReference"/>
          <w:rFonts w:ascii="Times New Roman" w:hAnsi="Times New Roman"/>
          <w:noProof/>
          <w:color w:val="000000"/>
          <w:sz w:val="24"/>
        </w:rPr>
        <w:footnoteReference w:id="3"/>
      </w:r>
      <w:r>
        <w:rPr>
          <w:rFonts w:ascii="Times New Roman" w:hAnsi="Times New Roman"/>
          <w:noProof/>
          <w:color w:val="000000"/>
          <w:sz w:val="24"/>
        </w:rPr>
        <w:t>. Европейският съвет следи напредъка и на последното си заседание през декември 20</w:t>
      </w:r>
      <w:r>
        <w:rPr>
          <w:rFonts w:ascii="Times New Roman" w:hAnsi="Times New Roman"/>
          <w:noProof/>
          <w:color w:val="000000"/>
          <w:sz w:val="24"/>
        </w:rPr>
        <w:t>16 г. призова държавите членки да продължат и да засилят ангажираността си, за да се постигне напредък по „овладяването на потоците и увеличаването на процента на връщанията“</w:t>
      </w:r>
      <w:r>
        <w:rPr>
          <w:rStyle w:val="FootnoteReference"/>
          <w:rFonts w:ascii="Times New Roman" w:hAnsi="Times New Roman"/>
          <w:noProof/>
          <w:color w:val="000000"/>
          <w:sz w:val="24"/>
        </w:rPr>
        <w:footnoteReference w:id="4"/>
      </w:r>
      <w:r>
        <w:rPr>
          <w:rFonts w:ascii="Times New Roman" w:hAnsi="Times New Roman"/>
          <w:noProof/>
          <w:color w:val="000000"/>
          <w:sz w:val="24"/>
        </w:rPr>
        <w:t xml:space="preserve">. </w:t>
      </w:r>
    </w:p>
    <w:p w:rsidR="000A7459" w:rsidRDefault="00D83169">
      <w:pPr>
        <w:spacing w:after="120" w:line="240" w:lineRule="auto"/>
        <w:jc w:val="both"/>
        <w:rPr>
          <w:rFonts w:ascii="Times New Roman" w:eastAsia="ヒラギノ角ゴ Pro W3" w:hAnsi="Times New Roman" w:cs="Times New Roman"/>
          <w:noProof/>
          <w:color w:val="000000"/>
          <w:sz w:val="24"/>
          <w:szCs w:val="24"/>
        </w:rPr>
      </w:pPr>
      <w:r>
        <w:rPr>
          <w:rFonts w:ascii="Times New Roman" w:hAnsi="Times New Roman" w:cs="Times New Roman"/>
          <w:noProof/>
          <w:color w:val="000000"/>
          <w:sz w:val="24"/>
        </w:rPr>
        <w:t>Настоящият трети доклад за напредъка представя постигнатия от декември напредъ</w:t>
      </w:r>
      <w:r>
        <w:rPr>
          <w:rFonts w:ascii="Times New Roman" w:hAnsi="Times New Roman" w:cs="Times New Roman"/>
          <w:noProof/>
          <w:color w:val="000000"/>
          <w:sz w:val="24"/>
        </w:rPr>
        <w:t>к.</w:t>
      </w:r>
      <w:r>
        <w:rPr>
          <w:rFonts w:ascii="Times New Roman" w:hAnsi="Times New Roman"/>
          <w:noProof/>
          <w:color w:val="000000"/>
          <w:sz w:val="24"/>
        </w:rPr>
        <w:t xml:space="preserve"> Ангажираността с петте приоритетни държави, посочени в съобщението от юни, продължава да се развива. В съответствие със заключенията на Европейския съвет от декември обхватът на настоящия доклад няма да бъде ограничен само до посочените пет приоритетни </w:t>
      </w:r>
      <w:r>
        <w:rPr>
          <w:rFonts w:ascii="Times New Roman" w:hAnsi="Times New Roman"/>
          <w:noProof/>
          <w:color w:val="000000"/>
          <w:sz w:val="24"/>
        </w:rPr>
        <w:t xml:space="preserve">държави. </w:t>
      </w:r>
    </w:p>
    <w:p w:rsidR="000A7459" w:rsidRDefault="00D83169">
      <w:pPr>
        <w:spacing w:after="120" w:line="240" w:lineRule="auto"/>
        <w:jc w:val="both"/>
        <w:rPr>
          <w:rFonts w:ascii="Times New Roman" w:hAnsi="Times New Roman" w:cs="Times New Roman"/>
          <w:noProof/>
          <w:spacing w:val="-2"/>
          <w:sz w:val="24"/>
          <w:szCs w:val="24"/>
        </w:rPr>
      </w:pPr>
      <w:r>
        <w:rPr>
          <w:rFonts w:ascii="Times New Roman" w:hAnsi="Times New Roman"/>
          <w:noProof/>
          <w:spacing w:val="-2"/>
          <w:sz w:val="24"/>
        </w:rPr>
        <w:t>По-специално докладът отразява настоящия акцент върху маршрута през Централното Средиземноморие</w:t>
      </w:r>
      <w:r>
        <w:rPr>
          <w:rStyle w:val="FootnoteReference"/>
          <w:rFonts w:ascii="Times New Roman" w:hAnsi="Times New Roman"/>
          <w:noProof/>
          <w:spacing w:val="-2"/>
          <w:sz w:val="24"/>
        </w:rPr>
        <w:footnoteReference w:id="5"/>
      </w:r>
      <w:r>
        <w:rPr>
          <w:rFonts w:ascii="Times New Roman" w:hAnsi="Times New Roman"/>
          <w:noProof/>
          <w:spacing w:val="-2"/>
          <w:sz w:val="24"/>
        </w:rPr>
        <w:t xml:space="preserve"> в отговор на продължаващия голям брой на нелегалните преминавания по този маршрут и неприемливо многобройните смъртни случаи в Средиземно море. Специален раздел на доклада представя предприетите първи стъпки за изпълнение на действията, за които бе постиг</w:t>
      </w:r>
      <w:r>
        <w:rPr>
          <w:rFonts w:ascii="Times New Roman" w:hAnsi="Times New Roman"/>
          <w:noProof/>
          <w:spacing w:val="-2"/>
          <w:sz w:val="24"/>
        </w:rPr>
        <w:t>нато съгласие в Декларацията от Малта, приета от държавните и правителствените ръководители по време на неофициалната среща на върха в Малта на 3 февруари, по-специално мерки за спасяване на хора, засилване на борбата срещу контрабандата и трафика на хора,</w:t>
      </w:r>
      <w:r>
        <w:rPr>
          <w:rFonts w:ascii="Times New Roman" w:hAnsi="Times New Roman"/>
          <w:noProof/>
          <w:spacing w:val="-2"/>
          <w:sz w:val="24"/>
        </w:rPr>
        <w:t xml:space="preserve"> осигуряване на закрила на мигрантите и подобряване на управлението на миграцията и границите, в тясно сътрудничество с държавите от Северна Африка, и по-специално Либия. </w:t>
      </w:r>
    </w:p>
    <w:p w:rsidR="000A7459" w:rsidRDefault="00D83169">
      <w:pPr>
        <w:spacing w:after="120" w:line="240" w:lineRule="auto"/>
        <w:jc w:val="both"/>
        <w:rPr>
          <w:rFonts w:ascii="Times New Roman" w:hAnsi="Times New Roman" w:cs="Times New Roman"/>
          <w:noProof/>
          <w:sz w:val="24"/>
          <w:szCs w:val="24"/>
        </w:rPr>
      </w:pPr>
      <w:r>
        <w:rPr>
          <w:rFonts w:ascii="Times New Roman" w:hAnsi="Times New Roman"/>
          <w:noProof/>
          <w:sz w:val="24"/>
        </w:rPr>
        <w:t>Предвид тясната връзка между рамката за партньорство и усилията за напредък по Декла</w:t>
      </w:r>
      <w:r>
        <w:rPr>
          <w:rFonts w:ascii="Times New Roman" w:hAnsi="Times New Roman"/>
          <w:noProof/>
          <w:sz w:val="24"/>
        </w:rPr>
        <w:t>рацията от Валета и Съвместния план за действие от Валета</w:t>
      </w:r>
      <w:r>
        <w:rPr>
          <w:rStyle w:val="FootnoteReference"/>
          <w:rFonts w:ascii="Times New Roman" w:hAnsi="Times New Roman"/>
          <w:noProof/>
          <w:sz w:val="24"/>
        </w:rPr>
        <w:footnoteReference w:id="6"/>
      </w:r>
      <w:r>
        <w:rPr>
          <w:rFonts w:ascii="Times New Roman" w:hAnsi="Times New Roman"/>
          <w:noProof/>
          <w:sz w:val="24"/>
        </w:rPr>
        <w:t xml:space="preserve"> докладът взема под внимание резултатите от заседанието на висшите служители през февруари</w:t>
      </w:r>
      <w:r>
        <w:rPr>
          <w:rStyle w:val="FootnoteReference"/>
          <w:rFonts w:ascii="Times New Roman" w:hAnsi="Times New Roman"/>
          <w:noProof/>
          <w:sz w:val="24"/>
        </w:rPr>
        <w:footnoteReference w:id="7"/>
      </w:r>
      <w:r>
        <w:rPr>
          <w:rFonts w:ascii="Times New Roman" w:hAnsi="Times New Roman"/>
          <w:noProof/>
          <w:sz w:val="24"/>
        </w:rPr>
        <w:t xml:space="preserve">. </w:t>
      </w:r>
    </w:p>
    <w:p w:rsidR="000A7459" w:rsidRDefault="00D83169">
      <w:pPr>
        <w:spacing w:after="120" w:line="240" w:lineRule="auto"/>
        <w:jc w:val="both"/>
        <w:rPr>
          <w:rFonts w:ascii="Times New Roman" w:eastAsia="ヒラギノ角ゴ Pro W3" w:hAnsi="Times New Roman" w:cs="Times New Roman"/>
          <w:noProof/>
          <w:color w:val="000000"/>
          <w:spacing w:val="-4"/>
          <w:sz w:val="24"/>
          <w:szCs w:val="24"/>
        </w:rPr>
      </w:pPr>
      <w:r>
        <w:rPr>
          <w:rFonts w:ascii="Times New Roman" w:hAnsi="Times New Roman"/>
          <w:noProof/>
          <w:color w:val="000000"/>
          <w:spacing w:val="-4"/>
          <w:sz w:val="24"/>
        </w:rPr>
        <w:t xml:space="preserve">Рамката за партньорство е част от всеобхватния отговор на предизвикателството на миграцията, представен </w:t>
      </w:r>
      <w:r>
        <w:rPr>
          <w:rFonts w:ascii="Times New Roman" w:hAnsi="Times New Roman"/>
          <w:noProof/>
          <w:color w:val="000000"/>
          <w:spacing w:val="-4"/>
          <w:sz w:val="24"/>
        </w:rPr>
        <w:t>в европейската програма за миграцията, в който всички направления на действие са взаимосвързани. Поради това настоящият доклад е тясно свързан с подновения план за действие относно по-ефективна политика за връщане и с Препоръката относно прилагането на Дир</w:t>
      </w:r>
      <w:r>
        <w:rPr>
          <w:rFonts w:ascii="Times New Roman" w:hAnsi="Times New Roman"/>
          <w:noProof/>
          <w:color w:val="000000"/>
          <w:spacing w:val="-4"/>
          <w:sz w:val="24"/>
        </w:rPr>
        <w:t>ективата за връщането, приета паралелно от Комисията</w:t>
      </w:r>
      <w:r>
        <w:rPr>
          <w:rStyle w:val="FootnoteReference"/>
          <w:rFonts w:ascii="Times New Roman" w:hAnsi="Times New Roman"/>
          <w:noProof/>
          <w:color w:val="000000"/>
          <w:spacing w:val="-4"/>
          <w:sz w:val="24"/>
        </w:rPr>
        <w:footnoteReference w:id="8"/>
      </w:r>
      <w:r>
        <w:rPr>
          <w:rFonts w:ascii="Times New Roman" w:hAnsi="Times New Roman"/>
          <w:noProof/>
          <w:color w:val="000000"/>
          <w:spacing w:val="-4"/>
          <w:sz w:val="24"/>
        </w:rPr>
        <w:t xml:space="preserve">. </w:t>
      </w:r>
      <w:r>
        <w:rPr>
          <w:rFonts w:ascii="Times New Roman" w:hAnsi="Times New Roman"/>
          <w:noProof/>
          <w:spacing w:val="-4"/>
          <w:sz w:val="24"/>
        </w:rPr>
        <w:t>Постигането на съществен напредък при връщанията зависи от осигуряването на по-опростени и ефикасни правни и административни процедури в рамките на ЕС, както и на пълно сътрудничество с третите държави</w:t>
      </w:r>
      <w:r>
        <w:rPr>
          <w:rFonts w:ascii="Times New Roman" w:hAnsi="Times New Roman"/>
          <w:noProof/>
          <w:spacing w:val="-4"/>
          <w:sz w:val="24"/>
        </w:rPr>
        <w:t xml:space="preserve"> на произход, при пълно спазване на хуманитарните императиви и висока степен на защита на правата на човека.</w:t>
      </w:r>
    </w:p>
    <w:p w:rsidR="000A7459" w:rsidRDefault="00D83169">
      <w:pPr>
        <w:spacing w:after="120" w:line="240" w:lineRule="auto"/>
        <w:jc w:val="both"/>
        <w:rPr>
          <w:rFonts w:ascii="Times New Roman" w:hAnsi="Times New Roman" w:cs="Times New Roman"/>
          <w:noProof/>
          <w:sz w:val="24"/>
          <w:szCs w:val="24"/>
        </w:rPr>
      </w:pPr>
      <w:r>
        <w:rPr>
          <w:rFonts w:ascii="Times New Roman" w:hAnsi="Times New Roman"/>
          <w:noProof/>
          <w:sz w:val="24"/>
        </w:rPr>
        <w:lastRenderedPageBreak/>
        <w:t>С въведения с рамката за партньорство подход и с определянето и изпълнението на конкретни цели и действия, настоящата задача е да се увеличат осеза</w:t>
      </w:r>
      <w:r>
        <w:rPr>
          <w:rFonts w:ascii="Times New Roman" w:hAnsi="Times New Roman"/>
          <w:noProof/>
          <w:sz w:val="24"/>
        </w:rPr>
        <w:t xml:space="preserve">емите резултати във всички области на сътрудничество. Необходимо е напредъкът по отношение на намаляването на имиграционните потоци и увеличаването на броя на връщанията да бъде ускорен с оглед на предстоящия летен сезон. Трябва да се работи по-интензивно </w:t>
      </w:r>
      <w:r>
        <w:rPr>
          <w:rFonts w:ascii="Times New Roman" w:hAnsi="Times New Roman"/>
          <w:noProof/>
          <w:sz w:val="24"/>
        </w:rPr>
        <w:t>за изграждане на общо разбиране между ЕС и държавите партньорки на разглежданите въпроси и на начина, по който следва да се подходи към тях, за да се постигнат конкретни резултати и да се засили още повече доброто сътрудничество между ЕС и държавите членки</w:t>
      </w:r>
      <w:r>
        <w:rPr>
          <w:rFonts w:ascii="Times New Roman" w:hAnsi="Times New Roman"/>
          <w:noProof/>
          <w:sz w:val="24"/>
        </w:rPr>
        <w:t>. В своя доклад през юни — една година след началото на програмата за партньорство — Комисията, в тясно сътрудничество с Европейската служба за външна дейност, ще направи преглед на подхода и на неговото въздействие за намаляването на незаконните миграцион</w:t>
      </w:r>
      <w:r>
        <w:rPr>
          <w:rFonts w:ascii="Times New Roman" w:hAnsi="Times New Roman"/>
          <w:noProof/>
          <w:sz w:val="24"/>
        </w:rPr>
        <w:t xml:space="preserve">ни потоци, преодоляването на техните първопричини и увеличаването на процента на връщанията. </w:t>
      </w:r>
    </w:p>
    <w:p w:rsidR="000A7459" w:rsidRDefault="000A7459">
      <w:pPr>
        <w:spacing w:before="120" w:after="120" w:line="240" w:lineRule="auto"/>
        <w:rPr>
          <w:rFonts w:ascii="Times New Roman" w:hAnsi="Times New Roman" w:cs="Times New Roman"/>
          <w:b/>
          <w:noProof/>
          <w:sz w:val="24"/>
          <w:szCs w:val="24"/>
        </w:rPr>
      </w:pPr>
    </w:p>
    <w:p w:rsidR="000A7459" w:rsidRDefault="00D83169">
      <w:pPr>
        <w:spacing w:before="120" w:after="120" w:line="240" w:lineRule="auto"/>
        <w:rPr>
          <w:rFonts w:ascii="Times New Roman" w:hAnsi="Times New Roman" w:cs="Times New Roman"/>
          <w:b/>
          <w:noProof/>
          <w:sz w:val="24"/>
          <w:szCs w:val="24"/>
        </w:rPr>
      </w:pPr>
      <w:r>
        <w:rPr>
          <w:rFonts w:ascii="Times New Roman" w:hAnsi="Times New Roman"/>
          <w:b/>
          <w:noProof/>
          <w:sz w:val="24"/>
        </w:rPr>
        <w:t xml:space="preserve">2. </w:t>
      </w:r>
      <w:r>
        <w:rPr>
          <w:noProof/>
        </w:rPr>
        <w:tab/>
      </w:r>
      <w:r>
        <w:rPr>
          <w:rFonts w:ascii="Times New Roman" w:hAnsi="Times New Roman"/>
          <w:b/>
          <w:noProof/>
          <w:sz w:val="24"/>
        </w:rPr>
        <w:t>Напредък/резултати, постигнати с приоритетните държави</w:t>
      </w:r>
    </w:p>
    <w:p w:rsidR="000A7459" w:rsidRDefault="00D83169">
      <w:pPr>
        <w:spacing w:after="120" w:line="240" w:lineRule="auto"/>
        <w:jc w:val="both"/>
        <w:rPr>
          <w:rFonts w:ascii="Times New Roman" w:hAnsi="Times New Roman" w:cs="Times New Roman"/>
          <w:b/>
          <w:noProof/>
          <w:sz w:val="24"/>
          <w:szCs w:val="24"/>
        </w:rPr>
      </w:pPr>
      <w:r>
        <w:rPr>
          <w:rFonts w:ascii="Times New Roman" w:hAnsi="Times New Roman"/>
          <w:b/>
          <w:noProof/>
          <w:sz w:val="24"/>
        </w:rPr>
        <w:t>Нигер</w:t>
      </w:r>
    </w:p>
    <w:p w:rsidR="000A7459" w:rsidRDefault="00D83169">
      <w:pPr>
        <w:spacing w:after="120" w:line="240" w:lineRule="auto"/>
        <w:jc w:val="both"/>
        <w:rPr>
          <w:rFonts w:ascii="Times New Roman" w:hAnsi="Times New Roman" w:cs="Times New Roman"/>
          <w:noProof/>
          <w:spacing w:val="-2"/>
          <w:sz w:val="24"/>
          <w:szCs w:val="24"/>
        </w:rPr>
      </w:pPr>
      <w:r>
        <w:rPr>
          <w:rFonts w:ascii="Times New Roman" w:hAnsi="Times New Roman"/>
          <w:noProof/>
          <w:spacing w:val="-2"/>
          <w:sz w:val="24"/>
        </w:rPr>
        <w:t xml:space="preserve">Сътрудничеството с Нигер като основна транзитна държава продължава да бъде ефективно. </w:t>
      </w:r>
      <w:r>
        <w:rPr>
          <w:rFonts w:ascii="Times New Roman" w:hAnsi="Times New Roman"/>
          <w:noProof/>
          <w:spacing w:val="-2"/>
          <w:sz w:val="24"/>
        </w:rPr>
        <w:t>Посещението на президента Исуфу в Брюксел през декември 2016 г. даде възможност да се подчертае важността на отношенията между ЕС и Нигер и взаимният интерес от борбата с контрабандата и гарантирането на по-добро управление на миграцията в региона на Сахел</w:t>
      </w:r>
      <w:r>
        <w:rPr>
          <w:rFonts w:ascii="Times New Roman" w:hAnsi="Times New Roman"/>
          <w:noProof/>
          <w:spacing w:val="-2"/>
          <w:sz w:val="24"/>
        </w:rPr>
        <w:t>. Датският министър по въпросите на сътрудничеството за развитие посети страната през януари, успоредно с провеждането на техническа мисия на ЕС. Следващата техническа мисия през февруари събра данни относно алтернативните маршрути и набелязаните възможнос</w:t>
      </w:r>
      <w:r>
        <w:rPr>
          <w:rFonts w:ascii="Times New Roman" w:hAnsi="Times New Roman"/>
          <w:noProof/>
          <w:spacing w:val="-2"/>
          <w:sz w:val="24"/>
        </w:rPr>
        <w:t>ти за евентуални нови проекти. За края на март е планирана мисия в Нигер на висши служители на ЕС и на държавите членки.</w:t>
      </w:r>
    </w:p>
    <w:p w:rsidR="000A7459" w:rsidRDefault="00D83169">
      <w:pPr>
        <w:autoSpaceDE w:val="0"/>
        <w:autoSpaceDN w:val="0"/>
        <w:adjustRightInd w:val="0"/>
        <w:spacing w:after="120" w:line="240" w:lineRule="auto"/>
        <w:jc w:val="both"/>
        <w:rPr>
          <w:rFonts w:ascii="Times New Roman" w:eastAsia="Calibri" w:hAnsi="Times New Roman" w:cs="Times New Roman"/>
          <w:noProof/>
          <w:color w:val="000000"/>
          <w:spacing w:val="-6"/>
          <w:sz w:val="24"/>
          <w:szCs w:val="24"/>
        </w:rPr>
      </w:pPr>
      <w:r>
        <w:rPr>
          <w:rFonts w:ascii="Times New Roman" w:hAnsi="Times New Roman"/>
          <w:noProof/>
          <w:color w:val="000000"/>
          <w:spacing w:val="-6"/>
          <w:sz w:val="24"/>
        </w:rPr>
        <w:t xml:space="preserve">Налице е ясен спад в броя на мигрантите, тръгващи от Агадез към Европа (от пиковата стойност 70 000 мигранти през май на 6 524 през </w:t>
      </w:r>
      <w:r>
        <w:rPr>
          <w:rFonts w:ascii="Times New Roman" w:hAnsi="Times New Roman"/>
          <w:noProof/>
          <w:color w:val="000000"/>
          <w:spacing w:val="-6"/>
          <w:sz w:val="24"/>
        </w:rPr>
        <w:t>януари 2017 г.)</w:t>
      </w:r>
      <w:r>
        <w:rPr>
          <w:rStyle w:val="FootnoteReference"/>
          <w:rFonts w:ascii="Times New Roman" w:hAnsi="Times New Roman"/>
          <w:noProof/>
          <w:color w:val="000000"/>
          <w:spacing w:val="-6"/>
          <w:sz w:val="24"/>
        </w:rPr>
        <w:footnoteReference w:id="9"/>
      </w:r>
      <w:r>
        <w:rPr>
          <w:rFonts w:ascii="Times New Roman" w:hAnsi="Times New Roman"/>
          <w:noProof/>
          <w:color w:val="000000"/>
          <w:spacing w:val="-6"/>
          <w:sz w:val="24"/>
        </w:rPr>
        <w:t>. Броят на мигрантите, насочени към Международната организация по миграция за репатриране, се е увеличил, заедно с броя на доброволните връщания. През 2016 г. броят на мигрантите в центровете, управлявани от Международната организация по ми</w:t>
      </w:r>
      <w:r>
        <w:rPr>
          <w:rFonts w:ascii="Times New Roman" w:hAnsi="Times New Roman"/>
          <w:noProof/>
          <w:color w:val="000000"/>
          <w:spacing w:val="-6"/>
          <w:sz w:val="24"/>
        </w:rPr>
        <w:t>грация, се е удвоил в сравнение с предходната година, като подпомогнатите лица са над 15 000</w:t>
      </w:r>
      <w:r>
        <w:rPr>
          <w:rFonts w:ascii="Times New Roman" w:hAnsi="Times New Roman"/>
          <w:noProof/>
          <w:color w:val="000000"/>
          <w:spacing w:val="-6"/>
          <w:sz w:val="24"/>
          <w:vertAlign w:val="superscript"/>
        </w:rPr>
        <w:footnoteReference w:id="10"/>
      </w:r>
      <w:r>
        <w:rPr>
          <w:rFonts w:ascii="Times New Roman" w:hAnsi="Times New Roman"/>
          <w:noProof/>
          <w:color w:val="000000"/>
          <w:spacing w:val="-6"/>
          <w:sz w:val="24"/>
        </w:rPr>
        <w:t xml:space="preserve">. От тях 4 788 мигранти от трети държави и 301 нигерийци са били подпомогнати при доброволното им връщане към техните общности на произход през първите единадесет </w:t>
      </w:r>
      <w:r>
        <w:rPr>
          <w:rFonts w:ascii="Times New Roman" w:hAnsi="Times New Roman"/>
          <w:noProof/>
          <w:color w:val="000000"/>
          <w:spacing w:val="-6"/>
          <w:sz w:val="24"/>
        </w:rPr>
        <w:t>месеца на 2016 г. (което е повече от трикратно увеличение на броя в сравнение с 2015 г.). Транзитните центрове са предложили също така обучение както за мигрантите, така и за местното население за развиване на източници на доходи в области като производств</w:t>
      </w:r>
      <w:r>
        <w:rPr>
          <w:rFonts w:ascii="Times New Roman" w:hAnsi="Times New Roman"/>
          <w:noProof/>
          <w:color w:val="000000"/>
          <w:spacing w:val="-6"/>
          <w:sz w:val="24"/>
        </w:rPr>
        <w:t xml:space="preserve">ото на тухли и изработването на бижута. До края на 2016 г. над 600 души са се възползвали от това обучение. </w:t>
      </w:r>
    </w:p>
    <w:p w:rsidR="000A7459" w:rsidRDefault="00D83169">
      <w:pPr>
        <w:spacing w:after="120" w:line="240" w:lineRule="auto"/>
        <w:jc w:val="both"/>
        <w:rPr>
          <w:rFonts w:ascii="Times New Roman" w:eastAsia="ヒラギノ角ゴ Pro W3" w:hAnsi="Times New Roman" w:cs="Times New Roman"/>
          <w:noProof/>
          <w:color w:val="000000"/>
          <w:sz w:val="24"/>
          <w:szCs w:val="24"/>
        </w:rPr>
      </w:pPr>
      <w:r>
        <w:rPr>
          <w:rFonts w:ascii="Times New Roman" w:hAnsi="Times New Roman"/>
          <w:noProof/>
          <w:color w:val="000000"/>
          <w:sz w:val="24"/>
        </w:rPr>
        <w:t>Нигерските правоприлагащи органи са продължили да полагат усилия за справяне с нелегалното преминаване и контрабандата на мигранти; конфискувани са</w:t>
      </w:r>
      <w:r>
        <w:rPr>
          <w:rFonts w:ascii="Times New Roman" w:hAnsi="Times New Roman"/>
          <w:noProof/>
          <w:color w:val="000000"/>
          <w:sz w:val="24"/>
        </w:rPr>
        <w:t xml:space="preserve"> повече превозни средства и са задържани повече водачи. Осигуряването на изпълнението на законодателството срещу контрабандата на мигранти се подпомага от фондовете на ЕС. Без съмнение са нужни повече усилия за ефективно разбиване на мрежите за контрабанда</w:t>
      </w:r>
      <w:r>
        <w:rPr>
          <w:rFonts w:ascii="Times New Roman" w:hAnsi="Times New Roman"/>
          <w:noProof/>
          <w:color w:val="000000"/>
          <w:sz w:val="24"/>
        </w:rPr>
        <w:t xml:space="preserve">, които често действат на трансгранично равнище. </w:t>
      </w:r>
    </w:p>
    <w:p w:rsidR="000A7459" w:rsidRDefault="00D83169">
      <w:pPr>
        <w:spacing w:after="120" w:line="240" w:lineRule="auto"/>
        <w:jc w:val="both"/>
        <w:rPr>
          <w:rFonts w:ascii="Times New Roman" w:hAnsi="Times New Roman" w:cs="Times New Roman"/>
          <w:noProof/>
          <w:sz w:val="24"/>
          <w:szCs w:val="24"/>
        </w:rPr>
      </w:pPr>
      <w:r>
        <w:rPr>
          <w:rFonts w:ascii="Times New Roman" w:hAnsi="Times New Roman"/>
          <w:noProof/>
          <w:sz w:val="24"/>
        </w:rPr>
        <w:lastRenderedPageBreak/>
        <w:t xml:space="preserve">В центъра на дейността ще бъде засилването на подкрепата на ЕС за прилагането на приетия от Нигер през ноември план за действие при извънредни ситуации, насочен срещу контрабандата на мигранти в региона на </w:t>
      </w:r>
      <w:r>
        <w:rPr>
          <w:rFonts w:ascii="Times New Roman" w:hAnsi="Times New Roman"/>
          <w:noProof/>
          <w:sz w:val="24"/>
        </w:rPr>
        <w:t xml:space="preserve">Агадез. Ключово в това отношение е засилването на присъствието на ЕС и на държавите членки в тази област. Действията срещу мрежите за контрабанда ще бъдат засилени и посредством подкрепа за съвместен екип за разследване. </w:t>
      </w:r>
    </w:p>
    <w:p w:rsidR="000A7459" w:rsidRDefault="00D83169">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На 1 февруари в делегацията на ЕС </w:t>
      </w:r>
      <w:r>
        <w:rPr>
          <w:rFonts w:ascii="Times New Roman" w:hAnsi="Times New Roman"/>
          <w:noProof/>
          <w:sz w:val="24"/>
        </w:rPr>
        <w:t>в Ниамей бе изпратен европейски служител за връзка по въпросите на миграцията. В делегацията ще бъдат изпратени още служители на ЕС, включително служител за връзка от Европейската агенция за гранична и брегова охрана. По линия на Разузнавателната общност А</w:t>
      </w:r>
      <w:r>
        <w:rPr>
          <w:rFonts w:ascii="Times New Roman" w:hAnsi="Times New Roman"/>
          <w:noProof/>
          <w:sz w:val="24"/>
        </w:rPr>
        <w:t xml:space="preserve">фрика — Frontex националните власти на държавите партньорки по протежение на миграционния маршрут получават подкрепа за изготвянето на анализ на риска и оценка на миграционните потоци. В началото на март в Нигер ще се проведе заседание на Разузнавателната </w:t>
      </w:r>
      <w:r>
        <w:rPr>
          <w:rFonts w:ascii="Times New Roman" w:hAnsi="Times New Roman"/>
          <w:noProof/>
          <w:sz w:val="24"/>
        </w:rPr>
        <w:t>общност Африка — Frontex, а по-късно през 2017 г. ще бъде създадено звено за анализ на риска.</w:t>
      </w:r>
    </w:p>
    <w:p w:rsidR="000A7459" w:rsidRDefault="00D83169">
      <w:pPr>
        <w:spacing w:after="120" w:line="240" w:lineRule="auto"/>
        <w:jc w:val="both"/>
        <w:rPr>
          <w:rFonts w:ascii="Times New Roman" w:eastAsia="ヒラギノ角ゴ Pro W3" w:hAnsi="Times New Roman" w:cs="Times New Roman"/>
          <w:noProof/>
          <w:sz w:val="24"/>
          <w:szCs w:val="24"/>
        </w:rPr>
      </w:pPr>
      <w:r>
        <w:rPr>
          <w:rFonts w:ascii="Times New Roman" w:hAnsi="Times New Roman"/>
          <w:noProof/>
          <w:sz w:val="24"/>
        </w:rPr>
        <w:t xml:space="preserve">В допълнение към плана за действие при извънредни ситуации нигерските власти подготвят и средносрочен план за действие, който ще бъде насочен към преодоляване на </w:t>
      </w:r>
      <w:r>
        <w:rPr>
          <w:rFonts w:ascii="Times New Roman" w:hAnsi="Times New Roman"/>
          <w:noProof/>
          <w:sz w:val="24"/>
        </w:rPr>
        <w:t xml:space="preserve">пропуските в използвания в момента подход. Двата плана ще се осъществяват в рамките на нова национална стратегия за миграцията, която понастоящем е в процес на финализиране от нигерските власти. </w:t>
      </w:r>
    </w:p>
    <w:p w:rsidR="000A7459" w:rsidRDefault="00D83169">
      <w:pPr>
        <w:spacing w:after="120" w:line="240" w:lineRule="auto"/>
        <w:jc w:val="both"/>
        <w:rPr>
          <w:rFonts w:ascii="Times New Roman" w:eastAsia="ヒラギノ角ゴ Pro W3" w:hAnsi="Times New Roman" w:cs="Times New Roman"/>
          <w:noProof/>
          <w:color w:val="000000"/>
          <w:spacing w:val="-6"/>
          <w:sz w:val="24"/>
          <w:szCs w:val="24"/>
        </w:rPr>
      </w:pPr>
      <w:r>
        <w:rPr>
          <w:rFonts w:ascii="Times New Roman" w:hAnsi="Times New Roman"/>
          <w:noProof/>
          <w:spacing w:val="-6"/>
          <w:sz w:val="24"/>
        </w:rPr>
        <w:t>Действията на ЕС също така подкрепят усилията, които Нигер п</w:t>
      </w:r>
      <w:r>
        <w:rPr>
          <w:rFonts w:ascii="Times New Roman" w:hAnsi="Times New Roman"/>
          <w:noProof/>
          <w:spacing w:val="-6"/>
          <w:sz w:val="24"/>
        </w:rPr>
        <w:t xml:space="preserve">олага за развитието на страната като цяло и с оглед на първопричините за миграцията и принудителното разселване. В допълнение към програмата за бюджетна подкрепа в Нигер понастоящем се изпълняват девет проекта, подкрепяни в рамките на Доверителния фонд на </w:t>
      </w:r>
      <w:r>
        <w:rPr>
          <w:rFonts w:ascii="Times New Roman" w:hAnsi="Times New Roman"/>
          <w:noProof/>
          <w:spacing w:val="-6"/>
          <w:sz w:val="24"/>
        </w:rPr>
        <w:t>ЕС за Африка</w:t>
      </w:r>
      <w:r>
        <w:rPr>
          <w:rStyle w:val="FootnoteReference"/>
          <w:rFonts w:ascii="Times New Roman" w:hAnsi="Times New Roman"/>
          <w:noProof/>
          <w:spacing w:val="-6"/>
          <w:sz w:val="24"/>
        </w:rPr>
        <w:footnoteReference w:id="11"/>
      </w:r>
      <w:r>
        <w:rPr>
          <w:rFonts w:ascii="Times New Roman" w:hAnsi="Times New Roman"/>
          <w:noProof/>
          <w:spacing w:val="-6"/>
          <w:sz w:val="24"/>
        </w:rPr>
        <w:t>. В края на януари 2017 г. на място в Агадез стартираха три нови проекта. Освен това през декември бяха одобрени допълнителни проекти, които се очаква да включват подпомагане на около 30 000 мигранти, връщане на 12 000 души и сенсибилизация</w:t>
      </w:r>
      <w:r>
        <w:rPr>
          <w:rStyle w:val="FootnoteReference"/>
          <w:rFonts w:ascii="Times New Roman" w:hAnsi="Times New Roman"/>
          <w:noProof/>
          <w:spacing w:val="-6"/>
          <w:sz w:val="24"/>
        </w:rPr>
        <w:footnoteReference w:id="12"/>
      </w:r>
      <w:r>
        <w:rPr>
          <w:rFonts w:ascii="Times New Roman" w:hAnsi="Times New Roman"/>
          <w:noProof/>
          <w:spacing w:val="-6"/>
          <w:sz w:val="24"/>
        </w:rPr>
        <w:t xml:space="preserve"> на 40 000 мигранти. Проектите са насочени и към предоставяне на парцели, жилищно настаняване и достъп до питейна вода за 28 000 души, като 42 000 души ще имат достъп до жилищно настаняване и питейна вода и ще бъдат създадени 2 000 работни места в областта</w:t>
      </w:r>
      <w:r>
        <w:rPr>
          <w:rFonts w:ascii="Times New Roman" w:hAnsi="Times New Roman"/>
          <w:noProof/>
          <w:spacing w:val="-6"/>
          <w:sz w:val="24"/>
        </w:rPr>
        <w:t xml:space="preserve"> на строителството. Комисията също така подписа договор с Върховния орган за консолидиране на мира, с който ще се предоставят възможности за краткосрочна заетост на младите хора, като това ще спомогне да бъдат осигурени алтернативни източници на доходи за </w:t>
      </w:r>
      <w:r>
        <w:rPr>
          <w:rFonts w:ascii="Times New Roman" w:hAnsi="Times New Roman"/>
          <w:noProof/>
          <w:spacing w:val="-6"/>
          <w:sz w:val="24"/>
        </w:rPr>
        <w:t xml:space="preserve">65 000 души. Други проекти в процес на разработване включват оценка на осъществимостта на проект за хибридна електроцентрала в Агадез, което би било важен фактор за стимулиране както на заетостта, така и на енергийната сигурност. </w:t>
      </w:r>
    </w:p>
    <w:p w:rsidR="000A7459" w:rsidRDefault="00D83169">
      <w:pPr>
        <w:spacing w:after="120" w:line="240" w:lineRule="auto"/>
        <w:jc w:val="both"/>
        <w:rPr>
          <w:rFonts w:ascii="Times New Roman" w:hAnsi="Times New Roman"/>
          <w:noProof/>
          <w:color w:val="000000"/>
          <w:sz w:val="24"/>
          <w:szCs w:val="24"/>
        </w:rPr>
      </w:pPr>
      <w:r>
        <w:rPr>
          <w:rFonts w:ascii="Times New Roman" w:hAnsi="Times New Roman"/>
          <w:noProof/>
          <w:color w:val="000000"/>
          <w:sz w:val="24"/>
        </w:rPr>
        <w:t>Проект по линия на Довери</w:t>
      </w:r>
      <w:r>
        <w:rPr>
          <w:rFonts w:ascii="Times New Roman" w:hAnsi="Times New Roman"/>
          <w:noProof/>
          <w:color w:val="000000"/>
          <w:sz w:val="24"/>
        </w:rPr>
        <w:t>телния фонд на ЕС за Африка вече бе одобрен за региона на Дифа, който е изложен на особено силен натиск вследствие на бунтовническите действия на „Боко Харам“. Проблемите със сигурността обаче се отразяват на ефикасността на помощта.</w:t>
      </w:r>
    </w:p>
    <w:p w:rsidR="000A7459" w:rsidRDefault="00D83169">
      <w:pPr>
        <w:spacing w:after="120" w:line="240" w:lineRule="auto"/>
        <w:jc w:val="both"/>
        <w:rPr>
          <w:rFonts w:ascii="Times New Roman" w:eastAsia="ヒラギノ角ゴ Pro W3" w:hAnsi="Times New Roman" w:cs="Times New Roman"/>
          <w:noProof/>
          <w:color w:val="000000"/>
          <w:spacing w:val="-2"/>
          <w:sz w:val="24"/>
          <w:szCs w:val="24"/>
        </w:rPr>
      </w:pPr>
      <w:r>
        <w:rPr>
          <w:rFonts w:ascii="Times New Roman" w:hAnsi="Times New Roman"/>
          <w:noProof/>
          <w:spacing w:val="-2"/>
          <w:sz w:val="24"/>
        </w:rPr>
        <w:t>Въпреки че през послед</w:t>
      </w:r>
      <w:r>
        <w:rPr>
          <w:rFonts w:ascii="Times New Roman" w:hAnsi="Times New Roman"/>
          <w:noProof/>
          <w:spacing w:val="-2"/>
          <w:sz w:val="24"/>
        </w:rPr>
        <w:t>ните месеци бе наблюдавано намаляване на миграционния поток през Агадез и нигерските власти засилиха контрола върху известните основни транзитни пътища, ще трябва да се наблюдават възможните алтернативни маршрути както в Нигер, така и в съседните държави (</w:t>
      </w:r>
      <w:r>
        <w:rPr>
          <w:rFonts w:ascii="Times New Roman" w:hAnsi="Times New Roman"/>
          <w:noProof/>
          <w:spacing w:val="-2"/>
          <w:sz w:val="24"/>
        </w:rPr>
        <w:t xml:space="preserve">като Мали, Чад или Алжир). Има вероятност тези алтернативни маршрути да са по-опасни за мигрантите, като се има предвид географското положение, недостатъчно добрата инфраструктура и присъствието на </w:t>
      </w:r>
      <w:r>
        <w:rPr>
          <w:rFonts w:ascii="Times New Roman" w:hAnsi="Times New Roman"/>
          <w:noProof/>
          <w:spacing w:val="-2"/>
          <w:sz w:val="24"/>
        </w:rPr>
        <w:lastRenderedPageBreak/>
        <w:t xml:space="preserve">въоръжени групи. През януари 2017 г. ЕС проведе две мисии </w:t>
      </w:r>
      <w:r>
        <w:rPr>
          <w:rFonts w:ascii="Times New Roman" w:hAnsi="Times New Roman"/>
          <w:noProof/>
          <w:spacing w:val="-2"/>
          <w:sz w:val="24"/>
        </w:rPr>
        <w:t xml:space="preserve">на място, за да извърши оценка на тези маршрути и да спомогне за набелязването на проекти с бързо въздействие за създаване на икономически алтернативи в местните общности, зависещи от доходите от контрабанда. </w:t>
      </w:r>
      <w:r>
        <w:rPr>
          <w:rFonts w:ascii="Times New Roman" w:hAnsi="Times New Roman"/>
          <w:noProof/>
          <w:color w:val="000000"/>
          <w:spacing w:val="-2"/>
          <w:sz w:val="24"/>
        </w:rPr>
        <w:t>За ефективния мониторинг и анализ на алтернатив</w:t>
      </w:r>
      <w:r>
        <w:rPr>
          <w:rFonts w:ascii="Times New Roman" w:hAnsi="Times New Roman"/>
          <w:noProof/>
          <w:color w:val="000000"/>
          <w:spacing w:val="-2"/>
          <w:sz w:val="24"/>
        </w:rPr>
        <w:t xml:space="preserve">ните пътища е необходимо да се работи съвместно с Международната организация по миграция и служителите за връзка на европейско ниво и на ниво държави членки. </w:t>
      </w:r>
      <w:r>
        <w:rPr>
          <w:rFonts w:ascii="Times New Roman" w:hAnsi="Times New Roman"/>
          <w:noProof/>
          <w:spacing w:val="-2"/>
          <w:sz w:val="24"/>
        </w:rPr>
        <w:t>Освен това трябва да се търсят синергии с проекти в области като полицейското сътрудничество и същ</w:t>
      </w:r>
      <w:r>
        <w:rPr>
          <w:rFonts w:ascii="Times New Roman" w:hAnsi="Times New Roman"/>
          <w:noProof/>
          <w:spacing w:val="-2"/>
          <w:sz w:val="24"/>
        </w:rPr>
        <w:t>ествуващото регионално сътрудничество, както и да се укрепи сътрудничеството в други области на политиката, като изменението на климата (възстановяване на почвите, напояване, залесяване) и образователната мобилност.</w:t>
      </w:r>
      <w:r>
        <w:rPr>
          <w:rFonts w:ascii="Times New Roman" w:hAnsi="Times New Roman"/>
          <w:noProof/>
          <w:color w:val="000000"/>
          <w:spacing w:val="-2"/>
          <w:sz w:val="24"/>
        </w:rPr>
        <w:t xml:space="preserve"> </w:t>
      </w:r>
    </w:p>
    <w:p w:rsidR="000A7459" w:rsidRDefault="00D83169">
      <w:pPr>
        <w:spacing w:after="120" w:line="240" w:lineRule="auto"/>
        <w:jc w:val="both"/>
        <w:rPr>
          <w:rFonts w:ascii="Times New Roman" w:eastAsia="ヒラギノ角ゴ Pro W3" w:hAnsi="Times New Roman" w:cs="Times New Roman"/>
          <w:noProof/>
          <w:color w:val="000000"/>
          <w:sz w:val="24"/>
          <w:szCs w:val="24"/>
        </w:rPr>
      </w:pPr>
      <w:r>
        <w:rPr>
          <w:rFonts w:ascii="Times New Roman" w:hAnsi="Times New Roman"/>
          <w:noProof/>
          <w:sz w:val="24"/>
        </w:rPr>
        <w:t>Справянето с настъпващите по протежение</w:t>
      </w:r>
      <w:r>
        <w:rPr>
          <w:rFonts w:ascii="Times New Roman" w:hAnsi="Times New Roman"/>
          <w:noProof/>
          <w:sz w:val="24"/>
        </w:rPr>
        <w:t xml:space="preserve"> на маршрута промени изисква по-засилен ангажимент на регионално равнище, по-специално на държавите от Г-5 от Сахел</w:t>
      </w:r>
      <w:r>
        <w:rPr>
          <w:rStyle w:val="FootnoteReference"/>
          <w:rFonts w:ascii="Times New Roman" w:hAnsi="Times New Roman"/>
          <w:noProof/>
          <w:sz w:val="24"/>
        </w:rPr>
        <w:footnoteReference w:id="13"/>
      </w:r>
      <w:r>
        <w:rPr>
          <w:rFonts w:ascii="Times New Roman" w:hAnsi="Times New Roman"/>
          <w:noProof/>
          <w:sz w:val="24"/>
        </w:rPr>
        <w:t>. ЕС вече предоставя подкрепа, главно чрез своите мисии по линия на общата политика за сигурност и отбрана и Доверителния фонд на ЕС за Афри</w:t>
      </w:r>
      <w:r>
        <w:rPr>
          <w:rFonts w:ascii="Times New Roman" w:hAnsi="Times New Roman"/>
          <w:noProof/>
          <w:sz w:val="24"/>
        </w:rPr>
        <w:t xml:space="preserve">ка. ЕС ще продължи да увеличава подкрепата си за Г-5 от Сахел. Освен това може да бъде разгледана възможността за предприемане на нови дейности с цел увеличаване на капацитета на южните съседи на Либия в области като граничния контрол и разузнаването. </w:t>
      </w:r>
    </w:p>
    <w:p w:rsidR="000A7459" w:rsidRDefault="00D83169">
      <w:pPr>
        <w:spacing w:after="120" w:line="240" w:lineRule="auto"/>
        <w:jc w:val="both"/>
        <w:rPr>
          <w:rFonts w:ascii="Times New Roman" w:hAnsi="Times New Roman" w:cs="Times New Roman"/>
          <w:b/>
          <w:i/>
          <w:noProof/>
          <w:sz w:val="24"/>
          <w:szCs w:val="24"/>
        </w:rPr>
      </w:pPr>
      <w:r>
        <w:rPr>
          <w:rFonts w:ascii="Times New Roman" w:hAnsi="Times New Roman"/>
          <w:b/>
          <w:i/>
          <w:noProof/>
          <w:sz w:val="24"/>
        </w:rPr>
        <w:t>Сле</w:t>
      </w:r>
      <w:r>
        <w:rPr>
          <w:rFonts w:ascii="Times New Roman" w:hAnsi="Times New Roman"/>
          <w:b/>
          <w:i/>
          <w:noProof/>
          <w:sz w:val="24"/>
        </w:rPr>
        <w:t>дващи стъпки:</w:t>
      </w:r>
    </w:p>
    <w:p w:rsidR="000A7459" w:rsidRDefault="00D83169">
      <w:pPr>
        <w:pStyle w:val="ListParagraph"/>
        <w:numPr>
          <w:ilvl w:val="0"/>
          <w:numId w:val="15"/>
        </w:numPr>
        <w:spacing w:after="0" w:line="240" w:lineRule="auto"/>
        <w:ind w:left="496"/>
        <w:contextualSpacing w:val="0"/>
        <w:jc w:val="both"/>
        <w:rPr>
          <w:rFonts w:ascii="Times New Roman" w:hAnsi="Times New Roman" w:cs="Times New Roman"/>
          <w:iCs/>
          <w:noProof/>
          <w:sz w:val="24"/>
          <w:szCs w:val="24"/>
        </w:rPr>
      </w:pPr>
      <w:r>
        <w:rPr>
          <w:rFonts w:ascii="Times New Roman" w:hAnsi="Times New Roman"/>
          <w:noProof/>
          <w:sz w:val="24"/>
        </w:rPr>
        <w:t xml:space="preserve">Бързо подписване на договори за всички действия, които вече са одобрени в рамките на Доверителния фонд на ЕС, за да се гарантира конкретното изпълнение и осигуряване на алтернативни възможности за доходи с цел заместване на контрабандната </w:t>
      </w:r>
      <w:r>
        <w:rPr>
          <w:rFonts w:ascii="Times New Roman" w:hAnsi="Times New Roman"/>
          <w:noProof/>
          <w:sz w:val="24"/>
        </w:rPr>
        <w:t>икономика.</w:t>
      </w:r>
    </w:p>
    <w:p w:rsidR="000A7459" w:rsidRDefault="00D83169">
      <w:pPr>
        <w:pStyle w:val="ListParagraph"/>
        <w:numPr>
          <w:ilvl w:val="0"/>
          <w:numId w:val="15"/>
        </w:numPr>
        <w:spacing w:after="0" w:line="240" w:lineRule="auto"/>
        <w:ind w:left="496"/>
        <w:contextualSpacing w:val="0"/>
        <w:jc w:val="both"/>
        <w:rPr>
          <w:rFonts w:ascii="Times New Roman" w:hAnsi="Times New Roman" w:cs="Times New Roman"/>
          <w:noProof/>
          <w:sz w:val="24"/>
          <w:szCs w:val="24"/>
        </w:rPr>
      </w:pPr>
      <w:r>
        <w:rPr>
          <w:rFonts w:ascii="Times New Roman" w:hAnsi="Times New Roman"/>
          <w:noProof/>
          <w:sz w:val="24"/>
        </w:rPr>
        <w:t>По-интензивни действия за борба с контрабандата и трафика на хора, включително подкрепа за съвместен екип за разследване.</w:t>
      </w:r>
    </w:p>
    <w:p w:rsidR="000A7459" w:rsidRDefault="00D83169">
      <w:pPr>
        <w:pStyle w:val="ListParagraph"/>
        <w:numPr>
          <w:ilvl w:val="0"/>
          <w:numId w:val="15"/>
        </w:numPr>
        <w:spacing w:after="0" w:line="240" w:lineRule="auto"/>
        <w:ind w:left="496"/>
        <w:contextualSpacing w:val="0"/>
        <w:jc w:val="both"/>
        <w:rPr>
          <w:rFonts w:ascii="Times New Roman" w:hAnsi="Times New Roman" w:cs="Times New Roman"/>
          <w:noProof/>
          <w:spacing w:val="-6"/>
          <w:sz w:val="24"/>
          <w:szCs w:val="24"/>
        </w:rPr>
      </w:pPr>
      <w:r>
        <w:rPr>
          <w:rFonts w:ascii="Times New Roman" w:hAnsi="Times New Roman"/>
          <w:noProof/>
          <w:spacing w:val="-6"/>
          <w:sz w:val="24"/>
        </w:rPr>
        <w:t>Засилен мониторинг на възможните алтернативни маршрути и подготовка на подкрепа за подходящи ответни действия по подобие на</w:t>
      </w:r>
      <w:r>
        <w:rPr>
          <w:rFonts w:ascii="Times New Roman" w:hAnsi="Times New Roman"/>
          <w:noProof/>
          <w:spacing w:val="-6"/>
          <w:sz w:val="24"/>
        </w:rPr>
        <w:t xml:space="preserve"> подхода, възприет в региона на Агадез. </w:t>
      </w:r>
    </w:p>
    <w:p w:rsidR="000A7459" w:rsidRDefault="00D83169">
      <w:pPr>
        <w:pStyle w:val="ListParagraph"/>
        <w:numPr>
          <w:ilvl w:val="0"/>
          <w:numId w:val="15"/>
        </w:numPr>
        <w:spacing w:after="0" w:line="240" w:lineRule="auto"/>
        <w:ind w:left="496"/>
        <w:contextualSpacing w:val="0"/>
        <w:jc w:val="both"/>
        <w:rPr>
          <w:rFonts w:ascii="Times New Roman" w:hAnsi="Times New Roman" w:cs="Times New Roman"/>
          <w:noProof/>
          <w:sz w:val="24"/>
          <w:szCs w:val="24"/>
        </w:rPr>
      </w:pPr>
      <w:r>
        <w:rPr>
          <w:rFonts w:ascii="Times New Roman" w:hAnsi="Times New Roman"/>
          <w:noProof/>
          <w:sz w:val="24"/>
        </w:rPr>
        <w:t xml:space="preserve">Предоставяне на коментари по средносрочен план за действие, разработен от Нигер, който се очаква до края на март и се отнася до пропуските, които трябва да бъдат преодолени. </w:t>
      </w:r>
    </w:p>
    <w:p w:rsidR="000A7459" w:rsidRDefault="00D83169">
      <w:pPr>
        <w:pStyle w:val="ListParagraph"/>
        <w:numPr>
          <w:ilvl w:val="0"/>
          <w:numId w:val="15"/>
        </w:numPr>
        <w:spacing w:after="0" w:line="240" w:lineRule="auto"/>
        <w:ind w:left="496"/>
        <w:contextualSpacing w:val="0"/>
        <w:jc w:val="both"/>
        <w:rPr>
          <w:rFonts w:ascii="Times New Roman" w:hAnsi="Times New Roman" w:cs="Times New Roman"/>
          <w:noProof/>
          <w:sz w:val="24"/>
          <w:szCs w:val="24"/>
        </w:rPr>
      </w:pPr>
      <w:r>
        <w:rPr>
          <w:rFonts w:ascii="Times New Roman" w:hAnsi="Times New Roman"/>
          <w:noProof/>
          <w:sz w:val="24"/>
        </w:rPr>
        <w:t>Установяване на работни договорености ме</w:t>
      </w:r>
      <w:r>
        <w:rPr>
          <w:rFonts w:ascii="Times New Roman" w:hAnsi="Times New Roman"/>
          <w:noProof/>
          <w:sz w:val="24"/>
        </w:rPr>
        <w:t>жду Европейската агенция за гранична и брегова охрана и нигерските власти и изпращане на служител за връзка в делегацията на ЕС.</w:t>
      </w:r>
    </w:p>
    <w:p w:rsidR="000A7459" w:rsidRDefault="00D83169">
      <w:pPr>
        <w:pStyle w:val="ListParagraph"/>
        <w:numPr>
          <w:ilvl w:val="0"/>
          <w:numId w:val="15"/>
        </w:numPr>
        <w:spacing w:after="0" w:line="240" w:lineRule="auto"/>
        <w:ind w:left="496"/>
        <w:contextualSpacing w:val="0"/>
        <w:jc w:val="both"/>
        <w:rPr>
          <w:rFonts w:ascii="Times New Roman" w:hAnsi="Times New Roman" w:cs="Times New Roman"/>
          <w:noProof/>
          <w:sz w:val="24"/>
          <w:szCs w:val="24"/>
        </w:rPr>
      </w:pPr>
      <w:r>
        <w:rPr>
          <w:rFonts w:ascii="Times New Roman" w:hAnsi="Times New Roman"/>
          <w:noProof/>
          <w:sz w:val="24"/>
        </w:rPr>
        <w:t>Достигане на пълен оперативен капацитет на постоянното бюро на ЕС в Агадез, включително за провеждане на обучение.</w:t>
      </w:r>
    </w:p>
    <w:p w:rsidR="000A7459" w:rsidRDefault="00D83169">
      <w:pPr>
        <w:pStyle w:val="ListParagraph"/>
        <w:numPr>
          <w:ilvl w:val="0"/>
          <w:numId w:val="15"/>
        </w:numPr>
        <w:spacing w:after="0" w:line="240" w:lineRule="auto"/>
        <w:ind w:left="496"/>
        <w:contextualSpacing w:val="0"/>
        <w:jc w:val="both"/>
        <w:rPr>
          <w:rFonts w:ascii="Times New Roman" w:hAnsi="Times New Roman" w:cs="Times New Roman"/>
          <w:noProof/>
          <w:spacing w:val="-2"/>
          <w:sz w:val="24"/>
          <w:szCs w:val="24"/>
        </w:rPr>
      </w:pPr>
      <w:r>
        <w:rPr>
          <w:rFonts w:ascii="Times New Roman" w:hAnsi="Times New Roman"/>
          <w:noProof/>
          <w:spacing w:val="-2"/>
          <w:sz w:val="24"/>
        </w:rPr>
        <w:t>Последващи д</w:t>
      </w:r>
      <w:r>
        <w:rPr>
          <w:rFonts w:ascii="Times New Roman" w:hAnsi="Times New Roman"/>
          <w:noProof/>
          <w:spacing w:val="-2"/>
          <w:sz w:val="24"/>
        </w:rPr>
        <w:t>ействия във връзка със заседанието на Разузнавателната общност Африка — Frontex и подготовка за начало на дейността на звено за анализ на риска.</w:t>
      </w:r>
    </w:p>
    <w:p w:rsidR="000A7459" w:rsidRDefault="000A7459">
      <w:pPr>
        <w:pStyle w:val="ListParagraph"/>
        <w:spacing w:after="120" w:line="240" w:lineRule="auto"/>
        <w:ind w:left="496"/>
        <w:contextualSpacing w:val="0"/>
        <w:jc w:val="both"/>
        <w:rPr>
          <w:rFonts w:ascii="Times New Roman" w:hAnsi="Times New Roman" w:cs="Times New Roman"/>
          <w:b/>
          <w:noProof/>
          <w:sz w:val="24"/>
          <w:szCs w:val="24"/>
        </w:rPr>
      </w:pPr>
    </w:p>
    <w:p w:rsidR="000A7459" w:rsidRDefault="00D83169">
      <w:pPr>
        <w:spacing w:after="120" w:line="240" w:lineRule="auto"/>
        <w:jc w:val="both"/>
        <w:rPr>
          <w:rFonts w:ascii="Times New Roman" w:hAnsi="Times New Roman" w:cs="Times New Roman"/>
          <w:b/>
          <w:noProof/>
          <w:sz w:val="24"/>
          <w:szCs w:val="24"/>
        </w:rPr>
      </w:pPr>
      <w:r>
        <w:rPr>
          <w:rFonts w:ascii="Times New Roman" w:hAnsi="Times New Roman"/>
          <w:b/>
          <w:noProof/>
          <w:sz w:val="24"/>
        </w:rPr>
        <w:t>Нигерия</w:t>
      </w:r>
    </w:p>
    <w:p w:rsidR="000A7459" w:rsidRDefault="00D83169">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Нигерия е най-многолюдната държава в Африка и нигерийците съставляват най-голямата група от незаконни </w:t>
      </w:r>
      <w:r>
        <w:rPr>
          <w:rFonts w:ascii="Times New Roman" w:hAnsi="Times New Roman"/>
          <w:noProof/>
          <w:sz w:val="24"/>
        </w:rPr>
        <w:t>мигранти към ЕС — 37 811 разкрити преминавания през 2016 г.</w:t>
      </w:r>
      <w:r>
        <w:rPr>
          <w:rStyle w:val="FootnoteReference"/>
          <w:rFonts w:ascii="Times New Roman" w:hAnsi="Times New Roman"/>
          <w:noProof/>
          <w:sz w:val="24"/>
        </w:rPr>
        <w:footnoteReference w:id="14"/>
      </w:r>
      <w:r>
        <w:rPr>
          <w:rFonts w:ascii="Times New Roman" w:hAnsi="Times New Roman"/>
          <w:noProof/>
          <w:sz w:val="24"/>
        </w:rPr>
        <w:t xml:space="preserve"> Икономическата ситуация и положението със сигурността са основен фактор за миграционните движения, било то в рамките на региона или към ЕС.</w:t>
      </w:r>
    </w:p>
    <w:p w:rsidR="000A7459" w:rsidRDefault="00D83169">
      <w:pPr>
        <w:spacing w:line="240" w:lineRule="auto"/>
        <w:jc w:val="both"/>
        <w:rPr>
          <w:rFonts w:ascii="Times New Roman" w:hAnsi="Times New Roman" w:cs="Times New Roman"/>
          <w:noProof/>
          <w:sz w:val="24"/>
          <w:szCs w:val="24"/>
        </w:rPr>
      </w:pPr>
      <w:r>
        <w:rPr>
          <w:rFonts w:ascii="Times New Roman" w:hAnsi="Times New Roman"/>
          <w:noProof/>
          <w:sz w:val="24"/>
        </w:rPr>
        <w:lastRenderedPageBreak/>
        <w:t>В съответствие с целта за разширяване на областите на политиката на сътрудничество с Нигерия, заместник-председателят на Комисията Андрус Ансип посети страната на 2 и 3 февруари, където се срещна с вицепрезидента (към този момент изпълняващ длъжността през</w:t>
      </w:r>
      <w:r>
        <w:rPr>
          <w:rFonts w:ascii="Times New Roman" w:hAnsi="Times New Roman"/>
          <w:noProof/>
          <w:sz w:val="24"/>
        </w:rPr>
        <w:t>идент) Осинбаджо, за да обсъдят областите на сътрудничество, които са от значение и за управлението на миграцията. В рамките на посещението бяха разгледани възможностите за стартиране на пилотни проекти и сътрудничество в области като електронното управлен</w:t>
      </w:r>
      <w:r>
        <w:rPr>
          <w:rFonts w:ascii="Times New Roman" w:hAnsi="Times New Roman"/>
          <w:noProof/>
          <w:sz w:val="24"/>
        </w:rPr>
        <w:t>ие, сигурността в кибернетичното пространство, борбата с корупцията, насърчаването на инвестициите и търговията, както и управлението на миграцията. Освен това напоследък бяха осъществени контакти на високо равнище с Нидерландия и Испания, а Нигерия и Итал</w:t>
      </w:r>
      <w:r>
        <w:rPr>
          <w:rFonts w:ascii="Times New Roman" w:hAnsi="Times New Roman"/>
          <w:noProof/>
          <w:sz w:val="24"/>
        </w:rPr>
        <w:t xml:space="preserve">ия обсъждат техническа помощ с цел евентуално включване на промени в биометричните бази данни. </w:t>
      </w:r>
    </w:p>
    <w:p w:rsidR="000A7459" w:rsidRDefault="00D83169">
      <w:pPr>
        <w:spacing w:line="240" w:lineRule="auto"/>
        <w:jc w:val="both"/>
        <w:rPr>
          <w:rFonts w:ascii="Times New Roman" w:eastAsia="ヒラギノ角ゴ Pro W3" w:hAnsi="Times New Roman" w:cs="Times New Roman"/>
          <w:noProof/>
          <w:color w:val="000000"/>
          <w:sz w:val="24"/>
          <w:szCs w:val="24"/>
        </w:rPr>
      </w:pPr>
      <w:r>
        <w:rPr>
          <w:rFonts w:ascii="Times New Roman" w:hAnsi="Times New Roman"/>
          <w:noProof/>
          <w:sz w:val="24"/>
        </w:rPr>
        <w:t>Нигерия продължава да бъде държавата на произход, чиито граждани са най-многобройните неевропейски жертви на трафик на хора в ЕС. Нигерийските трафиканти са най</w:t>
      </w:r>
      <w:r>
        <w:rPr>
          <w:rFonts w:ascii="Times New Roman" w:hAnsi="Times New Roman"/>
          <w:noProof/>
          <w:sz w:val="24"/>
        </w:rPr>
        <w:t>-често докладваните в ЕС трафиканти от държави извън ЕС</w:t>
      </w:r>
      <w:r>
        <w:rPr>
          <w:rStyle w:val="FootnoteReference"/>
          <w:rFonts w:ascii="Times New Roman" w:hAnsi="Times New Roman"/>
          <w:noProof/>
          <w:sz w:val="24"/>
        </w:rPr>
        <w:footnoteReference w:id="15"/>
      </w:r>
      <w:r>
        <w:rPr>
          <w:rFonts w:ascii="Times New Roman" w:hAnsi="Times New Roman"/>
          <w:noProof/>
          <w:sz w:val="24"/>
        </w:rPr>
        <w:t>. За справяне с тази ситуация Нигерия активно участва също така в Разузнавателната общност Африка — Frontex, а създадената неотдавна с участието на агенциите на ЕС и държавите членки платформа за сътр</w:t>
      </w:r>
      <w:r>
        <w:rPr>
          <w:rFonts w:ascii="Times New Roman" w:hAnsi="Times New Roman"/>
          <w:noProof/>
          <w:sz w:val="24"/>
        </w:rPr>
        <w:t xml:space="preserve">удничество в борбата с контрабандата на мигранти ще спомогне за подобряване на сътрудничеството и координацията при противодействието на контрабандата и трафика на хора. </w:t>
      </w:r>
    </w:p>
    <w:p w:rsidR="000A7459" w:rsidRDefault="00D83169">
      <w:pPr>
        <w:spacing w:after="120" w:line="240" w:lineRule="auto"/>
        <w:jc w:val="both"/>
        <w:rPr>
          <w:rFonts w:ascii="Times New Roman" w:hAnsi="Times New Roman" w:cs="Times New Roman"/>
          <w:noProof/>
          <w:spacing w:val="-2"/>
          <w:sz w:val="24"/>
          <w:szCs w:val="24"/>
        </w:rPr>
      </w:pPr>
      <w:r>
        <w:rPr>
          <w:rFonts w:ascii="Times New Roman" w:hAnsi="Times New Roman"/>
          <w:noProof/>
          <w:color w:val="000000"/>
          <w:spacing w:val="-2"/>
          <w:sz w:val="24"/>
        </w:rPr>
        <w:t>Рамката на сътрудничеството между ЕС и Нигерия по въпросите на миграцията е структури</w:t>
      </w:r>
      <w:r>
        <w:rPr>
          <w:rFonts w:ascii="Times New Roman" w:hAnsi="Times New Roman"/>
          <w:noProof/>
          <w:color w:val="000000"/>
          <w:spacing w:val="-2"/>
          <w:sz w:val="24"/>
        </w:rPr>
        <w:t xml:space="preserve">рана съгласно Общата програма за миграция и мобилност, подписана през 2015 г. </w:t>
      </w:r>
      <w:r>
        <w:rPr>
          <w:rFonts w:ascii="Times New Roman" w:hAnsi="Times New Roman"/>
          <w:noProof/>
          <w:spacing w:val="-2"/>
          <w:sz w:val="24"/>
        </w:rPr>
        <w:t>По отношение на връщането и обратното приемане Нигерия си сътрудничи с редица държави членки, но степента на сътрудничество е различна. През 2015 г. 28 % от решенията за връщане са довели до действително връщане. Въз основа на наличните до този момент данн</w:t>
      </w:r>
      <w:r>
        <w:rPr>
          <w:rFonts w:ascii="Times New Roman" w:hAnsi="Times New Roman"/>
          <w:noProof/>
          <w:spacing w:val="-2"/>
          <w:sz w:val="24"/>
        </w:rPr>
        <w:t xml:space="preserve">и процентът на връщанията очевидно се е подобрил през 2016 г. Нивото на сътрудничеството в областта на обратното приемане варира в рамките на ЕС. </w:t>
      </w:r>
    </w:p>
    <w:p w:rsidR="000A7459" w:rsidRDefault="00D83169">
      <w:pPr>
        <w:spacing w:after="120" w:line="240" w:lineRule="auto"/>
        <w:jc w:val="both"/>
        <w:rPr>
          <w:rFonts w:ascii="Times New Roman" w:hAnsi="Times New Roman" w:cs="Times New Roman"/>
          <w:noProof/>
          <w:sz w:val="24"/>
          <w:szCs w:val="24"/>
        </w:rPr>
      </w:pPr>
      <w:r>
        <w:rPr>
          <w:rFonts w:ascii="Times New Roman" w:hAnsi="Times New Roman"/>
          <w:noProof/>
          <w:sz w:val="24"/>
        </w:rPr>
        <w:t>През 2016 г. Нигерия е била основното местоназначение на съвместните операции по връщане на Европейската аген</w:t>
      </w:r>
      <w:r>
        <w:rPr>
          <w:rFonts w:ascii="Times New Roman" w:hAnsi="Times New Roman"/>
          <w:noProof/>
          <w:sz w:val="24"/>
        </w:rPr>
        <w:t>ция за гранична и брегова охрана и сътрудничеството е дало сравнително положителни резултати — Нигерия е отговорила положително на около 60 % от исканията за документи за пътуване. Въпреки това нигерийските мисии за установяване на самоличността на мигрант</w:t>
      </w:r>
      <w:r>
        <w:rPr>
          <w:rFonts w:ascii="Times New Roman" w:hAnsi="Times New Roman"/>
          <w:noProof/>
          <w:sz w:val="24"/>
        </w:rPr>
        <w:t xml:space="preserve">и в три европейски държави през ноември 2016 г. все още не са довели до очакваните резултати: три месеца по-късно все още предстои Министерството на външните работи да издаде временни документи за пътуване на мигрантите с установена самоличност. </w:t>
      </w:r>
    </w:p>
    <w:p w:rsidR="000A7459" w:rsidRDefault="00D83169">
      <w:pPr>
        <w:spacing w:after="120" w:line="240" w:lineRule="auto"/>
        <w:jc w:val="both"/>
        <w:rPr>
          <w:rFonts w:ascii="Times New Roman" w:hAnsi="Times New Roman" w:cs="Times New Roman"/>
          <w:noProof/>
          <w:sz w:val="24"/>
          <w:szCs w:val="24"/>
        </w:rPr>
      </w:pPr>
      <w:r>
        <w:rPr>
          <w:rFonts w:ascii="Times New Roman" w:hAnsi="Times New Roman"/>
          <w:noProof/>
          <w:sz w:val="24"/>
        </w:rPr>
        <w:t>От най-го</w:t>
      </w:r>
      <w:r>
        <w:rPr>
          <w:rFonts w:ascii="Times New Roman" w:hAnsi="Times New Roman"/>
          <w:noProof/>
          <w:sz w:val="24"/>
        </w:rPr>
        <w:t>лямо значение е напредъкът в преговорите по споразумението за обратно приемане между ЕС и Нигерия: първият кръг от преговорите се състоя през октомври 2016 г., но вторият кръг се отлага вече неколкократно от Нигерия. Целта на ЕС е сключване на споразумение</w:t>
      </w:r>
      <w:r>
        <w:rPr>
          <w:rFonts w:ascii="Times New Roman" w:hAnsi="Times New Roman"/>
          <w:noProof/>
          <w:sz w:val="24"/>
        </w:rPr>
        <w:t>то за обратно приемане в срок за планираната среща на министерско равнище между ЕС и Нигерия.</w:t>
      </w:r>
      <w:r>
        <w:rPr>
          <w:rFonts w:ascii="Times New Roman" w:hAnsi="Times New Roman"/>
          <w:noProof/>
          <w:color w:val="000000"/>
          <w:sz w:val="24"/>
        </w:rPr>
        <w:t xml:space="preserve"> От 1 февруари е изпратен европейски служител за връзка по въпросите на миграцията.</w:t>
      </w:r>
    </w:p>
    <w:p w:rsidR="000A7459" w:rsidRDefault="00D83169">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Доверителният фонд на ЕС за Африка е важен инструмент за проекти в Нигерия със </w:t>
      </w:r>
      <w:r>
        <w:rPr>
          <w:rFonts w:ascii="Times New Roman" w:hAnsi="Times New Roman"/>
          <w:noProof/>
          <w:sz w:val="24"/>
        </w:rPr>
        <w:t>силен акцент върху миграцията, особено в южната част на страната. Той допълва значителните национални усилия за справянето с първопричините за незаконната миграция и принудителното разселване в рамките на националния пакет, финансиран от Европейския фонд з</w:t>
      </w:r>
      <w:r>
        <w:rPr>
          <w:rFonts w:ascii="Times New Roman" w:hAnsi="Times New Roman"/>
          <w:noProof/>
          <w:sz w:val="24"/>
        </w:rPr>
        <w:t xml:space="preserve">а развитие. Проектите, приети в рамките на Доверителния фонд на ЕС за Африка през декември 2016 г. с участието на Международната организация по миграция, ще доведат до реинтеграцията на над 3 800 връщащи се мигранти от ЕС и </w:t>
      </w:r>
      <w:r>
        <w:rPr>
          <w:rFonts w:ascii="Times New Roman" w:hAnsi="Times New Roman"/>
          <w:noProof/>
          <w:sz w:val="24"/>
        </w:rPr>
        <w:lastRenderedPageBreak/>
        <w:t xml:space="preserve">транзитните държави. Освен това </w:t>
      </w:r>
      <w:r>
        <w:rPr>
          <w:rFonts w:ascii="Times New Roman" w:hAnsi="Times New Roman"/>
          <w:noProof/>
          <w:sz w:val="24"/>
        </w:rPr>
        <w:t xml:space="preserve">повече от 5 милиона ученици ще получат учебници и ще бъдат включени в програми за ограмотяване, а повече от 75 000 деца ще получат достъп до услуги за психично здраве. Други области, които следва да бъдат проучени, включват преките чуждестранни инвестиции </w:t>
      </w:r>
      <w:r>
        <w:rPr>
          <w:rFonts w:ascii="Times New Roman" w:hAnsi="Times New Roman"/>
          <w:noProof/>
          <w:sz w:val="24"/>
        </w:rPr>
        <w:t>(включително чрез предлагания план за външни инвестиции — вж. раздел 4) и цифровата икономика, области от интерес за Нигерия, които биха имали пряко въздействие върху първопричините за миграцията.</w:t>
      </w:r>
    </w:p>
    <w:p w:rsidR="000A7459" w:rsidRDefault="00D83169">
      <w:pPr>
        <w:pStyle w:val="PlainText"/>
        <w:jc w:val="both"/>
        <w:rPr>
          <w:rFonts w:ascii="Times New Roman" w:hAnsi="Times New Roman" w:cs="Times New Roman"/>
          <w:noProof/>
          <w:sz w:val="24"/>
          <w:szCs w:val="24"/>
        </w:rPr>
      </w:pPr>
      <w:r>
        <w:rPr>
          <w:rFonts w:ascii="Times New Roman" w:hAnsi="Times New Roman"/>
          <w:noProof/>
          <w:sz w:val="24"/>
        </w:rPr>
        <w:t>Комисията също така продължава да покрива основните хуманит</w:t>
      </w:r>
      <w:r>
        <w:rPr>
          <w:rFonts w:ascii="Times New Roman" w:hAnsi="Times New Roman"/>
          <w:noProof/>
          <w:sz w:val="24"/>
        </w:rPr>
        <w:t>арни нужди на жертвите на кризата в Нигерия. През седемте години на конфликта в Североизточна Нигерия над 20 000 души са били убити, а 1,77 милиона — вътрешно разселени.</w:t>
      </w:r>
      <w:r>
        <w:rPr>
          <w:rFonts w:ascii="Times New Roman" w:hAnsi="Times New Roman"/>
          <w:noProof/>
          <w:color w:val="000000"/>
          <w:sz w:val="24"/>
        </w:rPr>
        <w:t xml:space="preserve"> </w:t>
      </w:r>
      <w:r>
        <w:rPr>
          <w:rFonts w:ascii="Times New Roman" w:hAnsi="Times New Roman"/>
          <w:noProof/>
          <w:sz w:val="24"/>
        </w:rPr>
        <w:t>Това включва главно помощ под формата на храна и изхранване, защита, вода, канализация</w:t>
      </w:r>
      <w:r>
        <w:rPr>
          <w:rFonts w:ascii="Times New Roman" w:hAnsi="Times New Roman"/>
          <w:noProof/>
          <w:sz w:val="24"/>
        </w:rPr>
        <w:t xml:space="preserve"> и хигиена, подслон, нехранителни продукти и здравеопазване.</w:t>
      </w:r>
    </w:p>
    <w:p w:rsidR="000A7459" w:rsidRDefault="000A7459">
      <w:pPr>
        <w:spacing w:after="120" w:line="240" w:lineRule="auto"/>
        <w:jc w:val="both"/>
        <w:rPr>
          <w:rFonts w:ascii="Times New Roman" w:hAnsi="Times New Roman" w:cs="Times New Roman"/>
          <w:b/>
          <w:i/>
          <w:noProof/>
          <w:sz w:val="24"/>
          <w:szCs w:val="24"/>
        </w:rPr>
      </w:pPr>
    </w:p>
    <w:p w:rsidR="000A7459" w:rsidRDefault="00D83169">
      <w:pPr>
        <w:spacing w:after="120" w:line="240" w:lineRule="auto"/>
        <w:jc w:val="both"/>
        <w:rPr>
          <w:rFonts w:ascii="Times New Roman" w:hAnsi="Times New Roman" w:cs="Times New Roman"/>
          <w:b/>
          <w:i/>
          <w:noProof/>
          <w:sz w:val="24"/>
          <w:szCs w:val="24"/>
        </w:rPr>
      </w:pPr>
      <w:r>
        <w:rPr>
          <w:rFonts w:ascii="Times New Roman" w:hAnsi="Times New Roman"/>
          <w:b/>
          <w:i/>
          <w:noProof/>
          <w:sz w:val="24"/>
        </w:rPr>
        <w:t>Следващи стъпки:</w:t>
      </w:r>
    </w:p>
    <w:p w:rsidR="000A7459" w:rsidRDefault="00D83169">
      <w:pPr>
        <w:pStyle w:val="ListParagraph"/>
        <w:numPr>
          <w:ilvl w:val="0"/>
          <w:numId w:val="15"/>
        </w:numPr>
        <w:spacing w:after="0" w:line="240" w:lineRule="auto"/>
        <w:ind w:left="496"/>
        <w:contextualSpacing w:val="0"/>
        <w:jc w:val="both"/>
        <w:rPr>
          <w:rFonts w:ascii="Times New Roman" w:hAnsi="Times New Roman" w:cs="Times New Roman"/>
          <w:noProof/>
          <w:spacing w:val="-6"/>
          <w:sz w:val="24"/>
          <w:szCs w:val="24"/>
        </w:rPr>
      </w:pPr>
      <w:r>
        <w:rPr>
          <w:rFonts w:ascii="Times New Roman" w:hAnsi="Times New Roman"/>
          <w:noProof/>
          <w:spacing w:val="-6"/>
          <w:sz w:val="24"/>
        </w:rPr>
        <w:t>Приключване на преговорите за споразумението за обратно приемане до юни 2017 г.</w:t>
      </w:r>
    </w:p>
    <w:p w:rsidR="000A7459" w:rsidRDefault="00D83169">
      <w:pPr>
        <w:pStyle w:val="ListParagraph"/>
        <w:numPr>
          <w:ilvl w:val="0"/>
          <w:numId w:val="15"/>
        </w:numPr>
        <w:spacing w:after="0" w:line="240" w:lineRule="auto"/>
        <w:ind w:left="496"/>
        <w:contextualSpacing w:val="0"/>
        <w:jc w:val="both"/>
        <w:rPr>
          <w:rFonts w:ascii="Times New Roman" w:hAnsi="Times New Roman" w:cs="Times New Roman"/>
          <w:noProof/>
          <w:spacing w:val="-2"/>
          <w:sz w:val="24"/>
          <w:szCs w:val="24"/>
        </w:rPr>
      </w:pPr>
      <w:r>
        <w:rPr>
          <w:rFonts w:ascii="Times New Roman" w:hAnsi="Times New Roman"/>
          <w:noProof/>
          <w:spacing w:val="-2"/>
          <w:sz w:val="24"/>
        </w:rPr>
        <w:t xml:space="preserve">Продължаване на активното сътрудничество в областта на борбата с контрабандата и трафика на хора </w:t>
      </w:r>
      <w:r>
        <w:rPr>
          <w:rFonts w:ascii="Times New Roman" w:hAnsi="Times New Roman"/>
          <w:noProof/>
          <w:spacing w:val="-2"/>
          <w:sz w:val="24"/>
        </w:rPr>
        <w:t>чрез Разузнавателната общност Африка — Frontex и наскоро създадената Платформа за сътрудничество в борбата с контрабандата на мигранти.</w:t>
      </w:r>
    </w:p>
    <w:p w:rsidR="000A7459" w:rsidRDefault="00D83169">
      <w:pPr>
        <w:pStyle w:val="ListParagraph"/>
        <w:numPr>
          <w:ilvl w:val="0"/>
          <w:numId w:val="15"/>
        </w:numPr>
        <w:spacing w:after="0" w:line="240" w:lineRule="auto"/>
        <w:ind w:left="496"/>
        <w:contextualSpacing w:val="0"/>
        <w:jc w:val="both"/>
        <w:rPr>
          <w:rFonts w:ascii="Times New Roman" w:hAnsi="Times New Roman" w:cs="Times New Roman"/>
          <w:noProof/>
          <w:sz w:val="24"/>
          <w:szCs w:val="24"/>
        </w:rPr>
      </w:pPr>
      <w:r>
        <w:rPr>
          <w:rFonts w:ascii="Times New Roman" w:hAnsi="Times New Roman"/>
          <w:noProof/>
          <w:sz w:val="24"/>
        </w:rPr>
        <w:t xml:space="preserve">Идентифициране на проекти на Доверителния фонд на ЕС за Африка със силна миграционна насоченост. </w:t>
      </w:r>
    </w:p>
    <w:p w:rsidR="000A7459" w:rsidRDefault="000A7459">
      <w:pPr>
        <w:spacing w:after="120" w:line="240" w:lineRule="auto"/>
        <w:rPr>
          <w:rFonts w:ascii="Times New Roman" w:hAnsi="Times New Roman" w:cs="Times New Roman"/>
          <w:b/>
          <w:noProof/>
          <w:sz w:val="24"/>
          <w:szCs w:val="24"/>
        </w:rPr>
      </w:pPr>
    </w:p>
    <w:p w:rsidR="000A7459" w:rsidRDefault="00D83169">
      <w:pPr>
        <w:spacing w:after="120" w:line="240" w:lineRule="auto"/>
        <w:rPr>
          <w:rFonts w:ascii="Times New Roman" w:hAnsi="Times New Roman" w:cs="Times New Roman"/>
          <w:b/>
          <w:noProof/>
          <w:sz w:val="24"/>
          <w:szCs w:val="24"/>
        </w:rPr>
      </w:pPr>
      <w:r>
        <w:rPr>
          <w:rFonts w:ascii="Times New Roman" w:hAnsi="Times New Roman"/>
          <w:b/>
          <w:noProof/>
          <w:sz w:val="24"/>
        </w:rPr>
        <w:t>Сенегал</w:t>
      </w:r>
    </w:p>
    <w:p w:rsidR="000A7459" w:rsidRDefault="00D83169">
      <w:pPr>
        <w:spacing w:after="120" w:line="240" w:lineRule="auto"/>
        <w:jc w:val="both"/>
        <w:rPr>
          <w:rFonts w:ascii="Times New Roman" w:hAnsi="Times New Roman" w:cs="Times New Roman"/>
          <w:noProof/>
          <w:spacing w:val="-2"/>
          <w:sz w:val="24"/>
          <w:szCs w:val="24"/>
        </w:rPr>
      </w:pPr>
      <w:r>
        <w:rPr>
          <w:rFonts w:ascii="Times New Roman" w:hAnsi="Times New Roman"/>
          <w:noProof/>
          <w:spacing w:val="-2"/>
          <w:sz w:val="24"/>
        </w:rPr>
        <w:t>Сенегал е клю</w:t>
      </w:r>
      <w:r>
        <w:rPr>
          <w:rFonts w:ascii="Times New Roman" w:hAnsi="Times New Roman"/>
          <w:noProof/>
          <w:spacing w:val="-2"/>
          <w:sz w:val="24"/>
        </w:rPr>
        <w:t>чов политически партньор на ЕС както в региона, така и извън пределите му. Освен че Сенегал е един от основните участници в процеса от Рабат и в последващите действия във връзка със срещата на върха във Валета, сътрудничеството със страната обхваща и облас</w:t>
      </w:r>
      <w:r>
        <w:rPr>
          <w:rFonts w:ascii="Times New Roman" w:hAnsi="Times New Roman"/>
          <w:noProof/>
          <w:spacing w:val="-2"/>
          <w:sz w:val="24"/>
        </w:rPr>
        <w:t>ти като Международния наказателен съд и борбата с радикализацията и тероризма. Приоритетите на Сенегал са законната миграция, борбата с контрабандата на мигранти и справянето с първопричините за незаконната миграция.</w:t>
      </w:r>
    </w:p>
    <w:p w:rsidR="000A7459" w:rsidRDefault="00D83169">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Ангажиментът със Сенегал в областта на </w:t>
      </w:r>
      <w:r>
        <w:rPr>
          <w:rFonts w:ascii="Times New Roman" w:hAnsi="Times New Roman"/>
          <w:noProof/>
          <w:sz w:val="24"/>
        </w:rPr>
        <w:t>управлението на миграцията трябва да отчита политическия контекст: сенегалската диаспора ще може за първи път да избира пряко членовете на Народното събрание в парламентарните избори, насрочени за юли 2017 г. Това ще придаде особено политическо значение на</w:t>
      </w:r>
      <w:r>
        <w:rPr>
          <w:rFonts w:ascii="Times New Roman" w:hAnsi="Times New Roman"/>
          <w:noProof/>
          <w:sz w:val="24"/>
        </w:rPr>
        <w:t xml:space="preserve"> интересите на дългосрочно пребиваващите в чужбина сенегалски граждани. В по-общ план това отразява също така икономическото, културното и социалното значение на миграцията в Сенегал: финансираният от сенегалската диаспора</w:t>
      </w:r>
      <w:r>
        <w:rPr>
          <w:rStyle w:val="FootnoteReference"/>
          <w:rFonts w:ascii="Times New Roman" w:hAnsi="Times New Roman"/>
          <w:noProof/>
          <w:sz w:val="24"/>
        </w:rPr>
        <w:footnoteReference w:id="16"/>
      </w:r>
      <w:r>
        <w:rPr>
          <w:rFonts w:ascii="Times New Roman" w:hAnsi="Times New Roman"/>
          <w:noProof/>
          <w:sz w:val="24"/>
        </w:rPr>
        <w:t xml:space="preserve"> Фонд за подпомагане на инвестициите е нагледно доказателство за това как диаспората може да помогне за създаване на възможности за заетост в Сенегал и по този начин да допринесе за осигуряването на перспективи за младите хора в рамките на страната.</w:t>
      </w:r>
    </w:p>
    <w:p w:rsidR="000A7459" w:rsidRDefault="00D83169">
      <w:pPr>
        <w:spacing w:after="120" w:line="240" w:lineRule="auto"/>
        <w:jc w:val="both"/>
        <w:rPr>
          <w:rFonts w:ascii="Times New Roman" w:hAnsi="Times New Roman" w:cs="Times New Roman"/>
          <w:noProof/>
          <w:sz w:val="24"/>
          <w:szCs w:val="24"/>
        </w:rPr>
      </w:pPr>
      <w:r>
        <w:rPr>
          <w:rFonts w:ascii="Times New Roman" w:hAnsi="Times New Roman"/>
          <w:noProof/>
          <w:sz w:val="24"/>
        </w:rPr>
        <w:t>Отчита</w:t>
      </w:r>
      <w:r>
        <w:rPr>
          <w:rFonts w:ascii="Times New Roman" w:hAnsi="Times New Roman"/>
          <w:noProof/>
          <w:sz w:val="24"/>
        </w:rPr>
        <w:t xml:space="preserve">йки тези особености, диалогът със Сенегал на политическо равнище продължава, в това число със срещата между върховния представител/заместник-председател Могерини и президента Сал в Дакар през декември 2016 г. и посещението на президента Сал във Франция. </w:t>
      </w:r>
    </w:p>
    <w:p w:rsidR="000A7459" w:rsidRDefault="00D83169">
      <w:pPr>
        <w:spacing w:after="120" w:line="240" w:lineRule="auto"/>
        <w:jc w:val="both"/>
        <w:rPr>
          <w:rFonts w:ascii="Times New Roman" w:hAnsi="Times New Roman" w:cs="Times New Roman"/>
          <w:noProof/>
          <w:spacing w:val="-4"/>
          <w:sz w:val="24"/>
          <w:szCs w:val="24"/>
        </w:rPr>
      </w:pPr>
      <w:r>
        <w:rPr>
          <w:rFonts w:ascii="Times New Roman" w:hAnsi="Times New Roman"/>
          <w:noProof/>
          <w:spacing w:val="-4"/>
          <w:sz w:val="24"/>
        </w:rPr>
        <w:t>В</w:t>
      </w:r>
      <w:r>
        <w:rPr>
          <w:rFonts w:ascii="Times New Roman" w:hAnsi="Times New Roman"/>
          <w:noProof/>
          <w:spacing w:val="-4"/>
          <w:sz w:val="24"/>
        </w:rPr>
        <w:t>ъпреки това повечето държави членки, които се сблъскват с проблема за връщането на мигранти в Сенегал, продължават да срещат трудности, когато се обръщат за съдействие за установяване на самоличността и издаване на документи на незаконни мигранти, за които</w:t>
      </w:r>
      <w:r>
        <w:rPr>
          <w:rFonts w:ascii="Times New Roman" w:hAnsi="Times New Roman"/>
          <w:noProof/>
          <w:spacing w:val="-4"/>
          <w:sz w:val="24"/>
        </w:rPr>
        <w:t xml:space="preserve"> се предполага, че са граждани на Сенегал, а няколко планирани мисии за установяване на </w:t>
      </w:r>
      <w:r>
        <w:rPr>
          <w:rFonts w:ascii="Times New Roman" w:hAnsi="Times New Roman"/>
          <w:noProof/>
          <w:spacing w:val="-4"/>
          <w:sz w:val="24"/>
        </w:rPr>
        <w:lastRenderedPageBreak/>
        <w:t>самоличността на мигранти не бяха осъществени. Дори когато самоличността на мигранти, подлежащи на връщане, е установена, получаването на изискваните документи за пътув</w:t>
      </w:r>
      <w:r>
        <w:rPr>
          <w:rFonts w:ascii="Times New Roman" w:hAnsi="Times New Roman"/>
          <w:noProof/>
          <w:spacing w:val="-4"/>
          <w:sz w:val="24"/>
        </w:rPr>
        <w:t>ане от властите в Сенегал се оказва трудно. През 2016 г. само 563 сенегалски граждани, пребиваващи незаконно в Европа, са били върнати в Сенегал. Този брой рязко контрастира с броя на сенегалските граждани, пристигнали незаконно по маршрута през Централнот</w:t>
      </w:r>
      <w:r>
        <w:rPr>
          <w:rFonts w:ascii="Times New Roman" w:hAnsi="Times New Roman"/>
          <w:noProof/>
          <w:spacing w:val="-4"/>
          <w:sz w:val="24"/>
        </w:rPr>
        <w:t xml:space="preserve">о Средиземноморие през 2016 г. — повече от 10 000 души. </w:t>
      </w:r>
    </w:p>
    <w:p w:rsidR="000A7459" w:rsidRDefault="00D83169">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Известен напредък бе постигнат в двустранната дейност, насочена към връщане на незаконните мигранти, пристигнали наскоро по маршрута през Централното Средиземноморие. Ако тези първоначални стъпки на </w:t>
      </w:r>
      <w:r>
        <w:rPr>
          <w:rFonts w:ascii="Times New Roman" w:hAnsi="Times New Roman"/>
          <w:noProof/>
          <w:sz w:val="24"/>
        </w:rPr>
        <w:t>сътрудничество постигнат осезаеми резултати през следващите седмици, те ще бъдат допълнително консолидирани чрез обмен на служители и обучения, които ще бъдат организирани на двустранна основа в рамките на инициативи на ЕС, включително чрез подкрепа за про</w:t>
      </w:r>
      <w:r>
        <w:rPr>
          <w:rFonts w:ascii="Times New Roman" w:hAnsi="Times New Roman"/>
          <w:noProof/>
          <w:sz w:val="24"/>
        </w:rPr>
        <w:t xml:space="preserve">екти за реинтеграция. Очаква се през 2017 г. да бъдат изпратени още мисии до други държави членки. На тази основа ще бъдат допълнително проучени други аспекти на сътрудничеството, включително в областта на законната миграция и мобилността, като се започне </w:t>
      </w:r>
      <w:r>
        <w:rPr>
          <w:rFonts w:ascii="Times New Roman" w:hAnsi="Times New Roman"/>
          <w:noProof/>
          <w:sz w:val="24"/>
        </w:rPr>
        <w:t>с възможностите по програмата „Еразъм +“.</w:t>
      </w:r>
    </w:p>
    <w:p w:rsidR="000A7459" w:rsidRDefault="00D83169">
      <w:pPr>
        <w:spacing w:after="120" w:line="240" w:lineRule="auto"/>
        <w:jc w:val="both"/>
        <w:rPr>
          <w:rFonts w:ascii="Times New Roman" w:hAnsi="Times New Roman" w:cs="Times New Roman"/>
          <w:noProof/>
          <w:spacing w:val="6"/>
          <w:sz w:val="24"/>
          <w:szCs w:val="24"/>
        </w:rPr>
      </w:pPr>
      <w:r>
        <w:rPr>
          <w:rFonts w:ascii="Times New Roman" w:hAnsi="Times New Roman"/>
          <w:noProof/>
          <w:spacing w:val="6"/>
          <w:sz w:val="24"/>
        </w:rPr>
        <w:t>На 1 февруари 2017 г. в делегацията на ЕС в Дакар бе изпратен европейски служител за връзка по въпросите на миграцията. Сенегал също така е определил национални фокусни точки за установяване на самоличността на миг</w:t>
      </w:r>
      <w:r>
        <w:rPr>
          <w:rFonts w:ascii="Times New Roman" w:hAnsi="Times New Roman"/>
          <w:noProof/>
          <w:spacing w:val="6"/>
          <w:sz w:val="24"/>
        </w:rPr>
        <w:t xml:space="preserve">ранти в съответните министерства. Започнаха и преговори между Европейската агенция за гранична и брегова охрана и сенегалските власти за подобряване на работните договорености за по-тясно сътрудничество. </w:t>
      </w:r>
    </w:p>
    <w:p w:rsidR="000A7459" w:rsidRDefault="00D83169">
      <w:pPr>
        <w:spacing w:after="120" w:line="240" w:lineRule="auto"/>
        <w:jc w:val="both"/>
        <w:rPr>
          <w:rFonts w:ascii="Times New Roman" w:hAnsi="Times New Roman" w:cs="Times New Roman"/>
          <w:noProof/>
          <w:spacing w:val="-2"/>
          <w:sz w:val="24"/>
          <w:szCs w:val="24"/>
        </w:rPr>
      </w:pPr>
      <w:r>
        <w:rPr>
          <w:rFonts w:ascii="Times New Roman" w:hAnsi="Times New Roman"/>
          <w:noProof/>
          <w:spacing w:val="-2"/>
          <w:sz w:val="24"/>
        </w:rPr>
        <w:t>В подкрепа на усилията за справяне с първопричините</w:t>
      </w:r>
      <w:r>
        <w:rPr>
          <w:rFonts w:ascii="Times New Roman" w:hAnsi="Times New Roman"/>
          <w:noProof/>
          <w:spacing w:val="-2"/>
          <w:sz w:val="24"/>
        </w:rPr>
        <w:t xml:space="preserve"> за незаконната миграция Сенегал може да се възползва от девет проекта, подпомагани по линия на Доверителния фонд на ЕС за Африка, четири от които бяха одобрени през декември 2016 г.</w:t>
      </w:r>
      <w:r>
        <w:rPr>
          <w:rStyle w:val="FootnoteReference"/>
          <w:rFonts w:ascii="Times New Roman" w:hAnsi="Times New Roman"/>
          <w:noProof/>
          <w:spacing w:val="-2"/>
          <w:sz w:val="24"/>
        </w:rPr>
        <w:footnoteReference w:id="17"/>
      </w:r>
      <w:r>
        <w:rPr>
          <w:rFonts w:ascii="Times New Roman" w:hAnsi="Times New Roman"/>
          <w:noProof/>
          <w:spacing w:val="-2"/>
          <w:sz w:val="24"/>
        </w:rPr>
        <w:t xml:space="preserve"> Тези нови проекти ще подкрепят реинтеграцията, създаването на работни ме</w:t>
      </w:r>
      <w:r>
        <w:rPr>
          <w:rFonts w:ascii="Times New Roman" w:hAnsi="Times New Roman"/>
          <w:noProof/>
          <w:spacing w:val="-2"/>
          <w:sz w:val="24"/>
        </w:rPr>
        <w:t xml:space="preserve">ста и на национална регистрационна система за биометрични данни. Сред резултатите, до които ще доведат, е реинтеграцията на 3 000 души и сенсибилизацията на 200 общини и 30 000 мигранти. Очаква се, че ще бъдат създадени повече от 6 500 нови работни места. </w:t>
      </w:r>
      <w:r>
        <w:rPr>
          <w:rFonts w:ascii="Times New Roman" w:hAnsi="Times New Roman"/>
          <w:noProof/>
          <w:spacing w:val="-2"/>
          <w:sz w:val="24"/>
        </w:rPr>
        <w:t xml:space="preserve">Сенегал също ще се ползва от регионалния проект в подкрепа на службите за вътрешна сигурност на шест държави от региона на Сахел. Въздействието би могло допълнително да се засили въз основа на текущото сътрудничество чрез конкретни ангажименти, например в </w:t>
      </w:r>
      <w:r>
        <w:rPr>
          <w:rFonts w:ascii="Times New Roman" w:hAnsi="Times New Roman"/>
          <w:noProof/>
          <w:spacing w:val="-2"/>
          <w:sz w:val="24"/>
        </w:rPr>
        <w:t xml:space="preserve">областта на рибарството, изменението на климата, енергията от възобновяеми източници, селското стопанство и образователната мобилност. </w:t>
      </w:r>
    </w:p>
    <w:p w:rsidR="000A7459" w:rsidRDefault="00D83169">
      <w:pPr>
        <w:spacing w:after="120" w:line="240" w:lineRule="auto"/>
        <w:jc w:val="both"/>
        <w:rPr>
          <w:rFonts w:ascii="Times New Roman" w:hAnsi="Times New Roman" w:cs="Times New Roman"/>
          <w:b/>
          <w:i/>
          <w:noProof/>
          <w:sz w:val="24"/>
          <w:szCs w:val="24"/>
        </w:rPr>
      </w:pPr>
      <w:r>
        <w:rPr>
          <w:rFonts w:ascii="Times New Roman" w:hAnsi="Times New Roman"/>
          <w:b/>
          <w:i/>
          <w:noProof/>
          <w:sz w:val="24"/>
        </w:rPr>
        <w:t>Следващи стъпки:</w:t>
      </w:r>
    </w:p>
    <w:p w:rsidR="000A7459" w:rsidRDefault="00D83169">
      <w:pPr>
        <w:pStyle w:val="ListParagraph"/>
        <w:numPr>
          <w:ilvl w:val="0"/>
          <w:numId w:val="15"/>
        </w:numPr>
        <w:spacing w:after="0" w:line="240" w:lineRule="auto"/>
        <w:ind w:left="496"/>
        <w:contextualSpacing w:val="0"/>
        <w:jc w:val="both"/>
        <w:rPr>
          <w:rFonts w:ascii="Times New Roman" w:hAnsi="Times New Roman" w:cs="Times New Roman"/>
          <w:noProof/>
          <w:spacing w:val="-2"/>
          <w:sz w:val="24"/>
          <w:szCs w:val="24"/>
        </w:rPr>
      </w:pPr>
      <w:r>
        <w:rPr>
          <w:rFonts w:ascii="Times New Roman" w:hAnsi="Times New Roman"/>
          <w:noProof/>
          <w:spacing w:val="-2"/>
          <w:sz w:val="24"/>
        </w:rPr>
        <w:t>Организиране на мисии за последващи действия, за да се гарантира ефективното връщане на незаконните миг</w:t>
      </w:r>
      <w:r>
        <w:rPr>
          <w:rFonts w:ascii="Times New Roman" w:hAnsi="Times New Roman"/>
          <w:noProof/>
          <w:spacing w:val="-2"/>
          <w:sz w:val="24"/>
        </w:rPr>
        <w:t>ранти, чиято самоличност е установена.</w:t>
      </w:r>
    </w:p>
    <w:p w:rsidR="000A7459" w:rsidRDefault="00D83169">
      <w:pPr>
        <w:pStyle w:val="ListParagraph"/>
        <w:numPr>
          <w:ilvl w:val="0"/>
          <w:numId w:val="15"/>
        </w:numPr>
        <w:spacing w:after="0" w:line="240" w:lineRule="auto"/>
        <w:ind w:left="496"/>
        <w:contextualSpacing w:val="0"/>
        <w:jc w:val="both"/>
        <w:rPr>
          <w:rFonts w:ascii="Times New Roman" w:hAnsi="Times New Roman" w:cs="Times New Roman"/>
          <w:noProof/>
          <w:spacing w:val="-2"/>
          <w:sz w:val="24"/>
          <w:szCs w:val="24"/>
        </w:rPr>
      </w:pPr>
      <w:r>
        <w:rPr>
          <w:rFonts w:ascii="Times New Roman" w:hAnsi="Times New Roman"/>
          <w:noProof/>
          <w:spacing w:val="-2"/>
          <w:sz w:val="24"/>
        </w:rPr>
        <w:t xml:space="preserve">Подобряване на оперативното сътрудничество както за установяването на самоличността, така и за издаването на документи за пътуване. </w:t>
      </w:r>
    </w:p>
    <w:p w:rsidR="000A7459" w:rsidRDefault="00D83169">
      <w:pPr>
        <w:pStyle w:val="ListParagraph"/>
        <w:numPr>
          <w:ilvl w:val="0"/>
          <w:numId w:val="15"/>
        </w:numPr>
        <w:spacing w:after="0" w:line="240" w:lineRule="auto"/>
        <w:ind w:left="496"/>
        <w:contextualSpacing w:val="0"/>
        <w:jc w:val="both"/>
        <w:rPr>
          <w:rFonts w:ascii="Times New Roman" w:hAnsi="Times New Roman" w:cs="Times New Roman"/>
          <w:noProof/>
          <w:spacing w:val="-2"/>
          <w:sz w:val="24"/>
          <w:szCs w:val="24"/>
        </w:rPr>
      </w:pPr>
      <w:r>
        <w:rPr>
          <w:rFonts w:ascii="Times New Roman" w:hAnsi="Times New Roman"/>
          <w:noProof/>
          <w:spacing w:val="-2"/>
          <w:sz w:val="24"/>
        </w:rPr>
        <w:t xml:space="preserve">Финализиране и подписване до средата на 2017 г. на работни договорености между </w:t>
      </w:r>
      <w:r>
        <w:rPr>
          <w:rFonts w:ascii="Times New Roman" w:hAnsi="Times New Roman"/>
          <w:noProof/>
          <w:spacing w:val="-2"/>
          <w:sz w:val="24"/>
        </w:rPr>
        <w:t>Сенегал и Европейската агенция за гранична и брегова охрана.</w:t>
      </w:r>
    </w:p>
    <w:p w:rsidR="000A7459" w:rsidRDefault="00D83169">
      <w:pPr>
        <w:pStyle w:val="ListParagraph"/>
        <w:numPr>
          <w:ilvl w:val="0"/>
          <w:numId w:val="15"/>
        </w:numPr>
        <w:spacing w:after="0" w:line="240" w:lineRule="auto"/>
        <w:ind w:left="496"/>
        <w:contextualSpacing w:val="0"/>
        <w:jc w:val="both"/>
        <w:rPr>
          <w:rFonts w:ascii="Times New Roman" w:hAnsi="Times New Roman" w:cs="Times New Roman"/>
          <w:noProof/>
          <w:spacing w:val="-2"/>
          <w:sz w:val="24"/>
          <w:szCs w:val="24"/>
        </w:rPr>
      </w:pPr>
      <w:r>
        <w:rPr>
          <w:rFonts w:ascii="Times New Roman" w:hAnsi="Times New Roman"/>
          <w:noProof/>
          <w:spacing w:val="-2"/>
          <w:sz w:val="24"/>
        </w:rPr>
        <w:t>В зависимост от постигнатите резултати задълбочаване на сътрудничеството в други области, включително управлението на границите.</w:t>
      </w:r>
    </w:p>
    <w:p w:rsidR="000A7459" w:rsidRDefault="00D83169">
      <w:pPr>
        <w:spacing w:after="120" w:line="240" w:lineRule="auto"/>
        <w:jc w:val="both"/>
        <w:rPr>
          <w:rFonts w:ascii="Times New Roman" w:hAnsi="Times New Roman" w:cs="Times New Roman"/>
          <w:b/>
          <w:noProof/>
          <w:sz w:val="24"/>
          <w:szCs w:val="24"/>
        </w:rPr>
      </w:pPr>
      <w:r>
        <w:rPr>
          <w:rFonts w:ascii="Times New Roman" w:hAnsi="Times New Roman"/>
          <w:b/>
          <w:noProof/>
          <w:sz w:val="24"/>
        </w:rPr>
        <w:t>Мали</w:t>
      </w:r>
    </w:p>
    <w:p w:rsidR="000A7459" w:rsidRDefault="00D83169">
      <w:pPr>
        <w:spacing w:after="120" w:line="240" w:lineRule="auto"/>
        <w:jc w:val="both"/>
        <w:rPr>
          <w:rFonts w:ascii="Times New Roman" w:hAnsi="Times New Roman" w:cs="Times New Roman"/>
          <w:noProof/>
          <w:spacing w:val="-2"/>
          <w:sz w:val="24"/>
          <w:szCs w:val="24"/>
        </w:rPr>
      </w:pPr>
      <w:r>
        <w:rPr>
          <w:rFonts w:ascii="Times New Roman" w:hAnsi="Times New Roman"/>
          <w:noProof/>
          <w:spacing w:val="-2"/>
          <w:sz w:val="24"/>
        </w:rPr>
        <w:t xml:space="preserve">Мали продължава да бъде държава, от която идват голям брой </w:t>
      </w:r>
      <w:r>
        <w:rPr>
          <w:rFonts w:ascii="Times New Roman" w:hAnsi="Times New Roman"/>
          <w:noProof/>
          <w:spacing w:val="-2"/>
          <w:sz w:val="24"/>
        </w:rPr>
        <w:t xml:space="preserve">мигранти — малийски граждани, и през която транзитно преминават многобройни мигранти от други държави. </w:t>
      </w:r>
      <w:r>
        <w:rPr>
          <w:rFonts w:ascii="Times New Roman" w:hAnsi="Times New Roman"/>
          <w:noProof/>
          <w:spacing w:val="-2"/>
          <w:sz w:val="24"/>
        </w:rPr>
        <w:lastRenderedPageBreak/>
        <w:t>През 2016 г. 10 268 малийски граждани са пристигнали в Италия по маршрута през Централното Средиземноморие</w:t>
      </w:r>
      <w:r>
        <w:rPr>
          <w:rStyle w:val="FootnoteReference"/>
          <w:rFonts w:ascii="Times New Roman" w:hAnsi="Times New Roman"/>
          <w:noProof/>
          <w:spacing w:val="-2"/>
          <w:sz w:val="24"/>
        </w:rPr>
        <w:footnoteReference w:id="18"/>
      </w:r>
      <w:r>
        <w:rPr>
          <w:rFonts w:ascii="Times New Roman" w:hAnsi="Times New Roman"/>
          <w:noProof/>
          <w:spacing w:val="-2"/>
          <w:sz w:val="24"/>
        </w:rPr>
        <w:t xml:space="preserve">. Диалогът и сътрудничество с Мали във връзка </w:t>
      </w:r>
      <w:r>
        <w:rPr>
          <w:rFonts w:ascii="Times New Roman" w:hAnsi="Times New Roman"/>
          <w:noProof/>
          <w:spacing w:val="-2"/>
          <w:sz w:val="24"/>
        </w:rPr>
        <w:t xml:space="preserve">с връщането на мигранти се влоши след неточни съобщения в медиите през декември 2016 г. относно подписването на официално споразумение за връщане с ЕС, което никога не се е състояло, като Мали не подписа оперативните процедури за обратно приемане. </w:t>
      </w:r>
    </w:p>
    <w:p w:rsidR="000A7459" w:rsidRDefault="00D83169">
      <w:pPr>
        <w:spacing w:after="120" w:line="240" w:lineRule="auto"/>
        <w:jc w:val="both"/>
        <w:rPr>
          <w:rFonts w:ascii="Times New Roman" w:hAnsi="Times New Roman" w:cs="Times New Roman"/>
          <w:noProof/>
          <w:spacing w:val="-2"/>
          <w:sz w:val="24"/>
          <w:szCs w:val="24"/>
        </w:rPr>
      </w:pPr>
      <w:r>
        <w:rPr>
          <w:rFonts w:ascii="Times New Roman" w:hAnsi="Times New Roman"/>
          <w:noProof/>
          <w:spacing w:val="-2"/>
          <w:sz w:val="24"/>
        </w:rPr>
        <w:t>Броят н</w:t>
      </w:r>
      <w:r>
        <w:rPr>
          <w:rFonts w:ascii="Times New Roman" w:hAnsi="Times New Roman"/>
          <w:noProof/>
          <w:spacing w:val="-2"/>
          <w:sz w:val="24"/>
        </w:rPr>
        <w:t>а решенията за връщане, издадени за малийски граждани през 2016 г. (3 302), остана на приблизително същото ниво, както през 2015 г. (3 505)</w:t>
      </w:r>
      <w:r>
        <w:rPr>
          <w:rStyle w:val="FootnoteReference"/>
          <w:rFonts w:ascii="Times New Roman" w:hAnsi="Times New Roman"/>
          <w:noProof/>
          <w:spacing w:val="-2"/>
          <w:sz w:val="24"/>
        </w:rPr>
        <w:footnoteReference w:id="19"/>
      </w:r>
      <w:r>
        <w:rPr>
          <w:rFonts w:ascii="Times New Roman" w:hAnsi="Times New Roman"/>
          <w:noProof/>
          <w:spacing w:val="-2"/>
          <w:sz w:val="24"/>
        </w:rPr>
        <w:t>. Само една малка част от тях обаче са действително върнати (6,5 % през 2016 г.). Продължават да съществуват труднос</w:t>
      </w:r>
      <w:r>
        <w:rPr>
          <w:rFonts w:ascii="Times New Roman" w:hAnsi="Times New Roman"/>
          <w:noProof/>
          <w:spacing w:val="-2"/>
          <w:sz w:val="24"/>
        </w:rPr>
        <w:t>ти по отношение на потвърждаването на гражданството и издаването на консулски документи за пътуване от малийските консулски служби на лица, за които е установено, че са малийски граждани. Този аспект ще трябва да бъде обсъден допълнително с малийските орга</w:t>
      </w:r>
      <w:r>
        <w:rPr>
          <w:rFonts w:ascii="Times New Roman" w:hAnsi="Times New Roman"/>
          <w:noProof/>
          <w:spacing w:val="-2"/>
          <w:sz w:val="24"/>
        </w:rPr>
        <w:t>ни за намиране на общи и осъществими решения. Ролята на диаспорите в Европа може да се засили, за да се подпомогнат доброволното връщане и реинтеграцията на незаконните мигранти в техните местни общности.</w:t>
      </w:r>
    </w:p>
    <w:p w:rsidR="000A7459" w:rsidRDefault="00D83169">
      <w:pPr>
        <w:spacing w:after="120" w:line="240" w:lineRule="auto"/>
        <w:jc w:val="both"/>
        <w:rPr>
          <w:rFonts w:ascii="Times New Roman" w:hAnsi="Times New Roman" w:cs="Times New Roman"/>
          <w:noProof/>
          <w:sz w:val="24"/>
          <w:szCs w:val="24"/>
        </w:rPr>
      </w:pPr>
      <w:r>
        <w:rPr>
          <w:rFonts w:ascii="Times New Roman" w:hAnsi="Times New Roman"/>
          <w:noProof/>
          <w:sz w:val="24"/>
        </w:rPr>
        <w:t>Като положителен трябва да се отбележи фактът, че п</w:t>
      </w:r>
      <w:r>
        <w:rPr>
          <w:rFonts w:ascii="Times New Roman" w:hAnsi="Times New Roman"/>
          <w:noProof/>
          <w:sz w:val="24"/>
        </w:rPr>
        <w:t>родължава ангажиментът за борба с контрабандата на мигранти, както и диалогът на високо равнище. Мали продължава също така да играе конструктивна роля в последващите действия във връзка със срещата на върха във Валета през 2015 г. и като председател на про</w:t>
      </w:r>
      <w:r>
        <w:rPr>
          <w:rFonts w:ascii="Times New Roman" w:hAnsi="Times New Roman"/>
          <w:noProof/>
          <w:sz w:val="24"/>
        </w:rPr>
        <w:t>цеса от Рабат, а в рамките на проведената неотдавнашна среща между върховния представител/заместник-председател Могерини и министър Сила, отговарящ за малийските граждани в чужбина, бяха определени общи приоритети за бъдещо сътрудничество в областта на упр</w:t>
      </w:r>
      <w:r>
        <w:rPr>
          <w:rFonts w:ascii="Times New Roman" w:hAnsi="Times New Roman"/>
          <w:noProof/>
          <w:sz w:val="24"/>
        </w:rPr>
        <w:t xml:space="preserve">авлението на миграцията. </w:t>
      </w:r>
    </w:p>
    <w:p w:rsidR="000A7459" w:rsidRDefault="00D83169">
      <w:pPr>
        <w:spacing w:after="120" w:line="240" w:lineRule="auto"/>
        <w:jc w:val="both"/>
        <w:rPr>
          <w:rFonts w:ascii="Times New Roman" w:hAnsi="Times New Roman" w:cs="Times New Roman"/>
          <w:noProof/>
          <w:sz w:val="24"/>
          <w:szCs w:val="24"/>
        </w:rPr>
      </w:pPr>
      <w:r>
        <w:rPr>
          <w:rFonts w:ascii="Times New Roman" w:hAnsi="Times New Roman"/>
          <w:noProof/>
          <w:sz w:val="24"/>
        </w:rPr>
        <w:t>Борбата срещу контрабандата на мигранти и трафика на хора, както и засилването на управлението на границите на Мали са приоритетни области за действие в краткосрочен план. По отношение на управлението на границите сътрудничеството</w:t>
      </w:r>
      <w:r>
        <w:rPr>
          <w:rFonts w:ascii="Times New Roman" w:hAnsi="Times New Roman"/>
          <w:noProof/>
          <w:sz w:val="24"/>
        </w:rPr>
        <w:t xml:space="preserve"> с органите на Мали е вече в ход. През последните месеци усилията бяха съсредоточени върху сътрудничеството с малийските заинтересовани страни и международните партньори за подкрепа на национална стратегия за граничен контрол и свързан с нея план за действ</w:t>
      </w:r>
      <w:r>
        <w:rPr>
          <w:rFonts w:ascii="Times New Roman" w:hAnsi="Times New Roman"/>
          <w:noProof/>
          <w:sz w:val="24"/>
        </w:rPr>
        <w:t>ие, които следва да бъдат приети скоро. Освен това през идните месеци ще продължи изграждането на капацитет у полицейските сили, отговарящи за управлението на границите на Мали, в координация с други регионални инициативи в областта на управлението на гран</w:t>
      </w:r>
      <w:r>
        <w:rPr>
          <w:rFonts w:ascii="Times New Roman" w:hAnsi="Times New Roman"/>
          <w:noProof/>
          <w:sz w:val="24"/>
        </w:rPr>
        <w:t xml:space="preserve">иците и организираната престъпност. В Мали вече действа мисия в областта на общата политика за сигурност и отбрана (ОПСО), като нейното измерение, свързано с миграцията, ще се засили през идните месеци. </w:t>
      </w:r>
    </w:p>
    <w:p w:rsidR="000A7459" w:rsidRDefault="00D83169">
      <w:pPr>
        <w:spacing w:after="120" w:line="240" w:lineRule="auto"/>
        <w:jc w:val="both"/>
        <w:rPr>
          <w:rFonts w:ascii="Times New Roman" w:hAnsi="Times New Roman" w:cs="Times New Roman"/>
          <w:noProof/>
          <w:spacing w:val="-4"/>
          <w:sz w:val="24"/>
          <w:szCs w:val="24"/>
        </w:rPr>
      </w:pPr>
      <w:r>
        <w:rPr>
          <w:rFonts w:ascii="Times New Roman" w:hAnsi="Times New Roman"/>
          <w:noProof/>
          <w:spacing w:val="-4"/>
          <w:sz w:val="24"/>
        </w:rPr>
        <w:t xml:space="preserve">Мали е един от основните бенефициери на средства по </w:t>
      </w:r>
      <w:r>
        <w:rPr>
          <w:rFonts w:ascii="Times New Roman" w:hAnsi="Times New Roman"/>
          <w:noProof/>
          <w:spacing w:val="-4"/>
          <w:sz w:val="24"/>
        </w:rPr>
        <w:t>линия на Доверителния фонд на ЕС за Африка и до момента има девет одобрени проекта</w:t>
      </w:r>
      <w:r>
        <w:rPr>
          <w:rStyle w:val="FootnoteReference"/>
          <w:rFonts w:ascii="Times New Roman" w:hAnsi="Times New Roman"/>
          <w:noProof/>
          <w:spacing w:val="-4"/>
          <w:sz w:val="24"/>
        </w:rPr>
        <w:footnoteReference w:id="20"/>
      </w:r>
      <w:r>
        <w:rPr>
          <w:rFonts w:ascii="Times New Roman" w:hAnsi="Times New Roman"/>
          <w:noProof/>
          <w:spacing w:val="-4"/>
          <w:sz w:val="24"/>
        </w:rPr>
        <w:t>. Проектите, одобрени през декември 2016 г., са понастоящем в етап на сключване на договори. Те включват проекти за подобряване на биометричния регистър на населението, за р</w:t>
      </w:r>
      <w:r>
        <w:rPr>
          <w:rFonts w:ascii="Times New Roman" w:hAnsi="Times New Roman"/>
          <w:noProof/>
          <w:spacing w:val="-4"/>
          <w:sz w:val="24"/>
        </w:rPr>
        <w:t>еинтеграция на завърналите се лица и за младежка заетост. Очакваните резултати ще включват пряко създаване на 10 000 работни места и косвено разкриване на 35 000 работни места. 16 000 мигранти ще бъдат подпомагани, 4 000 — върнати, а 1 900 — реинтегрирани.</w:t>
      </w:r>
      <w:r>
        <w:rPr>
          <w:rFonts w:ascii="Times New Roman" w:hAnsi="Times New Roman"/>
          <w:noProof/>
          <w:spacing w:val="-4"/>
          <w:sz w:val="24"/>
        </w:rPr>
        <w:t xml:space="preserve"> Освен това 17 000 мигранти ще бъдат сенсибилизирани. Останалите шест проекта, одобрени по-рано през 2016 г., са в процес на изпълнение, включително програма за подкрепа за управлението на границите и за разполагане отново на малийски сили за сигурност в ч</w:t>
      </w:r>
      <w:r>
        <w:rPr>
          <w:rFonts w:ascii="Times New Roman" w:hAnsi="Times New Roman"/>
          <w:noProof/>
          <w:spacing w:val="-4"/>
          <w:sz w:val="24"/>
        </w:rPr>
        <w:t xml:space="preserve">увствителните </w:t>
      </w:r>
      <w:r>
        <w:rPr>
          <w:rFonts w:ascii="Times New Roman" w:hAnsi="Times New Roman"/>
          <w:noProof/>
          <w:spacing w:val="-4"/>
          <w:sz w:val="24"/>
        </w:rPr>
        <w:lastRenderedPageBreak/>
        <w:t>региони. Тази подкрепа допълва подкрепата по линия на Европейския фонд за развитие, като съществува потенциал за по-нататъшно сътрудничество в области като селското стопанство, адаптирането към изменението на климата и образователната мобилно</w:t>
      </w:r>
      <w:r>
        <w:rPr>
          <w:rFonts w:ascii="Times New Roman" w:hAnsi="Times New Roman"/>
          <w:noProof/>
          <w:spacing w:val="-4"/>
          <w:sz w:val="24"/>
        </w:rPr>
        <w:t xml:space="preserve">ст. </w:t>
      </w:r>
    </w:p>
    <w:p w:rsidR="000A7459" w:rsidRDefault="00D83169">
      <w:pPr>
        <w:spacing w:after="120" w:line="240" w:lineRule="auto"/>
        <w:jc w:val="both"/>
        <w:rPr>
          <w:rFonts w:ascii="Times New Roman" w:hAnsi="Times New Roman" w:cs="Times New Roman"/>
          <w:noProof/>
          <w:sz w:val="24"/>
          <w:szCs w:val="24"/>
        </w:rPr>
      </w:pPr>
      <w:r>
        <w:rPr>
          <w:rFonts w:ascii="Times New Roman" w:hAnsi="Times New Roman"/>
          <w:noProof/>
          <w:sz w:val="24"/>
        </w:rPr>
        <w:t>Положението във връзка с предоставянето на закрила също е повод за загриженост, тъй като в Мали има повече от 35 000 вътрешно разселени лица, а в съседните държави почти 136 000 бежанци от Мали</w:t>
      </w:r>
      <w:r>
        <w:rPr>
          <w:rStyle w:val="FootnoteReference"/>
          <w:rFonts w:ascii="Times New Roman" w:hAnsi="Times New Roman"/>
          <w:noProof/>
          <w:sz w:val="24"/>
        </w:rPr>
        <w:footnoteReference w:id="21"/>
      </w:r>
      <w:r>
        <w:rPr>
          <w:rFonts w:ascii="Times New Roman" w:hAnsi="Times New Roman"/>
          <w:noProof/>
          <w:sz w:val="24"/>
        </w:rPr>
        <w:t>. Въпреки влошаващата се обстановка по отношение на сигур</w:t>
      </w:r>
      <w:r>
        <w:rPr>
          <w:rFonts w:ascii="Times New Roman" w:hAnsi="Times New Roman"/>
          <w:noProof/>
          <w:sz w:val="24"/>
        </w:rPr>
        <w:t xml:space="preserve">ността в централните и северните части на Мали Комисията продължава да работи с хуманитарните организации за осигуряване на подкрепа за малийските общности в тези области, както и в съседните държави, даващи подслон на бежанците. </w:t>
      </w:r>
    </w:p>
    <w:p w:rsidR="000A7459" w:rsidRDefault="00D83169">
      <w:pPr>
        <w:spacing w:after="120" w:line="240" w:lineRule="auto"/>
        <w:jc w:val="both"/>
        <w:rPr>
          <w:rFonts w:ascii="Times New Roman" w:hAnsi="Times New Roman" w:cs="Times New Roman"/>
          <w:b/>
          <w:i/>
          <w:noProof/>
          <w:sz w:val="24"/>
          <w:szCs w:val="24"/>
        </w:rPr>
      </w:pPr>
      <w:r>
        <w:rPr>
          <w:rFonts w:ascii="Times New Roman" w:hAnsi="Times New Roman"/>
          <w:b/>
          <w:i/>
          <w:noProof/>
          <w:sz w:val="24"/>
        </w:rPr>
        <w:t>Следващи стъпки</w:t>
      </w:r>
    </w:p>
    <w:p w:rsidR="000A7459" w:rsidRDefault="00D83169">
      <w:pPr>
        <w:pStyle w:val="ListParagraph"/>
        <w:numPr>
          <w:ilvl w:val="0"/>
          <w:numId w:val="27"/>
        </w:numPr>
        <w:spacing w:after="0" w:line="240" w:lineRule="auto"/>
        <w:jc w:val="both"/>
        <w:rPr>
          <w:rFonts w:ascii="Times New Roman" w:hAnsi="Times New Roman" w:cs="Times New Roman"/>
          <w:noProof/>
          <w:sz w:val="24"/>
          <w:szCs w:val="24"/>
        </w:rPr>
      </w:pPr>
      <w:r>
        <w:rPr>
          <w:rFonts w:ascii="Times New Roman" w:hAnsi="Times New Roman"/>
          <w:noProof/>
          <w:sz w:val="24"/>
        </w:rPr>
        <w:t>Изпращане</w:t>
      </w:r>
      <w:r>
        <w:rPr>
          <w:rFonts w:ascii="Times New Roman" w:hAnsi="Times New Roman"/>
          <w:noProof/>
          <w:sz w:val="24"/>
        </w:rPr>
        <w:t xml:space="preserve"> на мисия на техническо равнище за проучване на възможностите за сътрудничество и укрепване на капацитета за управление на границите и борба с контрабандата на хора.</w:t>
      </w:r>
    </w:p>
    <w:p w:rsidR="000A7459" w:rsidRDefault="00D83169">
      <w:pPr>
        <w:pStyle w:val="ListParagraph"/>
        <w:numPr>
          <w:ilvl w:val="0"/>
          <w:numId w:val="27"/>
        </w:numPr>
        <w:spacing w:after="0" w:line="240" w:lineRule="auto"/>
        <w:jc w:val="both"/>
        <w:rPr>
          <w:rFonts w:ascii="Times New Roman" w:hAnsi="Times New Roman" w:cs="Times New Roman"/>
          <w:noProof/>
          <w:sz w:val="24"/>
          <w:szCs w:val="24"/>
        </w:rPr>
      </w:pPr>
      <w:r>
        <w:rPr>
          <w:rFonts w:ascii="Times New Roman" w:hAnsi="Times New Roman"/>
          <w:noProof/>
          <w:sz w:val="24"/>
        </w:rPr>
        <w:t>Ускоряване на работата с Мали по транзитното измерение с акцент върху доброволното връщане</w:t>
      </w:r>
      <w:r>
        <w:rPr>
          <w:rFonts w:ascii="Times New Roman" w:hAnsi="Times New Roman"/>
          <w:noProof/>
          <w:sz w:val="24"/>
        </w:rPr>
        <w:t xml:space="preserve"> на транзитно преминаващи мигранти.</w:t>
      </w:r>
    </w:p>
    <w:p w:rsidR="000A7459" w:rsidRDefault="00D83169">
      <w:pPr>
        <w:pStyle w:val="ListParagraph"/>
        <w:numPr>
          <w:ilvl w:val="0"/>
          <w:numId w:val="27"/>
        </w:numPr>
        <w:spacing w:after="0" w:line="240" w:lineRule="auto"/>
        <w:jc w:val="both"/>
        <w:rPr>
          <w:rFonts w:ascii="Times New Roman" w:hAnsi="Times New Roman" w:cs="Times New Roman"/>
          <w:noProof/>
          <w:sz w:val="24"/>
          <w:szCs w:val="24"/>
        </w:rPr>
      </w:pPr>
      <w:r>
        <w:rPr>
          <w:rFonts w:ascii="Times New Roman" w:hAnsi="Times New Roman"/>
          <w:noProof/>
          <w:sz w:val="24"/>
        </w:rPr>
        <w:t>Засилване на сътрудничеството в областта на ефективното връщане на незаконни мигранти, включително на малийци, опитващи се да пресекат нелегално южната граница на Либия.</w:t>
      </w:r>
    </w:p>
    <w:p w:rsidR="000A7459" w:rsidRDefault="00D83169">
      <w:pPr>
        <w:pStyle w:val="ListParagraph"/>
        <w:numPr>
          <w:ilvl w:val="0"/>
          <w:numId w:val="27"/>
        </w:numPr>
        <w:spacing w:after="0" w:line="240" w:lineRule="auto"/>
        <w:jc w:val="both"/>
        <w:rPr>
          <w:rFonts w:ascii="Times New Roman" w:hAnsi="Times New Roman" w:cs="Times New Roman"/>
          <w:noProof/>
          <w:sz w:val="24"/>
          <w:szCs w:val="24"/>
        </w:rPr>
      </w:pPr>
      <w:r>
        <w:rPr>
          <w:rFonts w:ascii="Times New Roman" w:hAnsi="Times New Roman"/>
          <w:noProof/>
          <w:sz w:val="24"/>
        </w:rPr>
        <w:t>Поддържане на тесен диалог с Мали като председател</w:t>
      </w:r>
      <w:r>
        <w:rPr>
          <w:rFonts w:ascii="Times New Roman" w:hAnsi="Times New Roman"/>
          <w:noProof/>
          <w:sz w:val="24"/>
        </w:rPr>
        <w:t xml:space="preserve"> на процеса от Рабат.</w:t>
      </w:r>
    </w:p>
    <w:p w:rsidR="000A7459" w:rsidRDefault="000A7459">
      <w:pPr>
        <w:spacing w:after="0"/>
        <w:rPr>
          <w:noProof/>
        </w:rPr>
      </w:pPr>
    </w:p>
    <w:p w:rsidR="000A7459" w:rsidRDefault="00D83169">
      <w:pPr>
        <w:spacing w:after="120" w:line="240" w:lineRule="auto"/>
        <w:jc w:val="both"/>
        <w:rPr>
          <w:rFonts w:ascii="Times New Roman" w:hAnsi="Times New Roman" w:cs="Times New Roman"/>
          <w:b/>
          <w:noProof/>
          <w:sz w:val="24"/>
          <w:szCs w:val="24"/>
        </w:rPr>
      </w:pPr>
      <w:r>
        <w:rPr>
          <w:rFonts w:ascii="Times New Roman" w:hAnsi="Times New Roman"/>
          <w:b/>
          <w:noProof/>
          <w:sz w:val="24"/>
        </w:rPr>
        <w:t>Етиопия</w:t>
      </w:r>
    </w:p>
    <w:p w:rsidR="000A7459" w:rsidRDefault="00D83169">
      <w:pPr>
        <w:spacing w:after="0" w:line="240" w:lineRule="auto"/>
        <w:jc w:val="both"/>
        <w:rPr>
          <w:rFonts w:ascii="Times New Roman" w:hAnsi="Times New Roman" w:cs="Times New Roman"/>
          <w:noProof/>
          <w:sz w:val="24"/>
          <w:szCs w:val="24"/>
        </w:rPr>
      </w:pPr>
      <w:r>
        <w:rPr>
          <w:rFonts w:ascii="Times New Roman" w:hAnsi="Times New Roman"/>
          <w:noProof/>
          <w:sz w:val="24"/>
        </w:rPr>
        <w:t>През 2016 г. броят на етиопските граждани, дошли по маршрута през Централното Средиземноморие, достигна 3 657. Същевременно над 30 000</w:t>
      </w:r>
      <w:r>
        <w:rPr>
          <w:rStyle w:val="FootnoteReference"/>
          <w:rFonts w:ascii="Times New Roman" w:hAnsi="Times New Roman"/>
          <w:noProof/>
          <w:sz w:val="24"/>
        </w:rPr>
        <w:footnoteReference w:id="22"/>
      </w:r>
      <w:r>
        <w:rPr>
          <w:rFonts w:ascii="Times New Roman" w:hAnsi="Times New Roman"/>
          <w:noProof/>
          <w:sz w:val="24"/>
        </w:rPr>
        <w:t xml:space="preserve"> етиопци пребивават редовно в Европа и всяка година се издават до 5 000 нови разрешения за</w:t>
      </w:r>
      <w:r>
        <w:rPr>
          <w:rFonts w:ascii="Times New Roman" w:hAnsi="Times New Roman"/>
          <w:noProof/>
          <w:sz w:val="24"/>
        </w:rPr>
        <w:t xml:space="preserve"> пребиваване. Освен това Етиопия е ключова транзитна държава за мигранти и бежанци от Африканския рог, включително за еритрейски бежанци и търсещи убежище. Макар в това отношение да е отчетен спад, през 2016 г. над 21 000 еритрейци са достигнали европейски</w:t>
      </w:r>
      <w:r>
        <w:rPr>
          <w:rFonts w:ascii="Times New Roman" w:hAnsi="Times New Roman"/>
          <w:noProof/>
          <w:sz w:val="24"/>
        </w:rPr>
        <w:t>те брегове по маршрута през Централното Средиземноморие.</w:t>
      </w:r>
      <w:r>
        <w:rPr>
          <w:rStyle w:val="CommentTextChar"/>
          <w:rFonts w:ascii="Times New Roman" w:hAnsi="Times New Roman"/>
          <w:noProof/>
          <w:sz w:val="24"/>
        </w:rPr>
        <w:t xml:space="preserve"> </w:t>
      </w:r>
    </w:p>
    <w:p w:rsidR="000A7459" w:rsidRDefault="000A7459">
      <w:pPr>
        <w:spacing w:after="0" w:line="240" w:lineRule="auto"/>
        <w:jc w:val="both"/>
        <w:rPr>
          <w:rFonts w:ascii="Times New Roman" w:hAnsi="Times New Roman" w:cs="Times New Roman"/>
          <w:noProof/>
          <w:sz w:val="24"/>
          <w:szCs w:val="24"/>
        </w:rPr>
      </w:pPr>
    </w:p>
    <w:p w:rsidR="000A7459" w:rsidRDefault="00D83169">
      <w:pPr>
        <w:spacing w:after="120" w:line="240" w:lineRule="auto"/>
        <w:jc w:val="both"/>
        <w:rPr>
          <w:rFonts w:ascii="Times New Roman" w:hAnsi="Times New Roman" w:cs="Times New Roman"/>
          <w:noProof/>
          <w:spacing w:val="-4"/>
          <w:sz w:val="24"/>
          <w:szCs w:val="24"/>
        </w:rPr>
      </w:pPr>
      <w:r>
        <w:rPr>
          <w:rFonts w:ascii="Times New Roman" w:hAnsi="Times New Roman"/>
          <w:noProof/>
          <w:spacing w:val="-4"/>
          <w:sz w:val="24"/>
        </w:rPr>
        <w:t>Въпреки че значението на Етиопия за регионалната стабилност е широко признато, вътрешнополитическата ситуация в Етиопия продължава да бъде трудна. Продължаващото извънредно положение доведе до нама</w:t>
      </w:r>
      <w:r>
        <w:rPr>
          <w:rFonts w:ascii="Times New Roman" w:hAnsi="Times New Roman"/>
          <w:noProof/>
          <w:spacing w:val="-4"/>
          <w:sz w:val="24"/>
        </w:rPr>
        <w:t>ляване на насилието, а правителството започна диалог с опозиционните партии. Въпреки това още не е ясно дали това ще бъде достатъчно, за да се противодейства на натиска, довел до изблиците на насилие през октомври миналата година. ЕС ще продължава да работ</w:t>
      </w:r>
      <w:r>
        <w:rPr>
          <w:rFonts w:ascii="Times New Roman" w:hAnsi="Times New Roman"/>
          <w:noProof/>
          <w:spacing w:val="-4"/>
          <w:sz w:val="24"/>
        </w:rPr>
        <w:t xml:space="preserve">и с всички заинтересовани страни, за да се предотврати възобновяването на насилието, да се окаже подкрепа за необходимите политически реформи и да се улесни постигането на широк диалог. </w:t>
      </w:r>
    </w:p>
    <w:p w:rsidR="000A7459" w:rsidRDefault="00D83169">
      <w:pPr>
        <w:spacing w:after="120" w:line="240" w:lineRule="auto"/>
        <w:jc w:val="both"/>
        <w:rPr>
          <w:rFonts w:ascii="Times New Roman" w:hAnsi="Times New Roman" w:cs="Times New Roman"/>
          <w:noProof/>
          <w:spacing w:val="-4"/>
          <w:sz w:val="24"/>
          <w:szCs w:val="24"/>
        </w:rPr>
      </w:pPr>
      <w:r>
        <w:rPr>
          <w:rFonts w:ascii="Times New Roman" w:hAnsi="Times New Roman"/>
          <w:noProof/>
          <w:spacing w:val="-4"/>
          <w:sz w:val="24"/>
        </w:rPr>
        <w:t>От юни 2016 г. отношенията между ЕС и Етиопия се развиват в рамките н</w:t>
      </w:r>
      <w:r>
        <w:rPr>
          <w:rFonts w:ascii="Times New Roman" w:hAnsi="Times New Roman"/>
          <w:noProof/>
          <w:spacing w:val="-4"/>
          <w:sz w:val="24"/>
        </w:rPr>
        <w:t xml:space="preserve">а Стратегическия ангажимент между ЕС и Етиопия, който включва секторен диалог по въпросите на миграцията. Етиопия играе активна и конструктивна роля в регионалното управление на миграцията в последващите действия във връзка със срещата на върха във Валета </w:t>
      </w:r>
      <w:r>
        <w:rPr>
          <w:rFonts w:ascii="Times New Roman" w:hAnsi="Times New Roman"/>
          <w:noProof/>
          <w:spacing w:val="-4"/>
          <w:sz w:val="24"/>
        </w:rPr>
        <w:t>през 2015 г., най-вече като председател на процеса от Хартум от декември 2016 г. насам.</w:t>
      </w:r>
    </w:p>
    <w:p w:rsidR="000A7459" w:rsidRDefault="00D83169">
      <w:pPr>
        <w:spacing w:after="120" w:line="240" w:lineRule="auto"/>
        <w:jc w:val="both"/>
        <w:rPr>
          <w:rFonts w:ascii="Times New Roman" w:hAnsi="Times New Roman" w:cs="Times New Roman"/>
          <w:noProof/>
          <w:spacing w:val="-4"/>
          <w:sz w:val="24"/>
          <w:szCs w:val="24"/>
        </w:rPr>
      </w:pPr>
      <w:r>
        <w:rPr>
          <w:rFonts w:ascii="Times New Roman" w:hAnsi="Times New Roman"/>
          <w:noProof/>
          <w:spacing w:val="-4"/>
          <w:sz w:val="24"/>
        </w:rPr>
        <w:t>Ангажиментът на високо равнище продължи чрез провеждането на среща между комисаря по въпросите на международното сътрудничество и развитието Мимица и министър-председат</w:t>
      </w:r>
      <w:r>
        <w:rPr>
          <w:rFonts w:ascii="Times New Roman" w:hAnsi="Times New Roman"/>
          <w:noProof/>
          <w:spacing w:val="-4"/>
          <w:sz w:val="24"/>
        </w:rPr>
        <w:t>еля Десален през януари, срещата между върховния представител/заместник-</w:t>
      </w:r>
      <w:r>
        <w:rPr>
          <w:rFonts w:ascii="Times New Roman" w:hAnsi="Times New Roman"/>
          <w:noProof/>
          <w:spacing w:val="-4"/>
          <w:sz w:val="24"/>
        </w:rPr>
        <w:lastRenderedPageBreak/>
        <w:t>председател Могерини и министъра на външните работи на Етиопия Габейеху в рамките на Конференцията по сигурността в Мюнхен през февруари 2017 г. и посещението на министър Габейеху в Бр</w:t>
      </w:r>
      <w:r>
        <w:rPr>
          <w:rFonts w:ascii="Times New Roman" w:hAnsi="Times New Roman"/>
          <w:noProof/>
          <w:spacing w:val="-4"/>
          <w:sz w:val="24"/>
        </w:rPr>
        <w:t xml:space="preserve">юксел също през февруари. Предвидено е върховният представител/заместник-председател Могерини да пътува до Етиопия през март. </w:t>
      </w:r>
    </w:p>
    <w:p w:rsidR="000A7459" w:rsidRDefault="00D83169">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Етиопия вече се ползва от регионална програма за по-добро управление на миграцията, приета през декември 2015 г. и подкрепяна по </w:t>
      </w:r>
      <w:r>
        <w:rPr>
          <w:rFonts w:ascii="Times New Roman" w:hAnsi="Times New Roman"/>
          <w:noProof/>
          <w:sz w:val="24"/>
        </w:rPr>
        <w:t>линия на Доверителния фонд на ЕС за Африка. Тя ще се възползва и от допълнителни регионални програми по линия на Доверителния фонд, приети през декември 2016 г. Те включват регионален оперативен център за процеса от Хартум, както и механизъм за подпомагане</w:t>
      </w:r>
      <w:r>
        <w:rPr>
          <w:rFonts w:ascii="Times New Roman" w:hAnsi="Times New Roman"/>
          <w:noProof/>
          <w:sz w:val="24"/>
        </w:rPr>
        <w:t xml:space="preserve"> на връщането и за оказване на помощ на блокираните мигранти и тяхната устойчива реинтеграция в общностите. Етиопия остава една от държавите в Африка, приела най-голям брой бежанци — над 790 000 бежанци от региона</w:t>
      </w:r>
      <w:r>
        <w:rPr>
          <w:rStyle w:val="FootnoteReference"/>
          <w:rFonts w:ascii="Times New Roman" w:hAnsi="Times New Roman"/>
          <w:noProof/>
          <w:sz w:val="24"/>
        </w:rPr>
        <w:footnoteReference w:id="23"/>
      </w:r>
      <w:r>
        <w:rPr>
          <w:rFonts w:ascii="Times New Roman" w:hAnsi="Times New Roman"/>
          <w:noProof/>
          <w:sz w:val="24"/>
        </w:rPr>
        <w:t>, и продължава да се възползва от подкрепа</w:t>
      </w:r>
      <w:r>
        <w:rPr>
          <w:rFonts w:ascii="Times New Roman" w:hAnsi="Times New Roman"/>
          <w:noProof/>
          <w:sz w:val="24"/>
        </w:rPr>
        <w:t xml:space="preserve">та на ЕС за тези бежанци и техните приемни общности чрез финансирането за хуманитарни цели и Програмата за регионално развитие и закрила. Допълнителни програми, които са в процес на подготовка, ще допринесат за справянето с първопричините за нелегалната и </w:t>
      </w:r>
      <w:r>
        <w:rPr>
          <w:rFonts w:ascii="Times New Roman" w:hAnsi="Times New Roman"/>
          <w:noProof/>
          <w:sz w:val="24"/>
        </w:rPr>
        <w:t>принудителната миграция, с акцент върху създаването на работни места. По-специално ще бъде предоставена подкрепа за ангажимента на Етиопия да подобри възможностите за препитание за бежанците в страната, включително чрез запазване за бежанците на 30 % от 10</w:t>
      </w:r>
      <w:r>
        <w:rPr>
          <w:rFonts w:ascii="Times New Roman" w:hAnsi="Times New Roman"/>
          <w:noProof/>
          <w:sz w:val="24"/>
        </w:rPr>
        <w:t>0 000 работни места в два планирани промишлени парка. Европейският фонд за развитие също допринесе за усилията на Етиопия за подобряване на управлението на миграцията, по-специално чрез подпомагане на нова децентрализирана система за управление на миграция</w:t>
      </w:r>
      <w:r>
        <w:rPr>
          <w:rFonts w:ascii="Times New Roman" w:hAnsi="Times New Roman"/>
          <w:noProof/>
          <w:sz w:val="24"/>
        </w:rPr>
        <w:t xml:space="preserve">та. </w:t>
      </w:r>
    </w:p>
    <w:p w:rsidR="000A7459" w:rsidRDefault="00D83169">
      <w:pPr>
        <w:spacing w:after="120" w:line="240" w:lineRule="auto"/>
        <w:jc w:val="both"/>
        <w:rPr>
          <w:rFonts w:ascii="Times New Roman" w:hAnsi="Times New Roman"/>
          <w:i/>
          <w:noProof/>
          <w:sz w:val="24"/>
        </w:rPr>
      </w:pPr>
      <w:r>
        <w:rPr>
          <w:rFonts w:ascii="Times New Roman" w:hAnsi="Times New Roman"/>
          <w:noProof/>
          <w:sz w:val="24"/>
        </w:rPr>
        <w:t>Въпреки че през 2016 г. контактите на техническо и политическо равнище зачестиха и започна обещаващ диалог по въпросите на връщането и обратното приемане по линия на Общата програма за миграция и мобилност от 2015 г., конкретният напредък продължава д</w:t>
      </w:r>
      <w:r>
        <w:rPr>
          <w:rFonts w:ascii="Times New Roman" w:hAnsi="Times New Roman"/>
          <w:noProof/>
          <w:sz w:val="24"/>
        </w:rPr>
        <w:t xml:space="preserve">а е много слаб. През 2016 г. само 122 етиопски граждани, пребиваващи незаконно в държави от ЕС, са били върнати в Етиопия. През февруари 2016 г. на етиопските органи бяха предоставени малък брой добре документирани случаи за връщане като пилотен проект за </w:t>
      </w:r>
      <w:r>
        <w:rPr>
          <w:rFonts w:ascii="Times New Roman" w:hAnsi="Times New Roman"/>
          <w:noProof/>
          <w:sz w:val="24"/>
        </w:rPr>
        <w:t>тестване на сътрудничеството по въпросите на миграцията. До този момент обаче все още не са издадени документи за пътуване и не са предприети връщания. Тези случаи разкриха отрицателните последици от различните пакети за реинтеграция, които държавите — чле</w:t>
      </w:r>
      <w:r>
        <w:rPr>
          <w:rFonts w:ascii="Times New Roman" w:hAnsi="Times New Roman"/>
          <w:noProof/>
          <w:sz w:val="24"/>
        </w:rPr>
        <w:t>нки на ЕС, предвиждат за връщане в една и съща държава. Предстои да бъдат потвърдени датите за предлагания семинар за обратно приемане. През март 2017 г. в Етиопия ще бъде изпратен европейски служител за връзка по въпросите на миграцията.</w:t>
      </w:r>
    </w:p>
    <w:p w:rsidR="000A7459" w:rsidRDefault="00D83169">
      <w:pPr>
        <w:spacing w:after="120" w:line="240" w:lineRule="auto"/>
        <w:jc w:val="both"/>
        <w:rPr>
          <w:rFonts w:ascii="Times New Roman" w:hAnsi="Times New Roman" w:cs="Times New Roman"/>
          <w:b/>
          <w:i/>
          <w:noProof/>
          <w:sz w:val="24"/>
          <w:szCs w:val="24"/>
        </w:rPr>
      </w:pPr>
      <w:r>
        <w:rPr>
          <w:rFonts w:ascii="Times New Roman" w:hAnsi="Times New Roman"/>
          <w:i/>
          <w:noProof/>
          <w:sz w:val="24"/>
        </w:rPr>
        <w:t xml:space="preserve"> </w:t>
      </w:r>
      <w:r>
        <w:rPr>
          <w:rFonts w:ascii="Times New Roman" w:hAnsi="Times New Roman"/>
          <w:b/>
          <w:i/>
          <w:noProof/>
          <w:sz w:val="24"/>
        </w:rPr>
        <w:t>Следващи стъпки</w:t>
      </w:r>
    </w:p>
    <w:p w:rsidR="000A7459" w:rsidRDefault="00D83169">
      <w:pPr>
        <w:numPr>
          <w:ilvl w:val="0"/>
          <w:numId w:val="28"/>
        </w:numPr>
        <w:spacing w:after="120" w:line="240" w:lineRule="auto"/>
        <w:contextualSpacing/>
        <w:jc w:val="both"/>
        <w:rPr>
          <w:rFonts w:ascii="Times New Roman" w:hAnsi="Times New Roman" w:cs="Times New Roman"/>
          <w:noProof/>
          <w:sz w:val="24"/>
          <w:szCs w:val="24"/>
        </w:rPr>
      </w:pPr>
      <w:r>
        <w:rPr>
          <w:rFonts w:ascii="Times New Roman" w:hAnsi="Times New Roman"/>
          <w:noProof/>
          <w:sz w:val="24"/>
        </w:rPr>
        <w:t>Приключване на действията по случаите от пилотния проект за връщане и използването им като модел за по-бързо връщане в бъдеще.</w:t>
      </w:r>
    </w:p>
    <w:p w:rsidR="000A7459" w:rsidRDefault="00D83169">
      <w:pPr>
        <w:numPr>
          <w:ilvl w:val="0"/>
          <w:numId w:val="28"/>
        </w:numPr>
        <w:spacing w:after="120" w:line="240" w:lineRule="auto"/>
        <w:contextualSpacing/>
        <w:jc w:val="both"/>
        <w:rPr>
          <w:rFonts w:ascii="Times New Roman" w:hAnsi="Times New Roman" w:cs="Times New Roman"/>
          <w:noProof/>
          <w:sz w:val="24"/>
          <w:szCs w:val="24"/>
        </w:rPr>
      </w:pPr>
      <w:r>
        <w:rPr>
          <w:rFonts w:ascii="Times New Roman" w:hAnsi="Times New Roman"/>
          <w:noProof/>
          <w:sz w:val="24"/>
        </w:rPr>
        <w:t>Продължаване на подкрепата за Етиопия като държава на транзитно преминаване и местоназначение за мигрантите и бежанците, в т.ч. ч</w:t>
      </w:r>
      <w:r>
        <w:rPr>
          <w:rFonts w:ascii="Times New Roman" w:hAnsi="Times New Roman"/>
          <w:noProof/>
          <w:sz w:val="24"/>
        </w:rPr>
        <w:t>рез действия, финансирани по линия на Доверителния фонд на ЕС за Африка.</w:t>
      </w:r>
    </w:p>
    <w:p w:rsidR="000A7459" w:rsidRDefault="00D83169">
      <w:pPr>
        <w:numPr>
          <w:ilvl w:val="0"/>
          <w:numId w:val="28"/>
        </w:numPr>
        <w:spacing w:after="120" w:line="240" w:lineRule="auto"/>
        <w:contextualSpacing/>
        <w:jc w:val="both"/>
        <w:rPr>
          <w:rFonts w:ascii="Times New Roman" w:hAnsi="Times New Roman" w:cs="Times New Roman"/>
          <w:noProof/>
          <w:sz w:val="24"/>
          <w:szCs w:val="24"/>
        </w:rPr>
      </w:pPr>
      <w:r>
        <w:rPr>
          <w:rFonts w:ascii="Times New Roman" w:hAnsi="Times New Roman"/>
          <w:noProof/>
          <w:sz w:val="24"/>
        </w:rPr>
        <w:t xml:space="preserve">Стартиране на секторен диалог за стратегически ангажимент относно миграцията (планирана дата — от април 2017 г.). </w:t>
      </w:r>
    </w:p>
    <w:p w:rsidR="000A7459" w:rsidRDefault="00D83169">
      <w:pPr>
        <w:numPr>
          <w:ilvl w:val="0"/>
          <w:numId w:val="28"/>
        </w:numPr>
        <w:spacing w:after="120" w:line="240" w:lineRule="auto"/>
        <w:contextualSpacing/>
        <w:jc w:val="both"/>
        <w:rPr>
          <w:rFonts w:ascii="Times New Roman" w:hAnsi="Times New Roman" w:cs="Times New Roman"/>
          <w:noProof/>
          <w:sz w:val="24"/>
          <w:szCs w:val="24"/>
        </w:rPr>
      </w:pPr>
      <w:r>
        <w:rPr>
          <w:rFonts w:ascii="Times New Roman" w:hAnsi="Times New Roman"/>
          <w:noProof/>
          <w:sz w:val="24"/>
        </w:rPr>
        <w:t xml:space="preserve">Поддържане на тесен диалог с Етиопия като председател на процеса от </w:t>
      </w:r>
      <w:r>
        <w:rPr>
          <w:rFonts w:ascii="Times New Roman" w:hAnsi="Times New Roman"/>
          <w:noProof/>
          <w:sz w:val="24"/>
        </w:rPr>
        <w:t>Хартум.</w:t>
      </w:r>
    </w:p>
    <w:p w:rsidR="000A7459" w:rsidRDefault="00D83169">
      <w:pPr>
        <w:rPr>
          <w:rFonts w:ascii="Times New Roman" w:hAnsi="Times New Roman" w:cs="Times New Roman"/>
          <w:i/>
          <w:noProof/>
          <w:sz w:val="24"/>
          <w:szCs w:val="24"/>
        </w:rPr>
      </w:pPr>
      <w:r>
        <w:rPr>
          <w:noProof/>
        </w:rPr>
        <w:br w:type="page"/>
      </w:r>
    </w:p>
    <w:p w:rsidR="000A7459" w:rsidRDefault="000A7459">
      <w:pPr>
        <w:spacing w:after="120" w:line="240" w:lineRule="auto"/>
        <w:ind w:firstLine="360"/>
        <w:jc w:val="both"/>
        <w:rPr>
          <w:rFonts w:ascii="Times New Roman" w:hAnsi="Times New Roman" w:cs="Times New Roman"/>
          <w:i/>
          <w:noProof/>
          <w:sz w:val="24"/>
          <w:szCs w:val="24"/>
        </w:rPr>
      </w:pPr>
    </w:p>
    <w:p w:rsidR="000A7459" w:rsidRDefault="00D83169">
      <w:pPr>
        <w:rPr>
          <w:rFonts w:ascii="Times New Roman" w:hAnsi="Times New Roman" w:cs="Times New Roman"/>
          <w:noProof/>
          <w:sz w:val="24"/>
          <w:szCs w:val="24"/>
          <w:u w:val="single"/>
        </w:rPr>
      </w:pPr>
      <w:r>
        <w:rPr>
          <w:rFonts w:ascii="Times New Roman" w:hAnsi="Times New Roman"/>
          <w:b/>
          <w:noProof/>
          <w:sz w:val="24"/>
          <w:u w:val="single"/>
        </w:rPr>
        <w:t>3. Резултати и следващи стъпки по отношение на други държави</w:t>
      </w:r>
      <w:r>
        <w:rPr>
          <w:rFonts w:ascii="Times New Roman" w:hAnsi="Times New Roman"/>
          <w:noProof/>
          <w:sz w:val="24"/>
          <w:u w:val="single"/>
        </w:rPr>
        <w:t xml:space="preserve"> </w:t>
      </w:r>
    </w:p>
    <w:p w:rsidR="000A7459" w:rsidRDefault="00D83169">
      <w:pPr>
        <w:spacing w:after="120" w:line="240" w:lineRule="auto"/>
        <w:jc w:val="both"/>
        <w:rPr>
          <w:rFonts w:ascii="Times New Roman" w:hAnsi="Times New Roman" w:cs="Times New Roman"/>
          <w:b/>
          <w:i/>
          <w:noProof/>
          <w:sz w:val="24"/>
          <w:szCs w:val="24"/>
        </w:rPr>
      </w:pPr>
      <w:r>
        <w:rPr>
          <w:rFonts w:ascii="Times New Roman" w:hAnsi="Times New Roman"/>
          <w:b/>
          <w:i/>
          <w:noProof/>
          <w:sz w:val="24"/>
        </w:rPr>
        <w:t>Маршрутът през Централното Средиземноморие</w:t>
      </w:r>
    </w:p>
    <w:p w:rsidR="000A7459" w:rsidRDefault="000A7459">
      <w:pPr>
        <w:spacing w:after="120" w:line="240" w:lineRule="auto"/>
        <w:jc w:val="both"/>
        <w:rPr>
          <w:rFonts w:ascii="Times New Roman" w:hAnsi="Times New Roman"/>
          <w:i/>
          <w:noProof/>
          <w:sz w:val="20"/>
        </w:rPr>
      </w:pPr>
    </w:p>
    <w:p w:rsidR="000A7459" w:rsidRDefault="00D83169">
      <w:pPr>
        <w:spacing w:after="120" w:line="240" w:lineRule="auto"/>
        <w:jc w:val="both"/>
        <w:rPr>
          <w:rFonts w:ascii="Times New Roman" w:hAnsi="Times New Roman"/>
          <w:i/>
          <w:noProof/>
          <w:sz w:val="20"/>
        </w:rPr>
      </w:pPr>
      <w:r>
        <w:rPr>
          <w:rFonts w:ascii="Times New Roman" w:hAnsi="Times New Roman"/>
          <w:i/>
          <w:noProof/>
          <w:sz w:val="20"/>
          <w:lang w:val="en-GB" w:eastAsia="en-GB" w:bidi="ar-SA"/>
        </w:rPr>
        <w:drawing>
          <wp:inline distT="0" distB="0" distL="0" distR="0" wp14:anchorId="40386F45" wp14:editId="501174EB">
            <wp:extent cx="5760720" cy="4091998"/>
            <wp:effectExtent l="0" t="0" r="0" b="3810"/>
            <wp:docPr id="2" name="Picture 2" descr="C:\Users\ilievka\AppData\Local\Local Documents - no backup\DGT\Dossiers\SG\SG-2017-80095\BG_Annual_Brief_2016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ievka\AppData\Local\Local Documents - no backup\DGT\Dossiers\SG\SG-2017-80095\BG_Annual_Brief_2016_ma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091998"/>
                    </a:xfrm>
                    <a:prstGeom prst="rect">
                      <a:avLst/>
                    </a:prstGeom>
                    <a:noFill/>
                    <a:ln>
                      <a:noFill/>
                    </a:ln>
                  </pic:spPr>
                </pic:pic>
              </a:graphicData>
            </a:graphic>
          </wp:inline>
        </w:drawing>
      </w:r>
    </w:p>
    <w:p w:rsidR="000A7459" w:rsidRDefault="00D83169">
      <w:pPr>
        <w:spacing w:after="120" w:line="240" w:lineRule="auto"/>
        <w:jc w:val="both"/>
        <w:rPr>
          <w:rFonts w:ascii="Times New Roman" w:hAnsi="Times New Roman"/>
          <w:i/>
          <w:noProof/>
          <w:sz w:val="20"/>
        </w:rPr>
      </w:pPr>
      <w:r>
        <w:rPr>
          <w:rFonts w:ascii="Times New Roman" w:hAnsi="Times New Roman"/>
          <w:i/>
          <w:noProof/>
          <w:sz w:val="20"/>
        </w:rPr>
        <w:t>Графика: Основни държави на произход при незаконната миграция от Африка и Азия през 2016 г. (източник: Европейска агенция за гранична и б</w:t>
      </w:r>
      <w:r>
        <w:rPr>
          <w:rFonts w:ascii="Times New Roman" w:hAnsi="Times New Roman"/>
          <w:i/>
          <w:noProof/>
          <w:sz w:val="20"/>
        </w:rPr>
        <w:t>регова охрана)</w:t>
      </w:r>
      <w:r>
        <w:rPr>
          <w:rStyle w:val="FootnoteReference"/>
          <w:rFonts w:ascii="Times New Roman" w:hAnsi="Times New Roman"/>
          <w:i/>
          <w:noProof/>
          <w:sz w:val="20"/>
        </w:rPr>
        <w:footnoteReference w:id="24"/>
      </w:r>
    </w:p>
    <w:p w:rsidR="000A7459" w:rsidRDefault="00D83169">
      <w:pPr>
        <w:spacing w:after="120" w:line="240" w:lineRule="auto"/>
        <w:jc w:val="both"/>
        <w:rPr>
          <w:rFonts w:ascii="Times New Roman" w:hAnsi="Times New Roman" w:cs="Times New Roman"/>
          <w:noProof/>
          <w:spacing w:val="-6"/>
          <w:sz w:val="24"/>
          <w:szCs w:val="24"/>
        </w:rPr>
      </w:pPr>
      <w:r>
        <w:rPr>
          <w:rFonts w:ascii="Times New Roman" w:hAnsi="Times New Roman"/>
          <w:noProof/>
          <w:spacing w:val="-6"/>
          <w:sz w:val="24"/>
        </w:rPr>
        <w:t xml:space="preserve">Маршрутът през Централното Средиземноморие се превърна в основен маршрут за мигрантите и бежанците до Европа. Почти 90 % от 180-те хиляди бежанци, за които е установено, че са преминали по маршрута през 2016 г., са тръгнали от Либия, като </w:t>
      </w:r>
      <w:r>
        <w:rPr>
          <w:rFonts w:ascii="Times New Roman" w:hAnsi="Times New Roman"/>
          <w:noProof/>
          <w:spacing w:val="-6"/>
          <w:sz w:val="24"/>
        </w:rPr>
        <w:t>контрабандистите са успели да се възползват от нестабилната политическа и икономическа ситуация. Намирането на трайно решение на предизвикателствата, свързани с управлението и сигурността в Либия, продължава да бъде ключов приоритет за Европейския съюз, не</w:t>
      </w:r>
      <w:r>
        <w:rPr>
          <w:rFonts w:ascii="Times New Roman" w:hAnsi="Times New Roman"/>
          <w:noProof/>
          <w:spacing w:val="-6"/>
          <w:sz w:val="24"/>
        </w:rPr>
        <w:t>говите държави членки и международните партньори. В съвместното съобщение „Миграцията по маршрута през Централното Средиземноморие. Управление на потоците, спасяване на човешки живот“</w:t>
      </w:r>
      <w:r>
        <w:rPr>
          <w:rStyle w:val="FootnoteReference"/>
          <w:rFonts w:ascii="Times New Roman" w:hAnsi="Times New Roman"/>
          <w:noProof/>
          <w:spacing w:val="-6"/>
          <w:sz w:val="24"/>
        </w:rPr>
        <w:footnoteReference w:id="25"/>
      </w:r>
      <w:r>
        <w:rPr>
          <w:rFonts w:ascii="Times New Roman" w:hAnsi="Times New Roman"/>
          <w:noProof/>
          <w:spacing w:val="-6"/>
          <w:sz w:val="24"/>
        </w:rPr>
        <w:t>, прието през януари, се предлага набор от конкретни оперативни действия</w:t>
      </w:r>
      <w:r>
        <w:rPr>
          <w:rFonts w:ascii="Times New Roman" w:hAnsi="Times New Roman"/>
          <w:noProof/>
          <w:spacing w:val="-6"/>
          <w:sz w:val="24"/>
        </w:rPr>
        <w:t>, които да помогнат за справяне със ситуацията. Успехът на тези действия изисква тясно сътрудничество със съответните партньори в Северна Африка и съгласувани усилия от страна на институциите на ЕС, държавите членки, както и сътрудничество с ключови партнь</w:t>
      </w:r>
      <w:r>
        <w:rPr>
          <w:rFonts w:ascii="Times New Roman" w:hAnsi="Times New Roman"/>
          <w:noProof/>
          <w:spacing w:val="-6"/>
          <w:sz w:val="24"/>
        </w:rPr>
        <w:t xml:space="preserve">ори като Върховния комисариат на ООН за бежанците и Международната организация по миграция. Предложените действия включват: намаляване на броя на нелегалните преминавания и продължаване на спасяването на хора в морето, </w:t>
      </w:r>
      <w:r>
        <w:rPr>
          <w:rFonts w:ascii="Times New Roman" w:hAnsi="Times New Roman"/>
          <w:noProof/>
          <w:spacing w:val="-6"/>
          <w:sz w:val="24"/>
        </w:rPr>
        <w:lastRenderedPageBreak/>
        <w:t>засилване на борбата срещу контрабанд</w:t>
      </w:r>
      <w:r>
        <w:rPr>
          <w:rFonts w:ascii="Times New Roman" w:hAnsi="Times New Roman"/>
          <w:noProof/>
          <w:spacing w:val="-6"/>
          <w:sz w:val="24"/>
        </w:rPr>
        <w:t xml:space="preserve">ата и трафика на хора, осигуряване на защита на мигрантите, увеличаване на броя на презаселванията и насърчаване на подпомогнатото доброволно връщане, управление на мигрантските потоци през южната либийска граница и засилено сътрудничество с Египет, Тунис </w:t>
      </w:r>
      <w:r>
        <w:rPr>
          <w:rFonts w:ascii="Times New Roman" w:hAnsi="Times New Roman"/>
          <w:noProof/>
          <w:spacing w:val="-6"/>
          <w:sz w:val="24"/>
        </w:rPr>
        <w:t>и Алжир, включително чрез регионални инициативи, като мрежата „Seahorse Mediterraneo“</w:t>
      </w:r>
      <w:r>
        <w:rPr>
          <w:rStyle w:val="FootnoteReference"/>
          <w:rFonts w:ascii="Times New Roman" w:hAnsi="Times New Roman"/>
          <w:noProof/>
          <w:spacing w:val="-6"/>
          <w:sz w:val="24"/>
        </w:rPr>
        <w:footnoteReference w:id="26"/>
      </w:r>
      <w:r>
        <w:rPr>
          <w:rFonts w:ascii="Times New Roman" w:hAnsi="Times New Roman"/>
          <w:noProof/>
          <w:spacing w:val="-6"/>
          <w:sz w:val="24"/>
        </w:rPr>
        <w:t>. Някои от предложените действия могат да бъдат успешно изпълнени само след подобряване на положението със сигурността.</w:t>
      </w:r>
    </w:p>
    <w:p w:rsidR="000A7459" w:rsidRDefault="00D83169">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На срещата на високо равнище в Малта държавните и </w:t>
      </w:r>
      <w:r>
        <w:rPr>
          <w:rFonts w:ascii="Times New Roman" w:hAnsi="Times New Roman"/>
          <w:noProof/>
          <w:sz w:val="24"/>
        </w:rPr>
        <w:t>правителствените ръководители приеха Декларацията от Малта</w:t>
      </w:r>
      <w:r>
        <w:rPr>
          <w:rStyle w:val="FootnoteReference"/>
          <w:rFonts w:ascii="Times New Roman" w:hAnsi="Times New Roman"/>
          <w:noProof/>
          <w:sz w:val="24"/>
        </w:rPr>
        <w:footnoteReference w:id="27"/>
      </w:r>
      <w:r>
        <w:rPr>
          <w:rFonts w:ascii="Times New Roman" w:hAnsi="Times New Roman"/>
          <w:noProof/>
          <w:sz w:val="24"/>
        </w:rPr>
        <w:t>, в която се определят редица конкретни действия, които да бъдат предприети във връзка с маршрута, наред с предложенията, направени в съобщението. Малтийското председателство на Европейския съвет в</w:t>
      </w:r>
      <w:r>
        <w:rPr>
          <w:rFonts w:ascii="Times New Roman" w:hAnsi="Times New Roman"/>
          <w:noProof/>
          <w:sz w:val="24"/>
        </w:rPr>
        <w:t xml:space="preserve"> тясно сътрудничество с Комисията, върховния представител и държавите членки работи съгласно план за изпълнение за осъществяването на тези действия. </w:t>
      </w:r>
    </w:p>
    <w:p w:rsidR="000A7459" w:rsidRDefault="000A7459">
      <w:pPr>
        <w:spacing w:after="120" w:line="240" w:lineRule="auto"/>
        <w:jc w:val="both"/>
        <w:rPr>
          <w:rFonts w:ascii="Times New Roman" w:hAnsi="Times New Roman" w:cs="Times New Roman"/>
          <w:b/>
          <w:i/>
          <w:noProof/>
          <w:sz w:val="24"/>
          <w:szCs w:val="24"/>
        </w:rPr>
      </w:pPr>
    </w:p>
    <w:p w:rsidR="000A7459" w:rsidRDefault="00D83169">
      <w:pPr>
        <w:spacing w:after="120" w:line="240" w:lineRule="auto"/>
        <w:jc w:val="both"/>
        <w:rPr>
          <w:rFonts w:ascii="Times New Roman" w:hAnsi="Times New Roman" w:cs="Times New Roman"/>
          <w:b/>
          <w:i/>
          <w:noProof/>
          <w:sz w:val="24"/>
          <w:szCs w:val="24"/>
        </w:rPr>
      </w:pPr>
      <w:r>
        <w:rPr>
          <w:rFonts w:ascii="Times New Roman" w:hAnsi="Times New Roman"/>
          <w:b/>
          <w:i/>
          <w:noProof/>
          <w:sz w:val="24"/>
        </w:rPr>
        <w:t>Либия</w:t>
      </w:r>
    </w:p>
    <w:p w:rsidR="000A7459" w:rsidRDefault="00D83169">
      <w:pPr>
        <w:spacing w:after="120" w:line="240" w:lineRule="auto"/>
        <w:jc w:val="both"/>
        <w:rPr>
          <w:rFonts w:ascii="Times New Roman" w:hAnsi="Times New Roman" w:cs="Times New Roman"/>
          <w:noProof/>
          <w:spacing w:val="-4"/>
          <w:sz w:val="24"/>
          <w:szCs w:val="24"/>
        </w:rPr>
      </w:pPr>
      <w:r>
        <w:rPr>
          <w:rFonts w:ascii="Times New Roman" w:hAnsi="Times New Roman"/>
          <w:noProof/>
          <w:spacing w:val="-4"/>
          <w:sz w:val="24"/>
        </w:rPr>
        <w:t>Подкрепата за управлението на миграционните потоци в северноафриканските държави, разположени по ма</w:t>
      </w:r>
      <w:r>
        <w:rPr>
          <w:rFonts w:ascii="Times New Roman" w:hAnsi="Times New Roman"/>
          <w:noProof/>
          <w:spacing w:val="-4"/>
          <w:sz w:val="24"/>
        </w:rPr>
        <w:t>ршрута през Централното Средиземноморие, е ясен приоритет. През 2017 г. ще бъдат мобилизирани 200 млн. евро за проекти, като приоритетни ще бъдат свързаните с миграцията проекти за Либия. Още през 2016 г. проектите бяха съсредоточени върху Либия с цел пред</w:t>
      </w:r>
      <w:r>
        <w:rPr>
          <w:rFonts w:ascii="Times New Roman" w:hAnsi="Times New Roman"/>
          <w:noProof/>
          <w:spacing w:val="-4"/>
          <w:sz w:val="24"/>
        </w:rPr>
        <w:t xml:space="preserve">оставяне на закрила на най-уязвимите мигранти и създаване на социално-икономически възможности на местно равнище. В началото на март ще се проведе мисия, която ще предприеме последващи действия във връзка със Съвместното съобщение и Плана за изпълнение на </w:t>
      </w:r>
      <w:r>
        <w:rPr>
          <w:rFonts w:ascii="Times New Roman" w:hAnsi="Times New Roman"/>
          <w:noProof/>
          <w:spacing w:val="-4"/>
          <w:sz w:val="24"/>
        </w:rPr>
        <w:t>Декларацията от Малта. Тя ще се проведе след посещението на министър-председателя Сераж в ЕС през февруари.</w:t>
      </w:r>
    </w:p>
    <w:p w:rsidR="000A7459" w:rsidRDefault="00D83169">
      <w:pPr>
        <w:spacing w:after="120" w:line="240" w:lineRule="auto"/>
        <w:jc w:val="both"/>
        <w:rPr>
          <w:rFonts w:ascii="Times New Roman" w:hAnsi="Times New Roman" w:cs="Times New Roman"/>
          <w:noProof/>
          <w:spacing w:val="-4"/>
          <w:sz w:val="24"/>
          <w:szCs w:val="24"/>
        </w:rPr>
      </w:pPr>
      <w:r>
        <w:rPr>
          <w:rFonts w:ascii="Times New Roman" w:hAnsi="Times New Roman"/>
          <w:noProof/>
          <w:spacing w:val="-4"/>
          <w:sz w:val="24"/>
        </w:rPr>
        <w:t>В ход са обсъждания за съсредоточаване на подкрепата върху защитата на мигрантите в местата, където те слизат на сушата, както и върху хуманитарната</w:t>
      </w:r>
      <w:r>
        <w:rPr>
          <w:rFonts w:ascii="Times New Roman" w:hAnsi="Times New Roman"/>
          <w:noProof/>
          <w:spacing w:val="-4"/>
          <w:sz w:val="24"/>
        </w:rPr>
        <w:t xml:space="preserve"> помощ за мигрантите, които се намират в центрове за задържане/приемане, като същевременно се увеличава подкрепата за алтернативи на задържането. Приносът за социално-икономическата стабилизация на Либия ще продължи да стои на дневен ред, по-специално поср</w:t>
      </w:r>
      <w:r>
        <w:rPr>
          <w:rFonts w:ascii="Times New Roman" w:hAnsi="Times New Roman"/>
          <w:noProof/>
          <w:spacing w:val="-4"/>
          <w:sz w:val="24"/>
        </w:rPr>
        <w:t>едством работата на общинско равнище. Тези мерки допълват дейността за засилване на спасителните операции по море, включително чрез обучението на либийската брегова охрана. Служители на либийската брегова охрана вече бяха обучавани по линия на операция „So</w:t>
      </w:r>
      <w:r>
        <w:rPr>
          <w:rFonts w:ascii="Times New Roman" w:hAnsi="Times New Roman"/>
          <w:noProof/>
          <w:spacing w:val="-4"/>
          <w:sz w:val="24"/>
        </w:rPr>
        <w:t>phia“ и чрез мрежата „Seahorse Mediterraneo“. Операция „Sophia“ завърши с първи пакет от дейности, в резултат на които бе обучен персонал от 93 души, а междувременно започна и втори пакет за специализирано обучение в Малта. В момента дейностите се активизи</w:t>
      </w:r>
      <w:r>
        <w:rPr>
          <w:rFonts w:ascii="Times New Roman" w:hAnsi="Times New Roman"/>
          <w:noProof/>
          <w:spacing w:val="-4"/>
          <w:sz w:val="24"/>
        </w:rPr>
        <w:t>рат. Бе предприет преглед на всички текущи дейности по обучение, за да се договори създаването на всеобхватен план за обучение на либийската брегова охрана. Въведени са специфични механизми за координация. Незабавните действия от страна на Комисията включв</w:t>
      </w:r>
      <w:r>
        <w:rPr>
          <w:rFonts w:ascii="Times New Roman" w:hAnsi="Times New Roman"/>
          <w:noProof/>
          <w:spacing w:val="-4"/>
          <w:sz w:val="24"/>
        </w:rPr>
        <w:t>ат разширяването на обученията на либийската брегова охрана по операция „Seahorse“, като за периода февруари—юли 2017 г. са планирани 15 нови курса за обучение. Тази дейност е допълнена също от подкрепа за управлението на миграцията в рамките на регионална</w:t>
      </w:r>
      <w:r>
        <w:rPr>
          <w:rFonts w:ascii="Times New Roman" w:hAnsi="Times New Roman"/>
          <w:noProof/>
          <w:spacing w:val="-4"/>
          <w:sz w:val="24"/>
        </w:rPr>
        <w:t>та програма за развитие и закрила.</w:t>
      </w:r>
    </w:p>
    <w:p w:rsidR="000A7459" w:rsidRDefault="00D83169">
      <w:pPr>
        <w:spacing w:after="120" w:line="240" w:lineRule="auto"/>
        <w:jc w:val="both"/>
        <w:rPr>
          <w:rFonts w:ascii="Times New Roman" w:hAnsi="Times New Roman" w:cs="Times New Roman"/>
          <w:noProof/>
          <w:sz w:val="24"/>
          <w:szCs w:val="24"/>
        </w:rPr>
      </w:pPr>
      <w:r>
        <w:rPr>
          <w:rFonts w:ascii="Times New Roman" w:hAnsi="Times New Roman"/>
          <w:noProof/>
          <w:sz w:val="24"/>
        </w:rPr>
        <w:t>Също така, с цел да се обсъдят идеи за евентуално сътрудничество, беше засилена координацията с няколко организации на ООН, включително Върховния комисар на ООН за бежанците, Международната организация по миграция, Светов</w:t>
      </w:r>
      <w:r>
        <w:rPr>
          <w:rFonts w:ascii="Times New Roman" w:hAnsi="Times New Roman"/>
          <w:noProof/>
          <w:sz w:val="24"/>
        </w:rPr>
        <w:t xml:space="preserve">ната здравна </w:t>
      </w:r>
      <w:r>
        <w:rPr>
          <w:rFonts w:ascii="Times New Roman" w:hAnsi="Times New Roman"/>
          <w:noProof/>
          <w:sz w:val="24"/>
        </w:rPr>
        <w:lastRenderedPageBreak/>
        <w:t xml:space="preserve">организация, Световната продоволствена програма, Програмата на ООН за развитие и Фонда на ООН за децата. </w:t>
      </w:r>
    </w:p>
    <w:p w:rsidR="000A7459" w:rsidRDefault="00D83169">
      <w:pPr>
        <w:spacing w:after="120" w:line="240" w:lineRule="auto"/>
        <w:jc w:val="both"/>
        <w:rPr>
          <w:rFonts w:ascii="Times New Roman" w:hAnsi="Times New Roman" w:cs="Times New Roman"/>
          <w:noProof/>
          <w:spacing w:val="-6"/>
          <w:sz w:val="24"/>
          <w:szCs w:val="24"/>
        </w:rPr>
      </w:pPr>
      <w:r>
        <w:rPr>
          <w:rFonts w:ascii="Times New Roman" w:hAnsi="Times New Roman"/>
          <w:noProof/>
          <w:spacing w:val="-6"/>
          <w:sz w:val="24"/>
        </w:rPr>
        <w:t>Като част от проекта, подпомаган по линия на Доверителния фонд на ЕС за Африка, на Международната организация по миграция бе възложено пр</w:t>
      </w:r>
      <w:r>
        <w:rPr>
          <w:rFonts w:ascii="Times New Roman" w:hAnsi="Times New Roman"/>
          <w:noProof/>
          <w:spacing w:val="-6"/>
          <w:sz w:val="24"/>
        </w:rPr>
        <w:t>илагането на доброволното връщане и реинтеграцията на 5 000 мигранти в Либия като първоначална цел. От особена важност е бързото изпълнение на проекта и усилията за неговото развитие, включително чрез предоставяне на подкрепа за реинтеграция на по-голям бр</w:t>
      </w:r>
      <w:r>
        <w:rPr>
          <w:rFonts w:ascii="Times New Roman" w:hAnsi="Times New Roman"/>
          <w:noProof/>
          <w:spacing w:val="-6"/>
          <w:sz w:val="24"/>
        </w:rPr>
        <w:t>ой мигранти, в допълнение към действията на държавите членки. Ще бъде предоставена помощ за реинтеграция на завърналите се лица в целия регион, обхванат от Доверителния фонд. Още през декември 2016 г. бе подписана съвместна инициатива между Комисията и Меж</w:t>
      </w:r>
      <w:r>
        <w:rPr>
          <w:rFonts w:ascii="Times New Roman" w:hAnsi="Times New Roman"/>
          <w:noProof/>
          <w:spacing w:val="-6"/>
          <w:sz w:val="24"/>
        </w:rPr>
        <w:t>дународната организация по миграция за закрила и реинтеграция на мигрантите в Африка по протежение на миграционните маршрути през Централното Средиземноморие (100 млн. евро). ЕС ще продължи да улеснява работата на Международната организация по миграция, вк</w:t>
      </w:r>
      <w:r>
        <w:rPr>
          <w:rFonts w:ascii="Times New Roman" w:hAnsi="Times New Roman"/>
          <w:noProof/>
          <w:spacing w:val="-6"/>
          <w:sz w:val="24"/>
        </w:rPr>
        <w:t>лючително като насърчава сътрудничеството с африканските партньори за ускоряване на подпомогнатите доброволни връщания на мигранти, блокирани в Либия. Все по-голям брой мигранти в Либия се подпомагат по този начин. 1 113 мигранти, предимно от държави от Аф</w:t>
      </w:r>
      <w:r>
        <w:rPr>
          <w:rFonts w:ascii="Times New Roman" w:hAnsi="Times New Roman"/>
          <w:noProof/>
          <w:spacing w:val="-6"/>
          <w:sz w:val="24"/>
        </w:rPr>
        <w:t xml:space="preserve">рика на юг от Сахара, са поискали доброволно да се завърнат по домовете си през 2015 г., 2 777 — през 2016 г., а до момента през 2017 г. е била предложена подкрепа за връщане на 744 блокирани мигранти, като сред посочените мигранти най-многобройни са тези </w:t>
      </w:r>
      <w:r>
        <w:rPr>
          <w:rFonts w:ascii="Times New Roman" w:hAnsi="Times New Roman"/>
          <w:noProof/>
          <w:spacing w:val="-6"/>
          <w:sz w:val="24"/>
        </w:rPr>
        <w:t>с произход от Нигерия и Сенегал</w:t>
      </w:r>
      <w:r>
        <w:rPr>
          <w:rStyle w:val="FootnoteReference"/>
          <w:rFonts w:ascii="Times New Roman" w:hAnsi="Times New Roman"/>
          <w:noProof/>
          <w:spacing w:val="-6"/>
          <w:sz w:val="24"/>
        </w:rPr>
        <w:footnoteReference w:id="28"/>
      </w:r>
      <w:r>
        <w:rPr>
          <w:rFonts w:ascii="Times New Roman" w:hAnsi="Times New Roman"/>
          <w:noProof/>
          <w:spacing w:val="-6"/>
          <w:sz w:val="24"/>
        </w:rPr>
        <w:t>. Най-уязвимите завърнали се мигранти получиха допълнително подпомагане за реинтеграция, което им помага да започнат дребно стопанска дейност, да се насочат към образование или за разрешаване на здравни проблеми.</w:t>
      </w:r>
    </w:p>
    <w:p w:rsidR="000A7459" w:rsidRDefault="00D83169">
      <w:pPr>
        <w:spacing w:after="120" w:line="240" w:lineRule="auto"/>
        <w:jc w:val="both"/>
        <w:rPr>
          <w:rFonts w:ascii="Times New Roman" w:hAnsi="Times New Roman" w:cs="Times New Roman"/>
          <w:noProof/>
          <w:sz w:val="24"/>
          <w:szCs w:val="24"/>
        </w:rPr>
      </w:pPr>
      <w:r>
        <w:rPr>
          <w:rFonts w:ascii="Times New Roman" w:hAnsi="Times New Roman"/>
          <w:noProof/>
          <w:sz w:val="24"/>
        </w:rPr>
        <w:t>Ще се търси</w:t>
      </w:r>
      <w:r>
        <w:rPr>
          <w:rFonts w:ascii="Times New Roman" w:hAnsi="Times New Roman"/>
          <w:noProof/>
          <w:sz w:val="24"/>
        </w:rPr>
        <w:t xml:space="preserve"> тясна координация на място заедно с държавите членки, и по-специално с Италия, която е обявила намерението си да създаде фонд за Африка в размер на 200 млн. евро, част от който ще помогне за изпълнението на Меморандума за разбирателство</w:t>
      </w:r>
      <w:r>
        <w:rPr>
          <w:rStyle w:val="FootnoteReference"/>
          <w:rFonts w:ascii="Times New Roman" w:hAnsi="Times New Roman"/>
          <w:noProof/>
          <w:sz w:val="24"/>
        </w:rPr>
        <w:footnoteReference w:id="29"/>
      </w:r>
      <w:r>
        <w:rPr>
          <w:rFonts w:ascii="Times New Roman" w:hAnsi="Times New Roman"/>
          <w:noProof/>
          <w:sz w:val="24"/>
        </w:rPr>
        <w:t xml:space="preserve"> между Италия и Ли</w:t>
      </w:r>
      <w:r>
        <w:rPr>
          <w:rFonts w:ascii="Times New Roman" w:hAnsi="Times New Roman"/>
          <w:noProof/>
          <w:sz w:val="24"/>
        </w:rPr>
        <w:t xml:space="preserve">бия. </w:t>
      </w:r>
    </w:p>
    <w:p w:rsidR="000A7459" w:rsidRDefault="000A7459">
      <w:pPr>
        <w:spacing w:after="120" w:line="240" w:lineRule="auto"/>
        <w:jc w:val="both"/>
        <w:rPr>
          <w:rFonts w:ascii="Times New Roman" w:hAnsi="Times New Roman" w:cs="Times New Roman"/>
          <w:b/>
          <w:i/>
          <w:noProof/>
          <w:color w:val="000000"/>
          <w:sz w:val="24"/>
          <w:szCs w:val="24"/>
        </w:rPr>
      </w:pPr>
    </w:p>
    <w:p w:rsidR="000A7459" w:rsidRDefault="00D83169">
      <w:pPr>
        <w:spacing w:after="120" w:line="240" w:lineRule="auto"/>
        <w:jc w:val="both"/>
        <w:rPr>
          <w:rFonts w:ascii="Times New Roman" w:hAnsi="Times New Roman" w:cs="Times New Roman"/>
          <w:b/>
          <w:i/>
          <w:noProof/>
          <w:color w:val="000000"/>
          <w:sz w:val="24"/>
          <w:szCs w:val="24"/>
        </w:rPr>
      </w:pPr>
      <w:r>
        <w:rPr>
          <w:rFonts w:ascii="Times New Roman" w:hAnsi="Times New Roman"/>
          <w:b/>
          <w:i/>
          <w:noProof/>
          <w:color w:val="000000"/>
          <w:sz w:val="24"/>
        </w:rPr>
        <w:t>Египет</w:t>
      </w:r>
    </w:p>
    <w:p w:rsidR="000A7459" w:rsidRDefault="00D83169">
      <w:pPr>
        <w:spacing w:after="120" w:line="240" w:lineRule="auto"/>
        <w:jc w:val="both"/>
        <w:rPr>
          <w:rFonts w:ascii="Times New Roman" w:hAnsi="Times New Roman" w:cs="Times New Roman"/>
          <w:noProof/>
          <w:spacing w:val="-6"/>
          <w:sz w:val="24"/>
          <w:szCs w:val="24"/>
        </w:rPr>
      </w:pPr>
      <w:r>
        <w:rPr>
          <w:rFonts w:ascii="Times New Roman" w:hAnsi="Times New Roman"/>
          <w:noProof/>
          <w:spacing w:val="-6"/>
          <w:sz w:val="24"/>
        </w:rPr>
        <w:t>През последните месеци се наблюдава значителен спад в броя на мигрантите, които отпътуват от Египет, за да прекосят Средиземно море</w:t>
      </w:r>
      <w:r>
        <w:rPr>
          <w:rStyle w:val="FootnoteReference"/>
          <w:rFonts w:ascii="Times New Roman" w:hAnsi="Times New Roman"/>
          <w:noProof/>
          <w:spacing w:val="-6"/>
          <w:sz w:val="24"/>
        </w:rPr>
        <w:footnoteReference w:id="30"/>
      </w:r>
      <w:r>
        <w:rPr>
          <w:rFonts w:ascii="Times New Roman" w:hAnsi="Times New Roman"/>
          <w:noProof/>
          <w:spacing w:val="-6"/>
          <w:sz w:val="24"/>
        </w:rPr>
        <w:t xml:space="preserve"> и да достигнат до Европа, но страната продължава да бъде ключов стратегически партньор в областта на миграцията. Египет е основен географски кръстопът и египетските органи работят за предотвратяване на нелегалния достъп до Либия и за осигуряване на бързот</w:t>
      </w:r>
      <w:r>
        <w:rPr>
          <w:rFonts w:ascii="Times New Roman" w:hAnsi="Times New Roman"/>
          <w:noProof/>
          <w:spacing w:val="-6"/>
          <w:sz w:val="24"/>
        </w:rPr>
        <w:t>о връщане на собствените си граждани, които влизат в ЕС по маршрута през Централното Средиземноморие. От ключово значение е продължаването и засилването на ангажираността с Египет. Въз основа на бъдещите приоритети за партньорство ще се търси конкретно и з</w:t>
      </w:r>
      <w:r>
        <w:rPr>
          <w:rFonts w:ascii="Times New Roman" w:hAnsi="Times New Roman"/>
          <w:noProof/>
          <w:spacing w:val="-6"/>
          <w:sz w:val="24"/>
        </w:rPr>
        <w:t>асилено сътрудничество в областта на управлението на миграцията, по-специално за подкрепа на изпълнението на национални стратегии за справяне с първопричините за незаконната миграция. Действията по ангажимента ще продължат и в контекста на обръщението на е</w:t>
      </w:r>
      <w:r>
        <w:rPr>
          <w:rFonts w:ascii="Times New Roman" w:hAnsi="Times New Roman"/>
          <w:noProof/>
          <w:spacing w:val="-6"/>
          <w:sz w:val="24"/>
        </w:rPr>
        <w:t xml:space="preserve">гипетския министър на външните работи към Съвета по външни работи през март. Също така са в хода и конкретни последващи действия във връзка с посещението на равнище висши служители през януари. </w:t>
      </w:r>
    </w:p>
    <w:p w:rsidR="000A7459" w:rsidRDefault="00D83169">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Понастоящем е в процес на определяне мандатът за формален диалог относно миграцията между ЕС и Египет, като първата среща следва да се проведе през март/април 2017 г. Обсъждат се и проекти в рамките на Доверителния фонд на ЕС за </w:t>
      </w:r>
      <w:r>
        <w:rPr>
          <w:rFonts w:ascii="Times New Roman" w:hAnsi="Times New Roman"/>
          <w:noProof/>
          <w:sz w:val="24"/>
        </w:rPr>
        <w:lastRenderedPageBreak/>
        <w:t>Африка. Засиленото сътрудни</w:t>
      </w:r>
      <w:r>
        <w:rPr>
          <w:rFonts w:ascii="Times New Roman" w:hAnsi="Times New Roman"/>
          <w:noProof/>
          <w:sz w:val="24"/>
        </w:rPr>
        <w:t>чество може да включва подпомагане на сътрудничеството с органите за прилагане на националните стратегии за преодоляване на първопричините за незаконната миграция чрез подпомагане на местното икономическо развитие и чрез предоставяне на достъп до работни м</w:t>
      </w:r>
      <w:r>
        <w:rPr>
          <w:rFonts w:ascii="Times New Roman" w:hAnsi="Times New Roman"/>
          <w:noProof/>
          <w:sz w:val="24"/>
        </w:rPr>
        <w:t xml:space="preserve">еста за мигрантите и приемащите общности, както и повишаване на защитата на най-уязвимите лица. </w:t>
      </w:r>
    </w:p>
    <w:p w:rsidR="000A7459" w:rsidRDefault="00D83169">
      <w:pPr>
        <w:spacing w:after="120" w:line="240" w:lineRule="auto"/>
        <w:jc w:val="both"/>
        <w:rPr>
          <w:rFonts w:ascii="Times New Roman" w:hAnsi="Times New Roman" w:cs="Times New Roman"/>
          <w:noProof/>
          <w:sz w:val="24"/>
          <w:szCs w:val="24"/>
        </w:rPr>
      </w:pPr>
      <w:r>
        <w:rPr>
          <w:rFonts w:ascii="Times New Roman" w:hAnsi="Times New Roman"/>
          <w:noProof/>
          <w:sz w:val="24"/>
        </w:rPr>
        <w:t>Други направления включват провеждането на междуведомствено посещение в Европейската агенция за гранична и брегова охрана във Варшава през март, номинирането н</w:t>
      </w:r>
      <w:r>
        <w:rPr>
          <w:rFonts w:ascii="Times New Roman" w:hAnsi="Times New Roman"/>
          <w:noProof/>
          <w:sz w:val="24"/>
        </w:rPr>
        <w:t>а египетско лице за контакт за операция „Sophia“, както и проучването на възможностите за обмен на информация в рамките на проекта „Seahorse Mediterraneo“. От ключово значение е увеличаването на капацитета на органите на държавите от Северна Африка за борб</w:t>
      </w:r>
      <w:r>
        <w:rPr>
          <w:rFonts w:ascii="Times New Roman" w:hAnsi="Times New Roman"/>
          <w:noProof/>
          <w:sz w:val="24"/>
        </w:rPr>
        <w:t>а с незаконната миграция и трафика на хора чрез укрепване на техните системи за наблюдение на границите. Във връзка с това участието на Египет в проекта „Seahorse Mediterraneo“ е от първостепенно значение.</w:t>
      </w:r>
    </w:p>
    <w:p w:rsidR="000A7459" w:rsidRDefault="00D83169">
      <w:pPr>
        <w:spacing w:after="120" w:line="240" w:lineRule="auto"/>
        <w:jc w:val="both"/>
        <w:rPr>
          <w:rFonts w:ascii="Times New Roman" w:hAnsi="Times New Roman" w:cs="Times New Roman"/>
          <w:noProof/>
          <w:sz w:val="24"/>
          <w:szCs w:val="24"/>
        </w:rPr>
      </w:pPr>
      <w:r>
        <w:rPr>
          <w:rFonts w:ascii="Times New Roman" w:hAnsi="Times New Roman"/>
          <w:noProof/>
          <w:sz w:val="24"/>
        </w:rPr>
        <w:t>Накрая, Египет изрази общ интерес към изграждането</w:t>
      </w:r>
      <w:r>
        <w:rPr>
          <w:rFonts w:ascii="Times New Roman" w:hAnsi="Times New Roman"/>
          <w:noProof/>
          <w:sz w:val="24"/>
        </w:rPr>
        <w:t xml:space="preserve"> на капацитет за управление на миграцията, и по-конкретно с цел помагане на прилагането на новия закон против контрабандата, приет през октомври 2016 г.</w:t>
      </w:r>
    </w:p>
    <w:p w:rsidR="000A7459" w:rsidRDefault="000A7459">
      <w:pPr>
        <w:rPr>
          <w:rFonts w:ascii="Times New Roman" w:hAnsi="Times New Roman" w:cs="Times New Roman"/>
          <w:b/>
          <w:i/>
          <w:noProof/>
          <w:sz w:val="24"/>
          <w:szCs w:val="24"/>
        </w:rPr>
      </w:pPr>
    </w:p>
    <w:p w:rsidR="000A7459" w:rsidRDefault="00D83169">
      <w:pPr>
        <w:rPr>
          <w:rFonts w:ascii="Times New Roman" w:hAnsi="Times New Roman" w:cs="Times New Roman"/>
          <w:b/>
          <w:i/>
          <w:noProof/>
          <w:sz w:val="24"/>
          <w:szCs w:val="24"/>
        </w:rPr>
      </w:pPr>
      <w:r>
        <w:rPr>
          <w:rFonts w:ascii="Times New Roman" w:hAnsi="Times New Roman"/>
          <w:b/>
          <w:i/>
          <w:noProof/>
          <w:sz w:val="24"/>
        </w:rPr>
        <w:t>Западна Африка</w:t>
      </w:r>
    </w:p>
    <w:p w:rsidR="000A7459" w:rsidRDefault="00D83169">
      <w:pPr>
        <w:spacing w:after="120" w:line="240" w:lineRule="auto"/>
        <w:jc w:val="both"/>
        <w:rPr>
          <w:rFonts w:ascii="Times New Roman" w:hAnsi="Times New Roman" w:cs="Times New Roman"/>
          <w:noProof/>
          <w:sz w:val="24"/>
          <w:szCs w:val="24"/>
        </w:rPr>
      </w:pPr>
      <w:r>
        <w:rPr>
          <w:rFonts w:ascii="Times New Roman" w:hAnsi="Times New Roman"/>
          <w:noProof/>
          <w:sz w:val="24"/>
        </w:rPr>
        <w:t>През февруари 2017 г. Комисията разшири географския обхват на Доверителния фонд на ЕС з</w:t>
      </w:r>
      <w:r>
        <w:rPr>
          <w:rFonts w:ascii="Times New Roman" w:hAnsi="Times New Roman"/>
          <w:noProof/>
          <w:sz w:val="24"/>
        </w:rPr>
        <w:t>а Африка с цел включване на Кот д’Ивоар, Гана и Гвинея</w:t>
      </w:r>
      <w:r>
        <w:rPr>
          <w:rStyle w:val="FootnoteReference"/>
          <w:rFonts w:ascii="Times New Roman" w:hAnsi="Times New Roman"/>
          <w:noProof/>
          <w:sz w:val="24"/>
        </w:rPr>
        <w:footnoteReference w:id="31"/>
      </w:r>
      <w:r>
        <w:rPr>
          <w:rFonts w:ascii="Times New Roman" w:hAnsi="Times New Roman"/>
          <w:noProof/>
          <w:sz w:val="24"/>
        </w:rPr>
        <w:t>. Понастоящем се планират технически мисии в тези държави, за да се определят техните нужди с оглед на евентуалното им подпомагане.</w:t>
      </w:r>
    </w:p>
    <w:p w:rsidR="000A7459" w:rsidRDefault="00D83169">
      <w:pPr>
        <w:spacing w:after="120" w:line="240" w:lineRule="auto"/>
        <w:jc w:val="both"/>
        <w:rPr>
          <w:rFonts w:ascii="Times New Roman" w:hAnsi="Times New Roman" w:cs="Times New Roman"/>
          <w:noProof/>
          <w:sz w:val="24"/>
          <w:szCs w:val="24"/>
        </w:rPr>
      </w:pPr>
      <w:r>
        <w:rPr>
          <w:rFonts w:ascii="Times New Roman" w:hAnsi="Times New Roman"/>
          <w:noProof/>
          <w:sz w:val="24"/>
        </w:rPr>
        <w:t>През февруари комисар Мимица посети Гамбия, за да се срещне с новоизб</w:t>
      </w:r>
      <w:r>
        <w:rPr>
          <w:rFonts w:ascii="Times New Roman" w:hAnsi="Times New Roman"/>
          <w:noProof/>
          <w:sz w:val="24"/>
        </w:rPr>
        <w:t>рания президент Бароу в знак на подкрепа за мирните и демократични промени. Дискусиите в областта на миграцията ще бъдат продължени в най-скоро време.</w:t>
      </w:r>
    </w:p>
    <w:p w:rsidR="000A7459" w:rsidRDefault="000A7459">
      <w:pPr>
        <w:spacing w:after="120" w:line="240" w:lineRule="auto"/>
        <w:jc w:val="both"/>
        <w:rPr>
          <w:rFonts w:ascii="Times New Roman" w:hAnsi="Times New Roman" w:cs="Times New Roman"/>
          <w:b/>
          <w:i/>
          <w:noProof/>
          <w:sz w:val="24"/>
          <w:szCs w:val="24"/>
        </w:rPr>
      </w:pPr>
    </w:p>
    <w:p w:rsidR="000A7459" w:rsidRDefault="00D83169">
      <w:pPr>
        <w:spacing w:after="120" w:line="240" w:lineRule="auto"/>
        <w:jc w:val="both"/>
        <w:rPr>
          <w:rFonts w:ascii="Times New Roman" w:hAnsi="Times New Roman" w:cs="Times New Roman"/>
          <w:b/>
          <w:i/>
          <w:noProof/>
          <w:sz w:val="24"/>
          <w:szCs w:val="24"/>
        </w:rPr>
      </w:pPr>
      <w:r>
        <w:rPr>
          <w:rFonts w:ascii="Times New Roman" w:hAnsi="Times New Roman"/>
          <w:b/>
          <w:i/>
          <w:noProof/>
          <w:sz w:val="24"/>
        </w:rPr>
        <w:t xml:space="preserve">Азия </w:t>
      </w:r>
    </w:p>
    <w:p w:rsidR="000A7459" w:rsidRDefault="00D83169">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Азия е един от основните региони, от които произтича миграцията към ЕС. Миграцията от този регион </w:t>
      </w:r>
      <w:r>
        <w:rPr>
          <w:rFonts w:ascii="Times New Roman" w:hAnsi="Times New Roman"/>
          <w:noProof/>
          <w:sz w:val="24"/>
        </w:rPr>
        <w:t>най-вероятно ще продължи поради предизвикателствата пред сигурността, политическата нестабилност и бедността. В рамките на процеса от Будапеща партньорството за миграция между държавите по пътя на коприната предлага структуриран диалог с ЕС, а приетото пре</w:t>
      </w:r>
      <w:r>
        <w:rPr>
          <w:rFonts w:ascii="Times New Roman" w:hAnsi="Times New Roman"/>
          <w:noProof/>
          <w:sz w:val="24"/>
        </w:rPr>
        <w:t>з декември 2016 г. действие</w:t>
      </w:r>
      <w:r>
        <w:rPr>
          <w:rStyle w:val="FootnoteReference"/>
          <w:rFonts w:ascii="Times New Roman" w:hAnsi="Times New Roman"/>
          <w:noProof/>
          <w:sz w:val="24"/>
        </w:rPr>
        <w:footnoteReference w:id="32"/>
      </w:r>
      <w:r>
        <w:rPr>
          <w:rFonts w:ascii="Times New Roman" w:hAnsi="Times New Roman"/>
          <w:noProof/>
          <w:sz w:val="24"/>
        </w:rPr>
        <w:t xml:space="preserve"> е насочено към максимално увеличаване на потенциала за развитие на миграцията и мобилността в рамките на региона и осигурява отговор на регионално равнище.</w:t>
      </w:r>
    </w:p>
    <w:p w:rsidR="000A7459" w:rsidRDefault="00D83169">
      <w:pPr>
        <w:spacing w:after="120" w:line="240" w:lineRule="auto"/>
        <w:jc w:val="both"/>
        <w:rPr>
          <w:rFonts w:ascii="Times New Roman" w:hAnsi="Times New Roman" w:cs="Times New Roman"/>
          <w:noProof/>
          <w:spacing w:val="-4"/>
          <w:sz w:val="24"/>
          <w:szCs w:val="24"/>
        </w:rPr>
      </w:pPr>
      <w:r>
        <w:rPr>
          <w:rFonts w:ascii="Times New Roman" w:hAnsi="Times New Roman"/>
          <w:i/>
          <w:noProof/>
          <w:spacing w:val="-4"/>
          <w:sz w:val="24"/>
        </w:rPr>
        <w:t>Афганистан</w:t>
      </w:r>
      <w:r>
        <w:rPr>
          <w:rFonts w:ascii="Times New Roman" w:hAnsi="Times New Roman"/>
          <w:noProof/>
          <w:spacing w:val="-4"/>
          <w:sz w:val="24"/>
        </w:rPr>
        <w:t xml:space="preserve"> е много важна държава на произход. През 2016 г. в Европа са </w:t>
      </w:r>
      <w:r>
        <w:rPr>
          <w:rFonts w:ascii="Times New Roman" w:hAnsi="Times New Roman"/>
          <w:noProof/>
          <w:spacing w:val="-4"/>
          <w:sz w:val="24"/>
        </w:rPr>
        <w:t>пристигнали незаконно 50 000 афганистанци и макар че това представлява значителен спад в сравнение с 2015 г., делът на гражданите на Афганистан продължава да е висок. Понастоящем афганистанците са втората по големина група от кандидати за международна закр</w:t>
      </w:r>
      <w:r>
        <w:rPr>
          <w:rFonts w:ascii="Times New Roman" w:hAnsi="Times New Roman"/>
          <w:noProof/>
          <w:spacing w:val="-4"/>
          <w:sz w:val="24"/>
        </w:rPr>
        <w:t xml:space="preserve">ила в ЕС (над 175 000 през 2016 г.), въпреки че делът на афганистанците, признати за нуждаещи се </w:t>
      </w:r>
      <w:r>
        <w:rPr>
          <w:rFonts w:ascii="Times New Roman" w:hAnsi="Times New Roman"/>
          <w:noProof/>
          <w:spacing w:val="-4"/>
          <w:sz w:val="24"/>
        </w:rPr>
        <w:lastRenderedPageBreak/>
        <w:t>от международна закрила е спаднал</w:t>
      </w:r>
      <w:r>
        <w:rPr>
          <w:rStyle w:val="FootnoteReference"/>
          <w:rFonts w:ascii="Times New Roman" w:hAnsi="Times New Roman"/>
          <w:noProof/>
          <w:spacing w:val="-4"/>
          <w:sz w:val="24"/>
        </w:rPr>
        <w:footnoteReference w:id="33"/>
      </w:r>
      <w:r>
        <w:rPr>
          <w:rFonts w:ascii="Times New Roman" w:hAnsi="Times New Roman"/>
          <w:noProof/>
          <w:spacing w:val="-4"/>
          <w:sz w:val="24"/>
        </w:rPr>
        <w:t>. Броят на подпомогнатите доброволни връщания се е повишил значително, като през 2016 г. е достигнал почти 6 000. Необходимо е да се увеличи броят на връщанията от държавите членки и трети държави с цел намаляване на големия брой афганистанци, които все ощ</w:t>
      </w:r>
      <w:r>
        <w:rPr>
          <w:rFonts w:ascii="Times New Roman" w:hAnsi="Times New Roman"/>
          <w:noProof/>
          <w:spacing w:val="-4"/>
          <w:sz w:val="24"/>
        </w:rPr>
        <w:t xml:space="preserve">е са блокирани в държавите по маршрута през Западните Балкани. Комисията работи със заинтересованите страни и с афганистанските власти за постигането на напредък в тази област. </w:t>
      </w:r>
    </w:p>
    <w:p w:rsidR="000A7459" w:rsidRDefault="00D83169">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Сътрудничеството с Афганистан в областта на връщането продължава в рамките на </w:t>
      </w:r>
      <w:r>
        <w:rPr>
          <w:rFonts w:ascii="Times New Roman" w:hAnsi="Times New Roman"/>
          <w:noProof/>
          <w:sz w:val="24"/>
        </w:rPr>
        <w:t>инициативата за съвместни бъдещи действия, подписана през октомври 2016 г., както и чрез двустранни споразумения с държавите членки. От декември 2016 г. до сега бяха организирани четири полета за връщане с общо 75 завърнали се лица. Комисията следи отблизо</w:t>
      </w:r>
      <w:r>
        <w:rPr>
          <w:rFonts w:ascii="Times New Roman" w:hAnsi="Times New Roman"/>
          <w:noProof/>
          <w:sz w:val="24"/>
        </w:rPr>
        <w:t xml:space="preserve"> изпълнението на инициативата за съвместни бъдещи действия и в края на март ще се проведе второ заседание на работната група за нейното прилагане. </w:t>
      </w:r>
    </w:p>
    <w:p w:rsidR="000A7459" w:rsidRDefault="00D83169">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Сътрудничеството в областта на незаконната миграция бе придружено от помощ за дългосрочната реинтеграция на </w:t>
      </w:r>
      <w:r>
        <w:rPr>
          <w:rFonts w:ascii="Times New Roman" w:hAnsi="Times New Roman"/>
          <w:noProof/>
          <w:sz w:val="24"/>
        </w:rPr>
        <w:t>завръщащите се мигранти. Афганистан ще бъде най-големият бенефициер на регионалната програма за подпомагане на реинтеграцията. ЕС ще подкрепи устойчивата реинтеграция на афганистанските граждани, завърнали се от Пакистан и Иран в Афганистан, като улесни до</w:t>
      </w:r>
      <w:r>
        <w:rPr>
          <w:rFonts w:ascii="Times New Roman" w:hAnsi="Times New Roman"/>
          <w:noProof/>
          <w:sz w:val="24"/>
        </w:rPr>
        <w:t xml:space="preserve">стъпа им до услуги за подкрепа на препитанието и на социалното сближаване в приемащите общности, прилагайки по този начин регионален подход за подкрепа на закрилата и устойчивата реинтеграция на афганистанските граждани, разселени в техния регион. </w:t>
      </w:r>
    </w:p>
    <w:p w:rsidR="000A7459" w:rsidRDefault="00D83169">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Миграци</w:t>
      </w:r>
      <w:r>
        <w:rPr>
          <w:rFonts w:ascii="Times New Roman" w:hAnsi="Times New Roman"/>
          <w:noProof/>
          <w:sz w:val="24"/>
        </w:rPr>
        <w:t xml:space="preserve">ята е основен въпрос в цялостните отношения на ЕС с </w:t>
      </w:r>
      <w:r>
        <w:rPr>
          <w:rFonts w:ascii="Times New Roman" w:hAnsi="Times New Roman"/>
          <w:i/>
          <w:noProof/>
          <w:sz w:val="24"/>
        </w:rPr>
        <w:t>Пакистан</w:t>
      </w:r>
      <w:r>
        <w:rPr>
          <w:rFonts w:ascii="Times New Roman" w:hAnsi="Times New Roman"/>
          <w:noProof/>
          <w:sz w:val="24"/>
        </w:rPr>
        <w:t>, а ефективното прилагане на споразумението за обратно приемане между ЕС и Пакистан се разглежда на редовните съвещания на съвместните комитети за обратно приемане. На последното съвещание, състоя</w:t>
      </w:r>
      <w:r>
        <w:rPr>
          <w:rFonts w:ascii="Times New Roman" w:hAnsi="Times New Roman"/>
          <w:noProof/>
          <w:sz w:val="24"/>
        </w:rPr>
        <w:t>ло се на 28 февруари, бе направен преглед на трудностите, които държавите членки срещат при обратното приемане, и бе договорено създаването на електронна платформа, насочена към намаляване на проблемите при обработката на молби за обратно приемане, която щ</w:t>
      </w:r>
      <w:r>
        <w:rPr>
          <w:rFonts w:ascii="Times New Roman" w:hAnsi="Times New Roman"/>
          <w:noProof/>
          <w:sz w:val="24"/>
        </w:rPr>
        <w:t xml:space="preserve">е започне работа след одобрение от страна на пакистанските органи. През март в делегацията на ЕС в Исламабад ще бъде изпратен европейски служител за връзка по въпросите на миграцията. </w:t>
      </w:r>
    </w:p>
    <w:p w:rsidR="000A7459" w:rsidRDefault="00D83169">
      <w:pPr>
        <w:spacing w:after="120" w:line="240" w:lineRule="auto"/>
        <w:jc w:val="both"/>
        <w:rPr>
          <w:rFonts w:ascii="Times New Roman" w:hAnsi="Times New Roman" w:cs="Times New Roman"/>
          <w:noProof/>
          <w:spacing w:val="-2"/>
          <w:sz w:val="24"/>
          <w:szCs w:val="24"/>
        </w:rPr>
      </w:pPr>
      <w:r>
        <w:rPr>
          <w:rFonts w:ascii="Times New Roman" w:hAnsi="Times New Roman"/>
          <w:noProof/>
          <w:spacing w:val="-2"/>
          <w:sz w:val="24"/>
        </w:rPr>
        <w:t>Също така е в ход по-тясно оперативно сътрудничество с правителството н</w:t>
      </w:r>
      <w:r>
        <w:rPr>
          <w:rFonts w:ascii="Times New Roman" w:hAnsi="Times New Roman"/>
          <w:noProof/>
          <w:spacing w:val="-2"/>
          <w:sz w:val="24"/>
        </w:rPr>
        <w:t>а Пакистан за борба с контрабандата на мигранти. То ще включва посещение в агенции на ЕС с цел подобряване на обмена на информация и разузнавателни данни, по-добро подпомагане на оперативните разследвания и по-добро разбиране на регионалните рискове и запл</w:t>
      </w:r>
      <w:r>
        <w:rPr>
          <w:rFonts w:ascii="Times New Roman" w:hAnsi="Times New Roman"/>
          <w:noProof/>
          <w:spacing w:val="-2"/>
          <w:sz w:val="24"/>
        </w:rPr>
        <w:t>ахи. През 2016 г. бяха мобилизирани допълнителни средства с цел да се реагира веднага на внезапното увеличение на връщанията от Пакистан, а също така се подготвят нови мерки, за да се гарантира устойчивата реинтеграция, достъпът до услуги за подкрепа на пр</w:t>
      </w:r>
      <w:r>
        <w:rPr>
          <w:rFonts w:ascii="Times New Roman" w:hAnsi="Times New Roman"/>
          <w:noProof/>
          <w:spacing w:val="-2"/>
          <w:sz w:val="24"/>
        </w:rPr>
        <w:t>епитанието и социалното сближаване в приемащите общности в региона.</w:t>
      </w:r>
    </w:p>
    <w:p w:rsidR="000A7459" w:rsidRDefault="00D83169">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През февруари приключи покана за представяне на предложения за проекти, касаещи пътя на коприната, с цел повишаване на способността и капацитета за правоприлагане в Афганистан и Пакистан. </w:t>
      </w:r>
      <w:r>
        <w:rPr>
          <w:rFonts w:ascii="Times New Roman" w:hAnsi="Times New Roman"/>
          <w:noProof/>
          <w:sz w:val="24"/>
        </w:rPr>
        <w:t>Спечелилият проект ще подобри способността за разследване, наказателно преследване и разбиване на мрежите на организираната престъпност и за контрабанда на мигранти.</w:t>
      </w:r>
    </w:p>
    <w:p w:rsidR="000A7459" w:rsidRDefault="00D83169">
      <w:pPr>
        <w:spacing w:after="120" w:line="240" w:lineRule="auto"/>
        <w:jc w:val="both"/>
        <w:rPr>
          <w:rFonts w:ascii="Times New Roman" w:hAnsi="Times New Roman" w:cs="Times New Roman"/>
          <w:i/>
          <w:noProof/>
          <w:spacing w:val="-6"/>
          <w:sz w:val="24"/>
          <w:szCs w:val="24"/>
        </w:rPr>
      </w:pPr>
      <w:r>
        <w:rPr>
          <w:rFonts w:ascii="Times New Roman" w:hAnsi="Times New Roman"/>
          <w:noProof/>
          <w:spacing w:val="-6"/>
          <w:sz w:val="24"/>
        </w:rPr>
        <w:t xml:space="preserve">Що се отнася до </w:t>
      </w:r>
      <w:r>
        <w:rPr>
          <w:rFonts w:ascii="Times New Roman" w:hAnsi="Times New Roman"/>
          <w:i/>
          <w:noProof/>
          <w:spacing w:val="-6"/>
          <w:sz w:val="24"/>
        </w:rPr>
        <w:t>Бангладеш,</w:t>
      </w:r>
      <w:r>
        <w:rPr>
          <w:rFonts w:ascii="Times New Roman" w:hAnsi="Times New Roman"/>
          <w:noProof/>
          <w:spacing w:val="-6"/>
          <w:sz w:val="24"/>
        </w:rPr>
        <w:t xml:space="preserve"> политическият ангажимент на ЕС и съгласуваните последващи дейст</w:t>
      </w:r>
      <w:r>
        <w:rPr>
          <w:rFonts w:ascii="Times New Roman" w:hAnsi="Times New Roman"/>
          <w:noProof/>
          <w:spacing w:val="-6"/>
          <w:sz w:val="24"/>
        </w:rPr>
        <w:t xml:space="preserve">вия във връзка с диалога относно миграцията от април 2016 г. все още не са довели до напредък в областта на връщането. Властите на Бангладеш не показаха готовност за обсъждане на стандартни оперативни процедури. Провеждат се обсъждания, включително с </w:t>
      </w:r>
      <w:r>
        <w:rPr>
          <w:rFonts w:ascii="Times New Roman" w:hAnsi="Times New Roman"/>
          <w:noProof/>
          <w:spacing w:val="-6"/>
          <w:sz w:val="24"/>
        </w:rPr>
        <w:lastRenderedPageBreak/>
        <w:t>държа</w:t>
      </w:r>
      <w:r>
        <w:rPr>
          <w:rFonts w:ascii="Times New Roman" w:hAnsi="Times New Roman"/>
          <w:noProof/>
          <w:spacing w:val="-6"/>
          <w:sz w:val="24"/>
        </w:rPr>
        <w:t>вите членки, относно нов подход и необходимостта сътрудничеството в областта на миграцията да се позиционира като част от по-широко сътрудничество, включващо други политически области, като например сигурността, образованието, помощта за развитие и търгови</w:t>
      </w:r>
      <w:r>
        <w:rPr>
          <w:rFonts w:ascii="Times New Roman" w:hAnsi="Times New Roman"/>
          <w:noProof/>
          <w:spacing w:val="-6"/>
          <w:sz w:val="24"/>
        </w:rPr>
        <w:t>ята. Неотдавнашните дипломатически консултации ще бъдат последвани от съвместна мисия на ЕС и държавите членки, планирана за март, специално с цел да се обсъдят връщанията и реинтеграцията. В началото на 2017 г. започна кампания за повишаване на осведомено</w:t>
      </w:r>
      <w:r>
        <w:rPr>
          <w:rFonts w:ascii="Times New Roman" w:hAnsi="Times New Roman"/>
          <w:noProof/>
          <w:spacing w:val="-6"/>
          <w:sz w:val="24"/>
        </w:rPr>
        <w:t>стта относно опасностите, свързани с незаконната миграция, като същевременно се разработват проекти за реинтеграция.</w:t>
      </w:r>
    </w:p>
    <w:p w:rsidR="000A7459" w:rsidRDefault="00D83169">
      <w:pPr>
        <w:spacing w:after="120" w:line="240" w:lineRule="auto"/>
        <w:jc w:val="both"/>
        <w:rPr>
          <w:rFonts w:ascii="Times New Roman" w:hAnsi="Times New Roman" w:cs="Times New Roman"/>
          <w:noProof/>
          <w:color w:val="000000"/>
          <w:spacing w:val="-4"/>
          <w:sz w:val="24"/>
          <w:szCs w:val="24"/>
        </w:rPr>
      </w:pPr>
      <w:r>
        <w:rPr>
          <w:rFonts w:ascii="Times New Roman" w:hAnsi="Times New Roman"/>
          <w:noProof/>
          <w:color w:val="000000"/>
          <w:spacing w:val="-4"/>
          <w:sz w:val="24"/>
        </w:rPr>
        <w:t xml:space="preserve">Като ключов елемент от цялостните отношения между ЕС и </w:t>
      </w:r>
      <w:r>
        <w:rPr>
          <w:rFonts w:ascii="Times New Roman" w:hAnsi="Times New Roman"/>
          <w:i/>
          <w:noProof/>
          <w:color w:val="000000"/>
          <w:spacing w:val="-4"/>
          <w:sz w:val="24"/>
        </w:rPr>
        <w:t>Иран</w:t>
      </w:r>
      <w:r>
        <w:rPr>
          <w:rFonts w:ascii="Times New Roman" w:hAnsi="Times New Roman"/>
          <w:noProof/>
          <w:color w:val="000000"/>
          <w:spacing w:val="-4"/>
          <w:sz w:val="24"/>
        </w:rPr>
        <w:t xml:space="preserve"> започна изпълнението на ангажимента на Иран за всеобхватен диалог за миграцията, договорен в съвместното изявление на върховния представител/заместник-председател Могерини и иранския външен министър Зариф от април 2016 г., с изпращането на техническа миси</w:t>
      </w:r>
      <w:r>
        <w:rPr>
          <w:rFonts w:ascii="Times New Roman" w:hAnsi="Times New Roman"/>
          <w:noProof/>
          <w:color w:val="000000"/>
          <w:spacing w:val="-4"/>
          <w:sz w:val="24"/>
        </w:rPr>
        <w:t>я на ЕС, подготвяща основата за всеобхватен диалог за миграцията на политическо равнище. ЕС и Иран започнаха преглед на областите от общ интерес във връзка с управлението на миграцията с цел провеждане на ежегоден обмен на мнения по тези въпроси. Сред осно</w:t>
      </w:r>
      <w:r>
        <w:rPr>
          <w:rFonts w:ascii="Times New Roman" w:hAnsi="Times New Roman"/>
          <w:noProof/>
          <w:color w:val="000000"/>
          <w:spacing w:val="-4"/>
          <w:sz w:val="24"/>
        </w:rPr>
        <w:t>вните въпроси са промените в правната и институционалната рамка, базата от знания, законните канали за миграция, управлението на границите, предотвратяването на незаконната миграция, закрилата и регионалното измерение. Освен това ЕС ще продължи да подкрепя</w:t>
      </w:r>
      <w:r>
        <w:rPr>
          <w:rFonts w:ascii="Times New Roman" w:hAnsi="Times New Roman"/>
          <w:noProof/>
          <w:color w:val="000000"/>
          <w:spacing w:val="-4"/>
          <w:sz w:val="24"/>
        </w:rPr>
        <w:t xml:space="preserve"> дългогодишните усилия на Иран за интеграция на афганистанските бежанци. Иран продължава да бъде домакин на около 3 милиона разселени мигранти. Помощта от ЕС за хуманитарните партньори допълва усилията на иранското правителство да подпомага уязвимите бежан</w:t>
      </w:r>
      <w:r>
        <w:rPr>
          <w:rFonts w:ascii="Times New Roman" w:hAnsi="Times New Roman"/>
          <w:noProof/>
          <w:color w:val="000000"/>
          <w:spacing w:val="-4"/>
          <w:sz w:val="24"/>
        </w:rPr>
        <w:t>ци и да гарантира достъпа им до основни услуги.</w:t>
      </w:r>
    </w:p>
    <w:p w:rsidR="000A7459" w:rsidRDefault="000A7459">
      <w:pPr>
        <w:spacing w:after="120" w:line="240" w:lineRule="auto"/>
        <w:rPr>
          <w:rFonts w:ascii="Times New Roman" w:hAnsi="Times New Roman" w:cs="Times New Roman"/>
          <w:b/>
          <w:noProof/>
          <w:sz w:val="24"/>
          <w:szCs w:val="24"/>
          <w:u w:val="single"/>
        </w:rPr>
      </w:pPr>
    </w:p>
    <w:p w:rsidR="000A7459" w:rsidRDefault="00D83169">
      <w:pPr>
        <w:spacing w:after="120" w:line="240" w:lineRule="auto"/>
        <w:ind w:left="709" w:hanging="709"/>
        <w:rPr>
          <w:rFonts w:ascii="Times New Roman" w:hAnsi="Times New Roman" w:cs="Times New Roman"/>
          <w:b/>
          <w:noProof/>
          <w:sz w:val="24"/>
          <w:szCs w:val="24"/>
        </w:rPr>
      </w:pPr>
      <w:r>
        <w:rPr>
          <w:rFonts w:ascii="Times New Roman" w:hAnsi="Times New Roman"/>
          <w:b/>
          <w:noProof/>
          <w:sz w:val="24"/>
        </w:rPr>
        <w:t xml:space="preserve">4. </w:t>
      </w:r>
      <w:r>
        <w:rPr>
          <w:noProof/>
        </w:rPr>
        <w:tab/>
      </w:r>
      <w:r>
        <w:rPr>
          <w:rFonts w:ascii="Times New Roman" w:hAnsi="Times New Roman"/>
          <w:b/>
          <w:noProof/>
          <w:sz w:val="24"/>
        </w:rPr>
        <w:t xml:space="preserve">Ключови средства и инструменти </w:t>
      </w:r>
    </w:p>
    <w:p w:rsidR="000A7459" w:rsidRDefault="00D83169">
      <w:pPr>
        <w:spacing w:after="120" w:line="240" w:lineRule="auto"/>
        <w:rPr>
          <w:rFonts w:ascii="Times New Roman" w:hAnsi="Times New Roman" w:cs="Times New Roman"/>
          <w:b/>
          <w:i/>
          <w:noProof/>
          <w:sz w:val="24"/>
          <w:szCs w:val="24"/>
        </w:rPr>
      </w:pPr>
      <w:r>
        <w:rPr>
          <w:rFonts w:ascii="Times New Roman" w:hAnsi="Times New Roman"/>
          <w:b/>
          <w:i/>
          <w:noProof/>
          <w:sz w:val="24"/>
        </w:rPr>
        <w:t xml:space="preserve">Политика на връщане </w:t>
      </w:r>
    </w:p>
    <w:p w:rsidR="000A7459" w:rsidRDefault="00D83169">
      <w:pPr>
        <w:tabs>
          <w:tab w:val="left" w:pos="284"/>
        </w:tabs>
        <w:spacing w:after="120" w:line="240" w:lineRule="auto"/>
        <w:jc w:val="both"/>
        <w:rPr>
          <w:rFonts w:ascii="Times New Roman" w:hAnsi="Times New Roman" w:cs="Times New Roman"/>
          <w:noProof/>
          <w:spacing w:val="-6"/>
          <w:sz w:val="24"/>
          <w:szCs w:val="24"/>
        </w:rPr>
      </w:pPr>
      <w:r>
        <w:rPr>
          <w:rFonts w:ascii="Times New Roman" w:hAnsi="Times New Roman"/>
          <w:noProof/>
          <w:spacing w:val="-6"/>
          <w:sz w:val="24"/>
        </w:rPr>
        <w:t>Необходимата в рамките на ЕС радикална промяна в ефективността на връщането трябва да върви ръка за ръка с работа с партньорите от третите държави. Въ</w:t>
      </w:r>
      <w:r>
        <w:rPr>
          <w:rFonts w:ascii="Times New Roman" w:hAnsi="Times New Roman"/>
          <w:noProof/>
          <w:spacing w:val="-6"/>
          <w:sz w:val="24"/>
        </w:rPr>
        <w:t xml:space="preserve">з основа на данните, предоставени от държавите — членки на ЕС, до момента има само незначително подобрение в процента на връщанията за петте приоритетни държави или подобрение изобщо липсва. </w:t>
      </w:r>
    </w:p>
    <w:p w:rsidR="000A7459" w:rsidRDefault="00D83169">
      <w:pPr>
        <w:tabs>
          <w:tab w:val="left" w:pos="284"/>
        </w:tabs>
        <w:spacing w:after="120" w:line="240" w:lineRule="auto"/>
        <w:jc w:val="both"/>
        <w:rPr>
          <w:rFonts w:ascii="Times New Roman" w:hAnsi="Times New Roman" w:cs="Times New Roman"/>
          <w:noProof/>
          <w:spacing w:val="-6"/>
          <w:sz w:val="24"/>
          <w:szCs w:val="24"/>
        </w:rPr>
      </w:pPr>
      <w:r>
        <w:rPr>
          <w:rFonts w:ascii="Times New Roman" w:hAnsi="Times New Roman"/>
          <w:noProof/>
          <w:spacing w:val="-6"/>
          <w:sz w:val="24"/>
        </w:rPr>
        <w:t>В подновения план за действие относно връщането се предлагат ред</w:t>
      </w:r>
      <w:r>
        <w:rPr>
          <w:rFonts w:ascii="Times New Roman" w:hAnsi="Times New Roman"/>
          <w:noProof/>
          <w:spacing w:val="-6"/>
          <w:sz w:val="24"/>
        </w:rPr>
        <w:t>ица конкретни действия, които да гарантират установяването на самоличността на лицата, които нямат право на международна закрила, и подготовката им да бъдат върнати в кратки срокове, както и ефективността на процедурите, чрез които ще се премахнат пропуски</w:t>
      </w:r>
      <w:r>
        <w:rPr>
          <w:rFonts w:ascii="Times New Roman" w:hAnsi="Times New Roman"/>
          <w:noProof/>
          <w:spacing w:val="-6"/>
          <w:sz w:val="24"/>
        </w:rPr>
        <w:t>те в системата</w:t>
      </w:r>
      <w:r>
        <w:rPr>
          <w:rStyle w:val="FootnoteReference"/>
          <w:rFonts w:ascii="Times New Roman" w:hAnsi="Times New Roman"/>
          <w:noProof/>
          <w:spacing w:val="-6"/>
          <w:sz w:val="24"/>
        </w:rPr>
        <w:footnoteReference w:id="34"/>
      </w:r>
      <w:r>
        <w:rPr>
          <w:rFonts w:ascii="Times New Roman" w:hAnsi="Times New Roman"/>
          <w:noProof/>
          <w:spacing w:val="-6"/>
          <w:sz w:val="24"/>
        </w:rPr>
        <w:t>. Планът съдържа конкретни мерки за значително увеличаване на процента на връщанията също и в краткосрочен план. Някои от тези мерки могат да бъдат предприети на равнището на държавите членки (например повишаване на осведомеността относно въ</w:t>
      </w:r>
      <w:r>
        <w:rPr>
          <w:rFonts w:ascii="Times New Roman" w:hAnsi="Times New Roman"/>
          <w:noProof/>
          <w:spacing w:val="-6"/>
          <w:sz w:val="24"/>
        </w:rPr>
        <w:t>зможността за подпомагане на доброволното връщане и реинтреграцията), други изискват тясно сътрудничество на европейско равнище (например уеднаквяване на равнището на предлаганата помощ за улесняване на интеграцията на завърналите се лица; подобряване на о</w:t>
      </w:r>
      <w:r>
        <w:rPr>
          <w:rFonts w:ascii="Times New Roman" w:hAnsi="Times New Roman"/>
          <w:noProof/>
          <w:spacing w:val="-6"/>
          <w:sz w:val="24"/>
        </w:rPr>
        <w:t xml:space="preserve">перативното сътрудничество между държавите членки, в т.ч. посредством електронни средства; увеличено финансиране). Очаква се Европейската агенция за гранична и брегова охрана да играе все по-важна роля в това отношение. </w:t>
      </w:r>
    </w:p>
    <w:p w:rsidR="000A7459" w:rsidRDefault="00D83169">
      <w:pPr>
        <w:tabs>
          <w:tab w:val="left" w:pos="284"/>
        </w:tabs>
        <w:spacing w:after="120" w:line="240" w:lineRule="auto"/>
        <w:jc w:val="both"/>
        <w:rPr>
          <w:rFonts w:ascii="Times New Roman" w:hAnsi="Times New Roman" w:cs="Times New Roman"/>
          <w:noProof/>
          <w:sz w:val="24"/>
          <w:szCs w:val="24"/>
        </w:rPr>
      </w:pPr>
      <w:r>
        <w:rPr>
          <w:rFonts w:ascii="Times New Roman" w:hAnsi="Times New Roman"/>
          <w:noProof/>
          <w:sz w:val="24"/>
        </w:rPr>
        <w:t>Ангажирането с трети държави чрез р</w:t>
      </w:r>
      <w:r>
        <w:rPr>
          <w:rFonts w:ascii="Times New Roman" w:hAnsi="Times New Roman"/>
          <w:noProof/>
          <w:sz w:val="24"/>
        </w:rPr>
        <w:t>амката за партньорство, като се използват всички налични политики и инструменти</w:t>
      </w:r>
      <w:r>
        <w:rPr>
          <w:rStyle w:val="FootnoteReference"/>
          <w:rFonts w:ascii="Times New Roman" w:hAnsi="Times New Roman"/>
          <w:noProof/>
          <w:sz w:val="24"/>
        </w:rPr>
        <w:footnoteReference w:id="35"/>
      </w:r>
      <w:r>
        <w:rPr>
          <w:rFonts w:ascii="Times New Roman" w:hAnsi="Times New Roman"/>
          <w:noProof/>
          <w:sz w:val="24"/>
        </w:rPr>
        <w:t xml:space="preserve">, ще спомогне за подобряване на сътрудничеството с цел установяване на самоличността, издаване на нови документи и обратно приемане </w:t>
      </w:r>
      <w:r>
        <w:rPr>
          <w:rFonts w:ascii="Times New Roman" w:hAnsi="Times New Roman"/>
          <w:noProof/>
          <w:sz w:val="24"/>
        </w:rPr>
        <w:lastRenderedPageBreak/>
        <w:t xml:space="preserve">на техните граждани. Като цяло следва да се </w:t>
      </w:r>
      <w:r>
        <w:rPr>
          <w:rFonts w:ascii="Times New Roman" w:hAnsi="Times New Roman"/>
          <w:noProof/>
          <w:sz w:val="24"/>
        </w:rPr>
        <w:t>използват адаптирани подходи, за да бъдат идентифицирани всички интереси, стимули и механизми, които са от значение за дадена държава партньорка, за да бъдат постигнати целите и изпълнени ангажиментите и да бъдат предложени конкретни мерки за подпомагане о</w:t>
      </w:r>
      <w:r>
        <w:rPr>
          <w:rFonts w:ascii="Times New Roman" w:hAnsi="Times New Roman"/>
          <w:noProof/>
          <w:sz w:val="24"/>
        </w:rPr>
        <w:t>т ЕС и заинтересованите държави членки на съответната държава партньорка, така че да се осигури по-добро управление на миграцията и в този контекст да се подобри сътрудничеството в областта на връщането и обратното приемане. За постигането на този резултат</w:t>
      </w:r>
      <w:r>
        <w:rPr>
          <w:rFonts w:ascii="Times New Roman" w:hAnsi="Times New Roman"/>
          <w:noProof/>
          <w:sz w:val="24"/>
        </w:rPr>
        <w:t xml:space="preserve"> ЕС и държавите членки ще трябва да положат общи, координирани и ефективни усилия.</w:t>
      </w:r>
    </w:p>
    <w:p w:rsidR="000A7459" w:rsidRDefault="000A7459">
      <w:pPr>
        <w:spacing w:after="120" w:line="240" w:lineRule="auto"/>
        <w:rPr>
          <w:rFonts w:ascii="Times New Roman" w:hAnsi="Times New Roman" w:cs="Times New Roman"/>
          <w:b/>
          <w:i/>
          <w:noProof/>
          <w:sz w:val="24"/>
          <w:szCs w:val="24"/>
        </w:rPr>
      </w:pPr>
    </w:p>
    <w:p w:rsidR="000A7459" w:rsidRDefault="00D83169">
      <w:pPr>
        <w:spacing w:after="120" w:line="240" w:lineRule="auto"/>
        <w:rPr>
          <w:rFonts w:ascii="Times New Roman" w:eastAsia="Calibri" w:hAnsi="Times New Roman" w:cs="Times New Roman"/>
          <w:noProof/>
          <w:sz w:val="24"/>
          <w:szCs w:val="24"/>
        </w:rPr>
      </w:pPr>
      <w:r>
        <w:rPr>
          <w:rFonts w:ascii="Times New Roman" w:hAnsi="Times New Roman"/>
          <w:b/>
          <w:i/>
          <w:noProof/>
          <w:sz w:val="24"/>
        </w:rPr>
        <w:t xml:space="preserve">Пренасочване на други инструменти на политиката </w:t>
      </w:r>
    </w:p>
    <w:p w:rsidR="000A7459" w:rsidRDefault="00D83169">
      <w:pPr>
        <w:autoSpaceDE w:val="0"/>
        <w:autoSpaceDN w:val="0"/>
        <w:spacing w:after="0" w:line="240" w:lineRule="auto"/>
        <w:jc w:val="both"/>
        <w:rPr>
          <w:rFonts w:ascii="Times New Roman" w:hAnsi="Times New Roman" w:cs="Times New Roman"/>
          <w:noProof/>
          <w:sz w:val="24"/>
          <w:szCs w:val="24"/>
        </w:rPr>
      </w:pPr>
      <w:r>
        <w:rPr>
          <w:rFonts w:ascii="Times New Roman" w:hAnsi="Times New Roman"/>
          <w:noProof/>
          <w:sz w:val="24"/>
        </w:rPr>
        <w:t>В подкрепа на рамката за партньорство бяха използвани и други инструменти на политиката. За да се извлекат ползи от преференциалните търговски режими, договорени за Йордания, през януари 2017 г. бяха избрани първите дружества, които да се възползват от опр</w:t>
      </w:r>
      <w:r>
        <w:rPr>
          <w:rFonts w:ascii="Times New Roman" w:hAnsi="Times New Roman"/>
          <w:noProof/>
          <w:sz w:val="24"/>
        </w:rPr>
        <w:t xml:space="preserve">остените правила за произход за износа от Йордания за ЕС. Въпросните дружества предоставят възможности за заетост както за йордански граждани, така и за сирийски бежанци. </w:t>
      </w:r>
    </w:p>
    <w:p w:rsidR="000A7459" w:rsidRDefault="000A7459">
      <w:pPr>
        <w:autoSpaceDE w:val="0"/>
        <w:autoSpaceDN w:val="0"/>
        <w:spacing w:after="0" w:line="240" w:lineRule="auto"/>
        <w:jc w:val="both"/>
        <w:rPr>
          <w:rFonts w:ascii="Times New Roman" w:hAnsi="Times New Roman" w:cs="Times New Roman"/>
          <w:noProof/>
          <w:sz w:val="24"/>
          <w:szCs w:val="24"/>
        </w:rPr>
      </w:pPr>
    </w:p>
    <w:p w:rsidR="000A7459" w:rsidRDefault="00D83169">
      <w:pPr>
        <w:autoSpaceDE w:val="0"/>
        <w:autoSpaceDN w:val="0"/>
        <w:spacing w:after="0" w:line="240" w:lineRule="auto"/>
        <w:jc w:val="both"/>
        <w:rPr>
          <w:rFonts w:ascii="Times New Roman" w:hAnsi="Times New Roman" w:cs="Times New Roman"/>
          <w:noProof/>
          <w:sz w:val="24"/>
          <w:szCs w:val="24"/>
        </w:rPr>
      </w:pPr>
      <w:r>
        <w:rPr>
          <w:rFonts w:ascii="Times New Roman" w:hAnsi="Times New Roman"/>
          <w:noProof/>
          <w:sz w:val="24"/>
        </w:rPr>
        <w:t>По отношение на студентите и научните работници до края на 2016 г. възможностите по</w:t>
      </w:r>
      <w:r>
        <w:rPr>
          <w:rFonts w:ascii="Times New Roman" w:hAnsi="Times New Roman"/>
          <w:noProof/>
          <w:sz w:val="24"/>
        </w:rPr>
        <w:t xml:space="preserve"> програмите „Еразъм +“ и „Мария Склодовска Кюри“ бяха разширени, за да се предложат 8 000 действия за мобилност за студенти и 560 — за изследователи. Тази инициатива бе допълнена от стипендии, предоставяни от държавите членки. Възможностите за мобилност ще</w:t>
      </w:r>
      <w:r>
        <w:rPr>
          <w:rFonts w:ascii="Times New Roman" w:hAnsi="Times New Roman"/>
          <w:noProof/>
          <w:sz w:val="24"/>
        </w:rPr>
        <w:t xml:space="preserve"> бъдат част от диалога по рамката за партньорство.</w:t>
      </w:r>
    </w:p>
    <w:p w:rsidR="000A7459" w:rsidRDefault="000A7459">
      <w:pPr>
        <w:autoSpaceDE w:val="0"/>
        <w:autoSpaceDN w:val="0"/>
        <w:spacing w:after="0" w:line="240" w:lineRule="auto"/>
        <w:jc w:val="both"/>
        <w:rPr>
          <w:rFonts w:ascii="Times New Roman" w:hAnsi="Times New Roman" w:cs="Times New Roman"/>
          <w:noProof/>
          <w:sz w:val="24"/>
          <w:szCs w:val="24"/>
        </w:rPr>
      </w:pPr>
    </w:p>
    <w:p w:rsidR="000A7459" w:rsidRDefault="00D83169">
      <w:pPr>
        <w:autoSpaceDE w:val="0"/>
        <w:autoSpaceDN w:val="0"/>
        <w:spacing w:after="0" w:line="240" w:lineRule="auto"/>
        <w:jc w:val="both"/>
        <w:rPr>
          <w:rFonts w:ascii="Times New Roman" w:hAnsi="Times New Roman" w:cs="Times New Roman"/>
          <w:noProof/>
          <w:sz w:val="24"/>
          <w:szCs w:val="24"/>
        </w:rPr>
      </w:pPr>
      <w:r>
        <w:rPr>
          <w:rFonts w:ascii="Times New Roman" w:hAnsi="Times New Roman"/>
          <w:noProof/>
          <w:sz w:val="24"/>
        </w:rPr>
        <w:t>Научноизследователската дейност и иновациите могат също да предоставят конкретни възможности и действия, които да подкрепят рамката за партньорство, като например PRIMA, партньорството в областта на научн</w:t>
      </w:r>
      <w:r>
        <w:rPr>
          <w:rFonts w:ascii="Times New Roman" w:hAnsi="Times New Roman"/>
          <w:noProof/>
          <w:sz w:val="24"/>
        </w:rPr>
        <w:t>ите изследвания и иновациите в региона на Средиземноморието, което чрез разработване на иновативни решения за устойчиво селско стопанство и управление на водите работи по първопричините за миграцията.</w:t>
      </w:r>
    </w:p>
    <w:p w:rsidR="000A7459" w:rsidRDefault="000A7459">
      <w:pPr>
        <w:autoSpaceDE w:val="0"/>
        <w:autoSpaceDN w:val="0"/>
        <w:spacing w:after="0" w:line="240" w:lineRule="auto"/>
        <w:jc w:val="both"/>
        <w:rPr>
          <w:rFonts w:ascii="Times New Roman" w:hAnsi="Times New Roman" w:cs="Times New Roman"/>
          <w:noProof/>
          <w:sz w:val="24"/>
          <w:szCs w:val="24"/>
        </w:rPr>
      </w:pPr>
    </w:p>
    <w:p w:rsidR="000A7459" w:rsidRDefault="00D83169">
      <w:pPr>
        <w:autoSpaceDE w:val="0"/>
        <w:autoSpaceDN w:val="0"/>
        <w:spacing w:after="0" w:line="240" w:lineRule="auto"/>
        <w:jc w:val="both"/>
        <w:rPr>
          <w:rFonts w:ascii="Times New Roman" w:hAnsi="Times New Roman" w:cs="Times New Roman"/>
          <w:noProof/>
          <w:sz w:val="24"/>
          <w:szCs w:val="24"/>
        </w:rPr>
      </w:pPr>
      <w:r>
        <w:rPr>
          <w:rFonts w:ascii="Times New Roman" w:hAnsi="Times New Roman"/>
          <w:noProof/>
          <w:sz w:val="24"/>
        </w:rPr>
        <w:t>Друга допълнителна стъпка ще бъде законната миграция д</w:t>
      </w:r>
      <w:r>
        <w:rPr>
          <w:rFonts w:ascii="Times New Roman" w:hAnsi="Times New Roman"/>
          <w:noProof/>
          <w:sz w:val="24"/>
        </w:rPr>
        <w:t>а бъде изцяло включена в рамката за партньорство, с което ще се засили значението на инструментите за законна миграция и ще се спомогне за намаляването на използването на незаконни канали. В тази област ще бъдат предприети действия, по-специално въвежданет</w:t>
      </w:r>
      <w:r>
        <w:rPr>
          <w:rFonts w:ascii="Times New Roman" w:hAnsi="Times New Roman"/>
          <w:noProof/>
          <w:sz w:val="24"/>
        </w:rPr>
        <w:t>о на евентуални „предложения за целия ЕС“ за законна миграция по отношение на ключови трети държави, както и в областта на визите. Това ще бъде извършено чрез тясно и конструктивно сътрудничество между държавите членки и Комисията.</w:t>
      </w:r>
    </w:p>
    <w:p w:rsidR="000A7459" w:rsidRDefault="000A7459">
      <w:pPr>
        <w:spacing w:after="120" w:line="240" w:lineRule="auto"/>
        <w:rPr>
          <w:rFonts w:ascii="Times New Roman" w:hAnsi="Times New Roman" w:cs="Times New Roman"/>
          <w:b/>
          <w:i/>
          <w:noProof/>
          <w:sz w:val="24"/>
          <w:szCs w:val="24"/>
        </w:rPr>
      </w:pPr>
    </w:p>
    <w:p w:rsidR="000A7459" w:rsidRDefault="00D83169">
      <w:pPr>
        <w:spacing w:after="120" w:line="240" w:lineRule="auto"/>
        <w:rPr>
          <w:rFonts w:ascii="Times New Roman" w:hAnsi="Times New Roman" w:cs="Times New Roman"/>
          <w:b/>
          <w:i/>
          <w:noProof/>
          <w:sz w:val="24"/>
          <w:szCs w:val="24"/>
        </w:rPr>
      </w:pPr>
      <w:r>
        <w:rPr>
          <w:rFonts w:ascii="Times New Roman" w:hAnsi="Times New Roman"/>
          <w:b/>
          <w:i/>
          <w:noProof/>
          <w:sz w:val="24"/>
        </w:rPr>
        <w:t>Оперативни средства</w:t>
      </w:r>
    </w:p>
    <w:p w:rsidR="000A7459" w:rsidRDefault="00D83169">
      <w:pPr>
        <w:spacing w:after="120" w:line="240" w:lineRule="auto"/>
        <w:rPr>
          <w:rFonts w:ascii="Times New Roman" w:hAnsi="Times New Roman" w:cs="Times New Roman"/>
          <w:i/>
          <w:noProof/>
          <w:sz w:val="24"/>
          <w:szCs w:val="24"/>
        </w:rPr>
      </w:pPr>
      <w:r>
        <w:rPr>
          <w:rFonts w:ascii="Times New Roman" w:hAnsi="Times New Roman"/>
          <w:i/>
          <w:noProof/>
          <w:sz w:val="24"/>
        </w:rPr>
        <w:t>Зас</w:t>
      </w:r>
      <w:r>
        <w:rPr>
          <w:rFonts w:ascii="Times New Roman" w:hAnsi="Times New Roman"/>
          <w:i/>
          <w:noProof/>
          <w:sz w:val="24"/>
        </w:rPr>
        <w:t xml:space="preserve">илено използване на агенциите на ЕС </w:t>
      </w:r>
    </w:p>
    <w:p w:rsidR="000A7459" w:rsidRDefault="00D83169">
      <w:pPr>
        <w:spacing w:after="120" w:line="240" w:lineRule="auto"/>
        <w:jc w:val="both"/>
        <w:rPr>
          <w:rFonts w:ascii="Times New Roman" w:hAnsi="Times New Roman" w:cs="Times New Roman"/>
          <w:noProof/>
          <w:spacing w:val="-4"/>
          <w:sz w:val="24"/>
          <w:szCs w:val="24"/>
        </w:rPr>
      </w:pPr>
      <w:r>
        <w:rPr>
          <w:rFonts w:ascii="Times New Roman" w:hAnsi="Times New Roman"/>
          <w:noProof/>
          <w:spacing w:val="-4"/>
          <w:sz w:val="24"/>
        </w:rPr>
        <w:t>Експертният опит на агенциите на ЕС, по-специално на Европейската агенция за гранична и брегова охрана и Европол, се използва, за да се осигури по-целенасочена подкрепа за анализ на риска и за разследване на престъпни м</w:t>
      </w:r>
      <w:r>
        <w:rPr>
          <w:rFonts w:ascii="Times New Roman" w:hAnsi="Times New Roman"/>
          <w:noProof/>
          <w:spacing w:val="-4"/>
          <w:sz w:val="24"/>
        </w:rPr>
        <w:t>режи, стоящи зад контрабандата на мигранти. Това води до конкретни резултати при работата с нови партньори, като например Нигерия и Пакистан, при които се мултиплицират текущите успешни инициативи в Африка, Западните Балкани, Турция и държавите от Източнот</w:t>
      </w:r>
      <w:r>
        <w:rPr>
          <w:rFonts w:ascii="Times New Roman" w:hAnsi="Times New Roman"/>
          <w:noProof/>
          <w:spacing w:val="-4"/>
          <w:sz w:val="24"/>
        </w:rPr>
        <w:t xml:space="preserve">о съседство. </w:t>
      </w:r>
    </w:p>
    <w:p w:rsidR="000A7459" w:rsidRDefault="00D83169">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За да се засили тяхната роля по отношение на външното измерение, Евроюст наскоро покани Нигер и Сенегал да определят звена за съдебни контакти в рамките на своите министерства на правосъдието или прокуратури и ще продължи с тази дейност и в д</w:t>
      </w:r>
      <w:r>
        <w:rPr>
          <w:rFonts w:ascii="Times New Roman" w:hAnsi="Times New Roman"/>
          <w:noProof/>
          <w:sz w:val="24"/>
        </w:rPr>
        <w:t>ругите приоритетни държави.</w:t>
      </w:r>
    </w:p>
    <w:p w:rsidR="000A7459" w:rsidRDefault="00D83169">
      <w:pPr>
        <w:spacing w:after="120" w:line="240" w:lineRule="auto"/>
        <w:rPr>
          <w:rFonts w:ascii="Times New Roman" w:hAnsi="Times New Roman" w:cs="Times New Roman"/>
          <w:i/>
          <w:noProof/>
          <w:sz w:val="24"/>
          <w:szCs w:val="24"/>
        </w:rPr>
      </w:pPr>
      <w:r>
        <w:rPr>
          <w:rFonts w:ascii="Times New Roman" w:hAnsi="Times New Roman"/>
          <w:i/>
          <w:noProof/>
          <w:sz w:val="24"/>
        </w:rPr>
        <w:lastRenderedPageBreak/>
        <w:t xml:space="preserve">Европейски служители за връзка по въпросите на миграцията </w:t>
      </w:r>
    </w:p>
    <w:p w:rsidR="000A7459" w:rsidRDefault="00D83169">
      <w:pPr>
        <w:spacing w:after="120" w:line="240" w:lineRule="auto"/>
        <w:jc w:val="both"/>
        <w:rPr>
          <w:rFonts w:ascii="Times New Roman" w:hAnsi="Times New Roman" w:cs="Times New Roman"/>
          <w:noProof/>
          <w:sz w:val="24"/>
          <w:szCs w:val="24"/>
        </w:rPr>
      </w:pPr>
      <w:r>
        <w:rPr>
          <w:rFonts w:ascii="Times New Roman" w:hAnsi="Times New Roman"/>
          <w:noProof/>
          <w:sz w:val="24"/>
        </w:rPr>
        <w:t>До средата на март единадесет европейски служители за връзка по въпросите на миграцията ще бъдат изпратени в приоритетни трети държави на произход и транзитно преминаван</w:t>
      </w:r>
      <w:r>
        <w:rPr>
          <w:rFonts w:ascii="Times New Roman" w:hAnsi="Times New Roman"/>
          <w:noProof/>
          <w:sz w:val="24"/>
        </w:rPr>
        <w:t>е</w:t>
      </w:r>
      <w:r>
        <w:rPr>
          <w:rStyle w:val="FootnoteReference"/>
          <w:rFonts w:ascii="Times New Roman" w:hAnsi="Times New Roman"/>
          <w:noProof/>
          <w:sz w:val="24"/>
        </w:rPr>
        <w:footnoteReference w:id="36"/>
      </w:r>
      <w:r>
        <w:rPr>
          <w:rFonts w:ascii="Times New Roman" w:hAnsi="Times New Roman"/>
          <w:noProof/>
          <w:sz w:val="24"/>
        </w:rPr>
        <w:t>. Това е отличен пример за сътрудничество между ЕС и държавите членки и ще осигури фокусна точка за пълния спектър от потенциални въпроси, свързани с миграцията.</w:t>
      </w:r>
    </w:p>
    <w:p w:rsidR="000A7459" w:rsidRDefault="00D83169">
      <w:pPr>
        <w:spacing w:after="120" w:line="240" w:lineRule="auto"/>
        <w:rPr>
          <w:rFonts w:ascii="Times New Roman" w:hAnsi="Times New Roman" w:cs="Times New Roman"/>
          <w:i/>
          <w:noProof/>
          <w:sz w:val="24"/>
          <w:szCs w:val="24"/>
        </w:rPr>
      </w:pPr>
      <w:r>
        <w:rPr>
          <w:rFonts w:ascii="Times New Roman" w:hAnsi="Times New Roman"/>
          <w:i/>
          <w:noProof/>
          <w:sz w:val="24"/>
        </w:rPr>
        <w:t xml:space="preserve">Инструменти на ЕС за финансиране </w:t>
      </w:r>
    </w:p>
    <w:p w:rsidR="000A7459" w:rsidRDefault="00D83169">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ЕС използва широк набор от инструменти за финансиране, за </w:t>
      </w:r>
      <w:r>
        <w:rPr>
          <w:rFonts w:ascii="Times New Roman" w:hAnsi="Times New Roman"/>
          <w:noProof/>
          <w:sz w:val="24"/>
        </w:rPr>
        <w:t>да подкрепи изпълнението на рамката за партньорство. Най-важният от тях продължава да е Доверителният фонд на ЕС за Африка. Доверителният фонд работи в общо 26 държави, като неотдавна бяха включени Гана, Гвинея и Кот д’Ивоар</w:t>
      </w:r>
      <w:r>
        <w:rPr>
          <w:rStyle w:val="FootnoteReference"/>
          <w:rFonts w:ascii="Times New Roman" w:hAnsi="Times New Roman"/>
          <w:noProof/>
          <w:sz w:val="24"/>
        </w:rPr>
        <w:footnoteReference w:id="37"/>
      </w:r>
      <w:r>
        <w:rPr>
          <w:rFonts w:ascii="Times New Roman" w:hAnsi="Times New Roman"/>
          <w:noProof/>
          <w:sz w:val="24"/>
        </w:rPr>
        <w:t>. Той разкри възможности за нов</w:t>
      </w:r>
      <w:r>
        <w:rPr>
          <w:rFonts w:ascii="Times New Roman" w:hAnsi="Times New Roman"/>
          <w:noProof/>
          <w:sz w:val="24"/>
        </w:rPr>
        <w:t>о допълнително задълбочено сътрудничество посредством създаването на стимули за сътрудничество в ключови области на интерес.</w:t>
      </w:r>
    </w:p>
    <w:p w:rsidR="000A7459" w:rsidRDefault="00D83169">
      <w:pPr>
        <w:spacing w:after="120" w:line="240" w:lineRule="auto"/>
        <w:jc w:val="both"/>
        <w:rPr>
          <w:rFonts w:ascii="Times New Roman" w:hAnsi="Times New Roman" w:cs="Times New Roman"/>
          <w:noProof/>
          <w:spacing w:val="-4"/>
          <w:sz w:val="24"/>
          <w:szCs w:val="24"/>
        </w:rPr>
      </w:pPr>
      <w:r>
        <w:rPr>
          <w:rFonts w:ascii="Times New Roman" w:hAnsi="Times New Roman"/>
          <w:noProof/>
          <w:spacing w:val="-4"/>
          <w:sz w:val="24"/>
        </w:rPr>
        <w:t>Ресурсите, понастоящем разпределени за Доверителния фонд на ЕС за Африка, възлизат на над 2,5 млрд. евро, включително 2,4 млрд. евр</w:t>
      </w:r>
      <w:r>
        <w:rPr>
          <w:rFonts w:ascii="Times New Roman" w:hAnsi="Times New Roman"/>
          <w:noProof/>
          <w:spacing w:val="-4"/>
          <w:sz w:val="24"/>
        </w:rPr>
        <w:t xml:space="preserve">о от Европейския фонд за развитие и няколко инструмента за бюджетно финансиране, и 152 милиона евро, обещани до момента от държавите — членки на ЕС, и други донори (Швейцария и Норвегия). Въпреки това оперативното изпълнение в рамките на Доверителния фонд </w:t>
      </w:r>
      <w:r>
        <w:rPr>
          <w:rFonts w:ascii="Times New Roman" w:hAnsi="Times New Roman"/>
          <w:noProof/>
          <w:spacing w:val="-4"/>
          <w:sz w:val="24"/>
        </w:rPr>
        <w:t>на ЕС следва да бъде ускорено, а държавите членки и партньорите следва да гарантират, че постигането на оперативни резултати няма да бъде възпрепятствано от процесуални въпроси.</w:t>
      </w:r>
    </w:p>
    <w:p w:rsidR="000A7459" w:rsidRDefault="00D83169">
      <w:pPr>
        <w:spacing w:after="120" w:line="240" w:lineRule="auto"/>
        <w:jc w:val="both"/>
        <w:rPr>
          <w:rFonts w:ascii="Times New Roman" w:hAnsi="Times New Roman" w:cs="Times New Roman"/>
          <w:noProof/>
          <w:sz w:val="24"/>
          <w:szCs w:val="24"/>
        </w:rPr>
      </w:pPr>
      <w:r>
        <w:rPr>
          <w:rFonts w:ascii="Times New Roman" w:hAnsi="Times New Roman"/>
          <w:noProof/>
          <w:sz w:val="24"/>
        </w:rPr>
        <w:t>Сред последните постижения е договарянето през декември 2016 г. на общо 42 нов</w:t>
      </w:r>
      <w:r>
        <w:rPr>
          <w:rFonts w:ascii="Times New Roman" w:hAnsi="Times New Roman"/>
          <w:noProof/>
          <w:sz w:val="24"/>
        </w:rPr>
        <w:t>и програми на стойност 587 млн. евро.</w:t>
      </w:r>
      <w:r>
        <w:rPr>
          <w:rStyle w:val="FootnoteReference"/>
          <w:rFonts w:ascii="Times New Roman" w:hAnsi="Times New Roman"/>
          <w:noProof/>
          <w:sz w:val="24"/>
        </w:rPr>
        <w:footnoteReference w:id="38"/>
      </w:r>
      <w:r>
        <w:rPr>
          <w:rFonts w:ascii="Times New Roman" w:hAnsi="Times New Roman"/>
          <w:noProof/>
          <w:sz w:val="24"/>
        </w:rPr>
        <w:t xml:space="preserve"> С това общият брой приети проекти става 106 на стойност над 1,5 млрд. евро. Стойността на сключените до този момент програми възлиза на 627 млн. евро. Програмите следва все повече да се съсредоточават върху проекти в </w:t>
      </w:r>
      <w:r>
        <w:rPr>
          <w:rFonts w:ascii="Times New Roman" w:hAnsi="Times New Roman"/>
          <w:noProof/>
          <w:sz w:val="24"/>
        </w:rPr>
        <w:t>областта на миграцията и да бъдат обвързани с резултатите. В Съвместното съобщение относно Централното Средиземноморие</w:t>
      </w:r>
      <w:r>
        <w:rPr>
          <w:rStyle w:val="FootnoteReference"/>
          <w:rFonts w:ascii="Times New Roman" w:hAnsi="Times New Roman"/>
          <w:noProof/>
          <w:sz w:val="24"/>
        </w:rPr>
        <w:footnoteReference w:id="39"/>
      </w:r>
      <w:r>
        <w:rPr>
          <w:rFonts w:ascii="Times New Roman" w:hAnsi="Times New Roman"/>
          <w:noProof/>
          <w:sz w:val="24"/>
        </w:rPr>
        <w:t xml:space="preserve"> Комисията се ангажира да предостави 200 млн. евро за дейностите на Доверителния фонд в Северна Африка през 2017 г., като се дава приорит</w:t>
      </w:r>
      <w:r>
        <w:rPr>
          <w:rFonts w:ascii="Times New Roman" w:hAnsi="Times New Roman"/>
          <w:noProof/>
          <w:sz w:val="24"/>
        </w:rPr>
        <w:t>ет на свързани с миграцията проекти по отношение на Либия. В съобщението също така се приканват държавите членки да предоставят принос, съответстващ на този на ЕС, за да се даде възможност за увеличаване на мащаба на намесата и постигане на максимално възд</w:t>
      </w:r>
      <w:r>
        <w:rPr>
          <w:rFonts w:ascii="Times New Roman" w:hAnsi="Times New Roman"/>
          <w:noProof/>
          <w:sz w:val="24"/>
        </w:rPr>
        <w:t xml:space="preserve">ействие по места. </w:t>
      </w:r>
    </w:p>
    <w:p w:rsidR="000A7459" w:rsidRDefault="00D83169">
      <w:pPr>
        <w:spacing w:after="120" w:line="240" w:lineRule="auto"/>
        <w:jc w:val="both"/>
        <w:rPr>
          <w:rFonts w:ascii="Times New Roman" w:hAnsi="Times New Roman" w:cs="Times New Roman"/>
          <w:noProof/>
          <w:sz w:val="24"/>
          <w:szCs w:val="24"/>
        </w:rPr>
      </w:pPr>
      <w:r>
        <w:rPr>
          <w:rFonts w:ascii="Times New Roman" w:hAnsi="Times New Roman"/>
          <w:noProof/>
          <w:sz w:val="24"/>
        </w:rPr>
        <w:t>Други инструменти за финансиране също продължават да допринасят в областта на миграцията. През декември 2016 г. няколко проекта на обща стойност 15 млн. евро започнаха в рамките на Инструмента за сътрудничество за развитие с цел да се до</w:t>
      </w:r>
      <w:r>
        <w:rPr>
          <w:rFonts w:ascii="Times New Roman" w:hAnsi="Times New Roman"/>
          <w:noProof/>
          <w:sz w:val="24"/>
        </w:rPr>
        <w:t>принесе за изпълнението на процеса от Рабат. Повечето от проектите ще бъдат изпълнявани от организации на гражданското общество в области като защитата на децата мигранти, трафика на хора, диаспората, издръжката и правата на мигрантите.</w:t>
      </w:r>
    </w:p>
    <w:p w:rsidR="000A7459" w:rsidRDefault="00D83169">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Изпълнението на </w:t>
      </w:r>
      <w:r>
        <w:rPr>
          <w:rFonts w:ascii="Times New Roman" w:hAnsi="Times New Roman"/>
          <w:noProof/>
          <w:sz w:val="24"/>
        </w:rPr>
        <w:t>рамката за партньорство се ползва и от инструменти като макрофинансовата помощ</w:t>
      </w:r>
      <w:r>
        <w:rPr>
          <w:rStyle w:val="FootnoteReference"/>
          <w:rFonts w:ascii="Times New Roman" w:hAnsi="Times New Roman"/>
          <w:noProof/>
          <w:sz w:val="24"/>
        </w:rPr>
        <w:footnoteReference w:id="40"/>
      </w:r>
      <w:r>
        <w:rPr>
          <w:rFonts w:ascii="Times New Roman" w:hAnsi="Times New Roman"/>
          <w:noProof/>
          <w:sz w:val="24"/>
        </w:rPr>
        <w:t xml:space="preserve">. Освен това през септември 2016 г. Комисията предложи </w:t>
      </w:r>
      <w:r>
        <w:rPr>
          <w:rFonts w:ascii="Times New Roman" w:hAnsi="Times New Roman"/>
          <w:noProof/>
          <w:sz w:val="24"/>
        </w:rPr>
        <w:lastRenderedPageBreak/>
        <w:t xml:space="preserve">план за външни инвестиции, включващ Европейския фонд за устойчиво развитие. Това ще насърчи инвестициите и създаването на </w:t>
      </w:r>
      <w:r>
        <w:rPr>
          <w:rFonts w:ascii="Times New Roman" w:hAnsi="Times New Roman"/>
          <w:noProof/>
          <w:sz w:val="24"/>
        </w:rPr>
        <w:t xml:space="preserve">работни места в държавите партньорки. На заседанието си през декември Европейският съвет подчерта необходимостта от бързо приемане на съответното законодателство. От особено значение е то да бъде прието през първата половина на 2017 г. Като се има предвид </w:t>
      </w:r>
      <w:r>
        <w:rPr>
          <w:rFonts w:ascii="Times New Roman" w:hAnsi="Times New Roman"/>
          <w:noProof/>
          <w:sz w:val="24"/>
        </w:rPr>
        <w:t xml:space="preserve">потенциалният му принос към работата на ЕС и държавите членки по въпросите на миграцията, от съществено значение е съзаконодателите да приемат законодателството във възможно най-кратък срок, така че планът да може да започне да се изпълнява в скоро време. </w:t>
      </w:r>
    </w:p>
    <w:p w:rsidR="000A7459" w:rsidRDefault="00D83169">
      <w:pPr>
        <w:spacing w:after="0" w:line="240" w:lineRule="auto"/>
        <w:jc w:val="both"/>
        <w:rPr>
          <w:rFonts w:ascii="Times New Roman" w:eastAsia="Calibri" w:hAnsi="Times New Roman" w:cs="Times New Roman"/>
          <w:noProof/>
          <w:spacing w:val="-2"/>
          <w:sz w:val="24"/>
          <w:szCs w:val="24"/>
        </w:rPr>
      </w:pPr>
      <w:r>
        <w:rPr>
          <w:rFonts w:ascii="Times New Roman" w:hAnsi="Times New Roman"/>
          <w:noProof/>
          <w:spacing w:val="-2"/>
          <w:sz w:val="24"/>
        </w:rPr>
        <w:t>От своя страна международните финансови институции, включително Европейската инвестиционна банка, Европейската банка за възстановяване и развитие, Групата на Световната банка, Банката за развитие към Съвета на Европа и Международният валутен фонд също под</w:t>
      </w:r>
      <w:r>
        <w:rPr>
          <w:rFonts w:ascii="Times New Roman" w:hAnsi="Times New Roman"/>
          <w:noProof/>
          <w:spacing w:val="-2"/>
          <w:sz w:val="24"/>
        </w:rPr>
        <w:t>готвят инициативи в подкрепа на бежанците</w:t>
      </w:r>
      <w:r>
        <w:rPr>
          <w:rStyle w:val="FootnoteReference"/>
          <w:rFonts w:ascii="Times New Roman" w:hAnsi="Times New Roman"/>
          <w:noProof/>
          <w:spacing w:val="-2"/>
          <w:sz w:val="24"/>
        </w:rPr>
        <w:footnoteReference w:id="41"/>
      </w:r>
      <w:r>
        <w:rPr>
          <w:rFonts w:ascii="Times New Roman" w:hAnsi="Times New Roman"/>
          <w:noProof/>
          <w:spacing w:val="-2"/>
          <w:sz w:val="24"/>
        </w:rPr>
        <w:t>. Комисията изигра важна координираща роля, за да се осигури взаимно допълване между тези инициативи.</w:t>
      </w:r>
    </w:p>
    <w:p w:rsidR="000A7459" w:rsidRDefault="000A7459">
      <w:pPr>
        <w:spacing w:after="0" w:line="240" w:lineRule="auto"/>
        <w:jc w:val="both"/>
        <w:rPr>
          <w:rFonts w:ascii="Times New Roman" w:eastAsia="Calibri" w:hAnsi="Times New Roman" w:cs="Times New Roman"/>
          <w:noProof/>
          <w:sz w:val="24"/>
          <w:szCs w:val="24"/>
        </w:rPr>
      </w:pPr>
    </w:p>
    <w:p w:rsidR="000A7459" w:rsidRDefault="00D83169">
      <w:pPr>
        <w:spacing w:before="120" w:after="120" w:line="240" w:lineRule="auto"/>
        <w:rPr>
          <w:rFonts w:ascii="Times New Roman" w:hAnsi="Times New Roman" w:cs="Times New Roman"/>
          <w:b/>
          <w:noProof/>
          <w:sz w:val="24"/>
          <w:szCs w:val="24"/>
        </w:rPr>
      </w:pPr>
      <w:r>
        <w:rPr>
          <w:rFonts w:ascii="Times New Roman" w:hAnsi="Times New Roman"/>
          <w:b/>
          <w:noProof/>
          <w:sz w:val="24"/>
        </w:rPr>
        <w:t xml:space="preserve">5. </w:t>
      </w:r>
      <w:r>
        <w:rPr>
          <w:noProof/>
        </w:rPr>
        <w:tab/>
      </w:r>
      <w:r>
        <w:rPr>
          <w:rFonts w:ascii="Times New Roman" w:hAnsi="Times New Roman"/>
          <w:b/>
          <w:noProof/>
          <w:sz w:val="24"/>
        </w:rPr>
        <w:t xml:space="preserve">Заключение </w:t>
      </w:r>
    </w:p>
    <w:p w:rsidR="000A7459" w:rsidRDefault="00D83169">
      <w:pPr>
        <w:spacing w:line="240" w:lineRule="auto"/>
        <w:jc w:val="both"/>
        <w:rPr>
          <w:rFonts w:ascii="Times New Roman" w:hAnsi="Times New Roman" w:cs="Times New Roman"/>
          <w:noProof/>
          <w:sz w:val="24"/>
          <w:szCs w:val="24"/>
        </w:rPr>
      </w:pPr>
      <w:r>
        <w:rPr>
          <w:rFonts w:ascii="Times New Roman" w:hAnsi="Times New Roman"/>
          <w:noProof/>
          <w:sz w:val="24"/>
        </w:rPr>
        <w:t>Както бе посочено от Европейския съвет през декември, през последните месеци трайно се работи по рамката за партньорство. Географският обхват на инициативите бе разширен, пакетите са по-добре съобразени с нашите партньори, като същевременно все повече поли</w:t>
      </w:r>
      <w:r>
        <w:rPr>
          <w:rFonts w:ascii="Times New Roman" w:hAnsi="Times New Roman"/>
          <w:noProof/>
          <w:sz w:val="24"/>
        </w:rPr>
        <w:t xml:space="preserve">тики и инструменти се използват за тази дейност. Въпреки това трябва да се направи още много, особено за по-нататъшното намаляване на случаите, когато мигранти предприемат опасни пътувания, за да достигнат Европа, и за увеличаване на броя на връщанията. </w:t>
      </w:r>
    </w:p>
    <w:p w:rsidR="000A7459" w:rsidRDefault="00D83169">
      <w:pPr>
        <w:spacing w:line="240" w:lineRule="auto"/>
        <w:jc w:val="both"/>
        <w:rPr>
          <w:rFonts w:ascii="Times New Roman" w:hAnsi="Times New Roman" w:cs="Times New Roman"/>
          <w:noProof/>
          <w:sz w:val="24"/>
          <w:szCs w:val="24"/>
        </w:rPr>
      </w:pPr>
      <w:r>
        <w:rPr>
          <w:rFonts w:ascii="Times New Roman" w:hAnsi="Times New Roman"/>
          <w:noProof/>
          <w:sz w:val="24"/>
        </w:rPr>
        <w:t>П</w:t>
      </w:r>
      <w:r>
        <w:rPr>
          <w:rFonts w:ascii="Times New Roman" w:hAnsi="Times New Roman"/>
          <w:noProof/>
          <w:sz w:val="24"/>
        </w:rPr>
        <w:t xml:space="preserve">рез следващите месеци всички участници следва да положат повече усилия, за да се постигне напредък в работата по рамката за партньорство, както и по новите инициативи в контекста на Декларацията от Малта. Ще бъдат постигнати синергии, по-специално в пояса </w:t>
      </w:r>
      <w:r>
        <w:rPr>
          <w:rFonts w:ascii="Times New Roman" w:hAnsi="Times New Roman"/>
          <w:noProof/>
          <w:sz w:val="24"/>
        </w:rPr>
        <w:t>Сахел и южната страна на границата на Либия, и ще бъде улеснено бързото връщане на мигранти, блокирани в Либия.</w:t>
      </w:r>
    </w:p>
    <w:p w:rsidR="000A7459" w:rsidRDefault="00D83169">
      <w:pPr>
        <w:spacing w:line="240" w:lineRule="auto"/>
        <w:jc w:val="both"/>
        <w:rPr>
          <w:rFonts w:ascii="Times New Roman" w:hAnsi="Times New Roman" w:cs="Times New Roman"/>
          <w:noProof/>
          <w:sz w:val="24"/>
          <w:szCs w:val="24"/>
        </w:rPr>
      </w:pPr>
      <w:r>
        <w:rPr>
          <w:rFonts w:ascii="Times New Roman" w:hAnsi="Times New Roman"/>
          <w:noProof/>
          <w:sz w:val="24"/>
        </w:rPr>
        <w:t>На 8—9 февруари на срещата на равнище висши служители във Валета също бе потвърдена връзката между рамката за партньорство и Плана за действие о</w:t>
      </w:r>
      <w:r>
        <w:rPr>
          <w:rFonts w:ascii="Times New Roman" w:hAnsi="Times New Roman"/>
          <w:noProof/>
          <w:sz w:val="24"/>
        </w:rPr>
        <w:t xml:space="preserve">т Валета. Ясно е обаче, че макар и сътрудничеството да се е подобрило в истински дух на партньорство, е необходимо да се ускори оперативното изпълнение. Освен това преговорите относно Европейския фонд за устойчиво развитие следва да бъдат приключени и той </w:t>
      </w:r>
      <w:r>
        <w:rPr>
          <w:rFonts w:ascii="Times New Roman" w:hAnsi="Times New Roman"/>
          <w:noProof/>
          <w:sz w:val="24"/>
        </w:rPr>
        <w:t xml:space="preserve">да бъде приет през първата половина на 2017 г., за да може да започне да функционира възможно най-скоро. </w:t>
      </w:r>
    </w:p>
    <w:p w:rsidR="000A7459" w:rsidRDefault="00D83169">
      <w:pPr>
        <w:spacing w:line="240" w:lineRule="auto"/>
        <w:jc w:val="both"/>
        <w:rPr>
          <w:rFonts w:ascii="Times New Roman" w:hAnsi="Times New Roman" w:cs="Times New Roman"/>
          <w:b/>
          <w:noProof/>
          <w:sz w:val="24"/>
          <w:szCs w:val="24"/>
          <w:u w:val="single"/>
        </w:rPr>
      </w:pPr>
      <w:r>
        <w:rPr>
          <w:rFonts w:ascii="Times New Roman" w:hAnsi="Times New Roman"/>
          <w:noProof/>
          <w:sz w:val="24"/>
        </w:rPr>
        <w:t>Докладът от юни относно рамката за партньорство ще предостави възможност да се направи преглед една година след нейното начало. Настоящият доклад вече</w:t>
      </w:r>
      <w:r>
        <w:rPr>
          <w:rFonts w:ascii="Times New Roman" w:hAnsi="Times New Roman"/>
          <w:noProof/>
          <w:sz w:val="24"/>
        </w:rPr>
        <w:t xml:space="preserve"> показва разностранния и взаимосвързан характер на положените усилия на всички равнища с цел справяне със свързаните с миграцията проблеми по устойчив начин и в дух на партньорство. От съществено значение е всички направления на дейност да продължат парале</w:t>
      </w:r>
      <w:r>
        <w:rPr>
          <w:rFonts w:ascii="Times New Roman" w:hAnsi="Times New Roman"/>
          <w:noProof/>
          <w:sz w:val="24"/>
        </w:rPr>
        <w:t xml:space="preserve">лно, като се установят ясни приоритети и всеки дава своя принос към споделената цел за по-добро управление на миграцията. </w:t>
      </w:r>
    </w:p>
    <w:p w:rsidR="000A7459" w:rsidRDefault="000A7459">
      <w:pPr>
        <w:spacing w:after="0" w:line="240" w:lineRule="auto"/>
        <w:jc w:val="both"/>
        <w:rPr>
          <w:rFonts w:ascii="Times New Roman" w:eastAsia="Calibri" w:hAnsi="Times New Roman" w:cs="Times New Roman"/>
          <w:noProof/>
          <w:sz w:val="24"/>
          <w:szCs w:val="24"/>
        </w:rPr>
      </w:pPr>
    </w:p>
    <w:p w:rsidR="000A7459" w:rsidRDefault="000A7459">
      <w:pPr>
        <w:spacing w:before="120" w:after="120" w:line="240" w:lineRule="auto"/>
        <w:rPr>
          <w:rFonts w:ascii="Times New Roman" w:eastAsia="Calibri" w:hAnsi="Times New Roman" w:cs="Times New Roman"/>
          <w:noProof/>
          <w:sz w:val="24"/>
          <w:szCs w:val="24"/>
        </w:rPr>
      </w:pPr>
    </w:p>
    <w:sectPr w:rsidR="000A7459">
      <w:headerReference w:type="even" r:id="rId17"/>
      <w:headerReference w:type="default" r:id="rId18"/>
      <w:footerReference w:type="even" r:id="rId19"/>
      <w:footerReference w:type="default" r:id="rId20"/>
      <w:headerReference w:type="first" r:id="rId21"/>
      <w:footerReference w:type="first" r:id="rId22"/>
      <w:pgSz w:w="11906" w:h="16838"/>
      <w:pgMar w:top="1000" w:right="1417" w:bottom="1000" w:left="1417" w:header="708" w:footer="708" w:gutter="0"/>
      <w:pgNumType w:start="2"/>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8E01210" w15:done="0"/>
  <w15:commentEx w15:paraId="7721D902" w15:done="0"/>
  <w15:commentEx w15:paraId="688F22D3" w15:done="0"/>
  <w15:commentEx w15:paraId="5637F7A8" w15:done="0"/>
  <w15:commentEx w15:paraId="3C24BD4D" w15:done="0"/>
  <w15:commentEx w15:paraId="687F0192" w15:done="0"/>
  <w15:commentEx w15:paraId="6B6C2CA2" w15:done="0"/>
  <w15:commentEx w15:paraId="2FF92097" w15:done="0"/>
  <w15:commentEx w15:paraId="0363FD54" w15:done="0"/>
  <w15:commentEx w15:paraId="2DFA2308" w15:done="0"/>
  <w15:commentEx w15:paraId="701EC77D" w15:done="0"/>
  <w15:commentEx w15:paraId="67D80197" w15:done="0"/>
  <w15:commentEx w15:paraId="64C1EF5F" w15:done="0"/>
  <w15:commentEx w15:paraId="7F08F077" w15:done="0"/>
  <w15:commentEx w15:paraId="14FE0716" w15:done="0"/>
  <w15:commentEx w15:paraId="70628239" w15:done="0"/>
  <w15:commentEx w15:paraId="0E2ABD7F" w15:done="0"/>
  <w15:commentEx w15:paraId="18B45D1F" w15:done="0"/>
  <w15:commentEx w15:paraId="5A6539A3" w15:done="0"/>
  <w15:commentEx w15:paraId="78611813" w15:done="0"/>
  <w15:commentEx w15:paraId="3FE58664" w15:done="0"/>
  <w15:commentEx w15:paraId="63617CF9" w15:done="0"/>
  <w15:commentEx w15:paraId="2E0443B6" w15:done="0"/>
  <w15:commentEx w15:paraId="74A65C21" w15:done="0"/>
  <w15:commentEx w15:paraId="2D2954FA" w15:done="0"/>
  <w15:commentEx w15:paraId="25ADBF62" w15:done="0"/>
  <w15:commentEx w15:paraId="1593CDCC" w15:done="0"/>
  <w15:commentEx w15:paraId="3AFFFEE0" w15:done="0"/>
  <w15:commentEx w15:paraId="09E1B81C" w15:done="0"/>
  <w15:commentEx w15:paraId="3360D0C1" w15:done="0"/>
  <w15:commentEx w15:paraId="24355A00" w15:done="0"/>
  <w15:commentEx w15:paraId="2DCA7C55" w15:done="0"/>
  <w15:commentEx w15:paraId="4C10838C" w15:done="0"/>
  <w15:commentEx w15:paraId="30937451" w15:done="0"/>
  <w15:commentEx w15:paraId="23E214D4" w15:done="0"/>
  <w15:commentEx w15:paraId="3345D4D8" w15:done="0"/>
  <w15:commentEx w15:paraId="1903356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169" w:rsidRDefault="00D83169">
      <w:pPr>
        <w:spacing w:after="0" w:line="240" w:lineRule="auto"/>
      </w:pPr>
      <w:r>
        <w:separator/>
      </w:r>
    </w:p>
  </w:endnote>
  <w:endnote w:type="continuationSeparator" w:id="0">
    <w:p w:rsidR="00D83169" w:rsidRDefault="00D83169">
      <w:pPr>
        <w:spacing w:after="0" w:line="240" w:lineRule="auto"/>
      </w:pPr>
      <w:r>
        <w:continuationSeparator/>
      </w:r>
    </w:p>
  </w:endnote>
  <w:endnote w:type="continuationNotice" w:id="1">
    <w:p w:rsidR="00D83169" w:rsidRDefault="00D831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aavi">
    <w:panose1 w:val="020B0502040204020203"/>
    <w:charset w:val="00"/>
    <w:family w:val="swiss"/>
    <w:pitch w:val="variable"/>
    <w:sig w:usb0="00020003"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81A" w:rsidRPr="0077481A" w:rsidRDefault="0077481A" w:rsidP="007748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81A" w:rsidRPr="0077481A" w:rsidRDefault="0077481A" w:rsidP="0077481A">
    <w:pPr>
      <w:pStyle w:val="FooterCoverPage"/>
      <w:rPr>
        <w:rFonts w:ascii="Arial" w:hAnsi="Arial" w:cs="Arial"/>
        <w:b/>
        <w:sz w:val="48"/>
      </w:rPr>
    </w:pPr>
    <w:r w:rsidRPr="0077481A">
      <w:rPr>
        <w:rFonts w:ascii="Arial" w:hAnsi="Arial" w:cs="Arial"/>
        <w:b/>
        <w:sz w:val="48"/>
      </w:rPr>
      <w:t>BG</w:t>
    </w:r>
    <w:r w:rsidRPr="0077481A">
      <w:rPr>
        <w:rFonts w:ascii="Arial" w:hAnsi="Arial" w:cs="Arial"/>
        <w:b/>
        <w:sz w:val="48"/>
      </w:rPr>
      <w:tab/>
    </w:r>
    <w:r w:rsidRPr="0077481A">
      <w:rPr>
        <w:rFonts w:ascii="Arial" w:hAnsi="Arial" w:cs="Arial"/>
        <w:b/>
        <w:sz w:val="48"/>
      </w:rPr>
      <w:tab/>
    </w:r>
    <w:fldSimple w:instr=" DOCVARIABLE &quot;LW_Confidence&quot; \* MERGEFORMAT ">
      <w:r>
        <w:t xml:space="preserve"> </w:t>
      </w:r>
    </w:fldSimple>
    <w:r w:rsidRPr="0077481A">
      <w:tab/>
    </w:r>
    <w:r w:rsidRPr="0077481A">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81A" w:rsidRPr="0077481A" w:rsidRDefault="0077481A" w:rsidP="0077481A">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459" w:rsidRDefault="000A745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4572449"/>
      <w:docPartObj>
        <w:docPartGallery w:val="Page Numbers (Bottom of Page)"/>
        <w:docPartUnique/>
      </w:docPartObj>
    </w:sdtPr>
    <w:sdtEndPr>
      <w:rPr>
        <w:noProof/>
      </w:rPr>
    </w:sdtEndPr>
    <w:sdtContent>
      <w:p w:rsidR="000A7459" w:rsidRDefault="00D83169">
        <w:pPr>
          <w:pStyle w:val="Footer"/>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77481A">
          <w:rPr>
            <w:rFonts w:ascii="Times New Roman" w:hAnsi="Times New Roman" w:cs="Times New Roman"/>
            <w:noProof/>
          </w:rPr>
          <w:t>4</w:t>
        </w:r>
        <w:r>
          <w:rPr>
            <w:rFonts w:ascii="Times New Roman" w:hAnsi="Times New Roman" w:cs="Times New Roman"/>
            <w:noProof/>
          </w:rPr>
          <w:fldChar w:fldCharType="end"/>
        </w:r>
      </w:p>
    </w:sdtContent>
  </w:sdt>
  <w:p w:rsidR="000A7459" w:rsidRDefault="000A745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459" w:rsidRDefault="000A74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169" w:rsidRDefault="00D83169">
      <w:pPr>
        <w:spacing w:after="0" w:line="240" w:lineRule="auto"/>
      </w:pPr>
      <w:r>
        <w:separator/>
      </w:r>
    </w:p>
  </w:footnote>
  <w:footnote w:type="continuationSeparator" w:id="0">
    <w:p w:rsidR="00D83169" w:rsidRDefault="00D83169">
      <w:pPr>
        <w:spacing w:after="0" w:line="240" w:lineRule="auto"/>
      </w:pPr>
      <w:r>
        <w:continuationSeparator/>
      </w:r>
    </w:p>
  </w:footnote>
  <w:footnote w:type="continuationNotice" w:id="1">
    <w:p w:rsidR="00D83169" w:rsidRDefault="00D83169">
      <w:pPr>
        <w:spacing w:after="0" w:line="240" w:lineRule="auto"/>
      </w:pPr>
    </w:p>
  </w:footnote>
  <w:footnote w:id="2">
    <w:p w:rsidR="000A7459" w:rsidRDefault="00D83169">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Съобщение относно създаването на нова рамка за партньорство с трети държави в рамките на европейската програма за миграцията, COM(2016) 385 final от 7.6.2016 г. </w:t>
      </w:r>
    </w:p>
  </w:footnote>
  <w:footnote w:id="3">
    <w:p w:rsidR="000A7459" w:rsidRDefault="00D83169">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Освен ако не е указано друго, броят на пристигналите мигранти в Европа се основава на данни</w:t>
      </w:r>
      <w:r>
        <w:rPr>
          <w:rFonts w:ascii="Times New Roman" w:hAnsi="Times New Roman"/>
        </w:rPr>
        <w:t xml:space="preserve"> от Европейската агенция за гранична и брегова охрана; данните относно връщанията за 2015 г. се основават на статистическите данни на Евростат, а за 2016 г. — на резултатите от специално искане за предоставяне на данни, което беше отправено към държавите ч</w:t>
      </w:r>
      <w:r>
        <w:rPr>
          <w:rFonts w:ascii="Times New Roman" w:hAnsi="Times New Roman"/>
        </w:rPr>
        <w:t>ленки през януари/февруари 2017 г.</w:t>
      </w:r>
    </w:p>
  </w:footnote>
  <w:footnote w:id="4">
    <w:p w:rsidR="000A7459" w:rsidRDefault="00D83169">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http://www.consilium.europa.eu/bg/press/press-releases/2016/12/15-euco-conclusions-final/ </w:t>
      </w:r>
    </w:p>
  </w:footnote>
  <w:footnote w:id="5">
    <w:p w:rsidR="000A7459" w:rsidRDefault="00D83169">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JOIN(2017) 4 final. Съвместно съобщение до Европейския парламент, Европейския съвет и Съвета: „Миграцията по маршрута през Ц</w:t>
      </w:r>
      <w:r>
        <w:rPr>
          <w:rFonts w:ascii="Times New Roman" w:hAnsi="Times New Roman"/>
        </w:rPr>
        <w:t>ентралното Средиземноморие. Управление на потоците, спасяване на човешки живот.“</w:t>
      </w:r>
    </w:p>
  </w:footnote>
  <w:footnote w:id="6">
    <w:p w:rsidR="000A7459" w:rsidRDefault="00D83169">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Петте стълба на Съвместния план за действие от Валета са: ползи от миграцията за развитието и преодоляване на първопричините за незаконната миграция и принудителното разсел</w:t>
      </w:r>
      <w:r>
        <w:rPr>
          <w:rFonts w:ascii="Times New Roman" w:hAnsi="Times New Roman"/>
        </w:rPr>
        <w:t>ване; законна миграция и мобилност; закрила и убежище; предотвратяване и борба с незаконната миграция, контрабандата на мигранти и трафика на хора; връщане, обратно приемане и реинтеграция.</w:t>
      </w:r>
    </w:p>
  </w:footnote>
  <w:footnote w:id="7">
    <w:p w:rsidR="000A7459" w:rsidRDefault="00D83169">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Последващи действия във връзка със срещата на върха във Валета </w:t>
      </w:r>
      <w:r>
        <w:rPr>
          <w:rFonts w:ascii="Times New Roman" w:hAnsi="Times New Roman"/>
        </w:rPr>
        <w:t>относно миграцията, проведена през ноември 2015 г.</w:t>
      </w:r>
    </w:p>
  </w:footnote>
  <w:footnote w:id="8">
    <w:p w:rsidR="000A7459" w:rsidRDefault="00D83169">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Съответно COM(2017) 200 и C(2017) 1600 от 2.3.2017 г.</w:t>
      </w:r>
    </w:p>
  </w:footnote>
  <w:footnote w:id="9">
    <w:p w:rsidR="000A7459" w:rsidRDefault="00D83169">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Източник: Международната организация по миграция (МOM), http://www.globaldtm.info/dtm-niger-flow-monitoring-report-january-2017/.</w:t>
      </w:r>
    </w:p>
  </w:footnote>
  <w:footnote w:id="10">
    <w:p w:rsidR="000A7459" w:rsidRDefault="00D83169">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Международна</w:t>
      </w:r>
      <w:r>
        <w:rPr>
          <w:rFonts w:ascii="Times New Roman" w:hAnsi="Times New Roman"/>
        </w:rPr>
        <w:t xml:space="preserve"> организация по миграция, преглед на Нигер, януари 2017 г. От получилите помощ лица 70 % са мъже, а 30 % — жени.</w:t>
      </w:r>
    </w:p>
  </w:footnote>
  <w:footnote w:id="11">
    <w:p w:rsidR="000A7459" w:rsidRDefault="00D83169">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Решение на Комисията С(2015) 7293 final; Извънреден Доверителен фонд на ЕС за стабилност и преодоляване на първопричините за незаконната миг</w:t>
      </w:r>
      <w:r>
        <w:rPr>
          <w:rFonts w:ascii="Times New Roman" w:hAnsi="Times New Roman"/>
        </w:rPr>
        <w:t>рация и разселването на хора в Африка (Доверителен фонд на ЕС за Африка).</w:t>
      </w:r>
    </w:p>
  </w:footnote>
  <w:footnote w:id="12">
    <w:p w:rsidR="000A7459" w:rsidRDefault="00D83169">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Сенсибилизация означава дейности за повишаване на осведомеността.</w:t>
      </w:r>
    </w:p>
  </w:footnote>
  <w:footnote w:id="13">
    <w:p w:rsidR="000A7459" w:rsidRDefault="00D83169">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Държавите от Г-5 от Сахел са Буркина Фасо, Чад, Мали, Мавритания, Нигер.</w:t>
      </w:r>
    </w:p>
  </w:footnote>
  <w:footnote w:id="14">
    <w:p w:rsidR="000A7459" w:rsidRDefault="00D83169">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Отказ от отговорност: Европейската</w:t>
      </w:r>
      <w:r>
        <w:rPr>
          <w:rFonts w:ascii="Times New Roman" w:hAnsi="Times New Roman"/>
        </w:rPr>
        <w:t xml:space="preserve"> агенция за гранична и брегова охрана предоставя месечни данни за броя на хората, засечени по външните граници на Европейския съюз. Едно и също лице може да направи няколко опита за незаконно преминаване на различни места по външната граница. Поради това е</w:t>
      </w:r>
      <w:r>
        <w:rPr>
          <w:rFonts w:ascii="Times New Roman" w:hAnsi="Times New Roman"/>
        </w:rPr>
        <w:t>дно и също лице може да бъде включено повече от веднъж в статистиката за незаконните преминавания.</w:t>
      </w:r>
    </w:p>
  </w:footnote>
  <w:footnote w:id="15">
    <w:p w:rsidR="000A7459" w:rsidRDefault="00D83169">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Европол, Доклад за обстановката (февруари 2016 г.): Трафик на хора в Европейския съюз. </w:t>
      </w:r>
    </w:p>
  </w:footnote>
  <w:footnote w:id="16">
    <w:p w:rsidR="000A7459" w:rsidRDefault="00D83169">
      <w:pPr>
        <w:pStyle w:val="FootnoteText"/>
        <w:ind w:left="360" w:hanging="360"/>
        <w:jc w:val="both"/>
        <w:rPr>
          <w:rFonts w:ascii="Times New Roman" w:hAnsi="Times New Roman"/>
        </w:rPr>
      </w:pPr>
      <w:r>
        <w:rPr>
          <w:rStyle w:val="FootnoteReference"/>
          <w:rFonts w:ascii="Times New Roman" w:hAnsi="Times New Roman"/>
        </w:rPr>
        <w:footnoteRef/>
      </w:r>
      <w:r>
        <w:tab/>
      </w:r>
      <w:r>
        <w:rPr>
          <w:rFonts w:ascii="Times New Roman" w:hAnsi="Times New Roman"/>
        </w:rPr>
        <w:t xml:space="preserve">Фондът — Fonds d’Appui à l’Investissement des Sénégalais de l’Extérieur — е финансирал 170 проекта през 2016 г. на обща стойност 1,3 млн. евро. </w:t>
      </w:r>
    </w:p>
  </w:footnote>
  <w:footnote w:id="17">
    <w:p w:rsidR="000A7459" w:rsidRDefault="00D83169">
      <w:pPr>
        <w:pStyle w:val="FootnoteText"/>
        <w:ind w:left="360" w:hanging="360"/>
        <w:jc w:val="both"/>
        <w:rPr>
          <w:rFonts w:ascii="Times New Roman" w:hAnsi="Times New Roman"/>
        </w:rPr>
      </w:pPr>
      <w:r>
        <w:rPr>
          <w:rStyle w:val="FootnoteReference"/>
          <w:rFonts w:ascii="Times New Roman" w:hAnsi="Times New Roman"/>
        </w:rPr>
        <w:footnoteRef/>
      </w:r>
      <w:r>
        <w:tab/>
      </w:r>
      <w:r>
        <w:rPr>
          <w:rFonts w:ascii="Times New Roman" w:hAnsi="Times New Roman"/>
        </w:rPr>
        <w:t>Четирите проекта, одобрени през декември, са на стойност 89 млн. евро, а общият размер на деветте проекта, от</w:t>
      </w:r>
      <w:r>
        <w:rPr>
          <w:rFonts w:ascii="Times New Roman" w:hAnsi="Times New Roman"/>
        </w:rPr>
        <w:t xml:space="preserve"> които Сенегал може да се възползва, е 161,8 млн. евро.</w:t>
      </w:r>
    </w:p>
  </w:footnote>
  <w:footnote w:id="18">
    <w:p w:rsidR="000A7459" w:rsidRDefault="00D83169">
      <w:pPr>
        <w:pStyle w:val="FootnoteText"/>
        <w:ind w:left="360" w:hanging="360"/>
        <w:jc w:val="both"/>
        <w:rPr>
          <w:rFonts w:ascii="Times New Roman" w:hAnsi="Times New Roman"/>
        </w:rPr>
      </w:pPr>
      <w:r>
        <w:rPr>
          <w:rFonts w:ascii="Times New Roman" w:hAnsi="Times New Roman"/>
          <w:vertAlign w:val="superscript"/>
        </w:rPr>
        <w:footnoteRef/>
      </w:r>
      <w:r>
        <w:rPr>
          <w:rFonts w:ascii="Times New Roman" w:hAnsi="Times New Roman"/>
        </w:rPr>
        <w:t xml:space="preserve"> </w:t>
      </w:r>
      <w:r>
        <w:tab/>
      </w:r>
      <w:r>
        <w:rPr>
          <w:rFonts w:ascii="Times New Roman" w:hAnsi="Times New Roman"/>
        </w:rPr>
        <w:t>Само до 20 февруари 2017 г. незаконно в Италия вече са пристигнали почти 500 малийци (източник: Европейска гранична и брегова охрана).</w:t>
      </w:r>
    </w:p>
  </w:footnote>
  <w:footnote w:id="19">
    <w:p w:rsidR="000A7459" w:rsidRDefault="00D83169">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Въз основа на частични данни; Германия по-специално не е вк</w:t>
      </w:r>
      <w:r>
        <w:rPr>
          <w:rFonts w:ascii="Times New Roman" w:hAnsi="Times New Roman"/>
        </w:rPr>
        <w:t>лючена, а данните за нея биха могли да променят тенденцията.</w:t>
      </w:r>
    </w:p>
  </w:footnote>
  <w:footnote w:id="20">
    <w:p w:rsidR="000A7459" w:rsidRDefault="00D83169">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noProof/>
        </w:rPr>
        <w:t>Трите проекта, одобрени през декември, са в размер на 61 млн. евро, а общата стойност на деветте проекта е 151,6 млн. евро.</w:t>
      </w:r>
    </w:p>
  </w:footnote>
  <w:footnote w:id="21">
    <w:p w:rsidR="000A7459" w:rsidRDefault="00D83169">
      <w:pPr>
        <w:pStyle w:val="FootnoteText"/>
        <w:tabs>
          <w:tab w:val="left" w:pos="426"/>
        </w:tabs>
        <w:ind w:left="360" w:hanging="360"/>
        <w:jc w:val="both"/>
        <w:rPr>
          <w:rFonts w:ascii="Times New Roman" w:hAnsi="Times New Roman"/>
          <w:noProof/>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noProof/>
        </w:rPr>
        <w:t xml:space="preserve">Повече от 42 000 в Мавритания, 60 000 в Нигер и 32 000 в Буркина </w:t>
      </w:r>
      <w:r>
        <w:rPr>
          <w:rFonts w:ascii="Times New Roman" w:hAnsi="Times New Roman"/>
          <w:noProof/>
        </w:rPr>
        <w:t>Фасо. Източник: Върховен комисар на ООН за бежанците.</w:t>
      </w:r>
    </w:p>
  </w:footnote>
  <w:footnote w:id="22">
    <w:p w:rsidR="000A7459" w:rsidRDefault="00D83169">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Източник: Евростат, данни за 2015 г.</w:t>
      </w:r>
    </w:p>
  </w:footnote>
  <w:footnote w:id="23">
    <w:p w:rsidR="000A7459" w:rsidRDefault="00D83169">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Източник: Върховен комисариат за бежанците на ООН, декември 2016 г.</w:t>
      </w:r>
    </w:p>
  </w:footnote>
  <w:footnote w:id="24">
    <w:p w:rsidR="000A7459" w:rsidRDefault="00D83169">
      <w:pPr>
        <w:pStyle w:val="FootnoteText"/>
        <w:ind w:left="360" w:hanging="360"/>
        <w:jc w:val="both"/>
      </w:pPr>
      <w:r>
        <w:rPr>
          <w:rFonts w:ascii="Times New Roman" w:hAnsi="Times New Roman"/>
          <w:vertAlign w:val="superscript"/>
        </w:rPr>
        <w:footnoteRef/>
      </w:r>
      <w:r>
        <w:rPr>
          <w:rFonts w:ascii="Times New Roman" w:hAnsi="Times New Roman"/>
          <w:vertAlign w:val="superscript"/>
        </w:rPr>
        <w:t xml:space="preserve"> </w:t>
      </w:r>
      <w:r>
        <w:tab/>
      </w:r>
      <w:r>
        <w:rPr>
          <w:rFonts w:ascii="Times New Roman" w:hAnsi="Times New Roman"/>
        </w:rPr>
        <w:t>Използваните означения и представянето на информацията върху тази карта не изразяват ста</w:t>
      </w:r>
      <w:r>
        <w:rPr>
          <w:rFonts w:ascii="Times New Roman" w:hAnsi="Times New Roman"/>
        </w:rPr>
        <w:t>новище относно правния статус на която и да било държава, територия, град или област или на нейните/неговите органи или относно очертанията на нейните/неговите граници.</w:t>
      </w:r>
    </w:p>
  </w:footnote>
  <w:footnote w:id="25">
    <w:p w:rsidR="000A7459" w:rsidRDefault="00D83169">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JOIN (2017) 4 final, 25.1.2017 г.</w:t>
      </w:r>
    </w:p>
  </w:footnote>
  <w:footnote w:id="26">
    <w:p w:rsidR="000A7459" w:rsidRDefault="00D83169">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Регионална мрежа за обмен на информация и сътру</w:t>
      </w:r>
      <w:r>
        <w:rPr>
          <w:rFonts w:ascii="Times New Roman" w:hAnsi="Times New Roman"/>
        </w:rPr>
        <w:t>дничество по въпросите на незаконната миграция и трансграничната престъпност между центровете за контакт в държавите от Северна Африка и държавите членки в Средиземноморския регион.</w:t>
      </w:r>
    </w:p>
  </w:footnote>
  <w:footnote w:id="27">
    <w:p w:rsidR="000A7459" w:rsidRDefault="00D83169">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http://www.consilium.europa.eu/bg/press/press-releases/2017/01/03-malta</w:t>
      </w:r>
      <w:r>
        <w:rPr>
          <w:rFonts w:ascii="Times New Roman" w:hAnsi="Times New Roman"/>
        </w:rPr>
        <w:t>-declaration/</w:t>
      </w:r>
    </w:p>
  </w:footnote>
  <w:footnote w:id="28">
    <w:p w:rsidR="000A7459" w:rsidRDefault="00D83169">
      <w:pPr>
        <w:pStyle w:val="FootnoteText"/>
        <w:ind w:left="360" w:hanging="360"/>
        <w:jc w:val="both"/>
      </w:pPr>
      <w:r>
        <w:rPr>
          <w:rStyle w:val="FootnoteReference"/>
          <w:rFonts w:ascii="Times New Roman" w:hAnsi="Times New Roman"/>
        </w:rPr>
        <w:footnoteRef/>
      </w:r>
      <w:r>
        <w:rPr>
          <w:rStyle w:val="FootnoteReference"/>
        </w:rPr>
        <w:t xml:space="preserve"> </w:t>
      </w:r>
      <w:r>
        <w:tab/>
      </w:r>
      <w:r>
        <w:rPr>
          <w:rFonts w:ascii="Times New Roman" w:hAnsi="Times New Roman"/>
        </w:rPr>
        <w:t>Източник: Международна организация по миграция.</w:t>
      </w:r>
    </w:p>
  </w:footnote>
  <w:footnote w:id="29">
    <w:p w:rsidR="000A7459" w:rsidRDefault="00D83169">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Подписан на 2 февруари 2017 г. между министър-председателя Джентилони и председателя на президентския съвет на Либия Ал-Сераж.</w:t>
      </w:r>
    </w:p>
  </w:footnote>
  <w:footnote w:id="30">
    <w:p w:rsidR="000A7459" w:rsidRDefault="00D83169">
      <w:pPr>
        <w:pStyle w:val="FootnoteText"/>
        <w:ind w:left="360" w:hanging="360"/>
        <w:jc w:val="both"/>
        <w:rPr>
          <w:rFonts w:ascii="Times New Roman" w:hAnsi="Times New Roman"/>
        </w:rPr>
      </w:pPr>
      <w:r>
        <w:rPr>
          <w:rFonts w:ascii="Times New Roman" w:hAnsi="Times New Roman"/>
          <w:vertAlign w:val="superscript"/>
        </w:rPr>
        <w:footnoteRef/>
      </w:r>
      <w:r>
        <w:rPr>
          <w:rFonts w:ascii="Times New Roman" w:hAnsi="Times New Roman"/>
        </w:rPr>
        <w:t xml:space="preserve"> </w:t>
      </w:r>
      <w:r>
        <w:tab/>
      </w:r>
      <w:r>
        <w:rPr>
          <w:rFonts w:ascii="Times New Roman" w:hAnsi="Times New Roman"/>
        </w:rPr>
        <w:t xml:space="preserve">От средата на 2016 г. се наблюдава значителен спад в броя </w:t>
      </w:r>
      <w:r>
        <w:rPr>
          <w:rFonts w:ascii="Times New Roman" w:hAnsi="Times New Roman"/>
        </w:rPr>
        <w:t>на регистрираните незаконни мигранти, пристигащи в ЕС от Египет. От началото на 2017 г. са били регистрирани само три лица.</w:t>
      </w:r>
    </w:p>
  </w:footnote>
  <w:footnote w:id="31">
    <w:p w:rsidR="000A7459" w:rsidRDefault="00D83169">
      <w:pPr>
        <w:pStyle w:val="FootnoteText"/>
        <w:ind w:left="360" w:hanging="360"/>
        <w:jc w:val="both"/>
        <w:rPr>
          <w:rFonts w:ascii="Times New Roman" w:hAnsi="Times New Roman"/>
        </w:rPr>
      </w:pPr>
      <w:r>
        <w:rPr>
          <w:rStyle w:val="FootnoteReference"/>
          <w:rFonts w:ascii="Times New Roman" w:hAnsi="Times New Roman"/>
        </w:rPr>
        <w:footnoteRef/>
      </w:r>
      <w:r>
        <w:rPr>
          <w:rStyle w:val="FootnoteReference"/>
        </w:rPr>
        <w:t xml:space="preserve"> </w:t>
      </w:r>
      <w:r>
        <w:tab/>
      </w:r>
      <w:r>
        <w:rPr>
          <w:rFonts w:ascii="Times New Roman" w:hAnsi="Times New Roman"/>
        </w:rPr>
        <w:t xml:space="preserve">Решение C(2017)772 на Комисията от 8.2.2017 г. за изменение на Решение C(2015)7293 на Комисията от 20.10.2015 г. относно </w:t>
      </w:r>
      <w:r>
        <w:rPr>
          <w:rFonts w:ascii="Times New Roman" w:hAnsi="Times New Roman"/>
        </w:rPr>
        <w:t>създаването на Извънреден доверителен фонд на Европейския съюз за стабилност и преодоляване на първопричините за незаконната миграция и разселването на хора в Африка.</w:t>
      </w:r>
    </w:p>
  </w:footnote>
  <w:footnote w:id="32">
    <w:p w:rsidR="000A7459" w:rsidRDefault="00D83169">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Финансирано по линия на Инструмента за сътрудничество за развитие.</w:t>
      </w:r>
    </w:p>
  </w:footnote>
  <w:footnote w:id="33">
    <w:p w:rsidR="000A7459" w:rsidRDefault="00D83169">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Процентът на </w:t>
      </w:r>
      <w:r>
        <w:rPr>
          <w:rFonts w:ascii="Times New Roman" w:hAnsi="Times New Roman"/>
        </w:rPr>
        <w:t>признаване на молбите за предоставяне на убежище на афганистански кандидати е намалявал постоянно в периода между септември 2015 г. (68 %) и декември 2016 г. (33 %).</w:t>
      </w:r>
    </w:p>
  </w:footnote>
  <w:footnote w:id="34">
    <w:p w:rsidR="000A7459" w:rsidRDefault="00D83169">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COM(2017) 200, 2.3.2017 г.</w:t>
      </w:r>
    </w:p>
  </w:footnote>
  <w:footnote w:id="35">
    <w:p w:rsidR="000A7459" w:rsidRDefault="00D83169">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В съответствие с хуманитарните принципи основаната на пот</w:t>
      </w:r>
      <w:r>
        <w:rPr>
          <w:rFonts w:ascii="Times New Roman" w:hAnsi="Times New Roman"/>
        </w:rPr>
        <w:t>ребности хуманитарна помощ не може да се обвързва с условия.</w:t>
      </w:r>
    </w:p>
  </w:footnote>
  <w:footnote w:id="36">
    <w:p w:rsidR="000A7459" w:rsidRDefault="00D83169">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Етиопия, Йордания, Ливан, Нигер, Нигерия, Пакистан, Сенегал, Сърбия, Судан, Тунис, Турция; служителите за връзка към Мали и Египет ще бъдат изпратени през следващите месеци.</w:t>
      </w:r>
    </w:p>
  </w:footnote>
  <w:footnote w:id="37">
    <w:p w:rsidR="000A7459" w:rsidRDefault="00D83169">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Решение С(2017)</w:t>
      </w:r>
      <w:r>
        <w:rPr>
          <w:rFonts w:ascii="Times New Roman" w:hAnsi="Times New Roman"/>
        </w:rPr>
        <w:t xml:space="preserve"> 772 на Комисията.</w:t>
      </w:r>
    </w:p>
  </w:footnote>
  <w:footnote w:id="38">
    <w:p w:rsidR="000A7459" w:rsidRDefault="00D83169">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28 програми по линия на перото за Сахел/езерото Чад (381 млн. евро); 11 програми по перото за Африканския рог (169,5 млн. евро) и 3 програми по перото за Северна Африка (37 млн. евро).</w:t>
      </w:r>
    </w:p>
  </w:footnote>
  <w:footnote w:id="39">
    <w:p w:rsidR="000A7459" w:rsidRDefault="00D83169">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JOIN (2017) 4 final, 25.1.2017 г.</w:t>
      </w:r>
    </w:p>
  </w:footnote>
  <w:footnote w:id="40">
    <w:p w:rsidR="000A7459" w:rsidRDefault="00D83169">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На държав</w:t>
      </w:r>
      <w:r>
        <w:rPr>
          <w:rFonts w:ascii="Times New Roman" w:hAnsi="Times New Roman"/>
        </w:rPr>
        <w:t>ите от Европейската политика за съседство, които преминават през кризи на платежния баланс, се предлага макрофинансова помощ, която допринася за покриването на острите нужди от външно финансиране на държавата бенефициер и по този начин повишава нейните рез</w:t>
      </w:r>
      <w:r>
        <w:rPr>
          <w:rFonts w:ascii="Times New Roman" w:hAnsi="Times New Roman"/>
        </w:rPr>
        <w:t>ерви в чуждестранна валута. Чрез своя целеви набор от условия макрофинансовата помощ допринася и за макроикономическата стабилизация, като подкрепя програмата за структурни реформи на държавата бенефициер. По програмите са подпомагани Тунис и Йордания.</w:t>
      </w:r>
    </w:p>
  </w:footnote>
  <w:footnote w:id="41">
    <w:p w:rsidR="000A7459" w:rsidRDefault="00D83169">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В области като инфраструктурата за прием, подкрепа за МСП и микропредприятията, справяне с първопричините.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81A" w:rsidRPr="0077481A" w:rsidRDefault="0077481A" w:rsidP="0077481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81A" w:rsidRPr="0077481A" w:rsidRDefault="0077481A" w:rsidP="0077481A">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81A" w:rsidRPr="0077481A" w:rsidRDefault="0077481A" w:rsidP="0077481A">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459" w:rsidRDefault="000A745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459" w:rsidRDefault="000A745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459" w:rsidRDefault="000A74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576AE"/>
    <w:multiLevelType w:val="hybridMultilevel"/>
    <w:tmpl w:val="7B1AF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B5022A"/>
    <w:multiLevelType w:val="hybridMultilevel"/>
    <w:tmpl w:val="865AA702"/>
    <w:lvl w:ilvl="0" w:tplc="A7E2026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21B9749D"/>
    <w:multiLevelType w:val="hybridMultilevel"/>
    <w:tmpl w:val="144E36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281B5307"/>
    <w:multiLevelType w:val="hybridMultilevel"/>
    <w:tmpl w:val="D3B44192"/>
    <w:lvl w:ilvl="0" w:tplc="4032317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D3A517A"/>
    <w:multiLevelType w:val="hybridMultilevel"/>
    <w:tmpl w:val="0756DE1C"/>
    <w:lvl w:ilvl="0" w:tplc="A370ABE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2F017716"/>
    <w:multiLevelType w:val="hybridMultilevel"/>
    <w:tmpl w:val="B4AA53D4"/>
    <w:lvl w:ilvl="0" w:tplc="A7E2026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342D6FB1"/>
    <w:multiLevelType w:val="hybridMultilevel"/>
    <w:tmpl w:val="DB98EFEA"/>
    <w:lvl w:ilvl="0" w:tplc="DF4AA2B8">
      <w:start w:val="3"/>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4E32896"/>
    <w:multiLevelType w:val="hybridMultilevel"/>
    <w:tmpl w:val="DA6626A2"/>
    <w:lvl w:ilvl="0" w:tplc="CB6EB0D8">
      <w:start w:val="4"/>
      <w:numFmt w:val="bullet"/>
      <w:lvlText w:val="-"/>
      <w:lvlJc w:val="left"/>
      <w:pPr>
        <w:ind w:left="720" w:hanging="360"/>
      </w:pPr>
      <w:rPr>
        <w:rFonts w:ascii="Times New Roman" w:eastAsia="ヒラギノ角ゴ Pro W3"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B17C40"/>
    <w:multiLevelType w:val="hybridMultilevel"/>
    <w:tmpl w:val="219EEB24"/>
    <w:lvl w:ilvl="0" w:tplc="4032317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79870D6"/>
    <w:multiLevelType w:val="hybridMultilevel"/>
    <w:tmpl w:val="24AA15D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nsid w:val="3B1D7969"/>
    <w:multiLevelType w:val="hybridMultilevel"/>
    <w:tmpl w:val="22104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1DA7E20"/>
    <w:multiLevelType w:val="hybridMultilevel"/>
    <w:tmpl w:val="B7245830"/>
    <w:lvl w:ilvl="0" w:tplc="A7E202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29A5D9E"/>
    <w:multiLevelType w:val="hybridMultilevel"/>
    <w:tmpl w:val="71A8B9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8C61FAC"/>
    <w:multiLevelType w:val="hybridMultilevel"/>
    <w:tmpl w:val="BE0A31F6"/>
    <w:lvl w:ilvl="0" w:tplc="08090001">
      <w:start w:val="1"/>
      <w:numFmt w:val="bullet"/>
      <w:lvlText w:val=""/>
      <w:lvlJc w:val="left"/>
      <w:pPr>
        <w:ind w:left="774" w:hanging="360"/>
      </w:pPr>
      <w:rPr>
        <w:rFonts w:ascii="Symbol" w:hAnsi="Symbol" w:hint="default"/>
      </w:rPr>
    </w:lvl>
    <w:lvl w:ilvl="1" w:tplc="08090003">
      <w:start w:val="1"/>
      <w:numFmt w:val="bullet"/>
      <w:lvlText w:val="o"/>
      <w:lvlJc w:val="left"/>
      <w:pPr>
        <w:ind w:left="1494" w:hanging="360"/>
      </w:pPr>
      <w:rPr>
        <w:rFonts w:ascii="Courier New" w:hAnsi="Courier New" w:cs="Courier New" w:hint="default"/>
      </w:rPr>
    </w:lvl>
    <w:lvl w:ilvl="2" w:tplc="08090005">
      <w:start w:val="1"/>
      <w:numFmt w:val="bullet"/>
      <w:lvlText w:val=""/>
      <w:lvlJc w:val="left"/>
      <w:pPr>
        <w:ind w:left="2214" w:hanging="360"/>
      </w:pPr>
      <w:rPr>
        <w:rFonts w:ascii="Wingdings" w:hAnsi="Wingdings" w:hint="default"/>
      </w:rPr>
    </w:lvl>
    <w:lvl w:ilvl="3" w:tplc="08090001">
      <w:start w:val="1"/>
      <w:numFmt w:val="bullet"/>
      <w:lvlText w:val=""/>
      <w:lvlJc w:val="left"/>
      <w:pPr>
        <w:ind w:left="2934" w:hanging="360"/>
      </w:pPr>
      <w:rPr>
        <w:rFonts w:ascii="Symbol" w:hAnsi="Symbol" w:hint="default"/>
      </w:rPr>
    </w:lvl>
    <w:lvl w:ilvl="4" w:tplc="08090003">
      <w:start w:val="1"/>
      <w:numFmt w:val="bullet"/>
      <w:lvlText w:val="o"/>
      <w:lvlJc w:val="left"/>
      <w:pPr>
        <w:ind w:left="3654" w:hanging="360"/>
      </w:pPr>
      <w:rPr>
        <w:rFonts w:ascii="Courier New" w:hAnsi="Courier New" w:cs="Courier New" w:hint="default"/>
      </w:rPr>
    </w:lvl>
    <w:lvl w:ilvl="5" w:tplc="08090005">
      <w:start w:val="1"/>
      <w:numFmt w:val="bullet"/>
      <w:lvlText w:val=""/>
      <w:lvlJc w:val="left"/>
      <w:pPr>
        <w:ind w:left="4374" w:hanging="360"/>
      </w:pPr>
      <w:rPr>
        <w:rFonts w:ascii="Wingdings" w:hAnsi="Wingdings" w:hint="default"/>
      </w:rPr>
    </w:lvl>
    <w:lvl w:ilvl="6" w:tplc="08090001">
      <w:start w:val="1"/>
      <w:numFmt w:val="bullet"/>
      <w:lvlText w:val=""/>
      <w:lvlJc w:val="left"/>
      <w:pPr>
        <w:ind w:left="5094" w:hanging="360"/>
      </w:pPr>
      <w:rPr>
        <w:rFonts w:ascii="Symbol" w:hAnsi="Symbol" w:hint="default"/>
      </w:rPr>
    </w:lvl>
    <w:lvl w:ilvl="7" w:tplc="08090003">
      <w:start w:val="1"/>
      <w:numFmt w:val="bullet"/>
      <w:lvlText w:val="o"/>
      <w:lvlJc w:val="left"/>
      <w:pPr>
        <w:ind w:left="5814" w:hanging="360"/>
      </w:pPr>
      <w:rPr>
        <w:rFonts w:ascii="Courier New" w:hAnsi="Courier New" w:cs="Courier New" w:hint="default"/>
      </w:rPr>
    </w:lvl>
    <w:lvl w:ilvl="8" w:tplc="08090005">
      <w:start w:val="1"/>
      <w:numFmt w:val="bullet"/>
      <w:lvlText w:val=""/>
      <w:lvlJc w:val="left"/>
      <w:pPr>
        <w:ind w:left="6534" w:hanging="360"/>
      </w:pPr>
      <w:rPr>
        <w:rFonts w:ascii="Wingdings" w:hAnsi="Wingdings" w:hint="default"/>
      </w:rPr>
    </w:lvl>
  </w:abstractNum>
  <w:abstractNum w:abstractNumId="14">
    <w:nsid w:val="491B620E"/>
    <w:multiLevelType w:val="hybridMultilevel"/>
    <w:tmpl w:val="8C4CA3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96157C9"/>
    <w:multiLevelType w:val="hybridMultilevel"/>
    <w:tmpl w:val="CB4E2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C767FD0"/>
    <w:multiLevelType w:val="hybridMultilevel"/>
    <w:tmpl w:val="4FC486B2"/>
    <w:lvl w:ilvl="0" w:tplc="A5AEA53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51F327A1"/>
    <w:multiLevelType w:val="hybridMultilevel"/>
    <w:tmpl w:val="2D2436FA"/>
    <w:lvl w:ilvl="0" w:tplc="A7E2026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2BA0381"/>
    <w:multiLevelType w:val="hybridMultilevel"/>
    <w:tmpl w:val="4E92B6B0"/>
    <w:lvl w:ilvl="0" w:tplc="A5AEA53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3373202"/>
    <w:multiLevelType w:val="hybridMultilevel"/>
    <w:tmpl w:val="80BE5FA4"/>
    <w:lvl w:ilvl="0" w:tplc="340C0BC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3D975AF"/>
    <w:multiLevelType w:val="hybridMultilevel"/>
    <w:tmpl w:val="201AC6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95136E0"/>
    <w:multiLevelType w:val="hybridMultilevel"/>
    <w:tmpl w:val="D27ED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B022816"/>
    <w:multiLevelType w:val="hybridMultilevel"/>
    <w:tmpl w:val="18BAE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5E937AD"/>
    <w:multiLevelType w:val="hybridMultilevel"/>
    <w:tmpl w:val="F76EC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98A6D80"/>
    <w:multiLevelType w:val="hybridMultilevel"/>
    <w:tmpl w:val="3D5EB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B7A591C"/>
    <w:multiLevelType w:val="hybridMultilevel"/>
    <w:tmpl w:val="7A605C36"/>
    <w:lvl w:ilvl="0" w:tplc="A5AEA53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D0D1F08"/>
    <w:multiLevelType w:val="hybridMultilevel"/>
    <w:tmpl w:val="61B844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14"/>
  </w:num>
  <w:num w:numId="2">
    <w:abstractNumId w:val="0"/>
  </w:num>
  <w:num w:numId="3">
    <w:abstractNumId w:val="22"/>
  </w:num>
  <w:num w:numId="4">
    <w:abstractNumId w:val="21"/>
  </w:num>
  <w:num w:numId="5">
    <w:abstractNumId w:val="23"/>
  </w:num>
  <w:num w:numId="6">
    <w:abstractNumId w:val="10"/>
  </w:num>
  <w:num w:numId="7">
    <w:abstractNumId w:val="9"/>
  </w:num>
  <w:num w:numId="8">
    <w:abstractNumId w:val="24"/>
  </w:num>
  <w:num w:numId="9">
    <w:abstractNumId w:val="16"/>
  </w:num>
  <w:num w:numId="10">
    <w:abstractNumId w:val="8"/>
  </w:num>
  <w:num w:numId="11">
    <w:abstractNumId w:val="3"/>
  </w:num>
  <w:num w:numId="12">
    <w:abstractNumId w:val="20"/>
  </w:num>
  <w:num w:numId="13">
    <w:abstractNumId w:val="4"/>
  </w:num>
  <w:num w:numId="14">
    <w:abstractNumId w:val="2"/>
  </w:num>
  <w:num w:numId="15">
    <w:abstractNumId w:val="5"/>
  </w:num>
  <w:num w:numId="16">
    <w:abstractNumId w:val="13"/>
  </w:num>
  <w:num w:numId="17">
    <w:abstractNumId w:val="14"/>
  </w:num>
  <w:num w:numId="18">
    <w:abstractNumId w:val="15"/>
  </w:num>
  <w:num w:numId="19">
    <w:abstractNumId w:val="7"/>
  </w:num>
  <w:num w:numId="20">
    <w:abstractNumId w:val="26"/>
  </w:num>
  <w:num w:numId="21">
    <w:abstractNumId w:val="19"/>
  </w:num>
  <w:num w:numId="22">
    <w:abstractNumId w:val="1"/>
  </w:num>
  <w:num w:numId="23">
    <w:abstractNumId w:val="17"/>
  </w:num>
  <w:num w:numId="24">
    <w:abstractNumId w:val="11"/>
  </w:num>
  <w:num w:numId="25">
    <w:abstractNumId w:val="6"/>
  </w:num>
  <w:num w:numId="26">
    <w:abstractNumId w:val="12"/>
  </w:num>
  <w:num w:numId="27">
    <w:abstractNumId w:val="18"/>
  </w:num>
  <w:num w:numId="28">
    <w:abstractNumId w:val="25"/>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ederik schutyser">
    <w15:presenceInfo w15:providerId="Windows Live" w15:userId="fa3977c4846bf2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EU RESTRICTED"/>
    <w:docVar w:name="LW_CORRIGENDUM" w:val="NOTE_x000b_The language version reflects the corrections done to the original EN version transmitted under COM(2017) 205 final of 2.3.2017 and retransmitted (with corrections) under COM(2017) 205 final/2 of 10.3.2017._x000b_"/>
    <w:docVar w:name="LW_COVERPAGE_GUID" w:val="63B8486FAD3D4DDE9B51CA34F961244A"/>
    <w:docVar w:name="LW_CROSSREFERENCE" w:val="&lt;UNUSED&gt;"/>
    <w:docVar w:name="LW_DocType" w:val="NORMAL"/>
    <w:docVar w:name="LW_EMISSION" w:val="10.3.2017"/>
    <w:docVar w:name="LW_EMISSION_ISODATE" w:val="2017-03-10"/>
    <w:docVar w:name="LW_EMISSION_LOCATION" w:val="BRX"/>
    <w:docVar w:name="LW_EMISSION_PREFIX" w:val="\u1041?\u1088?\u1102?\u1082?\u1089?\u1077?\u1083?, "/>
    <w:docVar w:name="LW_EMISSION_SUFFIX" w:val=" \u1075?."/>
    <w:docVar w:name="LW_ID_DOCTYPE_NONLW" w:val="CP-003"/>
    <w:docVar w:name="LW_LANGUE" w:val="BG"/>
    <w:docVar w:name="LW_MARKING" w:val="&lt;UNUSED&g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17) 205"/>
    <w:docVar w:name="LW_REF.INTERNE" w:val="&lt;UNUSED&gt;"/>
    <w:docVar w:name="LW_SOUS.TITRE.OBJ.CP" w:val="&lt;UNUSED&gt;"/>
    <w:docVar w:name="LW_SUPERTITRE" w:val="&lt;UNUSED&gt;"/>
    <w:docVar w:name="LW_TITRE.OBJ.CP" w:val="\u1044?\u1054? \u1045?\u1042?\u1056?\u1054?\u1055?\u1045?\u1049?\u1057?\u1050?\u1048?\u1071? \u1055?\u1040?\u1056?\u1051?\u1040?\u1052?\u1045?\u1053?\u1058?, \u1045?\u1042?\u1056?\u1054?\u1055?\u1045?\u1049?\u1057?\u1050?\u1048?\u1071? \u1057?\u1066?\u1042?\u1045?\u1058? \u1048? \u1057?\u1066?\u1042?\u1045?\u1058?\u1040?_x000b__x000b_\u1058?\u1088?\u1077?\u1090?\u1080? \u1076?\u1086?\u1082?\u1083?\u1072?\u1076? \u1079?\u1072? \u1085?\u1072?\u1087?\u1088?\u1077?\u1076?\u1098?\u1082?\u1072? \u1087?\u1086? \u1056?\u1072?\u1084?\u1082?\u1072?\u1090?\u1072? \u1079?\u1072? \u1087?\u1072?\u1088?\u1090?\u1085?\u1100?\u1086?\u1088?\u1089?\u1090?\u1074?\u1086? \u1089? \u1090?\u1088?\u1077?\u1090?\u1080?_x000b_\u1076?\u1098?\u1088?\u1078?\u1072?\u1074?\u1080? \u1074? \u1082?\u1086?\u1085?\u1090?\u1077?\u1082?\u1089?\u1090?\u1072? \u1085?\u1072? E\u1074?\u1088?\u1086?\u1087?\u1077?\u1081?\u1089?\u1082?\u1072?\u1090?\u1072? \u1087?\u1088?\u1086?\u1075?\u1088?\u1072?\u1084?\u1072? \u1079?\u1072? \u1084?\u1080?\u1075?\u1088?\u1072?\u1094?\u1080?\u1103?\u1090?\u1072?_x000b__x000b__x000b_"/>
    <w:docVar w:name="LW_TYPE.DOC.CP" w:val="\u1044?\u1054?\u1050?\u1051?\u1040?\u1044? \u1053?\u1040? \u1050?\u1054?\u1052?\u1048?\u1057?\u1048?\u1071?\u1058?\u1040?"/>
  </w:docVars>
  <w:rsids>
    <w:rsidRoot w:val="000A7459"/>
    <w:rsid w:val="000A7459"/>
    <w:rsid w:val="0077481A"/>
    <w:rsid w:val="00D83169"/>
  </w:rsids>
  <m:mathPr>
    <m:mathFont m:val="Cambria Math"/>
    <m:brkBin m:val="before"/>
    <m:brkBinSub m:val="--"/>
    <m:smallFrac m:val="0"/>
    <m:dispDef/>
    <m:lMargin m:val="0"/>
    <m:rMargin m:val="0"/>
    <m:defJc m:val="centerGroup"/>
    <m:wrapIndent m:val="1440"/>
    <m:intLim m:val="subSup"/>
    <m:naryLim m:val="undOvr"/>
  </m:mathPr>
  <w:themeFontLang w:val="en-GB" w:eastAsia="ja-JP"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bg-BG" w:eastAsia="bg-BG" w:bidi="bg-BG"/>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L"/>
    <w:basedOn w:val="Normal"/>
    <w:link w:val="ListParagraphChar"/>
    <w:uiPriority w:val="34"/>
    <w:qFormat/>
    <w:pPr>
      <w:ind w:left="720"/>
      <w:contextualSpacing/>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pPr>
      <w:spacing w:after="0" w:line="240" w:lineRule="auto"/>
    </w:pPr>
  </w:style>
  <w:style w:type="paragraph" w:styleId="FootnoteText">
    <w:name w:val="footnote text"/>
    <w:basedOn w:val="Normal"/>
    <w:link w:val="FootnoteTextChar"/>
    <w:uiPriority w:val="99"/>
    <w:unhideWhenUsed/>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Pr>
      <w:rFonts w:ascii="Calibri" w:eastAsia="Calibri" w:hAnsi="Calibri" w:cs="Times New Roman"/>
      <w:sz w:val="20"/>
      <w:szCs w:val="20"/>
    </w:rPr>
  </w:style>
  <w:style w:type="character" w:styleId="FootnoteReference">
    <w:name w:val="footnote reference"/>
    <w:unhideWhenUsed/>
    <w:rPr>
      <w:vertAlign w:val="superscript"/>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locked/>
  </w:style>
  <w:style w:type="paragraph" w:customStyle="1" w:styleId="Standard">
    <w:name w:val="Standard"/>
    <w:pPr>
      <w:suppressAutoHyphens/>
      <w:autoSpaceDN w:val="0"/>
      <w:textAlignment w:val="baseline"/>
    </w:pPr>
    <w:rPr>
      <w:rFonts w:ascii="Calibri" w:eastAsia="SimSun" w:hAnsi="Calibri" w:cs="Calibri"/>
      <w:kern w:val="3"/>
    </w:rPr>
  </w:style>
  <w:style w:type="paragraph" w:styleId="NormalWeb">
    <w:name w:val="Normal (Web)"/>
    <w:basedOn w:val="Normal"/>
    <w:uiPriority w:val="99"/>
    <w:unhideWhenUsed/>
    <w:pPr>
      <w:spacing w:after="15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PlainText">
    <w:name w:val="Plain Text"/>
    <w:basedOn w:val="Normal"/>
    <w:link w:val="PlainTextChar"/>
    <w:uiPriority w:val="99"/>
    <w:unhideWhenUsed/>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Pr>
      <w:rFonts w:ascii="Calibri" w:eastAsiaTheme="minorHAnsi" w:hAnsi="Calibri"/>
      <w:szCs w:val="21"/>
      <w:lang w:eastAsia="bg-BG"/>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szCs w:val="24"/>
    </w:rPr>
  </w:style>
  <w:style w:type="character" w:customStyle="1" w:styleId="FooterCoverPageChar">
    <w:name w:val="Footer Cover Page Char"/>
    <w:basedOn w:val="DefaultParagraphFont"/>
    <w:link w:val="FooterCoverPage"/>
    <w:rPr>
      <w:rFonts w:ascii="Times New Roman" w:hAnsi="Times New Roman" w:cs="Times New Roman"/>
      <w:sz w:val="24"/>
      <w:szCs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szCs w:val="24"/>
    </w:rPr>
  </w:style>
  <w:style w:type="character" w:customStyle="1" w:styleId="HeaderCoverPageChar">
    <w:name w:val="Header Cover Page Char"/>
    <w:basedOn w:val="DefaultParagraphFont"/>
    <w:link w:val="HeaderCoverPage"/>
    <w:rPr>
      <w:rFonts w:ascii="Times New Roman" w:hAnsi="Times New Roman" w:cs="Times New Roman"/>
      <w:sz w:val="24"/>
      <w:szCs w:val="24"/>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g-BG" w:eastAsia="bg-BG" w:bidi="bg-BG"/>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L"/>
    <w:basedOn w:val="Normal"/>
    <w:link w:val="ListParagraphChar"/>
    <w:uiPriority w:val="34"/>
    <w:qFormat/>
    <w:pPr>
      <w:ind w:left="720"/>
      <w:contextualSpacing/>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pPr>
      <w:spacing w:after="0" w:line="240" w:lineRule="auto"/>
    </w:pPr>
  </w:style>
  <w:style w:type="paragraph" w:styleId="FootnoteText">
    <w:name w:val="footnote text"/>
    <w:basedOn w:val="Normal"/>
    <w:link w:val="FootnoteTextChar"/>
    <w:uiPriority w:val="99"/>
    <w:unhideWhenUsed/>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Pr>
      <w:rFonts w:ascii="Calibri" w:eastAsia="Calibri" w:hAnsi="Calibri" w:cs="Times New Roman"/>
      <w:sz w:val="20"/>
      <w:szCs w:val="20"/>
    </w:rPr>
  </w:style>
  <w:style w:type="character" w:styleId="FootnoteReference">
    <w:name w:val="footnote reference"/>
    <w:unhideWhenUsed/>
    <w:rPr>
      <w:vertAlign w:val="superscript"/>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locked/>
  </w:style>
  <w:style w:type="paragraph" w:customStyle="1" w:styleId="Standard">
    <w:name w:val="Standard"/>
    <w:pPr>
      <w:suppressAutoHyphens/>
      <w:autoSpaceDN w:val="0"/>
      <w:textAlignment w:val="baseline"/>
    </w:pPr>
    <w:rPr>
      <w:rFonts w:ascii="Calibri" w:eastAsia="SimSun" w:hAnsi="Calibri" w:cs="Calibri"/>
      <w:kern w:val="3"/>
    </w:rPr>
  </w:style>
  <w:style w:type="paragraph" w:styleId="NormalWeb">
    <w:name w:val="Normal (Web)"/>
    <w:basedOn w:val="Normal"/>
    <w:uiPriority w:val="99"/>
    <w:unhideWhenUsed/>
    <w:pPr>
      <w:spacing w:after="15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PlainText">
    <w:name w:val="Plain Text"/>
    <w:basedOn w:val="Normal"/>
    <w:link w:val="PlainTextChar"/>
    <w:uiPriority w:val="99"/>
    <w:unhideWhenUsed/>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Pr>
      <w:rFonts w:ascii="Calibri" w:eastAsiaTheme="minorHAnsi" w:hAnsi="Calibri"/>
      <w:szCs w:val="21"/>
      <w:lang w:eastAsia="bg-BG"/>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szCs w:val="24"/>
    </w:rPr>
  </w:style>
  <w:style w:type="character" w:customStyle="1" w:styleId="FooterCoverPageChar">
    <w:name w:val="Footer Cover Page Char"/>
    <w:basedOn w:val="DefaultParagraphFont"/>
    <w:link w:val="FooterCoverPage"/>
    <w:rPr>
      <w:rFonts w:ascii="Times New Roman" w:hAnsi="Times New Roman" w:cs="Times New Roman"/>
      <w:sz w:val="24"/>
      <w:szCs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szCs w:val="24"/>
    </w:rPr>
  </w:style>
  <w:style w:type="character" w:customStyle="1" w:styleId="HeaderCoverPageChar">
    <w:name w:val="Header Cover Page Char"/>
    <w:basedOn w:val="DefaultParagraphFont"/>
    <w:link w:val="HeaderCoverPage"/>
    <w:rPr>
      <w:rFonts w:ascii="Times New Roman" w:hAnsi="Times New Roman" w:cs="Times New Roman"/>
      <w:sz w:val="24"/>
      <w:szCs w:val="24"/>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2830">
      <w:bodyDiv w:val="1"/>
      <w:marLeft w:val="0"/>
      <w:marRight w:val="0"/>
      <w:marTop w:val="0"/>
      <w:marBottom w:val="0"/>
      <w:divBdr>
        <w:top w:val="none" w:sz="0" w:space="0" w:color="auto"/>
        <w:left w:val="none" w:sz="0" w:space="0" w:color="auto"/>
        <w:bottom w:val="none" w:sz="0" w:space="0" w:color="auto"/>
        <w:right w:val="none" w:sz="0" w:space="0" w:color="auto"/>
      </w:divBdr>
    </w:div>
    <w:div w:id="125897567">
      <w:bodyDiv w:val="1"/>
      <w:marLeft w:val="0"/>
      <w:marRight w:val="0"/>
      <w:marTop w:val="0"/>
      <w:marBottom w:val="0"/>
      <w:divBdr>
        <w:top w:val="none" w:sz="0" w:space="0" w:color="auto"/>
        <w:left w:val="none" w:sz="0" w:space="0" w:color="auto"/>
        <w:bottom w:val="none" w:sz="0" w:space="0" w:color="auto"/>
        <w:right w:val="none" w:sz="0" w:space="0" w:color="auto"/>
      </w:divBdr>
    </w:div>
    <w:div w:id="450133919">
      <w:bodyDiv w:val="1"/>
      <w:marLeft w:val="0"/>
      <w:marRight w:val="0"/>
      <w:marTop w:val="0"/>
      <w:marBottom w:val="0"/>
      <w:divBdr>
        <w:top w:val="none" w:sz="0" w:space="0" w:color="auto"/>
        <w:left w:val="none" w:sz="0" w:space="0" w:color="auto"/>
        <w:bottom w:val="none" w:sz="0" w:space="0" w:color="auto"/>
        <w:right w:val="none" w:sz="0" w:space="0" w:color="auto"/>
      </w:divBdr>
    </w:div>
    <w:div w:id="529268743">
      <w:bodyDiv w:val="1"/>
      <w:marLeft w:val="0"/>
      <w:marRight w:val="0"/>
      <w:marTop w:val="0"/>
      <w:marBottom w:val="0"/>
      <w:divBdr>
        <w:top w:val="none" w:sz="0" w:space="0" w:color="auto"/>
        <w:left w:val="none" w:sz="0" w:space="0" w:color="auto"/>
        <w:bottom w:val="none" w:sz="0" w:space="0" w:color="auto"/>
        <w:right w:val="none" w:sz="0" w:space="0" w:color="auto"/>
      </w:divBdr>
    </w:div>
    <w:div w:id="564099636">
      <w:bodyDiv w:val="1"/>
      <w:marLeft w:val="0"/>
      <w:marRight w:val="0"/>
      <w:marTop w:val="0"/>
      <w:marBottom w:val="0"/>
      <w:divBdr>
        <w:top w:val="none" w:sz="0" w:space="0" w:color="auto"/>
        <w:left w:val="none" w:sz="0" w:space="0" w:color="auto"/>
        <w:bottom w:val="none" w:sz="0" w:space="0" w:color="auto"/>
        <w:right w:val="none" w:sz="0" w:space="0" w:color="auto"/>
      </w:divBdr>
    </w:div>
    <w:div w:id="773129398">
      <w:bodyDiv w:val="1"/>
      <w:marLeft w:val="0"/>
      <w:marRight w:val="0"/>
      <w:marTop w:val="0"/>
      <w:marBottom w:val="0"/>
      <w:divBdr>
        <w:top w:val="none" w:sz="0" w:space="0" w:color="auto"/>
        <w:left w:val="none" w:sz="0" w:space="0" w:color="auto"/>
        <w:bottom w:val="none" w:sz="0" w:space="0" w:color="auto"/>
        <w:right w:val="none" w:sz="0" w:space="0" w:color="auto"/>
      </w:divBdr>
    </w:div>
    <w:div w:id="830290783">
      <w:bodyDiv w:val="1"/>
      <w:marLeft w:val="0"/>
      <w:marRight w:val="0"/>
      <w:marTop w:val="0"/>
      <w:marBottom w:val="0"/>
      <w:divBdr>
        <w:top w:val="none" w:sz="0" w:space="0" w:color="auto"/>
        <w:left w:val="none" w:sz="0" w:space="0" w:color="auto"/>
        <w:bottom w:val="none" w:sz="0" w:space="0" w:color="auto"/>
        <w:right w:val="none" w:sz="0" w:space="0" w:color="auto"/>
      </w:divBdr>
    </w:div>
    <w:div w:id="845174826">
      <w:bodyDiv w:val="1"/>
      <w:marLeft w:val="0"/>
      <w:marRight w:val="0"/>
      <w:marTop w:val="0"/>
      <w:marBottom w:val="0"/>
      <w:divBdr>
        <w:top w:val="none" w:sz="0" w:space="0" w:color="auto"/>
        <w:left w:val="none" w:sz="0" w:space="0" w:color="auto"/>
        <w:bottom w:val="none" w:sz="0" w:space="0" w:color="auto"/>
        <w:right w:val="none" w:sz="0" w:space="0" w:color="auto"/>
      </w:divBdr>
    </w:div>
    <w:div w:id="1039738986">
      <w:bodyDiv w:val="1"/>
      <w:marLeft w:val="0"/>
      <w:marRight w:val="0"/>
      <w:marTop w:val="0"/>
      <w:marBottom w:val="0"/>
      <w:divBdr>
        <w:top w:val="none" w:sz="0" w:space="0" w:color="auto"/>
        <w:left w:val="none" w:sz="0" w:space="0" w:color="auto"/>
        <w:bottom w:val="none" w:sz="0" w:space="0" w:color="auto"/>
        <w:right w:val="none" w:sz="0" w:space="0" w:color="auto"/>
      </w:divBdr>
    </w:div>
    <w:div w:id="1062798164">
      <w:bodyDiv w:val="1"/>
      <w:marLeft w:val="0"/>
      <w:marRight w:val="0"/>
      <w:marTop w:val="0"/>
      <w:marBottom w:val="0"/>
      <w:divBdr>
        <w:top w:val="none" w:sz="0" w:space="0" w:color="auto"/>
        <w:left w:val="none" w:sz="0" w:space="0" w:color="auto"/>
        <w:bottom w:val="none" w:sz="0" w:space="0" w:color="auto"/>
        <w:right w:val="none" w:sz="0" w:space="0" w:color="auto"/>
      </w:divBdr>
    </w:div>
    <w:div w:id="1073549962">
      <w:bodyDiv w:val="1"/>
      <w:marLeft w:val="0"/>
      <w:marRight w:val="0"/>
      <w:marTop w:val="0"/>
      <w:marBottom w:val="0"/>
      <w:divBdr>
        <w:top w:val="none" w:sz="0" w:space="0" w:color="auto"/>
        <w:left w:val="none" w:sz="0" w:space="0" w:color="auto"/>
        <w:bottom w:val="none" w:sz="0" w:space="0" w:color="auto"/>
        <w:right w:val="none" w:sz="0" w:space="0" w:color="auto"/>
      </w:divBdr>
      <w:divsChild>
        <w:div w:id="1327636449">
          <w:marLeft w:val="0"/>
          <w:marRight w:val="0"/>
          <w:marTop w:val="0"/>
          <w:marBottom w:val="0"/>
          <w:divBdr>
            <w:top w:val="none" w:sz="0" w:space="0" w:color="auto"/>
            <w:left w:val="none" w:sz="0" w:space="0" w:color="auto"/>
            <w:bottom w:val="none" w:sz="0" w:space="0" w:color="auto"/>
            <w:right w:val="none" w:sz="0" w:space="0" w:color="auto"/>
          </w:divBdr>
          <w:divsChild>
            <w:div w:id="290983836">
              <w:marLeft w:val="0"/>
              <w:marRight w:val="0"/>
              <w:marTop w:val="0"/>
              <w:marBottom w:val="0"/>
              <w:divBdr>
                <w:top w:val="none" w:sz="0" w:space="0" w:color="auto"/>
                <w:left w:val="none" w:sz="0" w:space="0" w:color="auto"/>
                <w:bottom w:val="none" w:sz="0" w:space="0" w:color="auto"/>
                <w:right w:val="none" w:sz="0" w:space="0" w:color="auto"/>
              </w:divBdr>
              <w:divsChild>
                <w:div w:id="864636370">
                  <w:marLeft w:val="0"/>
                  <w:marRight w:val="0"/>
                  <w:marTop w:val="0"/>
                  <w:marBottom w:val="0"/>
                  <w:divBdr>
                    <w:top w:val="none" w:sz="0" w:space="0" w:color="auto"/>
                    <w:left w:val="none" w:sz="0" w:space="0" w:color="auto"/>
                    <w:bottom w:val="none" w:sz="0" w:space="0" w:color="auto"/>
                    <w:right w:val="none" w:sz="0" w:space="0" w:color="auto"/>
                  </w:divBdr>
                  <w:divsChild>
                    <w:div w:id="181478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975376">
          <w:marLeft w:val="0"/>
          <w:marRight w:val="0"/>
          <w:marTop w:val="0"/>
          <w:marBottom w:val="0"/>
          <w:divBdr>
            <w:top w:val="none" w:sz="0" w:space="0" w:color="auto"/>
            <w:left w:val="none" w:sz="0" w:space="0" w:color="auto"/>
            <w:bottom w:val="none" w:sz="0" w:space="0" w:color="auto"/>
            <w:right w:val="none" w:sz="0" w:space="0" w:color="auto"/>
          </w:divBdr>
          <w:divsChild>
            <w:div w:id="1444230931">
              <w:marLeft w:val="0"/>
              <w:marRight w:val="0"/>
              <w:marTop w:val="0"/>
              <w:marBottom w:val="0"/>
              <w:divBdr>
                <w:top w:val="none" w:sz="0" w:space="0" w:color="auto"/>
                <w:left w:val="none" w:sz="0" w:space="0" w:color="auto"/>
                <w:bottom w:val="none" w:sz="0" w:space="0" w:color="auto"/>
                <w:right w:val="none" w:sz="0" w:space="0" w:color="auto"/>
              </w:divBdr>
              <w:divsChild>
                <w:div w:id="6056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12210">
      <w:bodyDiv w:val="1"/>
      <w:marLeft w:val="0"/>
      <w:marRight w:val="0"/>
      <w:marTop w:val="0"/>
      <w:marBottom w:val="0"/>
      <w:divBdr>
        <w:top w:val="none" w:sz="0" w:space="0" w:color="auto"/>
        <w:left w:val="none" w:sz="0" w:space="0" w:color="auto"/>
        <w:bottom w:val="none" w:sz="0" w:space="0" w:color="auto"/>
        <w:right w:val="none" w:sz="0" w:space="0" w:color="auto"/>
      </w:divBdr>
    </w:div>
    <w:div w:id="1268848349">
      <w:bodyDiv w:val="1"/>
      <w:marLeft w:val="0"/>
      <w:marRight w:val="0"/>
      <w:marTop w:val="0"/>
      <w:marBottom w:val="0"/>
      <w:divBdr>
        <w:top w:val="none" w:sz="0" w:space="0" w:color="auto"/>
        <w:left w:val="none" w:sz="0" w:space="0" w:color="auto"/>
        <w:bottom w:val="none" w:sz="0" w:space="0" w:color="auto"/>
        <w:right w:val="none" w:sz="0" w:space="0" w:color="auto"/>
      </w:divBdr>
    </w:div>
    <w:div w:id="1338272424">
      <w:bodyDiv w:val="1"/>
      <w:marLeft w:val="0"/>
      <w:marRight w:val="0"/>
      <w:marTop w:val="0"/>
      <w:marBottom w:val="0"/>
      <w:divBdr>
        <w:top w:val="none" w:sz="0" w:space="0" w:color="auto"/>
        <w:left w:val="none" w:sz="0" w:space="0" w:color="auto"/>
        <w:bottom w:val="none" w:sz="0" w:space="0" w:color="auto"/>
        <w:right w:val="none" w:sz="0" w:space="0" w:color="auto"/>
      </w:divBdr>
    </w:div>
    <w:div w:id="1557660727">
      <w:bodyDiv w:val="1"/>
      <w:marLeft w:val="0"/>
      <w:marRight w:val="0"/>
      <w:marTop w:val="0"/>
      <w:marBottom w:val="0"/>
      <w:divBdr>
        <w:top w:val="none" w:sz="0" w:space="0" w:color="auto"/>
        <w:left w:val="none" w:sz="0" w:space="0" w:color="auto"/>
        <w:bottom w:val="none" w:sz="0" w:space="0" w:color="auto"/>
        <w:right w:val="none" w:sz="0" w:space="0" w:color="auto"/>
      </w:divBdr>
    </w:div>
    <w:div w:id="1630889695">
      <w:bodyDiv w:val="1"/>
      <w:marLeft w:val="0"/>
      <w:marRight w:val="0"/>
      <w:marTop w:val="0"/>
      <w:marBottom w:val="0"/>
      <w:divBdr>
        <w:top w:val="none" w:sz="0" w:space="0" w:color="auto"/>
        <w:left w:val="none" w:sz="0" w:space="0" w:color="auto"/>
        <w:bottom w:val="none" w:sz="0" w:space="0" w:color="auto"/>
        <w:right w:val="none" w:sz="0" w:space="0" w:color="auto"/>
      </w:divBdr>
    </w:div>
    <w:div w:id="1631325560">
      <w:bodyDiv w:val="1"/>
      <w:marLeft w:val="0"/>
      <w:marRight w:val="0"/>
      <w:marTop w:val="0"/>
      <w:marBottom w:val="0"/>
      <w:divBdr>
        <w:top w:val="none" w:sz="0" w:space="0" w:color="auto"/>
        <w:left w:val="none" w:sz="0" w:space="0" w:color="auto"/>
        <w:bottom w:val="none" w:sz="0" w:space="0" w:color="auto"/>
        <w:right w:val="none" w:sz="0" w:space="0" w:color="auto"/>
      </w:divBdr>
    </w:div>
    <w:div w:id="1685857406">
      <w:bodyDiv w:val="1"/>
      <w:marLeft w:val="0"/>
      <w:marRight w:val="0"/>
      <w:marTop w:val="0"/>
      <w:marBottom w:val="0"/>
      <w:divBdr>
        <w:top w:val="none" w:sz="0" w:space="0" w:color="auto"/>
        <w:left w:val="none" w:sz="0" w:space="0" w:color="auto"/>
        <w:bottom w:val="none" w:sz="0" w:space="0" w:color="auto"/>
        <w:right w:val="none" w:sz="0" w:space="0" w:color="auto"/>
      </w:divBdr>
    </w:div>
    <w:div w:id="1750929431">
      <w:bodyDiv w:val="1"/>
      <w:marLeft w:val="0"/>
      <w:marRight w:val="0"/>
      <w:marTop w:val="0"/>
      <w:marBottom w:val="0"/>
      <w:divBdr>
        <w:top w:val="none" w:sz="0" w:space="0" w:color="auto"/>
        <w:left w:val="none" w:sz="0" w:space="0" w:color="auto"/>
        <w:bottom w:val="none" w:sz="0" w:space="0" w:color="auto"/>
        <w:right w:val="none" w:sz="0" w:space="0" w:color="auto"/>
      </w:divBdr>
    </w:div>
    <w:div w:id="1795319977">
      <w:bodyDiv w:val="1"/>
      <w:marLeft w:val="0"/>
      <w:marRight w:val="0"/>
      <w:marTop w:val="0"/>
      <w:marBottom w:val="0"/>
      <w:divBdr>
        <w:top w:val="none" w:sz="0" w:space="0" w:color="auto"/>
        <w:left w:val="none" w:sz="0" w:space="0" w:color="auto"/>
        <w:bottom w:val="none" w:sz="0" w:space="0" w:color="auto"/>
        <w:right w:val="none" w:sz="0" w:space="0" w:color="auto"/>
      </w:divBdr>
    </w:div>
    <w:div w:id="1856307479">
      <w:bodyDiv w:val="1"/>
      <w:marLeft w:val="0"/>
      <w:marRight w:val="0"/>
      <w:marTop w:val="0"/>
      <w:marBottom w:val="0"/>
      <w:divBdr>
        <w:top w:val="none" w:sz="0" w:space="0" w:color="auto"/>
        <w:left w:val="none" w:sz="0" w:space="0" w:color="auto"/>
        <w:bottom w:val="none" w:sz="0" w:space="0" w:color="auto"/>
        <w:right w:val="none" w:sz="0" w:space="0" w:color="auto"/>
      </w:divBdr>
    </w:div>
    <w:div w:id="1860310067">
      <w:bodyDiv w:val="1"/>
      <w:marLeft w:val="0"/>
      <w:marRight w:val="0"/>
      <w:marTop w:val="0"/>
      <w:marBottom w:val="0"/>
      <w:divBdr>
        <w:top w:val="none" w:sz="0" w:space="0" w:color="auto"/>
        <w:left w:val="none" w:sz="0" w:space="0" w:color="auto"/>
        <w:bottom w:val="none" w:sz="0" w:space="0" w:color="auto"/>
        <w:right w:val="none" w:sz="0" w:space="0" w:color="auto"/>
      </w:divBdr>
    </w:div>
    <w:div w:id="1863207746">
      <w:bodyDiv w:val="1"/>
      <w:marLeft w:val="0"/>
      <w:marRight w:val="0"/>
      <w:marTop w:val="0"/>
      <w:marBottom w:val="0"/>
      <w:divBdr>
        <w:top w:val="none" w:sz="0" w:space="0" w:color="auto"/>
        <w:left w:val="none" w:sz="0" w:space="0" w:color="auto"/>
        <w:bottom w:val="none" w:sz="0" w:space="0" w:color="auto"/>
        <w:right w:val="none" w:sz="0" w:space="0" w:color="auto"/>
      </w:divBdr>
    </w:div>
    <w:div w:id="1885097490">
      <w:bodyDiv w:val="1"/>
      <w:marLeft w:val="0"/>
      <w:marRight w:val="0"/>
      <w:marTop w:val="0"/>
      <w:marBottom w:val="0"/>
      <w:divBdr>
        <w:top w:val="none" w:sz="0" w:space="0" w:color="auto"/>
        <w:left w:val="none" w:sz="0" w:space="0" w:color="auto"/>
        <w:bottom w:val="none" w:sz="0" w:space="0" w:color="auto"/>
        <w:right w:val="none" w:sz="0" w:space="0" w:color="auto"/>
      </w:divBdr>
    </w:div>
    <w:div w:id="1904096576">
      <w:bodyDiv w:val="1"/>
      <w:marLeft w:val="0"/>
      <w:marRight w:val="0"/>
      <w:marTop w:val="0"/>
      <w:marBottom w:val="0"/>
      <w:divBdr>
        <w:top w:val="none" w:sz="0" w:space="0" w:color="auto"/>
        <w:left w:val="none" w:sz="0" w:space="0" w:color="auto"/>
        <w:bottom w:val="none" w:sz="0" w:space="0" w:color="auto"/>
        <w:right w:val="none" w:sz="0" w:space="0" w:color="auto"/>
      </w:divBdr>
    </w:div>
    <w:div w:id="2141921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6.xml"/><Relationship Id="rId27"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EBEBE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F5600-078A-4DBC-BE2B-C3B195D9F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20</Pages>
  <Words>8744</Words>
  <Characters>50543</Characters>
  <Application>Microsoft Office Word</Application>
  <DocSecurity>0</DocSecurity>
  <Lines>815</Lines>
  <Paragraphs>157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59130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LAGES CARVALHO Patrick (SG)</cp:lastModifiedBy>
  <cp:revision>26</cp:revision>
  <cp:lastPrinted>2017-03-10T07:19:00Z</cp:lastPrinted>
  <dcterms:created xsi:type="dcterms:W3CDTF">2017-03-10T07:23:00Z</dcterms:created>
  <dcterms:modified xsi:type="dcterms:W3CDTF">2017-03-14T12:28:00Z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