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E6" w:rsidRDefault="00545B75" w:rsidP="00545B75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E6D43BA6B414B7C865AEBE696766FB9" style="width:450.75pt;height:434.25pt">
            <v:imagedata r:id="rId9" o:title=""/>
          </v:shape>
        </w:pict>
      </w:r>
    </w:p>
    <w:bookmarkEnd w:id="0"/>
    <w:p w:rsidR="003D26E6" w:rsidRDefault="003D26E6">
      <w:pPr>
        <w:rPr>
          <w:noProof/>
        </w:rPr>
        <w:sectPr w:rsidR="003D26E6" w:rsidSect="00545B7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3D26E6" w:rsidRDefault="00421F1C">
      <w:pPr>
        <w:rPr>
          <w:rFonts w:ascii="Times New Roman" w:hAnsi="Times New Roman" w:cs="Times New Roman"/>
          <w:b/>
          <w:noProof/>
          <w:sz w:val="20"/>
          <w:szCs w:val="20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0"/>
        </w:rPr>
        <w:lastRenderedPageBreak/>
        <w:t>Progrès réalisés dans les pays prioritaires</w:t>
      </w: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4749"/>
        <w:gridCol w:w="4749"/>
      </w:tblGrid>
      <w:tr w:rsidR="003D26E6">
        <w:trPr>
          <w:trHeight w:val="279"/>
        </w:trPr>
        <w:tc>
          <w:tcPr>
            <w:tcW w:w="9498" w:type="dxa"/>
            <w:gridSpan w:val="2"/>
            <w:shd w:val="clear" w:color="auto" w:fill="C7C7C7" w:themeFill="background1" w:themeFillShade="D9"/>
          </w:tcPr>
          <w:p w:rsidR="003D26E6" w:rsidRDefault="00421F1C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Niger</w:t>
            </w:r>
          </w:p>
        </w:tc>
      </w:tr>
      <w:tr w:rsidR="003D26E6">
        <w:trPr>
          <w:trHeight w:val="543"/>
        </w:trPr>
        <w:tc>
          <w:tcPr>
            <w:tcW w:w="4749" w:type="dxa"/>
            <w:shd w:val="clear" w:color="auto" w:fill="DFDFDF" w:themeFill="background1" w:themeFillShade="F2"/>
          </w:tcPr>
          <w:p w:rsidR="003D26E6" w:rsidRDefault="00421F1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Actions menées et progrès réalisés depuis décembre </w:t>
            </w:r>
            <w:r>
              <w:rPr>
                <w:rFonts w:ascii="Times New Roman" w:hAnsi="Times New Roman"/>
                <w:noProof/>
                <w:sz w:val="20"/>
              </w:rPr>
              <w:t>2016</w:t>
            </w:r>
          </w:p>
        </w:tc>
        <w:tc>
          <w:tcPr>
            <w:tcW w:w="4749" w:type="dxa"/>
            <w:shd w:val="clear" w:color="auto" w:fill="DFDFDF" w:themeFill="background1" w:themeFillShade="F2"/>
          </w:tcPr>
          <w:p w:rsidR="003D26E6" w:rsidRDefault="00421F1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Prochaines étapes</w:t>
            </w:r>
          </w:p>
        </w:tc>
      </w:tr>
      <w:tr w:rsidR="003D26E6">
        <w:trPr>
          <w:trHeight w:val="279"/>
        </w:trPr>
        <w:tc>
          <w:tcPr>
            <w:tcW w:w="4749" w:type="dxa"/>
          </w:tcPr>
          <w:p w:rsidR="003D26E6" w:rsidRDefault="00421F1C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Dialogue de haut niveau</w:t>
            </w:r>
          </w:p>
          <w:p w:rsidR="003D26E6" w:rsidRDefault="00421F1C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 xml:space="preserve">visite de M. Issoufou, président du Niger, à Bruxelles (décembre 2016); </w:t>
            </w:r>
          </w:p>
          <w:p w:rsidR="003D26E6" w:rsidRDefault="00421F1C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 xml:space="preserve">visite du ministre danois de la coopération au développement (janvier). </w:t>
            </w:r>
          </w:p>
          <w:p w:rsidR="003D26E6" w:rsidRDefault="003D26E6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  <w:p w:rsidR="003D26E6" w:rsidRDefault="00421F1C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Principaux progrès accomplis par les autorités nigériennes</w:t>
            </w:r>
          </w:p>
          <w:p w:rsidR="003D26E6" w:rsidRDefault="00421F1C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poursuite de la réduction du flux de migrants en situation irrégulière transitant par le pays; </w:t>
            </w:r>
          </w:p>
          <w:p w:rsidR="003D26E6" w:rsidRDefault="00421F1C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poursuite des mesures effectives de lutte contre le trafic de migrants dans la région d’Agadez (saisie de matériel et arrestation de passeurs); </w:t>
            </w:r>
          </w:p>
          <w:p w:rsidR="003D26E6" w:rsidRDefault="00421F1C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plan d’action à</w:t>
            </w: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 xml:space="preserve"> moyen terme en cours d’élaboration, visant à combler les lacunes de l’approche actuelle; </w:t>
            </w:r>
          </w:p>
          <w:p w:rsidR="003D26E6" w:rsidRDefault="00421F1C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stratégie nationale migratoire en cours de finalisation.</w:t>
            </w:r>
          </w:p>
          <w:p w:rsidR="003D26E6" w:rsidRDefault="003D26E6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  <w:p w:rsidR="003D26E6" w:rsidRDefault="00421F1C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Soutien de l’UE</w:t>
            </w:r>
          </w:p>
          <w:p w:rsidR="003D26E6" w:rsidRDefault="00421F1C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soutien à l’application de la législation en matière de lutte contre le trafic de migrants;</w:t>
            </w:r>
          </w:p>
          <w:p w:rsidR="003D26E6" w:rsidRDefault="00421F1C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déploiement d’un officier de liaison «Migration» de l’UE au sein de la délégation de l’UE à Niamey le 1</w:t>
            </w:r>
            <w:r>
              <w:rPr>
                <w:rFonts w:ascii="Times New Roman" w:hAnsi="Times New Roman" w:cstheme="minorBidi"/>
                <w:noProof/>
                <w:color w:val="000000"/>
                <w:sz w:val="20"/>
                <w:vertAlign w:val="superscript"/>
              </w:rPr>
              <w:t>er</w:t>
            </w: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 xml:space="preserve"> février; </w:t>
            </w:r>
          </w:p>
          <w:p w:rsidR="003D26E6" w:rsidRDefault="00421F1C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déploiement dans un avenir proche d’un officier de liaison de l’Agence européenne de garde-frontières et de garde-côtes;</w:t>
            </w:r>
          </w:p>
          <w:p w:rsidR="003D26E6" w:rsidRDefault="00421F1C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tenue d’une réunio</w:t>
            </w: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n de la communauté du renseignement Afrique-Frontex début mars;</w:t>
            </w:r>
          </w:p>
          <w:p w:rsidR="003D26E6" w:rsidRDefault="00421F1C">
            <w:pPr>
              <w:pStyle w:val="ListParagraph"/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adoption de nouveaux projets au titre du fonds fiduciaire de l’UE pour l’Afrique en décembre 2016, visant à venir en aide aux migrants, à faciliter leur retour, à mener des actions de sensibil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isation, à fournir aux migrants une parcelle de terrain, un logement et un accès à l’eau potable ainsi qu’à créer des emplois;</w:t>
            </w:r>
          </w:p>
          <w:p w:rsidR="003D26E6" w:rsidRDefault="00421F1C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signature d’un contrat avec la haute autorité pour la consolidation de la paix en vue d’offrir des perspectives immédiates d’empl</w:t>
            </w: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oi à court terme aux jeunes dans la région d’Agadez;</w:t>
            </w:r>
          </w:p>
          <w:p w:rsidR="003D26E6" w:rsidRDefault="00421F1C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 xml:space="preserve">organisation de missions sur le terrain pour évaluer les autres routes possibles et définir des projets destinés à mettre en place d’autres perspectives économiques au sein des populations locales; </w:t>
            </w:r>
          </w:p>
          <w:p w:rsidR="003D26E6" w:rsidRDefault="00421F1C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apport d’un soutien au G5 Sahel.</w:t>
            </w:r>
          </w:p>
        </w:tc>
        <w:tc>
          <w:tcPr>
            <w:tcW w:w="4749" w:type="dxa"/>
          </w:tcPr>
          <w:p w:rsidR="003D26E6" w:rsidRDefault="00421F1C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signer, dans les plus brefs délais, les contrats relatifs à toutes les actions convenues dans le cadre du fonds fiduciaire de l’UE afin de garantir une mise en œuvre concrète et de fournir d’autres sources de revenu pour re</w:t>
            </w: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mplacer l’économie liée au trafic de migrants;</w:t>
            </w:r>
          </w:p>
          <w:p w:rsidR="003D26E6" w:rsidRDefault="00421F1C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mener une action renforcée pour lutter contre le trafic de migrants et la traite des êtres humains, notamment pour fournir un soutien à une équipe commune d’enquête;</w:t>
            </w:r>
          </w:p>
          <w:p w:rsidR="003D26E6" w:rsidRDefault="00421F1C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effectuer une surveillance renforcée des au</w:t>
            </w: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 xml:space="preserve">tres routes possibles et prévoir un soutien aux mesures adéquates devant être prises à cet égard, sur la base de l’approche adoptée dans la région d’Agadez; </w:t>
            </w:r>
          </w:p>
          <w:p w:rsidR="003D26E6" w:rsidRDefault="00421F1C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 xml:space="preserve">fournir un retour d’informations sur un plan d’action à moyen terme élaboré par le Niger, attendu </w:t>
            </w: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 xml:space="preserve">pour la fin du mois de mars, en mettant l’accent sur les lacunes à combler; </w:t>
            </w:r>
          </w:p>
          <w:p w:rsidR="003D26E6" w:rsidRDefault="00421F1C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mettre en place un accord opérationnel entre l’Agence européenne de garde-frontières et de garde-côtes et les autorités nigériennes et déployer un officier de liaison au sein de l</w:t>
            </w: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a délégation de l’UE;</w:t>
            </w:r>
          </w:p>
          <w:p w:rsidR="003D26E6" w:rsidRDefault="00421F1C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rendre pleinement opérationnelle l’antenne de l’UE à Agadez, y compris pour ce qui est de la formation;</w:t>
            </w:r>
          </w:p>
          <w:p w:rsidR="003D26E6" w:rsidRDefault="00421F1C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 xml:space="preserve">assurer le suivi de la réunion de la communauté du renseignement Afrique-Frontex et préparer le lancement de la cellule d’analyse </w:t>
            </w: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des risques.</w:t>
            </w:r>
          </w:p>
          <w:p w:rsidR="003D26E6" w:rsidRDefault="003D26E6">
            <w:pPr>
              <w:spacing w:after="120"/>
              <w:contextualSpacing/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</w:p>
          <w:p w:rsidR="003D26E6" w:rsidRDefault="00421F1C">
            <w:pPr>
              <w:jc w:val="both"/>
              <w:rPr>
                <w:rFonts w:ascii="Times New Roman" w:eastAsia="ヒラギノ角ゴ Pro W3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</w:t>
            </w:r>
          </w:p>
          <w:p w:rsidR="003D26E6" w:rsidRDefault="003D26E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3D26E6" w:rsidRDefault="003D26E6">
      <w:pPr>
        <w:rPr>
          <w:noProof/>
        </w:rPr>
      </w:pPr>
    </w:p>
    <w:p w:rsidR="003D26E6" w:rsidRDefault="00421F1C">
      <w:pPr>
        <w:rPr>
          <w:noProof/>
        </w:rPr>
      </w:pPr>
      <w:r>
        <w:rPr>
          <w:noProof/>
        </w:rPr>
        <w:br w:type="page"/>
      </w: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4749"/>
        <w:gridCol w:w="4749"/>
      </w:tblGrid>
      <w:tr w:rsidR="003D26E6">
        <w:trPr>
          <w:trHeight w:val="264"/>
        </w:trPr>
        <w:tc>
          <w:tcPr>
            <w:tcW w:w="9498" w:type="dxa"/>
            <w:gridSpan w:val="2"/>
            <w:shd w:val="clear" w:color="auto" w:fill="C7C7C7" w:themeFill="background1" w:themeFillShade="D9"/>
          </w:tcPr>
          <w:p w:rsidR="003D26E6" w:rsidRDefault="00421F1C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lastRenderedPageBreak/>
              <w:t>Nigeria</w:t>
            </w:r>
          </w:p>
        </w:tc>
      </w:tr>
      <w:tr w:rsidR="003D26E6">
        <w:trPr>
          <w:trHeight w:val="543"/>
        </w:trPr>
        <w:tc>
          <w:tcPr>
            <w:tcW w:w="4749" w:type="dxa"/>
            <w:shd w:val="clear" w:color="auto" w:fill="DFDFDF" w:themeFill="background1" w:themeFillShade="F2"/>
          </w:tcPr>
          <w:p w:rsidR="003D26E6" w:rsidRDefault="00421F1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Actions menées et progrès réalisés depuis décembre 2016</w:t>
            </w:r>
          </w:p>
        </w:tc>
        <w:tc>
          <w:tcPr>
            <w:tcW w:w="4749" w:type="dxa"/>
            <w:shd w:val="clear" w:color="auto" w:fill="DFDFDF" w:themeFill="background1" w:themeFillShade="F2"/>
          </w:tcPr>
          <w:p w:rsidR="003D26E6" w:rsidRDefault="00421F1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Prochaines étapes</w:t>
            </w:r>
          </w:p>
        </w:tc>
      </w:tr>
      <w:tr w:rsidR="003D26E6">
        <w:trPr>
          <w:trHeight w:val="279"/>
        </w:trPr>
        <w:tc>
          <w:tcPr>
            <w:tcW w:w="4749" w:type="dxa"/>
          </w:tcPr>
          <w:p w:rsidR="003D26E6" w:rsidRDefault="00421F1C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Dialogue de haut niveau</w:t>
            </w:r>
          </w:p>
          <w:p w:rsidR="003D26E6" w:rsidRDefault="00421F1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visite de M. Ansip, vice-président de la Commission (février);</w:t>
            </w:r>
          </w:p>
          <w:p w:rsidR="003D26E6" w:rsidRDefault="00421F1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visite du contrôleur général du Nigeria aux Pays-Bas (février);</w:t>
            </w:r>
          </w:p>
          <w:p w:rsidR="003D26E6" w:rsidRDefault="00421F1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visite du secrétaire d’État espagnol (février).</w:t>
            </w:r>
          </w:p>
          <w:p w:rsidR="003D26E6" w:rsidRDefault="003D26E6">
            <w:pPr>
              <w:pStyle w:val="ListParagraph"/>
              <w:tabs>
                <w:tab w:val="left" w:pos="426"/>
              </w:tabs>
              <w:ind w:left="360"/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</w:p>
          <w:p w:rsidR="003D26E6" w:rsidRDefault="00421F1C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Principaux progrès accomplis par les autorités nigérianes</w:t>
            </w:r>
          </w:p>
          <w:p w:rsidR="003D26E6" w:rsidRDefault="00421F1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lancement de la plateforme de coopération destinée à lutter contre le trafic de migrants, à laquelle participent des agences et des États membres de 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l’UE.</w:t>
            </w:r>
          </w:p>
          <w:p w:rsidR="003D26E6" w:rsidRDefault="003D26E6">
            <w:pPr>
              <w:pStyle w:val="ListParagraph"/>
              <w:tabs>
                <w:tab w:val="left" w:pos="426"/>
              </w:tabs>
              <w:ind w:left="360"/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</w:p>
          <w:p w:rsidR="003D26E6" w:rsidRDefault="00421F1C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Soutien de l’UE</w:t>
            </w:r>
          </w:p>
          <w:p w:rsidR="003D26E6" w:rsidRDefault="00421F1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déploiement d’un officier de liaison «Migration» européen depuis le 1</w:t>
            </w:r>
            <w:r>
              <w:rPr>
                <w:rFonts w:ascii="Times New Roman" w:hAnsi="Times New Roman" w:cstheme="minorBidi"/>
                <w:noProof/>
                <w:color w:val="000000"/>
                <w:sz w:val="20"/>
                <w:vertAlign w:val="superscript"/>
              </w:rPr>
              <w:t>er</w:t>
            </w: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 février;</w:t>
            </w:r>
          </w:p>
          <w:p w:rsidR="003D26E6" w:rsidRDefault="00421F1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 xml:space="preserve">adoption de projets au titre du fonds fiduciaire de l’UE pour l’Afrique en décembre 2016 visant à soutenir la réintégration, des cours d’alphabétisation et l’accès à des soins de santé mentale; </w:t>
            </w:r>
          </w:p>
          <w:p w:rsidR="003D26E6" w:rsidRDefault="00421F1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soutien destiné à répondre aux besoins humanitaires des victi</w:t>
            </w: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mes de la crise au Nigeria, en ce qui concerne l’alimentation et la nutrition, la protection, l’accès à l’eau, l’assainissement et l’hygiène, la fourniture d’abris, les produits non alimentaires et les soins de santé.</w:t>
            </w:r>
          </w:p>
        </w:tc>
        <w:tc>
          <w:tcPr>
            <w:tcW w:w="4749" w:type="dxa"/>
          </w:tcPr>
          <w:p w:rsidR="003D26E6" w:rsidRDefault="00421F1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 xml:space="preserve">conclure les négociations relatives à </w:t>
            </w: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l’accord de réadmission d’ici le mois de juin 2017;</w:t>
            </w:r>
          </w:p>
          <w:p w:rsidR="003D26E6" w:rsidRDefault="00421F1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poursuivre la coopération active en matière de lutte contre le trafic de migrants et la traite des êtres humains par l’intermédiaire de la communauté du renseignement Afrique-Frontex et de la toute nouvel</w:t>
            </w: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le plateforme de coopération destinée à lutter contre le trafic de migrants;</w:t>
            </w:r>
          </w:p>
          <w:p w:rsidR="003D26E6" w:rsidRDefault="00421F1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 xml:space="preserve">recenser les projets à financer au titre du fonds fiduciaire de l’UE pour l’Afrique qui sont principalement axés sur la migration. </w:t>
            </w:r>
          </w:p>
          <w:p w:rsidR="003D26E6" w:rsidRDefault="003D26E6">
            <w:pPr>
              <w:pStyle w:val="ListParagraph"/>
              <w:spacing w:after="120"/>
              <w:ind w:left="360"/>
              <w:contextualSpacing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3D26E6">
        <w:trPr>
          <w:trHeight w:val="264"/>
        </w:trPr>
        <w:tc>
          <w:tcPr>
            <w:tcW w:w="9498" w:type="dxa"/>
            <w:gridSpan w:val="2"/>
            <w:shd w:val="clear" w:color="auto" w:fill="C7C7C7" w:themeFill="background1" w:themeFillShade="D9"/>
          </w:tcPr>
          <w:p w:rsidR="003D26E6" w:rsidRDefault="00421F1C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Sénégal</w:t>
            </w:r>
          </w:p>
        </w:tc>
      </w:tr>
      <w:tr w:rsidR="003D26E6">
        <w:trPr>
          <w:trHeight w:val="556"/>
        </w:trPr>
        <w:tc>
          <w:tcPr>
            <w:tcW w:w="4749" w:type="dxa"/>
            <w:shd w:val="clear" w:color="auto" w:fill="DFDFDF" w:themeFill="background1" w:themeFillShade="F2"/>
          </w:tcPr>
          <w:p w:rsidR="003D26E6" w:rsidRDefault="00421F1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Actions menées et progrès réalisés </w:t>
            </w:r>
            <w:r>
              <w:rPr>
                <w:rFonts w:ascii="Times New Roman" w:hAnsi="Times New Roman"/>
                <w:noProof/>
                <w:sz w:val="20"/>
              </w:rPr>
              <w:t>depuis décembre 2016</w:t>
            </w:r>
          </w:p>
        </w:tc>
        <w:tc>
          <w:tcPr>
            <w:tcW w:w="4749" w:type="dxa"/>
            <w:shd w:val="clear" w:color="auto" w:fill="DFDFDF" w:themeFill="background1" w:themeFillShade="F2"/>
          </w:tcPr>
          <w:p w:rsidR="003D26E6" w:rsidRDefault="00421F1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Prochaines étapes</w:t>
            </w:r>
          </w:p>
        </w:tc>
      </w:tr>
      <w:tr w:rsidR="003D26E6">
        <w:trPr>
          <w:trHeight w:val="264"/>
        </w:trPr>
        <w:tc>
          <w:tcPr>
            <w:tcW w:w="4749" w:type="dxa"/>
          </w:tcPr>
          <w:p w:rsidR="003D26E6" w:rsidRDefault="00421F1C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Dialogue de haut niveau</w:t>
            </w:r>
          </w:p>
          <w:p w:rsidR="003D26E6" w:rsidRDefault="00421F1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 xml:space="preserve">visite de la haute représentante/vice-présidente au Sénégal (décembre); </w:t>
            </w:r>
          </w:p>
          <w:p w:rsidR="003D26E6" w:rsidRDefault="00421F1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visite du président du Sénégal en France (décembre).</w:t>
            </w:r>
          </w:p>
          <w:p w:rsidR="003D26E6" w:rsidRDefault="003D26E6">
            <w:pPr>
              <w:pStyle w:val="ListParagraph"/>
              <w:tabs>
                <w:tab w:val="left" w:pos="426"/>
              </w:tabs>
              <w:ind w:left="360"/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</w:p>
          <w:p w:rsidR="003D26E6" w:rsidRDefault="00421F1C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Principaux progrès accomplis par les autorités sénégalaises</w:t>
            </w:r>
          </w:p>
          <w:p w:rsidR="003D26E6" w:rsidRDefault="00421F1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coopération bilatérale avec l’Italie dans le cadre d’une mission de sensibilisation en décembre;</w:t>
            </w:r>
          </w:p>
          <w:p w:rsidR="003D26E6" w:rsidRDefault="00421F1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 xml:space="preserve">définition de points de contact pour l’identification au sein des ministères compétents; </w:t>
            </w:r>
          </w:p>
          <w:p w:rsidR="003D26E6" w:rsidRDefault="00421F1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lancement des négociations avec l’Agence européenne de garde-frontièr</w:t>
            </w: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es et de garde-côtes sur le renforcement des accords opérationnels.</w:t>
            </w:r>
          </w:p>
          <w:p w:rsidR="003D26E6" w:rsidRDefault="003D26E6">
            <w:pPr>
              <w:pStyle w:val="ListParagraph"/>
              <w:tabs>
                <w:tab w:val="left" w:pos="426"/>
              </w:tabs>
              <w:ind w:left="360"/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</w:p>
          <w:p w:rsidR="003D26E6" w:rsidRDefault="00421F1C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Soutien de l’UE</w:t>
            </w:r>
          </w:p>
          <w:p w:rsidR="003D26E6" w:rsidRDefault="00421F1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adoption de quatre projets au titre du fonds fiduciaire de l’UE pour l’Afrique en décembre 2016 visant à soutenir la réintégration, la création d’emplois et la mise en pla</w:t>
            </w: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 xml:space="preserve">ce d’un système de registre national biométrique; </w:t>
            </w:r>
          </w:p>
          <w:p w:rsidR="003D26E6" w:rsidRDefault="00421F1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 xml:space="preserve">le Sénégal bénéficie du projet régional soutenant les services de sécurité intérieure de six pays du Sahel. </w:t>
            </w:r>
          </w:p>
        </w:tc>
        <w:tc>
          <w:tcPr>
            <w:tcW w:w="4749" w:type="dxa"/>
          </w:tcPr>
          <w:p w:rsidR="003D26E6" w:rsidRDefault="00421F1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entreprendre des missions de suivi pour garantir le retour effectif des migrants en situation ir</w:t>
            </w: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régulière;</w:t>
            </w:r>
          </w:p>
          <w:p w:rsidR="003D26E6" w:rsidRDefault="00421F1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 xml:space="preserve">améliorer la coopération au quotidien pour ce qui est tant de l’identification que de la délivrance des documents de voyage; </w:t>
            </w:r>
          </w:p>
          <w:p w:rsidR="003D26E6" w:rsidRDefault="00421F1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parachever et signer, pour la fin du premier semestre 2017, les accords opérationnels entre le Sénégal et l’Agence euro</w:t>
            </w: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péenne de garde-frontières et de garde-côtes;</w:t>
            </w:r>
          </w:p>
          <w:p w:rsidR="003D26E6" w:rsidRDefault="00421F1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sur la base des résultats obtenus jusqu’à présent, renforcer la coopération dans d’autres domaines, y compris en matière de gestion des frontières.</w:t>
            </w:r>
          </w:p>
          <w:p w:rsidR="003D26E6" w:rsidRDefault="003D26E6">
            <w:pPr>
              <w:ind w:left="426"/>
              <w:contextualSpacing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3D26E6" w:rsidRDefault="003D26E6">
      <w:pPr>
        <w:rPr>
          <w:noProof/>
        </w:rPr>
      </w:pPr>
    </w:p>
    <w:p w:rsidR="003D26E6" w:rsidRDefault="003D26E6">
      <w:pPr>
        <w:rPr>
          <w:noProof/>
        </w:rPr>
      </w:pP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4749"/>
        <w:gridCol w:w="4749"/>
      </w:tblGrid>
      <w:tr w:rsidR="003D26E6">
        <w:trPr>
          <w:trHeight w:val="279"/>
        </w:trPr>
        <w:tc>
          <w:tcPr>
            <w:tcW w:w="9498" w:type="dxa"/>
            <w:gridSpan w:val="2"/>
            <w:shd w:val="clear" w:color="auto" w:fill="C7C7C7" w:themeFill="background1" w:themeFillShade="D9"/>
          </w:tcPr>
          <w:p w:rsidR="003D26E6" w:rsidRDefault="00421F1C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Mali</w:t>
            </w:r>
          </w:p>
        </w:tc>
      </w:tr>
      <w:tr w:rsidR="003D26E6">
        <w:trPr>
          <w:trHeight w:val="543"/>
        </w:trPr>
        <w:tc>
          <w:tcPr>
            <w:tcW w:w="4749" w:type="dxa"/>
            <w:shd w:val="clear" w:color="auto" w:fill="DFDFDF" w:themeFill="background1" w:themeFillShade="F2"/>
          </w:tcPr>
          <w:p w:rsidR="003D26E6" w:rsidRDefault="00421F1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Actions menées et progrès réalisés depuis décembre </w:t>
            </w:r>
            <w:r>
              <w:rPr>
                <w:rFonts w:ascii="Times New Roman" w:hAnsi="Times New Roman"/>
                <w:noProof/>
                <w:sz w:val="20"/>
              </w:rPr>
              <w:t>2016</w:t>
            </w:r>
          </w:p>
        </w:tc>
        <w:tc>
          <w:tcPr>
            <w:tcW w:w="4749" w:type="dxa"/>
            <w:shd w:val="clear" w:color="auto" w:fill="DFDFDF" w:themeFill="background1" w:themeFillShade="F2"/>
          </w:tcPr>
          <w:p w:rsidR="003D26E6" w:rsidRDefault="00421F1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Prochaines étapes</w:t>
            </w:r>
          </w:p>
        </w:tc>
      </w:tr>
      <w:tr w:rsidR="003D26E6">
        <w:trPr>
          <w:trHeight w:val="264"/>
        </w:trPr>
        <w:tc>
          <w:tcPr>
            <w:tcW w:w="4749" w:type="dxa"/>
          </w:tcPr>
          <w:p w:rsidR="003D26E6" w:rsidRDefault="00421F1C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Dialogue de haut niveau</w:t>
            </w:r>
          </w:p>
          <w:p w:rsidR="003D26E6" w:rsidRDefault="00421F1C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réunion entre M</w:t>
            </w:r>
            <w:r>
              <w:rPr>
                <w:rFonts w:ascii="Times New Roman" w:hAnsi="Times New Roman" w:cstheme="minorBidi"/>
                <w:noProof/>
                <w:color w:val="000000"/>
                <w:sz w:val="20"/>
                <w:vertAlign w:val="superscript"/>
              </w:rPr>
              <w:t>me</w:t>
            </w: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 Mogherini, haute représentante/vice-présidente, et M. Sylla, ministre des Maliens de l’extérieur (février).</w:t>
            </w:r>
          </w:p>
          <w:p w:rsidR="003D26E6" w:rsidRDefault="003D26E6">
            <w:pPr>
              <w:pStyle w:val="ListParagraph"/>
              <w:tabs>
                <w:tab w:val="left" w:pos="426"/>
              </w:tabs>
              <w:ind w:left="360"/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</w:p>
          <w:p w:rsidR="003D26E6" w:rsidRDefault="00421F1C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Principaux progrès accomplis par les autorités maliennes</w:t>
            </w:r>
          </w:p>
          <w:p w:rsidR="003D26E6" w:rsidRDefault="00421F1C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 xml:space="preserve">élaboration d’une stratégie nationale pour les frontières et d’un plan d’action y afférent; </w:t>
            </w:r>
          </w:p>
          <w:p w:rsidR="003D26E6" w:rsidRDefault="00421F1C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renforcement des capacités des forces de police chargées de la gestion des frontières.</w:t>
            </w:r>
          </w:p>
          <w:p w:rsidR="003D26E6" w:rsidRDefault="003D26E6">
            <w:pPr>
              <w:pStyle w:val="ListParagraph"/>
              <w:tabs>
                <w:tab w:val="left" w:pos="426"/>
              </w:tabs>
              <w:ind w:left="360"/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</w:p>
          <w:p w:rsidR="003D26E6" w:rsidRDefault="00421F1C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Soutien de l’UE</w:t>
            </w:r>
          </w:p>
          <w:p w:rsidR="003D26E6" w:rsidRDefault="00421F1C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plus grande intégration de la question de la migration dans</w:t>
            </w: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 xml:space="preserve"> la mission organisée au Mali dans le cadre de la politique de sécurité et de défense commune (PSDC); </w:t>
            </w:r>
          </w:p>
          <w:p w:rsidR="003D26E6" w:rsidRDefault="00421F1C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adoption de projets au titre du fonds fiduciaire de l’UE pour l’Afrique en décembre 2016 visant à améliorer le registre de population biométrique, à four</w:t>
            </w: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 xml:space="preserve">nir une aide à la réintégration des personnes rapatriées et à favoriser l’emploi des jeunes. </w:t>
            </w:r>
          </w:p>
        </w:tc>
        <w:tc>
          <w:tcPr>
            <w:tcW w:w="4749" w:type="dxa"/>
          </w:tcPr>
          <w:p w:rsidR="003D26E6" w:rsidRDefault="00421F1C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déployer une mission au niveau technique pour examiner les possibilités de coopération et de renforcement des capacités en matière de gestion des frontières et de</w:t>
            </w: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 xml:space="preserve"> lutte contre le trafic de migrants;</w:t>
            </w:r>
          </w:p>
          <w:p w:rsidR="003D26E6" w:rsidRDefault="00421F1C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intensifier les actions menées avec le Mali sur la dimension de transit, en mettant l’accent sur le retour volontaire des migrants en transit;</w:t>
            </w:r>
          </w:p>
          <w:p w:rsidR="003D26E6" w:rsidRDefault="00421F1C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 xml:space="preserve">renforcer la coopération en matière de retour effectif des migrants en </w:t>
            </w: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situation irrégulière, y compris des Maliens tentant de franchir la frontière méridionale de la Libye de manière irrégulière;</w:t>
            </w:r>
          </w:p>
          <w:p w:rsidR="003D26E6" w:rsidRDefault="00421F1C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maintenir un dialogue étroit avec le Mali, qui préside en ce moment le processus de Rabat.</w:t>
            </w:r>
          </w:p>
          <w:p w:rsidR="003D26E6" w:rsidRDefault="003D26E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D26E6" w:rsidRDefault="003D26E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D26E6" w:rsidRDefault="003D26E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D26E6" w:rsidRDefault="003D26E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D26E6" w:rsidRDefault="003D26E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3D26E6">
        <w:trPr>
          <w:trHeight w:val="279"/>
        </w:trPr>
        <w:tc>
          <w:tcPr>
            <w:tcW w:w="9498" w:type="dxa"/>
            <w:gridSpan w:val="2"/>
            <w:shd w:val="clear" w:color="auto" w:fill="C7C7C7" w:themeFill="background1" w:themeFillShade="D9"/>
          </w:tcPr>
          <w:p w:rsidR="003D26E6" w:rsidRDefault="00421F1C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Éthiopie</w:t>
            </w:r>
          </w:p>
        </w:tc>
      </w:tr>
      <w:tr w:rsidR="003D26E6">
        <w:trPr>
          <w:trHeight w:val="543"/>
        </w:trPr>
        <w:tc>
          <w:tcPr>
            <w:tcW w:w="4749" w:type="dxa"/>
            <w:shd w:val="clear" w:color="auto" w:fill="DFDFDF" w:themeFill="background1" w:themeFillShade="F2"/>
          </w:tcPr>
          <w:p w:rsidR="003D26E6" w:rsidRDefault="00421F1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Actions menées et </w:t>
            </w:r>
            <w:r>
              <w:rPr>
                <w:rFonts w:ascii="Times New Roman" w:hAnsi="Times New Roman"/>
                <w:noProof/>
                <w:sz w:val="20"/>
              </w:rPr>
              <w:t>progrès réalisés depuis décembre 2016</w:t>
            </w:r>
          </w:p>
        </w:tc>
        <w:tc>
          <w:tcPr>
            <w:tcW w:w="4749" w:type="dxa"/>
            <w:shd w:val="clear" w:color="auto" w:fill="DFDFDF" w:themeFill="background1" w:themeFillShade="F2"/>
          </w:tcPr>
          <w:p w:rsidR="003D26E6" w:rsidRDefault="00421F1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Prochaines étapes</w:t>
            </w:r>
          </w:p>
        </w:tc>
      </w:tr>
      <w:tr w:rsidR="003D26E6">
        <w:trPr>
          <w:trHeight w:val="292"/>
        </w:trPr>
        <w:tc>
          <w:tcPr>
            <w:tcW w:w="4749" w:type="dxa"/>
          </w:tcPr>
          <w:p w:rsidR="003D26E6" w:rsidRDefault="00421F1C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Dialogue de haut niveau</w:t>
            </w:r>
          </w:p>
          <w:p w:rsidR="003D26E6" w:rsidRDefault="00421F1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réunion entre M. Mimica, commissaire chargé de la coopération internationale et du développement, et M. Desalegn, Premier ministre éthiopien (janvier);</w:t>
            </w:r>
          </w:p>
          <w:p w:rsidR="003D26E6" w:rsidRDefault="00421F1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réunion entre M</w:t>
            </w:r>
            <w:r>
              <w:rPr>
                <w:rFonts w:ascii="Times New Roman" w:hAnsi="Times New Roman" w:cstheme="minorBidi"/>
                <w:noProof/>
                <w:color w:val="000000"/>
                <w:sz w:val="20"/>
                <w:vertAlign w:val="superscript"/>
              </w:rPr>
              <w:t>me</w:t>
            </w: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 Moghe</w:t>
            </w: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rini, haute représentante/vice-présidente, et M. Gebeyehu, ministre éthiopien des affaires étrangères (février);</w:t>
            </w:r>
          </w:p>
          <w:p w:rsidR="003D26E6" w:rsidRDefault="00421F1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 xml:space="preserve">visite de M. Gebeyehu, ministre éthiopien des affaires étrangères, à Bruxelles (février). </w:t>
            </w:r>
          </w:p>
          <w:p w:rsidR="003D26E6" w:rsidRDefault="003D26E6">
            <w:pPr>
              <w:pStyle w:val="ListParagraph"/>
              <w:tabs>
                <w:tab w:val="left" w:pos="426"/>
              </w:tabs>
              <w:ind w:left="360"/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</w:p>
          <w:p w:rsidR="003D26E6" w:rsidRDefault="00421F1C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 xml:space="preserve">Principaux progrès accomplis par les autorités </w:t>
            </w:r>
            <w:r>
              <w:rPr>
                <w:rFonts w:ascii="Times New Roman" w:hAnsi="Times New Roman"/>
                <w:i/>
                <w:noProof/>
                <w:sz w:val="20"/>
              </w:rPr>
              <w:t>éthiopiennes</w:t>
            </w:r>
          </w:p>
          <w:p w:rsidR="003D26E6" w:rsidRDefault="00421F1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contribution constructive à la réunion des hauts fonctionnaires du processus de La Valette, l’Éthiopie présidant le processus de Khartoum.</w:t>
            </w:r>
          </w:p>
          <w:p w:rsidR="003D26E6" w:rsidRDefault="003D26E6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  <w:p w:rsidR="003D26E6" w:rsidRDefault="00421F1C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Soutien de l’UE</w:t>
            </w:r>
          </w:p>
          <w:p w:rsidR="003D26E6" w:rsidRDefault="00421F1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adoption de programmes régionaux au titre du fonds fiduciaire de l’UE pour l’Afrique en décembre 2016, visant à soutenir la mise sur pied d’un centre opérationnel régional dans le cadre du processus de Khartoum, ainsi que d’une facilité pour soutenir les r</w:t>
            </w: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 xml:space="preserve">etours et pour venir en aide aux migrants bloqués et contribuer à leur réintégration durable dans les communautés; soutien en faveur des réfugiés accueillis en Éthiopie et de leurs </w:t>
            </w: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lastRenderedPageBreak/>
              <w:t>communautés d’accueil au titre de l’aide humanitaire et du programme région</w:t>
            </w: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 xml:space="preserve">al de développement et de protection; </w:t>
            </w:r>
          </w:p>
          <w:p w:rsidR="003D26E6" w:rsidRDefault="00421F1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déploiement d’un officier de liaison «Migration» européen en Éthiopie en mars 2017.</w:t>
            </w:r>
          </w:p>
        </w:tc>
        <w:tc>
          <w:tcPr>
            <w:tcW w:w="4749" w:type="dxa"/>
          </w:tcPr>
          <w:p w:rsidR="003D26E6" w:rsidRDefault="00421F1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lastRenderedPageBreak/>
              <w:t xml:space="preserve">finaliser les actions relatives aux dossiers pilotes de retour et les utiliser comme modèle pour procéder à des retours plus rapides </w:t>
            </w: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à l’avenir;</w:t>
            </w:r>
          </w:p>
          <w:p w:rsidR="003D26E6" w:rsidRDefault="00421F1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continuer de soutenir l’Éthiopie, qui constitue un pays de transit et de destination des migrants et des réfugiés, y compris par l’intermédiaire des actions financées au titre du fonds fiduciaire de l’UE pour l’Afrique;</w:t>
            </w:r>
          </w:p>
          <w:p w:rsidR="003D26E6" w:rsidRDefault="00421F1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lancer un dialogue secto</w:t>
            </w: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 xml:space="preserve">riel sur la migration dans le cadre de l’engagement stratégique (date prévue: avril 2017); </w:t>
            </w:r>
          </w:p>
          <w:p w:rsidR="003D26E6" w:rsidRDefault="00421F1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z w:val="20"/>
              </w:rPr>
              <w:t>maintenir un dialogue étroit avec l’Éthiopie, qui préside en ce moment le processus de Khartoum.</w:t>
            </w:r>
          </w:p>
          <w:p w:rsidR="003D26E6" w:rsidRDefault="003D26E6">
            <w:pPr>
              <w:spacing w:after="120"/>
              <w:contextualSpacing/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</w:p>
          <w:p w:rsidR="003D26E6" w:rsidRDefault="00421F1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</w:t>
            </w:r>
          </w:p>
        </w:tc>
      </w:tr>
    </w:tbl>
    <w:p w:rsidR="003D26E6" w:rsidRDefault="003D26E6">
      <w:pPr>
        <w:rPr>
          <w:rFonts w:ascii="Times New Roman" w:hAnsi="Times New Roman" w:cs="Times New Roman"/>
          <w:noProof/>
          <w:sz w:val="20"/>
          <w:szCs w:val="20"/>
        </w:rPr>
      </w:pPr>
    </w:p>
    <w:p w:rsidR="003D26E6" w:rsidRDefault="003D26E6">
      <w:pPr>
        <w:rPr>
          <w:rFonts w:ascii="Times New Roman" w:hAnsi="Times New Roman" w:cs="Times New Roman"/>
          <w:noProof/>
          <w:sz w:val="20"/>
          <w:szCs w:val="20"/>
        </w:rPr>
      </w:pPr>
    </w:p>
    <w:p w:rsidR="003D26E6" w:rsidRDefault="003D26E6">
      <w:pPr>
        <w:rPr>
          <w:noProof/>
        </w:rPr>
      </w:pPr>
    </w:p>
    <w:sectPr w:rsidR="003D26E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F1C" w:rsidRDefault="00421F1C">
      <w:pPr>
        <w:spacing w:after="0" w:line="240" w:lineRule="auto"/>
      </w:pPr>
      <w:r>
        <w:separator/>
      </w:r>
    </w:p>
  </w:endnote>
  <w:endnote w:type="continuationSeparator" w:id="0">
    <w:p w:rsidR="00421F1C" w:rsidRDefault="00421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75" w:rsidRPr="00545B75" w:rsidRDefault="00545B75" w:rsidP="00545B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75" w:rsidRPr="00545B75" w:rsidRDefault="00545B75" w:rsidP="00545B75">
    <w:pPr>
      <w:pStyle w:val="FooterCoverPage"/>
      <w:rPr>
        <w:rFonts w:ascii="Arial" w:hAnsi="Arial" w:cs="Arial"/>
        <w:b/>
        <w:sz w:val="48"/>
      </w:rPr>
    </w:pPr>
    <w:r w:rsidRPr="00545B75">
      <w:rPr>
        <w:rFonts w:ascii="Arial" w:hAnsi="Arial" w:cs="Arial"/>
        <w:b/>
        <w:sz w:val="48"/>
      </w:rPr>
      <w:t>FR</w:t>
    </w:r>
    <w:r w:rsidRPr="00545B75">
      <w:rPr>
        <w:rFonts w:ascii="Arial" w:hAnsi="Arial" w:cs="Arial"/>
        <w:b/>
        <w:sz w:val="48"/>
      </w:rPr>
      <w:tab/>
    </w:r>
    <w:r w:rsidRPr="00545B75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545B75">
      <w:tab/>
    </w:r>
    <w:r w:rsidRPr="00545B75"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75" w:rsidRPr="00545B75" w:rsidRDefault="00545B75" w:rsidP="00545B75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6E6" w:rsidRDefault="003D26E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9107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26E6" w:rsidRDefault="00421F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5B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26E6" w:rsidRDefault="003D26E6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6E6" w:rsidRDefault="003D26E6">
    <w:pPr>
      <w:pStyle w:val="FooterCover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F1C" w:rsidRDefault="00421F1C">
      <w:pPr>
        <w:spacing w:after="0" w:line="240" w:lineRule="auto"/>
      </w:pPr>
      <w:r>
        <w:separator/>
      </w:r>
    </w:p>
  </w:footnote>
  <w:footnote w:type="continuationSeparator" w:id="0">
    <w:p w:rsidR="00421F1C" w:rsidRDefault="00421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75" w:rsidRPr="00545B75" w:rsidRDefault="00545B75" w:rsidP="00545B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75" w:rsidRPr="00545B75" w:rsidRDefault="00545B75" w:rsidP="00545B75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75" w:rsidRPr="00545B75" w:rsidRDefault="00545B75" w:rsidP="00545B75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6E6" w:rsidRDefault="003D26E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6E6" w:rsidRDefault="003D26E6">
    <w:pPr>
      <w:pStyle w:val="HeaderCoverPag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6E6" w:rsidRDefault="003D26E6">
    <w:pPr>
      <w:pStyle w:val="HeaderCoverPag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7D4"/>
    <w:multiLevelType w:val="hybridMultilevel"/>
    <w:tmpl w:val="BFBABC50"/>
    <w:lvl w:ilvl="0" w:tplc="A5AEA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063D3"/>
    <w:multiLevelType w:val="hybridMultilevel"/>
    <w:tmpl w:val="AC3872D0"/>
    <w:lvl w:ilvl="0" w:tplc="A5AEA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65255"/>
    <w:multiLevelType w:val="hybridMultilevel"/>
    <w:tmpl w:val="95927604"/>
    <w:lvl w:ilvl="0" w:tplc="A5AEA5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D606F6"/>
    <w:multiLevelType w:val="hybridMultilevel"/>
    <w:tmpl w:val="9886CC6C"/>
    <w:lvl w:ilvl="0" w:tplc="A5AEA5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7F6CF5"/>
    <w:multiLevelType w:val="hybridMultilevel"/>
    <w:tmpl w:val="6D189250"/>
    <w:lvl w:ilvl="0" w:tplc="A5AEA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E54A4"/>
    <w:multiLevelType w:val="hybridMultilevel"/>
    <w:tmpl w:val="9D44BDAC"/>
    <w:lvl w:ilvl="0" w:tplc="A5AEA5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9C1B3B"/>
    <w:multiLevelType w:val="hybridMultilevel"/>
    <w:tmpl w:val="1C1A64D2"/>
    <w:lvl w:ilvl="0" w:tplc="A5AEA5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59220DC"/>
    <w:multiLevelType w:val="hybridMultilevel"/>
    <w:tmpl w:val="8368BA06"/>
    <w:lvl w:ilvl="0" w:tplc="A5AEA5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au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FE6D43BA6B414B7C865AEBE696766FB9"/>
    <w:docVar w:name="LW_CROSSREFERENCE" w:val="&lt;UNUSED&gt;"/>
    <w:docVar w:name="LW_DocType" w:val="NORMAL"/>
    <w:docVar w:name="LW_EMISSION" w:val="10.3.2017"/>
    <w:docVar w:name="LW_EMISSION_ISODATE" w:val="2017-03-10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Troisième rapport d'avancement relatif au cadre de partenariat avec les pays tiers dans le cadre de l'agenda européen en matière de migration_x000b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7) 205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RAPPORT DE LA COMMISSION AU PARLEMENT EUROPÉEN, AU CONSEIL EUROPÉEN ET AU CONSEIL_x000b_"/>
  </w:docVars>
  <w:rsids>
    <w:rsidRoot w:val="003D26E6"/>
    <w:rsid w:val="003D26E6"/>
    <w:rsid w:val="00421F1C"/>
    <w:rsid w:val="0054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,L"/>
    <w:basedOn w:val="Normal"/>
    <w:link w:val="ListParagraphChar"/>
    <w:uiPriority w:val="34"/>
    <w:qFormat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EastAsia"/>
      <w:b/>
      <w:bCs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,L"/>
    <w:basedOn w:val="Normal"/>
    <w:link w:val="ListParagraphChar"/>
    <w:uiPriority w:val="34"/>
    <w:qFormat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EastAsia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BEB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C188B-5B6C-42F4-A63A-23AE0BB0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1520</Words>
  <Characters>8269</Characters>
  <Application>Microsoft Office Word</Application>
  <DocSecurity>0</DocSecurity>
  <Lines>271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VEREYEN Danielle (SG)</dc:creator>
  <cp:lastModifiedBy>LAGES CARVALHO Patrick (SG)</cp:lastModifiedBy>
  <cp:revision>11</cp:revision>
  <cp:lastPrinted>2017-02-24T17:49:00Z</cp:lastPrinted>
  <dcterms:created xsi:type="dcterms:W3CDTF">2017-02-28T14:35:00Z</dcterms:created>
  <dcterms:modified xsi:type="dcterms:W3CDTF">2017-03-14T12:38:00Z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Classification">
    <vt:lpwstr> 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</Properties>
</file>