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B3" w:rsidRDefault="00357085" w:rsidP="00357085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7A4ED84A470431C9F7D94C2E234A1FB" style="width:450.75pt;height:393.75pt">
            <v:imagedata r:id="rId9" o:title=""/>
          </v:shape>
        </w:pict>
      </w:r>
    </w:p>
    <w:bookmarkEnd w:id="0"/>
    <w:p w:rsidR="00BB1CB3" w:rsidRDefault="00BB1CB3">
      <w:pPr>
        <w:rPr>
          <w:noProof/>
        </w:rPr>
        <w:sectPr w:rsidR="00BB1CB3" w:rsidSect="0035708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BB1CB3" w:rsidRDefault="00910AA6">
      <w:pPr>
        <w:rPr>
          <w:rFonts w:ascii="Times New Roman" w:hAnsi="Times New Roman" w:cs="Times New Roman"/>
          <w:b/>
          <w:noProof/>
          <w:sz w:val="20"/>
          <w:szCs w:val="20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0"/>
        </w:rPr>
        <w:lastRenderedPageBreak/>
        <w:t>Напредък по отношение на приоритетните държави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BB1CB3">
        <w:trPr>
          <w:trHeight w:val="279"/>
        </w:trPr>
        <w:tc>
          <w:tcPr>
            <w:tcW w:w="9498" w:type="dxa"/>
            <w:gridSpan w:val="2"/>
            <w:shd w:val="clear" w:color="auto" w:fill="C7C7C7" w:themeFill="background1" w:themeFillShade="D9"/>
          </w:tcPr>
          <w:p w:rsidR="00BB1CB3" w:rsidRDefault="00910AA6">
            <w:pPr>
              <w:rPr>
                <w:rFonts w:ascii="Times New Roman" w:hAnsi="Times New Roman" w:cs="Times New Roman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0"/>
              </w:rPr>
              <w:t>Нигер</w:t>
            </w:r>
          </w:p>
        </w:tc>
      </w:tr>
      <w:tr w:rsidR="00BB1CB3">
        <w:trPr>
          <w:trHeight w:val="543"/>
        </w:trPr>
        <w:tc>
          <w:tcPr>
            <w:tcW w:w="4749" w:type="dxa"/>
            <w:shd w:val="clear" w:color="auto" w:fill="DFDFDF" w:themeFill="background1" w:themeFillShade="F2"/>
          </w:tcPr>
          <w:p w:rsidR="00BB1CB3" w:rsidRDefault="00910AA6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</w:rPr>
              <w:t>Действия и напредък от декември 2016 г.</w:t>
            </w:r>
          </w:p>
        </w:tc>
        <w:tc>
          <w:tcPr>
            <w:tcW w:w="4749" w:type="dxa"/>
            <w:shd w:val="clear" w:color="auto" w:fill="DFDFDF" w:themeFill="background1" w:themeFillShade="F2"/>
          </w:tcPr>
          <w:p w:rsidR="00BB1CB3" w:rsidRDefault="00910AA6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</w:rPr>
              <w:t xml:space="preserve">Следващи </w:t>
            </w:r>
            <w:r>
              <w:rPr>
                <w:rFonts w:ascii="Times New Roman" w:hAnsi="Times New Roman"/>
                <w:noProof/>
                <w:spacing w:val="-6"/>
                <w:sz w:val="20"/>
              </w:rPr>
              <w:t>стъпки</w:t>
            </w:r>
          </w:p>
        </w:tc>
      </w:tr>
      <w:tr w:rsidR="00BB1CB3">
        <w:trPr>
          <w:trHeight w:val="279"/>
        </w:trPr>
        <w:tc>
          <w:tcPr>
            <w:tcW w:w="4749" w:type="dxa"/>
          </w:tcPr>
          <w:p w:rsidR="00BB1CB3" w:rsidRDefault="00910AA6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>Ангажимент на високо равнище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Посещение на президента Исуфу в Брюксел (декември 2016 г.). 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Посещение на датския министър по въпросите на сътрудничеството за развитие (януари) </w:t>
            </w:r>
          </w:p>
          <w:p w:rsidR="00BB1CB3" w:rsidRDefault="00BB1CB3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</w:p>
          <w:p w:rsidR="00BB1CB3" w:rsidRDefault="00910AA6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>Ключови моменти в напредъка, постигнат от нигерските органи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6"/>
                <w:sz w:val="20"/>
              </w:rPr>
              <w:t xml:space="preserve">Допълнително намаляване на потока от незаконни мигранти, които преминават транзитно през страната. 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6"/>
                <w:sz w:val="20"/>
              </w:rPr>
              <w:t xml:space="preserve">Продължаване на ефективните действия срещу контрабандата на мигранти в региона на Агадез (изземване на оборудване и задържане на контрабандисти). 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Изготвяне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 на средносрочен план за действие, за да се преодолеят пропуските в използвания в момента подход. 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Финализиране на националната стратегия за миграцията.</w:t>
            </w:r>
          </w:p>
          <w:p w:rsidR="00BB1CB3" w:rsidRDefault="00BB1CB3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</w:p>
          <w:p w:rsidR="00BB1CB3" w:rsidRDefault="00910AA6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>Подкрепа от ЕС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Подкрепа за осигуряването на изпълнението на законодателството срещу контрабандата на м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игранти.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Изпращане на европейски служител за връзка по въпросите на миграцията в делегацията на ЕС в Ниамей на 1 февруари. 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Изпращане в близко бъдеще на служител за връзка от Европейската агенция за гранична и брегова охрана.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Заседание на Разузнавателната 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общност Африка — Frontex, проведено в началото на март.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6"/>
                <w:sz w:val="20"/>
              </w:rPr>
              <w:t xml:space="preserve">Одобряване на нови проекти по линия на Доверителния фонд на ЕС за Африка през декември 2016 г. за оказване на помощ на мигрантите, улесняване на връщането и повишаване на осведомеността, предоставяне </w:t>
            </w:r>
            <w:r>
              <w:rPr>
                <w:rFonts w:ascii="Times New Roman" w:hAnsi="Times New Roman"/>
                <w:noProof/>
                <w:color w:val="000000"/>
                <w:spacing w:val="-6"/>
                <w:sz w:val="20"/>
              </w:rPr>
              <w:t>на парцели, жилищно настаняване и достъп до питейна вода и създаване на работни места.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Подписване на договор с Върховния орган за консолидиране на мира, с който ще се предоставят възможности за краткосрочна заетост на младите хора в региона на Агадез.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Проведени мисии на място за оценка на алтернативните маршрути, както и за набелязване на проекти за създаване на икономически алтернативи в местните общности. 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Подкрепа, предоставена на Г-5 от Сахел.</w:t>
            </w:r>
          </w:p>
        </w:tc>
        <w:tc>
          <w:tcPr>
            <w:tcW w:w="4749" w:type="dxa"/>
          </w:tcPr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Бързо подписване на договори за всички действия, които в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ече са одобрени в рамките на Доверителния фонд на ЕС, за да се гарантира конкретното изпълнение и осигуряване на алтернативни възможности за доходи с цел заместване на контрабандната икономика.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По-интензивни действия за борба с контрабандата и трафика на х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ора, включително подкрепа за съвместен екип за разследване.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Засилен мониторинг на възможните алтернативни маршрути и подготовка на подкрепа за подходящи ответни действия по подобие на подхода, възприет в региона на Агадез. 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Предоставяне на коментари по сре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дносрочен план за действие, разработен от Нигер, който се очаква до края на март и се отнася до пропуските, които трябва да бъдат преодолени. 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Установяване на работни договорености между Европейската агенция за гранична и брегова охрана и нигерските власти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 и изпращане на служител за връзка в делегацията на ЕС.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Достигане на пълен оперативен капацитет на постоянното бюро на ЕС в Агадез, включително за провеждане на обучение.</w:t>
            </w:r>
          </w:p>
          <w:p w:rsidR="00BB1CB3" w:rsidRDefault="00910AA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Последващи действия във връзка със заседанието на Разузнавателната общност Африка — F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rontex и подготовка за начало на дейността на звено за анализ на риска.</w:t>
            </w:r>
          </w:p>
          <w:p w:rsidR="00BB1CB3" w:rsidRDefault="00BB1CB3">
            <w:p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</w:p>
          <w:p w:rsidR="00BB1CB3" w:rsidRDefault="00910AA6">
            <w:pPr>
              <w:jc w:val="both"/>
              <w:rPr>
                <w:rFonts w:ascii="Times New Roman" w:eastAsia="ヒラギノ角ゴ Pro W3" w:hAnsi="Times New Roman" w:cs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</w:rPr>
              <w:t xml:space="preserve"> </w:t>
            </w:r>
          </w:p>
          <w:p w:rsidR="00BB1CB3" w:rsidRDefault="00BB1CB3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</w:p>
        </w:tc>
      </w:tr>
    </w:tbl>
    <w:p w:rsidR="00BB1CB3" w:rsidRDefault="00BB1CB3">
      <w:pPr>
        <w:rPr>
          <w:noProof/>
        </w:rPr>
      </w:pPr>
    </w:p>
    <w:p w:rsidR="00BB1CB3" w:rsidRDefault="00910AA6"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BB1CB3">
        <w:trPr>
          <w:trHeight w:val="264"/>
        </w:trPr>
        <w:tc>
          <w:tcPr>
            <w:tcW w:w="9498" w:type="dxa"/>
            <w:gridSpan w:val="2"/>
            <w:shd w:val="clear" w:color="auto" w:fill="C7C7C7" w:themeFill="background1" w:themeFillShade="D9"/>
          </w:tcPr>
          <w:p w:rsidR="00BB1CB3" w:rsidRDefault="00910AA6">
            <w:pPr>
              <w:rPr>
                <w:rFonts w:ascii="Times New Roman" w:hAnsi="Times New Roman" w:cs="Times New Roman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0"/>
              </w:rPr>
              <w:lastRenderedPageBreak/>
              <w:t>Нигерия</w:t>
            </w:r>
          </w:p>
        </w:tc>
      </w:tr>
      <w:tr w:rsidR="00BB1CB3">
        <w:trPr>
          <w:trHeight w:val="543"/>
        </w:trPr>
        <w:tc>
          <w:tcPr>
            <w:tcW w:w="4749" w:type="dxa"/>
            <w:shd w:val="clear" w:color="auto" w:fill="DFDFDF" w:themeFill="background1" w:themeFillShade="F2"/>
          </w:tcPr>
          <w:p w:rsidR="00BB1CB3" w:rsidRDefault="00910AA6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</w:rPr>
              <w:t>Действия и напредък от декември 2016 г.</w:t>
            </w:r>
          </w:p>
        </w:tc>
        <w:tc>
          <w:tcPr>
            <w:tcW w:w="4749" w:type="dxa"/>
            <w:shd w:val="clear" w:color="auto" w:fill="DFDFDF" w:themeFill="background1" w:themeFillShade="F2"/>
          </w:tcPr>
          <w:p w:rsidR="00BB1CB3" w:rsidRDefault="00910AA6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</w:rPr>
              <w:t>Следващи стъпки</w:t>
            </w:r>
          </w:p>
        </w:tc>
      </w:tr>
      <w:tr w:rsidR="00BB1CB3">
        <w:trPr>
          <w:trHeight w:val="279"/>
        </w:trPr>
        <w:tc>
          <w:tcPr>
            <w:tcW w:w="4749" w:type="dxa"/>
          </w:tcPr>
          <w:p w:rsidR="00BB1CB3" w:rsidRDefault="00910AA6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>Ангажимент на високо равнище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6"/>
                <w:sz w:val="20"/>
              </w:rPr>
              <w:t>Посещение на заместник-председателя на Комисията Ансип (февруари)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6"/>
                <w:sz w:val="20"/>
              </w:rPr>
              <w:t xml:space="preserve">Посещение на </w:t>
            </w:r>
            <w:r>
              <w:rPr>
                <w:rFonts w:ascii="Times New Roman" w:hAnsi="Times New Roman"/>
                <w:noProof/>
                <w:color w:val="000000"/>
                <w:spacing w:val="-6"/>
                <w:sz w:val="20"/>
              </w:rPr>
              <w:t>генералния контрольор на Нигерия в Нидерландия (февруари)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6"/>
                <w:sz w:val="20"/>
              </w:rPr>
              <w:t>Посещение на държавния секретар на Испания (февруари)</w:t>
            </w:r>
          </w:p>
          <w:p w:rsidR="00BB1CB3" w:rsidRDefault="00BB1CB3">
            <w:pPr>
              <w:pStyle w:val="ListParagraph"/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</w:p>
          <w:p w:rsidR="00BB1CB3" w:rsidRDefault="00910AA6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>Ключови моменти в напредъка, постигнат от нигерийските органи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6"/>
                <w:sz w:val="20"/>
              </w:rPr>
              <w:t xml:space="preserve">Създаване на платформа за сътрудничество в борбата с контрабандата на мигранти с </w:t>
            </w:r>
            <w:r>
              <w:rPr>
                <w:rFonts w:ascii="Times New Roman" w:hAnsi="Times New Roman"/>
                <w:noProof/>
                <w:color w:val="000000"/>
                <w:spacing w:val="-6"/>
                <w:sz w:val="20"/>
              </w:rPr>
              <w:t>участието на агенциите на ЕС и държавите членки.</w:t>
            </w:r>
          </w:p>
          <w:p w:rsidR="00BB1CB3" w:rsidRDefault="00BB1CB3">
            <w:pPr>
              <w:pStyle w:val="ListParagraph"/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</w:p>
          <w:p w:rsidR="00BB1CB3" w:rsidRDefault="00910AA6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>Подкрепа от ЕС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Изпращане на европейски служител за връзка по въпросите на миграцията от 1 февруари.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Проекти, одобрени по линия на Доверителния фонд на ЕС за Африка през декември 2016 г. в подкрепа на реинтеграцията, грамотността и услугите за психично здраве. 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Подкрепа за покриване на хуманитарните нужди на жертвите на кризата в Нигерия от храна и изхран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ване, защита, вода, канализация и хигиена, подслон, нехранителни продукти и здравеопазване.</w:t>
            </w:r>
          </w:p>
        </w:tc>
        <w:tc>
          <w:tcPr>
            <w:tcW w:w="4749" w:type="dxa"/>
          </w:tcPr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Приключване на преговорите за споразумението за обратно приемане до юни 2017 г.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Продължаване на активното сътрудничество в областта на борбата с контрабандата и тра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фика на хора чрез Разузнавателната общност Африка — Frontex и наскоро създадената Платформа за сътрудничество в борбата с контрабандата на мигранти.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Идентифициране на проекти на Доверителния фонд на ЕС за Африка със силна миграционна насоченост. </w:t>
            </w:r>
          </w:p>
          <w:p w:rsidR="00BB1CB3" w:rsidRDefault="00BB1CB3">
            <w:pPr>
              <w:pStyle w:val="ListParagraph"/>
              <w:spacing w:after="120"/>
              <w:ind w:left="360"/>
              <w:contextualSpacing/>
              <w:jc w:val="both"/>
              <w:rPr>
                <w:rFonts w:ascii="Times New Roman" w:hAnsi="Times New Roman"/>
                <w:noProof/>
                <w:spacing w:val="-6"/>
                <w:sz w:val="20"/>
                <w:szCs w:val="20"/>
              </w:rPr>
            </w:pPr>
          </w:p>
        </w:tc>
      </w:tr>
      <w:tr w:rsidR="00BB1CB3">
        <w:trPr>
          <w:trHeight w:val="264"/>
        </w:trPr>
        <w:tc>
          <w:tcPr>
            <w:tcW w:w="9498" w:type="dxa"/>
            <w:gridSpan w:val="2"/>
            <w:shd w:val="clear" w:color="auto" w:fill="C7C7C7" w:themeFill="background1" w:themeFillShade="D9"/>
          </w:tcPr>
          <w:p w:rsidR="00BB1CB3" w:rsidRDefault="00910AA6">
            <w:pPr>
              <w:rPr>
                <w:rFonts w:ascii="Times New Roman" w:hAnsi="Times New Roman" w:cs="Times New Roman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0"/>
              </w:rPr>
              <w:t>Сенегал</w:t>
            </w:r>
          </w:p>
        </w:tc>
      </w:tr>
      <w:tr w:rsidR="00BB1CB3">
        <w:trPr>
          <w:trHeight w:val="556"/>
        </w:trPr>
        <w:tc>
          <w:tcPr>
            <w:tcW w:w="4749" w:type="dxa"/>
            <w:shd w:val="clear" w:color="auto" w:fill="DFDFDF" w:themeFill="background1" w:themeFillShade="F2"/>
          </w:tcPr>
          <w:p w:rsidR="00BB1CB3" w:rsidRDefault="00910AA6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</w:rPr>
              <w:t>Действия и напредък от декември 2016 г.</w:t>
            </w:r>
          </w:p>
        </w:tc>
        <w:tc>
          <w:tcPr>
            <w:tcW w:w="4749" w:type="dxa"/>
            <w:shd w:val="clear" w:color="auto" w:fill="DFDFDF" w:themeFill="background1" w:themeFillShade="F2"/>
          </w:tcPr>
          <w:p w:rsidR="00BB1CB3" w:rsidRDefault="00910AA6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</w:rPr>
              <w:t>Следващи стъпки</w:t>
            </w:r>
          </w:p>
        </w:tc>
      </w:tr>
      <w:tr w:rsidR="00BB1CB3">
        <w:trPr>
          <w:trHeight w:val="264"/>
        </w:trPr>
        <w:tc>
          <w:tcPr>
            <w:tcW w:w="4749" w:type="dxa"/>
          </w:tcPr>
          <w:p w:rsidR="00BB1CB3" w:rsidRDefault="00910AA6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>Ангажимент на високо равнище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Посещение на върховния представител/заместник-председател в Сенегал (декември) 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Посещение на президента на Сенегал във Франция (декември)</w:t>
            </w:r>
          </w:p>
          <w:p w:rsidR="00BB1CB3" w:rsidRDefault="00BB1CB3">
            <w:pPr>
              <w:pStyle w:val="ListParagraph"/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</w:p>
          <w:p w:rsidR="00BB1CB3" w:rsidRDefault="00910AA6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 xml:space="preserve">Ключови моменти в напредъка, </w:t>
            </w: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>постигнат от сенегалските органи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6"/>
                <w:sz w:val="20"/>
              </w:rPr>
              <w:t>Двустранно сътрудничество с Италия чрез мисия за сенсибилизация, проведена през декември.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Фокусни точки към съответните министерства за установяване на самоличността на мигранти. 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Започване на преговори с Европейската агенц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ия за гранична и брегова охрана за подобряване на работните договорености.</w:t>
            </w:r>
          </w:p>
          <w:p w:rsidR="00BB1CB3" w:rsidRDefault="00BB1CB3">
            <w:pPr>
              <w:pStyle w:val="ListParagraph"/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</w:p>
          <w:p w:rsidR="00BB1CB3" w:rsidRDefault="00910AA6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>Подкрепа от ЕС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Четири проекта по линия на Доверителния фонд на ЕС за Африка, одобрени през декември 2016 г., за подкрепа на реинтеграцията, създаване на работни места и на национал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на регистрационна система за биометрични данни. 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Сенегал ще се ползва от регионалния проект в подкрепа на службите за вътрешна сигурност на шест държави от региона на Сахел. </w:t>
            </w:r>
          </w:p>
        </w:tc>
        <w:tc>
          <w:tcPr>
            <w:tcW w:w="4749" w:type="dxa"/>
          </w:tcPr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Организиране на мисии за последващи действия, за да се гарантира ефективното връщ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ане на незаконните мигранти, чиято самоличност е установена.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Подобряване на оперативното сътрудничество както за установяването на самоличността, така и за издаването на документи за пътуване. 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Финализиране и подписване до средата на 2017 г. на работни дог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оворености между Сенегал и Европейската агенция за гранична и брегова охрана.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В зависимост от постигнатите резултати задълбочаване на сътрудничеството в други области, включително управлението на границите.</w:t>
            </w:r>
          </w:p>
          <w:p w:rsidR="00BB1CB3" w:rsidRDefault="00BB1CB3">
            <w:pPr>
              <w:ind w:left="426"/>
              <w:contextualSpacing/>
              <w:jc w:val="both"/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</w:p>
        </w:tc>
      </w:tr>
    </w:tbl>
    <w:p w:rsidR="00BB1CB3" w:rsidRDefault="00910AA6">
      <w:pPr>
        <w:rPr>
          <w:noProof/>
        </w:rPr>
      </w:pPr>
      <w:r>
        <w:rPr>
          <w:noProof/>
        </w:rPr>
        <w:br w:type="page"/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BB1CB3">
        <w:trPr>
          <w:trHeight w:val="279"/>
        </w:trPr>
        <w:tc>
          <w:tcPr>
            <w:tcW w:w="9498" w:type="dxa"/>
            <w:gridSpan w:val="2"/>
            <w:shd w:val="clear" w:color="auto" w:fill="C7C7C7" w:themeFill="background1" w:themeFillShade="D9"/>
          </w:tcPr>
          <w:p w:rsidR="00BB1CB3" w:rsidRDefault="00910AA6">
            <w:pPr>
              <w:rPr>
                <w:rFonts w:ascii="Times New Roman" w:hAnsi="Times New Roman" w:cs="Times New Roman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0"/>
              </w:rPr>
              <w:lastRenderedPageBreak/>
              <w:t>Мали</w:t>
            </w:r>
          </w:p>
        </w:tc>
      </w:tr>
      <w:tr w:rsidR="00BB1CB3">
        <w:trPr>
          <w:trHeight w:val="510"/>
        </w:trPr>
        <w:tc>
          <w:tcPr>
            <w:tcW w:w="4749" w:type="dxa"/>
            <w:shd w:val="clear" w:color="auto" w:fill="DFDFDF" w:themeFill="background1" w:themeFillShade="F2"/>
          </w:tcPr>
          <w:p w:rsidR="00BB1CB3" w:rsidRDefault="00910AA6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</w:rPr>
              <w:t>Действия и напредък от декември 2016 г.</w:t>
            </w:r>
          </w:p>
        </w:tc>
        <w:tc>
          <w:tcPr>
            <w:tcW w:w="4749" w:type="dxa"/>
            <w:shd w:val="clear" w:color="auto" w:fill="DFDFDF" w:themeFill="background1" w:themeFillShade="F2"/>
          </w:tcPr>
          <w:p w:rsidR="00BB1CB3" w:rsidRDefault="00910AA6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</w:rPr>
              <w:t>Следващи стъпки</w:t>
            </w:r>
          </w:p>
        </w:tc>
      </w:tr>
      <w:tr w:rsidR="00BB1CB3">
        <w:trPr>
          <w:trHeight w:val="264"/>
        </w:trPr>
        <w:tc>
          <w:tcPr>
            <w:tcW w:w="4749" w:type="dxa"/>
          </w:tcPr>
          <w:p w:rsidR="00BB1CB3" w:rsidRDefault="00910AA6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>Ангажимент на високо равнище</w:t>
            </w:r>
          </w:p>
          <w:p w:rsidR="00BB1CB3" w:rsidRDefault="00910AA6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Среща между върховния представител/заместник-председател Могерини и министър Сила, отговарящ за малийските граждани в чужбина (февруари).</w:t>
            </w:r>
          </w:p>
          <w:p w:rsidR="00BB1CB3" w:rsidRDefault="00BB1CB3">
            <w:pPr>
              <w:pStyle w:val="ListParagraph"/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16"/>
                <w:szCs w:val="16"/>
              </w:rPr>
            </w:pPr>
          </w:p>
          <w:p w:rsidR="00BB1CB3" w:rsidRDefault="00910AA6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>Ключови моменти в напредъка, постигнат от малийските органи</w:t>
            </w:r>
          </w:p>
          <w:p w:rsidR="00BB1CB3" w:rsidRDefault="00910AA6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Разработване на национална стратегия за граничен контрол и свързан с нея план за действие. </w:t>
            </w:r>
          </w:p>
          <w:p w:rsidR="00BB1CB3" w:rsidRDefault="00910AA6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Изграждане на капацитет у полицейските сили, отговарящи за управлението на границите.</w:t>
            </w:r>
          </w:p>
          <w:p w:rsidR="00BB1CB3" w:rsidRDefault="00BB1CB3">
            <w:pPr>
              <w:pStyle w:val="ListParagraph"/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16"/>
                <w:szCs w:val="16"/>
              </w:rPr>
            </w:pPr>
          </w:p>
          <w:p w:rsidR="00BB1CB3" w:rsidRDefault="00910AA6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>Подкрепа от ЕС</w:t>
            </w:r>
          </w:p>
          <w:p w:rsidR="00BB1CB3" w:rsidRDefault="00910AA6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Засилване на свързаното с миграцията измерение на мисията в об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ластта на общата политика за сигурност и отбрана (ОПСО), действаща в Мали. </w:t>
            </w:r>
          </w:p>
          <w:p w:rsidR="00BB1CB3" w:rsidRDefault="00910AA6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Проекти, одобрени по линия на Доверителния фонд на ЕС за Африка през декември 2016 г., за подобряване на биометричния регистър на населението, за подкрепа на реинтеграцията на завъ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рналите се лица и за младежка заетост. </w:t>
            </w:r>
          </w:p>
        </w:tc>
        <w:tc>
          <w:tcPr>
            <w:tcW w:w="4749" w:type="dxa"/>
          </w:tcPr>
          <w:p w:rsidR="00BB1CB3" w:rsidRDefault="00910AA6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Изпращане на мисия на техническо равнище за проучване на възможностите за сътрудничество и укрепване на капацитета за управление на границите и борба с контрабандата на хора.</w:t>
            </w:r>
          </w:p>
          <w:p w:rsidR="00BB1CB3" w:rsidRDefault="00910AA6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Ускоряване на работата с Мали по транзитн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ото измерение с акцент върху доброволното връщане на транзитно преминаващи мигранти.</w:t>
            </w:r>
          </w:p>
          <w:p w:rsidR="00BB1CB3" w:rsidRDefault="00910AA6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Засилване на сътрудничеството в областта на ефективното връщане на незаконни мигранти, включително на малийци, опитващи се да пресекат нелегално южната граница на Либия.</w:t>
            </w:r>
          </w:p>
          <w:p w:rsidR="00BB1CB3" w:rsidRDefault="00910AA6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П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оддържане на тесен диалог с Мали като председател на процеса от Рабат.</w:t>
            </w:r>
          </w:p>
          <w:p w:rsidR="00BB1CB3" w:rsidRDefault="00BB1CB3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</w:p>
          <w:p w:rsidR="00BB1CB3" w:rsidRDefault="00BB1CB3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</w:p>
          <w:p w:rsidR="00BB1CB3" w:rsidRDefault="00BB1CB3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</w:p>
          <w:p w:rsidR="00BB1CB3" w:rsidRDefault="00BB1CB3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</w:p>
          <w:p w:rsidR="00BB1CB3" w:rsidRDefault="00BB1CB3">
            <w:pPr>
              <w:jc w:val="center"/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</w:p>
        </w:tc>
      </w:tr>
      <w:tr w:rsidR="00BB1CB3">
        <w:trPr>
          <w:trHeight w:val="279"/>
        </w:trPr>
        <w:tc>
          <w:tcPr>
            <w:tcW w:w="9498" w:type="dxa"/>
            <w:gridSpan w:val="2"/>
            <w:shd w:val="clear" w:color="auto" w:fill="C7C7C7" w:themeFill="background1" w:themeFillShade="D9"/>
          </w:tcPr>
          <w:p w:rsidR="00BB1CB3" w:rsidRDefault="00910AA6">
            <w:pPr>
              <w:rPr>
                <w:rFonts w:ascii="Times New Roman" w:hAnsi="Times New Roman" w:cs="Times New Roman"/>
                <w:b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pacing w:val="-6"/>
                <w:sz w:val="20"/>
              </w:rPr>
              <w:t>Етиопия</w:t>
            </w:r>
          </w:p>
        </w:tc>
      </w:tr>
      <w:tr w:rsidR="00BB1CB3">
        <w:trPr>
          <w:trHeight w:val="510"/>
        </w:trPr>
        <w:tc>
          <w:tcPr>
            <w:tcW w:w="4749" w:type="dxa"/>
            <w:shd w:val="clear" w:color="auto" w:fill="DFDFDF" w:themeFill="background1" w:themeFillShade="F2"/>
          </w:tcPr>
          <w:p w:rsidR="00BB1CB3" w:rsidRDefault="00910AA6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</w:rPr>
              <w:t>Действия и напредък от декември 2016 г.</w:t>
            </w:r>
          </w:p>
        </w:tc>
        <w:tc>
          <w:tcPr>
            <w:tcW w:w="4749" w:type="dxa"/>
            <w:shd w:val="clear" w:color="auto" w:fill="DFDFDF" w:themeFill="background1" w:themeFillShade="F2"/>
          </w:tcPr>
          <w:p w:rsidR="00BB1CB3" w:rsidRDefault="00910AA6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</w:rPr>
              <w:t>Следващи стъпки</w:t>
            </w:r>
          </w:p>
        </w:tc>
      </w:tr>
      <w:tr w:rsidR="00BB1CB3">
        <w:trPr>
          <w:trHeight w:val="292"/>
        </w:trPr>
        <w:tc>
          <w:tcPr>
            <w:tcW w:w="4749" w:type="dxa"/>
          </w:tcPr>
          <w:p w:rsidR="00BB1CB3" w:rsidRDefault="00910AA6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>Ангажимент на високо равнище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Среща между комисаря по въпросите на международното сътрудничество и развитие Мимица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 и министър-председателя Десален (януари)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Среща между върховния представител/заместник-председател Могерини и министъра на външните работи на Етиопия Габейеху (февруари)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Посещение на министъра на външните работи Габейеху в Брюксел (февруари) </w:t>
            </w:r>
          </w:p>
          <w:p w:rsidR="00BB1CB3" w:rsidRDefault="00BB1CB3">
            <w:pPr>
              <w:pStyle w:val="ListParagraph"/>
              <w:tabs>
                <w:tab w:val="left" w:pos="426"/>
              </w:tabs>
              <w:ind w:left="360"/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16"/>
                <w:szCs w:val="16"/>
              </w:rPr>
            </w:pPr>
          </w:p>
          <w:p w:rsidR="00BB1CB3" w:rsidRDefault="00910AA6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 xml:space="preserve">Ключови </w:t>
            </w: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>моменти в напредъка, постигнат от етиопските органи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6"/>
                <w:sz w:val="20"/>
              </w:rPr>
              <w:t>Конструктивен принос към срещата на висшите служители във Валета като председател на процеса от Хартум</w:t>
            </w:r>
          </w:p>
          <w:p w:rsidR="00BB1CB3" w:rsidRDefault="00BB1CB3">
            <w:pPr>
              <w:rPr>
                <w:rFonts w:ascii="Times New Roman" w:hAnsi="Times New Roman" w:cs="Times New Roman"/>
                <w:i/>
                <w:noProof/>
                <w:spacing w:val="-6"/>
                <w:sz w:val="16"/>
                <w:szCs w:val="16"/>
              </w:rPr>
            </w:pPr>
          </w:p>
          <w:p w:rsidR="00BB1CB3" w:rsidRDefault="00910AA6">
            <w:pPr>
              <w:rPr>
                <w:rFonts w:ascii="Times New Roman" w:hAnsi="Times New Roman" w:cs="Times New Roman"/>
                <w:i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noProof/>
                <w:spacing w:val="-6"/>
                <w:sz w:val="20"/>
              </w:rPr>
              <w:t>Подкрепа от ЕС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Регионални програми по линия на Доверителния фонд на ЕС за Африка, одобрени през деке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мври 2016 г., за подкрепа на регионален оперативни център за процеса от Хартум, както и механизъм за подпомагане на връщането, за оказване на помощ на блокираните мигранти и тяхната устойчива реинтеграция в общностите. Подкрепа за приетите в Етиопия бежанц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и и приемащите ги общности чрез финансирането за хуманитарни цели и Програмата за регионално развитие и закрила. 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Изпращане в Етиопия на европейски служител за връзка по въпросите на миграцията през март 2017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  <w:lang w:val="it-IT"/>
              </w:rPr>
              <w:t> 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г.</w:t>
            </w:r>
          </w:p>
        </w:tc>
        <w:tc>
          <w:tcPr>
            <w:tcW w:w="4749" w:type="dxa"/>
          </w:tcPr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Приключване на действията по случаите от 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пилотния проект за връщане и използването им като модел за по-бързо връщане в бъдеще.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Продължаване на подкрепата за Етиопия като държава на транзитно преминаване и местоназначение за мигрантите и бежанците, в т.ч. чрез действия, финансирани по линия на Дов</w:t>
            </w: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ерителния фонд на ЕС за Африка.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 xml:space="preserve">Стартиране на секторен диалог за стратегически ангажимент относно миграцията (планирана дата — от април 2017 г.). </w:t>
            </w:r>
          </w:p>
          <w:p w:rsidR="00BB1CB3" w:rsidRDefault="00910AA6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Times New Roman" w:eastAsia="ヒラギノ角ゴ Pro W3" w:hAnsi="Times New Roman" w:cstheme="minorBidi"/>
                <w:noProof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theme="minorBidi"/>
                <w:noProof/>
                <w:color w:val="000000"/>
                <w:spacing w:val="-6"/>
                <w:sz w:val="20"/>
              </w:rPr>
              <w:t>Поддържане на тесен диалог с Етиопия като председател на процеса от Хартум.</w:t>
            </w:r>
          </w:p>
          <w:p w:rsidR="00BB1CB3" w:rsidRDefault="00BB1CB3">
            <w:pPr>
              <w:spacing w:after="120"/>
              <w:contextualSpacing/>
              <w:jc w:val="both"/>
              <w:rPr>
                <w:rFonts w:ascii="Times New Roman" w:eastAsia="ヒラギノ角ゴ Pro W3" w:hAnsi="Times New Roman"/>
                <w:noProof/>
                <w:color w:val="000000"/>
                <w:spacing w:val="-6"/>
                <w:sz w:val="20"/>
                <w:szCs w:val="20"/>
              </w:rPr>
            </w:pPr>
          </w:p>
          <w:p w:rsidR="00BB1CB3" w:rsidRDefault="00910AA6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pacing w:val="-6"/>
                <w:sz w:val="20"/>
              </w:rPr>
              <w:t xml:space="preserve"> </w:t>
            </w:r>
          </w:p>
        </w:tc>
      </w:tr>
    </w:tbl>
    <w:p w:rsidR="00BB1CB3" w:rsidRPr="00357085" w:rsidRDefault="00BB1CB3">
      <w:pPr>
        <w:rPr>
          <w:noProof/>
          <w:sz w:val="14"/>
          <w:szCs w:val="14"/>
          <w:lang w:val="ru-RU"/>
        </w:rPr>
      </w:pPr>
    </w:p>
    <w:sectPr w:rsidR="00BB1CB3" w:rsidRPr="0035708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A6" w:rsidRDefault="00910AA6">
      <w:pPr>
        <w:spacing w:after="0" w:line="240" w:lineRule="auto"/>
      </w:pPr>
      <w:r>
        <w:separator/>
      </w:r>
    </w:p>
  </w:endnote>
  <w:endnote w:type="continuationSeparator" w:id="0">
    <w:p w:rsidR="00910AA6" w:rsidRDefault="0091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85" w:rsidRPr="00357085" w:rsidRDefault="00357085" w:rsidP="003570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85" w:rsidRPr="00357085" w:rsidRDefault="00357085" w:rsidP="00357085">
    <w:pPr>
      <w:pStyle w:val="FooterCoverPage"/>
      <w:rPr>
        <w:rFonts w:ascii="Arial" w:hAnsi="Arial" w:cs="Arial"/>
        <w:b/>
        <w:sz w:val="48"/>
      </w:rPr>
    </w:pPr>
    <w:r w:rsidRPr="00357085">
      <w:rPr>
        <w:rFonts w:ascii="Arial" w:hAnsi="Arial" w:cs="Arial"/>
        <w:b/>
        <w:sz w:val="48"/>
      </w:rPr>
      <w:t>BG</w:t>
    </w:r>
    <w:r w:rsidRPr="00357085">
      <w:rPr>
        <w:rFonts w:ascii="Arial" w:hAnsi="Arial" w:cs="Arial"/>
        <w:b/>
        <w:sz w:val="48"/>
      </w:rPr>
      <w:tab/>
    </w:r>
    <w:r w:rsidRPr="00357085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357085">
      <w:tab/>
    </w:r>
    <w:r w:rsidRPr="00357085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85" w:rsidRPr="00357085" w:rsidRDefault="00357085" w:rsidP="00357085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B3" w:rsidRDefault="00BB1CB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9107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1CB3" w:rsidRDefault="00910A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0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1CB3" w:rsidRDefault="00BB1CB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B3" w:rsidRDefault="00BB1CB3">
    <w:pPr>
      <w:pStyle w:val="FooterCover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A6" w:rsidRDefault="00910AA6">
      <w:pPr>
        <w:spacing w:after="0" w:line="240" w:lineRule="auto"/>
      </w:pPr>
      <w:r>
        <w:separator/>
      </w:r>
    </w:p>
  </w:footnote>
  <w:footnote w:type="continuationSeparator" w:id="0">
    <w:p w:rsidR="00910AA6" w:rsidRDefault="0091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85" w:rsidRPr="00357085" w:rsidRDefault="00357085" w:rsidP="003570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85" w:rsidRPr="00357085" w:rsidRDefault="00357085" w:rsidP="00357085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85" w:rsidRPr="00357085" w:rsidRDefault="00357085" w:rsidP="00357085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B3" w:rsidRDefault="00BB1CB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B3" w:rsidRDefault="00BB1CB3">
    <w:pPr>
      <w:pStyle w:val="HeaderCoverPag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CB3" w:rsidRDefault="00BB1CB3">
    <w:pPr>
      <w:pStyle w:val="HeaderCoverPag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7D4"/>
    <w:multiLevelType w:val="hybridMultilevel"/>
    <w:tmpl w:val="BFBABC50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063D3"/>
    <w:multiLevelType w:val="hybridMultilevel"/>
    <w:tmpl w:val="AC3872D0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65255"/>
    <w:multiLevelType w:val="hybridMultilevel"/>
    <w:tmpl w:val="95927604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D606F6"/>
    <w:multiLevelType w:val="hybridMultilevel"/>
    <w:tmpl w:val="9886CC6C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7F6CF5"/>
    <w:multiLevelType w:val="hybridMultilevel"/>
    <w:tmpl w:val="6D189250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E54A4"/>
    <w:multiLevelType w:val="hybridMultilevel"/>
    <w:tmpl w:val="9D44BDAC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9C1B3B"/>
    <w:multiLevelType w:val="hybridMultilevel"/>
    <w:tmpl w:val="1C1A64D2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9220DC"/>
    <w:multiLevelType w:val="hybridMultilevel"/>
    <w:tmpl w:val="8368BA06"/>
    <w:lvl w:ilvl="0" w:tplc="A5AEA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67A4ED84A470431C9F7D94C2E234A1FB"/>
    <w:docVar w:name="LW_CROSSREFERENCE" w:val="&lt;UNUSED&gt;"/>
    <w:docVar w:name="LW_DocType" w:val="NORMAL"/>
    <w:docVar w:name="LW_EMISSION" w:val="10.3.2017"/>
    <w:docVar w:name="LW_EMISSION_ISODATE" w:val="2017-03-10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8?\u1088?\u1077?\u1090?\u1080? \u1076?\u1086?\u1082?\u1083?\u1072?\u1076? \u1079?\u1072? \u1085?\u1072?\u1087?\u1088?\u1077?\u1076?\u1098?\u1082?\u1072? \u1087?\u1086? \u1056?\u1072?\u1084?\u1082?\u1072?\u1090?\u1072? \u1079?\u1072? \u1087?\u1072?\u1088?\u1090?\u1085?\u1100?\u1086?\u1088?\u1089?\u1090?\u1074?\u1086? \u1089? \u1090?\u1088?\u1077?\u1090?\u1080? \u1076?\u1098?\u1088?\u1078?\u1072?\u1074?\u1080? \u1074? \u1082?\u1086?\u1085?\u1090?\u1077?\u1082?\u1089?\u1090?\u1072? \u1085?\u1072? E\u1074?\u1088?\u1086?\u1087?\u1077?\u1081?\u1089?\u1082?\u1072?\u1090?\u1072? \u1087?\u1088?\u1086?\u1075?\u1088?\u1072?\u1084?\u1072? \u1079?\u1072? \u1084?\u1080?\u1075?\u1088?\u1072?\u1094?\u1080?\u1103?\u1090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7) 205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w:rsids>
    <w:rsidRoot w:val="00BB1CB3"/>
    <w:rsid w:val="00357085"/>
    <w:rsid w:val="00910AA6"/>
    <w:rsid w:val="00B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EastAsia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EastAsia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B7C4D-C99B-4416-91BA-6D8C703C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1322</Words>
  <Characters>7623</Characters>
  <Application>Microsoft Office Word</Application>
  <DocSecurity>0</DocSecurity>
  <Lines>264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VEREYEN Danielle (SG)</dc:creator>
  <cp:lastModifiedBy>LAGES CARVALHO Patrick (SG)</cp:lastModifiedBy>
  <cp:revision>13</cp:revision>
  <cp:lastPrinted>2017-02-24T17:49:00Z</cp:lastPrinted>
  <dcterms:created xsi:type="dcterms:W3CDTF">2017-02-28T14:35:00Z</dcterms:created>
  <dcterms:modified xsi:type="dcterms:W3CDTF">2017-03-14T12:28:00Z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</Properties>
</file>