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7747DC4E104F978446BFAAB8F1A953" style="width:450.35pt;height:420.4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ПОПРАВКА</w:t>
      </w:r>
    </w:p>
    <w:p>
      <w:pPr>
        <w:pStyle w:val="Titreobjet"/>
        <w:rPr>
          <w:noProof/>
        </w:rPr>
      </w:pPr>
      <w:r>
        <w:rPr>
          <w:noProof/>
        </w:rPr>
        <w:t>на Делегиран регламент на Комисията от 13 юни 2016 година за допълване на Регламент (ЕС) № 600/2014 на Европейския парламент и на Съвета относно пазарите на финансови инструменти във връзка с регулаторните технически стандарти по отношение на преките, съществени и предвидими последици от договорите за деривати в рамките на Съюза и за предотвратяване на заобикалянето на правилата и задълженията</w:t>
      </w:r>
      <w:r>
        <w:rPr>
          <w:noProof/>
        </w:rPr>
        <w:br/>
      </w:r>
      <w:r>
        <w:rPr>
          <w:noProof/>
        </w:rPr>
        <w:br/>
        <w:t>C(2016) 3544 final</w:t>
      </w:r>
    </w:p>
    <w:p>
      <w:pPr>
        <w:rPr>
          <w:rFonts w:ascii="Times New Roman" w:hAnsi="Times New Roman"/>
          <w:noProof/>
          <w:sz w:val="24"/>
        </w:rPr>
        <w:sectPr>
          <w:headerReference w:type="even" r:id="rId14"/>
          <w:headerReference w:type="default" r:id="rId15"/>
          <w:footerReference w:type="even" r:id="rId16"/>
          <w:footerReference w:type="default" r:id="rId17"/>
          <w:headerReference w:type="first" r:id="rId18"/>
          <w:footerReference w:type="first" r:id="rId19"/>
          <w:pgSz w:w="11906" w:h="16838" w:code="9"/>
          <w:pgMar w:top="1927" w:right="680" w:bottom="1474" w:left="850" w:header="680" w:footer="624" w:gutter="0"/>
          <w:pgNumType w:start="2"/>
          <w:cols w:space="720"/>
          <w:docGrid w:linePitch="218"/>
        </w:sectPr>
      </w:pPr>
    </w:p>
    <w:p>
      <w:pPr>
        <w:rPr>
          <w:rFonts w:ascii="Times New Roman" w:hAnsi="Times New Roman" w:cs="Times New Roman"/>
          <w:noProof/>
          <w:sz w:val="24"/>
          <w:szCs w:val="24"/>
        </w:rPr>
      </w:pPr>
      <w:r>
        <w:rPr>
          <w:rFonts w:ascii="Times New Roman" w:hAnsi="Times New Roman"/>
          <w:noProof/>
          <w:sz w:val="24"/>
        </w:rPr>
        <w:t>В съображение 7:</w:t>
      </w:r>
    </w:p>
    <w:p>
      <w:pPr>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„Договори за извънборсови деривати, сключени от определени контрагенти с основна цел избягване на прилагането на задължението за клиринг или на техниките за намаляване на риска, приложими за субекти, които биха били естествени партньори по договора, следва да се разглеждат като заобикалящи правилата и задълженията, установени в Регламент (ЕС) № 600/2014, тъй като възпрепятстват постигането на една от целите на посочения регламент, а именно — намаляване на кредитния риск от контрагента.“</w:t>
      </w:r>
    </w:p>
    <w:p>
      <w:pPr>
        <w:ind w:left="720" w:hanging="720"/>
        <w:rPr>
          <w:rFonts w:ascii="Times New Roman" w:hAnsi="Times New Roman" w:cs="Times New Roman"/>
          <w:noProof/>
          <w:sz w:val="24"/>
          <w:szCs w:val="24"/>
        </w:rPr>
      </w:pPr>
      <w:r>
        <w:rPr>
          <w:rFonts w:ascii="Times New Roman" w:hAnsi="Times New Roman"/>
          <w:i/>
          <w:noProof/>
          <w:sz w:val="24"/>
        </w:rPr>
        <w:t xml:space="preserve">да се чете:  </w:t>
      </w:r>
      <w:r>
        <w:rPr>
          <w:noProof/>
        </w:rPr>
        <w:tab/>
      </w:r>
      <w:r>
        <w:rPr>
          <w:rFonts w:ascii="Times New Roman" w:hAnsi="Times New Roman"/>
          <w:noProof/>
          <w:sz w:val="24"/>
        </w:rPr>
        <w:t>„Договори за извънборсови деривати, сключени от определени контрагенти с основна цел избягване на прилагането на задължението за търговия, приложимо за субекти, които биха били естествени партньори по договора, следва да се разглеждат като заобикалящи правилата и задълженията, установени в Регламент (ЕС) № 600/2014, тъй като възпрепятстват постигането на една от целите на посочения регламент.“.</w:t>
      </w:r>
    </w:p>
    <w:p>
      <w:pPr>
        <w:rPr>
          <w:rFonts w:ascii="Times New Roman" w:hAnsi="Times New Roman" w:cs="Times New Roman"/>
          <w:noProof/>
          <w:sz w:val="24"/>
          <w:szCs w:val="24"/>
        </w:rPr>
      </w:pPr>
      <w:r>
        <w:rPr>
          <w:rFonts w:ascii="Times New Roman" w:hAnsi="Times New Roman"/>
          <w:noProof/>
          <w:sz w:val="24"/>
        </w:rPr>
        <w:t>В член 4, втората алинея:</w:t>
      </w:r>
    </w:p>
    <w:p>
      <w:pPr>
        <w:ind w:left="720" w:hanging="720"/>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„Той се прилага от датата, посочена в член 55, параграф 2 от Регламент (ЕС) № 600/2014.“</w:t>
      </w:r>
    </w:p>
    <w:p>
      <w:pPr>
        <w:ind w:left="720" w:hanging="720"/>
        <w:rPr>
          <w:rFonts w:ascii="Times New Roman" w:hAnsi="Times New Roman" w:cs="Times New Roman"/>
          <w:noProof/>
          <w:sz w:val="24"/>
          <w:szCs w:val="24"/>
        </w:rPr>
      </w:pPr>
      <w:r>
        <w:rPr>
          <w:rFonts w:ascii="Times New Roman" w:hAnsi="Times New Roman"/>
          <w:i/>
          <w:noProof/>
          <w:sz w:val="24"/>
        </w:rPr>
        <w:t xml:space="preserve">да се чете:  </w:t>
      </w:r>
      <w:r>
        <w:rPr>
          <w:noProof/>
        </w:rPr>
        <w:tab/>
      </w:r>
      <w:r>
        <w:rPr>
          <w:rFonts w:ascii="Times New Roman" w:hAnsi="Times New Roman"/>
          <w:noProof/>
          <w:sz w:val="24"/>
        </w:rPr>
        <w:t>„Той се прилага от 3 януари 2018 г.“.</w:t>
      </w:r>
    </w:p>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1927" w:right="680" w:bottom="1474" w:left="850" w:header="68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937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693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A27747DC4E104F978446BFAAB8F1A953"/>
    <w:docVar w:name="LW_CROSSREFERENCE" w:val="&lt;UNUSED&gt;"/>
    <w:docVar w:name="LW_DATE.ADOPT.CP" w:val="\u1086?\u1090? 15.3.2017 \u1075?\u1086?\u1076?\u1080?\u1085?\u1072?"/>
    <w:docVar w:name="LW_DATE.ADOPT.CP_ISODATE" w:val="2017-03-15"/>
    <w:docVar w:name="LW_DocType" w:val="NORMAL"/>
    <w:docVar w:name="LW_EMISSION" w:val="15.3.2017"/>
    <w:docVar w:name="LW_EMISSION_ISODATE" w:val="2017-03-15"/>
    <w:docVar w:name="LW_EMISSION_LOCATION" w:val="BRX"/>
    <w:docVar w:name="LW_EMISSION_PREFIX" w:val="Брюксел, "/>
    <w:docVar w:name="LW_EMISSION_SUFFIX" w:val=" \u1075?."/>
    <w:docVar w:name="LW_ID_DOCTYPE_NONLW" w:val="CP-03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1860"/>
    <w:docVar w:name="LW_REF.INTERNE" w:val="&lt;UNUSED&gt;"/>
    <w:docVar w:name="LW_SOUS.TITRE.OBJ.CP" w:val="&lt;UNUSED&gt;"/>
    <w:docVar w:name="LW_SUPERTITRE" w:val="&lt;UNUSED&gt;"/>
    <w:docVar w:name="LW_TITRE.OBJ.CP" w:val="\u1085?\u1072? \u1044?\u1077?\u1083?\u1077?\u1075?\u1080?\u1088?\u1072?\u1085? \u1088?\u1077?\u1075?\u1083?\u1072?\u1084?\u1077?\u1085?\u1090? \u1085?\u1072? \u1050?\u1086?\u1084?\u1080?\u1089?\u1080?\u1103?\u1090?\u1072? \u1086?\u1090? 13 \u1102?\u1085?\u1080? 2016 \u1075?\u1086?\u1076?\u1080?\u1085?\u1072? \u1079?\u1072? \u1076?\u1086?\u1087?\u1098?\u1083?\u1074?\u1072?\u1085?\u1077? \u1085?\u1072? \u1056?\u1077?\u1075?\u1083?\u1072?\u1084?\u1077?\u1085?\u1090? (\u1045?\u1057?) \u8470? 600/2014 \u1085?\u1072? \u1045?\u1074?\u1088?\u1086?\u1087?\u1077?\u1081?\u1089?\u1082?\u1080?\u1103? \u1087?\u1072?\u1088?\u1083?\u1072?\u1084?\u1077?\u1085?\u1090? \u1080? \u1085?\u1072? \u1057?\u1098?\u1074?\u1077?\u1090?\u1072? \u1086?\u1090?\u1085?\u1086?\u1089?\u1085?\u1086? \u1087?\u1072?\u1079?\u1072?\u1088?\u1080?\u1090?\u1077? \u1085?\u1072? \u1092?\u1080?\u1085?\u1072?\u1085?\u1089?\u1086?\u1074?\u1080? \u1080?\u1085?\u1089?\u1090?\u1088?\u1091?\u1084?\u1077?\u1085?\u1090?\u1080? \u1074?\u1098?\u1074? \u1074?\u1088?\u1098?\u1079?\u1082?\u1072? \u1089? \u1088?\u1077?\u1075?\u1091?\u1083?\u1072?\u1090?\u1086?\u1088?\u1085?\u1080?\u1090?\u1077? \u1090?\u1077?\u1093?\u1085?\u1080?\u1095?\u1077?\u1089?\u1082?\u1080? \u1089?\u1090?\u1072?\u1085?\u1076?\u1072?\u1088?\u1090?\u1080? \u1087?\u1086? \u1086?\u1090?\u1085?\u1086?\u1096?\u1077?\u1085?\u1080?\u1077? \u1085?\u1072? \u1087?\u1088?\u1077?\u1082?\u1080?\u1090?\u1077?, \u1089?\u1098?\u1097?\u1077?\u1089?\u1090?\u1074?\u1077?\u1085?\u1080? \u1080? \u1087?\u1088?\u1077?\u1076?\u1074?\u1080?\u1076?\u1080?\u1084?\u1080? \u1087?\u1086?\u1089?\u1083?\u1077?\u1076?\u1080?\u1094?\u1080? \u1086?\u1090? \u1076?\u1086?\u1075?\u1086?\u1074?\u1086?\u1088?\u1080?\u1090?\u1077? \u1079?\u1072? \u1076?\u1077?\u1088?\u1080?\u1074?\u1072?\u1090?\u1080? \u1074? \u1088?\u1072?\u1084?\u1082?\u1080?\u1090?\u1077? \u1085?\u1072? \u1057?\u1098?\u1102?\u1079?\u1072? \u1080? \u1079?\u1072? \u1087?\u1088?\u1077?\u1076?\u1086?\u1090?\u1074?\u1088?\u1072?\u1090?\u1103?\u1074?\u1072?\u1085?\u1077? \u1085?\u1072? \u1079?\u1072?\u1086?\u1073?\u1080?\u1082?\u1072?\u1083?\u1103?\u1085?\u1077?\u1090?\u1086? \u1085?\u1072? \u1087?\u1088?\u1072?\u1074?\u1080?\u1083?\u1072?\u1090?\u1072? \u1080? \u1079?\u1072?\u1076?\u1098?\u1083?\u1078?\u1077?\u1085?\u1080?\u1103?\u1090?\u1072?_x000b__x000b_C(2016) 3544 final"/>
    <w:docVar w:name="LW_TYPE.DOC.CP" w:val="\u1055?\u1054?\u1055?\u1056?\u1040?\u1042?\u1050?\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227</Words>
  <Characters>1309</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2017-03-10T09:38:00Z</dcterms:created>
  <dcterms:modified xsi:type="dcterms:W3CDTF">2017-03-15T15:15:00Z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