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  <w:lang w:val="fr-FR"/>
        </w:rPr>
      </w:pPr>
      <w:bookmarkStart w:id="0" w:name="LW_BM_COVERPAGE"/>
      <w:r>
        <w:rPr>
          <w:noProof/>
          <w:lang w:val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alt="3A490D7480CB42659BE3085AF20E0997" style="width:450.8pt;height:392.8pt">
            <v:imagedata r:id="rId7" o:title=""/>
          </v:shape>
        </w:pict>
      </w:r>
    </w:p>
    <w:bookmarkEnd w:id="0"/>
    <w:p>
      <w:pPr>
        <w:rPr>
          <w:noProof/>
          <w:lang w:val="fr-FR"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417" w:bottom="1134" w:left="1417" w:header="709" w:footer="709" w:gutter="0"/>
          <w:pgNumType w:start="1"/>
          <w:cols w:space="720"/>
          <w:docGrid w:linePitch="299"/>
        </w:sectPr>
      </w:pPr>
    </w:p>
    <w:p>
      <w:pPr>
        <w:pStyle w:val="Typedudocument"/>
        <w:rPr>
          <w:noProof/>
          <w:lang w:val="fr-FR"/>
        </w:rPr>
      </w:pPr>
      <w:bookmarkStart w:id="1" w:name="_GoBack"/>
      <w:bookmarkEnd w:id="1"/>
      <w:r>
        <w:rPr>
          <w:noProof/>
          <w:lang w:val="fr-FR"/>
        </w:rPr>
        <w:lastRenderedPageBreak/>
        <w:t>RECTIFICATIF</w:t>
      </w:r>
    </w:p>
    <w:p>
      <w:pPr>
        <w:pStyle w:val="Titreobjet"/>
        <w:rPr>
          <w:noProof/>
          <w:lang w:val="fr-FR"/>
        </w:rPr>
      </w:pPr>
      <w:r>
        <w:rPr>
          <w:noProof/>
          <w:lang w:val="fr-FR"/>
        </w:rPr>
        <w:t>au règlement délégué de la Commission du 14 juillet 2016 complétant la directive 2014/65/UE du Parlement européen et du Conseil par des normes techniques de réglementation concernant le régime de pas de cotation pour les actions, les certificats représentatifs et les fonds cotés</w:t>
      </w:r>
      <w:r>
        <w:rPr>
          <w:noProof/>
          <w:lang w:val="fr-FR"/>
        </w:rPr>
        <w:br/>
      </w:r>
      <w:r>
        <w:rPr>
          <w:noProof/>
          <w:lang w:val="fr-FR"/>
        </w:rPr>
        <w:br/>
        <w:t>C(2016) 4389 final</w:t>
      </w:r>
    </w:p>
    <w:p>
      <w:pPr>
        <w:rPr>
          <w:rFonts w:ascii="Times New Roman" w:hAnsi="Times New Roman" w:cs="Times New Roman"/>
          <w:noProof/>
          <w:sz w:val="24"/>
          <w:szCs w:val="24"/>
          <w:lang w:val="fr-FR"/>
        </w:rPr>
        <w:sectPr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927" w:right="680" w:bottom="1474" w:left="850" w:header="680" w:footer="624" w:gutter="0"/>
          <w:cols w:space="720"/>
          <w:docGrid w:linePitch="218"/>
        </w:sectPr>
      </w:pPr>
    </w:p>
    <w:p>
      <w:pPr>
        <w:rPr>
          <w:rFonts w:ascii="Times New Roman" w:hAnsi="Times New Roman" w:cs="Times New Roman"/>
          <w:noProof/>
          <w:sz w:val="24"/>
          <w:szCs w:val="24"/>
          <w:lang w:val="fr-FR"/>
        </w:rPr>
      </w:pPr>
      <w:r>
        <w:rPr>
          <w:rFonts w:ascii="Times New Roman" w:hAnsi="Times New Roman" w:cs="Times New Roman"/>
          <w:noProof/>
          <w:sz w:val="24"/>
          <w:szCs w:val="24"/>
          <w:lang w:val="fr-FR"/>
        </w:rPr>
        <w:t>Article 2, paragraphe 1, point (a):</w:t>
      </w:r>
    </w:p>
    <w:p>
      <w:pPr>
        <w:ind w:left="1440" w:hanging="1440"/>
        <w:rPr>
          <w:rFonts w:ascii="Times New Roman" w:hAnsi="Times New Roman" w:cs="Times New Roman"/>
          <w:noProof/>
          <w:sz w:val="24"/>
          <w:szCs w:val="24"/>
          <w:lang w:val="fr-FR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val="fr-FR"/>
        </w:rPr>
        <w:t>au lieu de:</w:t>
      </w:r>
      <w:r>
        <w:rPr>
          <w:rFonts w:ascii="Times New Roman" w:hAnsi="Times New Roman" w:cs="Times New Roman"/>
          <w:i/>
          <w:noProof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fr-FR"/>
        </w:rPr>
        <w:t>«(a)</w:t>
      </w:r>
      <w:r>
        <w:rPr>
          <w:rFonts w:ascii="Times New Roman" w:hAnsi="Times New Roman" w:cs="Times New Roman"/>
          <w:noProof/>
          <w:sz w:val="24"/>
          <w:szCs w:val="24"/>
          <w:lang w:val="fr-FR"/>
        </w:rPr>
        <w:tab/>
        <w:t>à la tranche de liquidité figurant au tableau de l’annexe correspondant à la fourchette de nombres quotidiens moyens de transactions sur le marché le plus pertinent en termes de liquidité pour cet instrument; et»</w:t>
      </w:r>
    </w:p>
    <w:p>
      <w:pPr>
        <w:ind w:left="1440" w:hanging="1440"/>
        <w:rPr>
          <w:rFonts w:ascii="Times New Roman" w:hAnsi="Times New Roman" w:cs="Times New Roman"/>
          <w:noProof/>
          <w:sz w:val="24"/>
          <w:szCs w:val="24"/>
          <w:lang w:val="fr-FR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val="fr-FR"/>
        </w:rPr>
        <w:t xml:space="preserve">lire </w:t>
      </w:r>
      <w:r>
        <w:rPr>
          <w:rFonts w:ascii="Times New Roman" w:hAnsi="Times New Roman" w:cs="Times New Roman"/>
          <w:i/>
          <w:noProof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fr-FR"/>
        </w:rPr>
        <w:t>«(a)</w:t>
      </w:r>
      <w:r>
        <w:rPr>
          <w:rFonts w:ascii="Times New Roman" w:hAnsi="Times New Roman" w:cs="Times New Roman"/>
          <w:noProof/>
          <w:sz w:val="24"/>
          <w:szCs w:val="24"/>
          <w:lang w:val="fr-FR"/>
        </w:rPr>
        <w:tab/>
        <w:t>à la tranche de liquidité figurant au tableau de l’annexe correspondant au nombre quotidien moyen de transactions sur le marché le plus pertinent en termes de liquidité pour cet instrument; et»</w:t>
      </w:r>
    </w:p>
    <w:p>
      <w:pPr>
        <w:rPr>
          <w:rFonts w:ascii="Times New Roman" w:hAnsi="Times New Roman" w:cs="Times New Roman"/>
          <w:noProof/>
          <w:sz w:val="24"/>
          <w:szCs w:val="24"/>
          <w:lang w:val="fr-FR"/>
        </w:rPr>
      </w:pPr>
    </w:p>
    <w:p>
      <w:pPr>
        <w:rPr>
          <w:rFonts w:ascii="Times New Roman" w:hAnsi="Times New Roman" w:cs="Times New Roman"/>
          <w:noProof/>
          <w:sz w:val="24"/>
          <w:szCs w:val="24"/>
          <w:lang w:val="fr-FR"/>
        </w:rPr>
      </w:pPr>
      <w:r>
        <w:rPr>
          <w:rFonts w:ascii="Times New Roman" w:hAnsi="Times New Roman" w:cs="Times New Roman"/>
          <w:noProof/>
          <w:sz w:val="24"/>
          <w:szCs w:val="24"/>
          <w:lang w:val="fr-FR"/>
        </w:rPr>
        <w:t>Article 6, deuxième alinéa:</w:t>
      </w:r>
    </w:p>
    <w:p>
      <w:pPr>
        <w:ind w:left="1440" w:hanging="1440"/>
        <w:rPr>
          <w:rFonts w:ascii="Times New Roman" w:hAnsi="Times New Roman" w:cs="Times New Roman"/>
          <w:noProof/>
          <w:sz w:val="24"/>
          <w:szCs w:val="24"/>
          <w:lang w:val="fr-FR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val="fr-FR"/>
        </w:rPr>
        <w:t>au lieu de:</w:t>
      </w:r>
      <w:r>
        <w:rPr>
          <w:rFonts w:ascii="Times New Roman" w:hAnsi="Times New Roman" w:cs="Times New Roman"/>
          <w:i/>
          <w:noProof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fr-FR"/>
        </w:rPr>
        <w:t>«Le présent règlement s’applique à compter de la première date visée à l’article 93, paragraphe 1, deuxième alinéa, de la directive 2014/65/UE.»</w:t>
      </w:r>
    </w:p>
    <w:p>
      <w:pPr>
        <w:ind w:left="720" w:hanging="720"/>
        <w:rPr>
          <w:rFonts w:ascii="Times New Roman" w:hAnsi="Times New Roman" w:cs="Times New Roman"/>
          <w:noProof/>
          <w:sz w:val="24"/>
          <w:szCs w:val="24"/>
          <w:lang w:val="fr-FR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val="fr-FR"/>
        </w:rPr>
        <w:t>lire:</w:t>
      </w:r>
      <w:r>
        <w:rPr>
          <w:rFonts w:ascii="Times New Roman" w:hAnsi="Times New Roman" w:cs="Times New Roman"/>
          <w:i/>
          <w:noProof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i/>
          <w:noProof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fr-FR"/>
        </w:rPr>
        <w:t>«Il s’applique à compter du 3 janvier 2018.».</w:t>
      </w:r>
    </w:p>
    <w:p>
      <w:pPr>
        <w:rPr>
          <w:noProof/>
          <w:lang w:val="fr-FR"/>
        </w:rPr>
      </w:pPr>
    </w:p>
    <w:sectPr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 w:code="9"/>
      <w:pgMar w:top="1927" w:right="680" w:bottom="1474" w:left="850" w:header="680" w:footer="624" w:gutter="0"/>
      <w:cols w:space="720"/>
      <w:docGrid w:linePitch="2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5253772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0057425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revisionView w:markup="0"/>
  <w:defaultTabStop w:val="720"/>
  <w:drawingGridHorizontalSpacing w:val="74"/>
  <w:drawingGridVerticalSpacing w:val="109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CONFIDENCE" w:val=" "/>
    <w:docVar w:name="LW_CONST_RESTREINT_UE" w:val="RESTREINT UE"/>
    <w:docVar w:name="LW_COVERPAGE_GUID" w:val="3A490D7480CB42659BE3085AF20E0997"/>
    <w:docVar w:name="LW_CROSSREFERENCE" w:val="&lt;UNUSED&gt;"/>
    <w:docVar w:name="LW_DATE.ADOPT.CP" w:val="du 15.3.2017"/>
    <w:docVar w:name="LW_DATE.ADOPT.CP_ISODATE" w:val="2017-03-15"/>
    <w:docVar w:name="LW_DocType" w:val="NORMAL"/>
    <w:docVar w:name="LW_EMISSION" w:val="15.3.2017"/>
    <w:docVar w:name="LW_EMISSION_ISODATE" w:val="2017-03-15"/>
    <w:docVar w:name="LW_EMISSION_LOCATION" w:val="BRX"/>
    <w:docVar w:name="LW_EMISSION_PREFIX" w:val="Bruxelles, le "/>
    <w:docVar w:name="LW_EMISSION_SUFFIX" w:val=" "/>
    <w:docVar w:name="LW_ID_DOCTYPE_NONLW" w:val="CP-034"/>
    <w:docVar w:name="LW_LANGUE" w:val="FR"/>
    <w:docVar w:name="LW_MARKING" w:val="&lt;UNUSED&gt;"/>
    <w:docVar w:name="LW_NOM.INST" w:val="COMMISSION EUROPÉENNE"/>
    <w:docVar w:name="LW_NOM.INST_JOINTDOC" w:val="&lt;EMPTY&gt;"/>
    <w:docVar w:name="LW_PART_NBR" w:val="1"/>
    <w:docVar w:name="LW_PART_NBR_TOTAL" w:val="1"/>
    <w:docVar w:name="LW_REF.INST.NEW" w:val="C"/>
    <w:docVar w:name="LW_REF.INST.NEW_ADOPTED" w:val="final"/>
    <w:docVar w:name="LW_REF.INST.NEW_TEXT" w:val="(2017) 1856"/>
    <w:docVar w:name="LW_REF.INTERNE" w:val="&lt;UNUSED&gt;"/>
    <w:docVar w:name="LW_SOUS.TITRE.OBJ.CP" w:val="&lt;UNUSED&gt;"/>
    <w:docVar w:name="LW_SUPERTITRE" w:val="&lt;UNUSED&gt;"/>
    <w:docVar w:name="LW_TITRE.OBJ.CP" w:val="au règlement délégué de la Commission du 14 juillet 2016 complétant la directive 2014/65/UE du Parlement européen et du Conseil par des normes techniques de réglementation concernant le régime de pas de cotation pour les actions, les certificats représentatifs et les fonds cotés_x000b__x000b_C(2016) 4389 final"/>
    <w:docVar w:name="LW_TYPE.DOC.CP" w:val="RECTIFICATIF"/>
    <w:docVar w:name="LW_TYPE.DOC.CP.USERTEXT" w:val="&lt;EMPTY&gt;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Titreobjet">
    <w:name w:val="Titre objet"/>
    <w:basedOn w:val="Normal"/>
    <w:next w:val="Normal"/>
    <w:pPr>
      <w:spacing w:before="360" w:after="360" w:line="240" w:lineRule="auto"/>
      <w:jc w:val="center"/>
    </w:pPr>
    <w:rPr>
      <w:rFonts w:ascii="Times New Roman" w:hAnsi="Times New Roman" w:cs="Times New Roman"/>
      <w:b/>
      <w:sz w:val="24"/>
    </w:rPr>
  </w:style>
  <w:style w:type="paragraph" w:customStyle="1" w:styleId="Typedudocument">
    <w:name w:val="Type du document"/>
    <w:basedOn w:val="Normal"/>
    <w:next w:val="Titreobjet"/>
    <w:pPr>
      <w:spacing w:before="360" w:after="0" w:line="240" w:lineRule="auto"/>
      <w:jc w:val="center"/>
    </w:pPr>
    <w:rPr>
      <w:rFonts w:ascii="Times New Roman" w:hAnsi="Times New Roman" w:cs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Titreobjet">
    <w:name w:val="Titre objet"/>
    <w:basedOn w:val="Normal"/>
    <w:next w:val="Normal"/>
    <w:pPr>
      <w:spacing w:before="360" w:after="360" w:line="240" w:lineRule="auto"/>
      <w:jc w:val="center"/>
    </w:pPr>
    <w:rPr>
      <w:rFonts w:ascii="Times New Roman" w:hAnsi="Times New Roman" w:cs="Times New Roman"/>
      <w:b/>
      <w:sz w:val="24"/>
    </w:rPr>
  </w:style>
  <w:style w:type="paragraph" w:customStyle="1" w:styleId="Typedudocument">
    <w:name w:val="Type du document"/>
    <w:basedOn w:val="Normal"/>
    <w:next w:val="Titreobjet"/>
    <w:pPr>
      <w:spacing w:before="360" w:after="0" w:line="240" w:lineRule="auto"/>
      <w:jc w:val="center"/>
    </w:pPr>
    <w:rPr>
      <w:rFonts w:ascii="Times New Roman" w:hAnsi="Times New Roman" w:cs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microsoft.com/office/2007/relationships/stylesWithEffects" Target="stylesWithEffects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163</Words>
  <Characters>865</Characters>
  <Application>Microsoft Office Word</Application>
  <DocSecurity>0</DocSecurity>
  <Lines>21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28</cp:revision>
  <cp:lastPrinted>2017-03-14T07:43:00Z</cp:lastPrinted>
  <dcterms:created xsi:type="dcterms:W3CDTF">2017-03-10T10:05:00Z</dcterms:created>
  <dcterms:modified xsi:type="dcterms:W3CDTF">2017-03-15T15:43:00Z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">
    <vt:lpwstr>1</vt:lpwstr>
  </property>
  <property fmtid="{D5CDD505-2E9C-101B-9397-08002B2CF9AE}" pid="3" name="Total parts">
    <vt:lpwstr>1</vt:lpwstr>
  </property>
  <property fmtid="{D5CDD505-2E9C-101B-9397-08002B2CF9AE}" pid="4" name="Classification">
    <vt:lpwstr> </vt:lpwstr>
  </property>
  <property fmtid="{D5CDD505-2E9C-101B-9397-08002B2CF9AE}" pid="5" name="DocStatus">
    <vt:lpwstr>Green</vt:lpwstr>
  </property>
</Properties>
</file>