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035088406FF649438F1684AEC8FDB562" style="width:450.4pt;height:393.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417" w:bottom="1134" w:left="1417" w:header="709" w:footer="709" w:gutter="0"/>
          <w:pgNumType w:start="1"/>
          <w:cols w:space="720"/>
          <w:docGrid w:linePitch="299"/>
        </w:sectPr>
      </w:pPr>
    </w:p>
    <w:p>
      <w:pPr>
        <w:pStyle w:val="Typedudocument"/>
        <w:rPr>
          <w:noProof/>
        </w:rPr>
      </w:pPr>
      <w:bookmarkStart w:id="1" w:name="_GoBack"/>
      <w:bookmarkEnd w:id="1"/>
      <w:r>
        <w:rPr>
          <w:noProof/>
        </w:rPr>
        <w:lastRenderedPageBreak/>
        <w:t>ПОПРАВКА</w:t>
      </w:r>
    </w:p>
    <w:p>
      <w:pPr>
        <w:pStyle w:val="Titreobjet"/>
        <w:rPr>
          <w:noProof/>
        </w:rPr>
      </w:pPr>
      <w:r>
        <w:rPr>
          <w:noProof/>
        </w:rPr>
        <w:t xml:space="preserve">на Делегиран регламент на Комисията от 14 юли 2016 година за допълване на Директива 2014/65/ЕС на Европейския парламент и на Съвета по отношение на регулаторните технически стандарти във връзка с режимите за стъпки на котиране за акции, депозитарни разписки и борсово търгувани фондове </w:t>
      </w:r>
      <w:r>
        <w:rPr>
          <w:noProof/>
        </w:rPr>
        <w:br/>
      </w:r>
      <w:r>
        <w:rPr>
          <w:noProof/>
        </w:rPr>
        <w:br/>
        <w:t>C(2016) 4389 final</w:t>
      </w:r>
    </w:p>
    <w:p>
      <w:pPr>
        <w:rPr>
          <w:rFonts w:ascii="Times New Roman" w:hAnsi="Times New Roman"/>
          <w:noProof/>
          <w:sz w:val="24"/>
        </w:rPr>
        <w:sectPr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927" w:right="680" w:bottom="1474" w:left="850" w:header="680" w:footer="624" w:gutter="0"/>
          <w:pgNumType w:start="2"/>
          <w:cols w:space="720"/>
          <w:docGrid w:linePitch="218"/>
        </w:sectPr>
      </w:pP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член 2, параграф 1, буква а):</w:t>
      </w: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вместо: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„а)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обхвата на ликвидността в таблицата в приложението, съответстващ на обхвата на среднодневния брой сделки на най-относимия пазар по отношение на ликвидността за този инструмент; както и“</w:t>
      </w: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 xml:space="preserve">да се чете:  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„а)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обхвата на ликвидността в таблицата в приложението, съответстващ на среднодневния брой сделки на най-относимия пазар по отношение на ликвидността за този инструмент; както и“.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член 6, втората алинея:</w:t>
      </w: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>вместо: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„Той се прилага от първата от посочените в член 93, параграф 1, втора алинея от Директива 2014/65/ЕС дати.“</w:t>
      </w: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</w:rPr>
        <w:t xml:space="preserve">да се чете:  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„Той се прилага от 3 януари 2018 г.“.</w:t>
      </w:r>
    </w:p>
    <w:p>
      <w:pPr>
        <w:rPr>
          <w:noProof/>
        </w:rPr>
      </w:pPr>
    </w:p>
    <w:sectPr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927" w:right="680" w:bottom="1474" w:left="850" w:header="680" w:footer="624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62386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4420193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revisionView w:markup="0"/>
  <w:defaultTabStop w:val="720"/>
  <w:drawingGridHorizontalSpacing w:val="74"/>
  <w:drawingGridVerticalSpacing w:val="10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CONFIDENCE" w:val=" "/>
    <w:docVar w:name="LW_CONST_RESTREINT_UE" w:val="RESTREINT UE"/>
    <w:docVar w:name="LW_COVERPAGE_GUID" w:val="035088406FF649438F1684AEC8FDB562"/>
    <w:docVar w:name="LW_CROSSREFERENCE" w:val="&lt;UNUSED&gt;"/>
    <w:docVar w:name="LW_DATE.ADOPT.CP" w:val="\u1086?\u1090? 15.3.2017 \u1075?\u1086?\u1076?\u1080?\u1085?\u1072?"/>
    <w:docVar w:name="LW_DATE.ADOPT.CP_ISODATE" w:val="2017-03-15"/>
    <w:docVar w:name="LW_DocType" w:val="NORMAL"/>
    <w:docVar w:name="LW_EMISSION" w:val="15.3.2017"/>
    <w:docVar w:name="LW_EMISSION_ISODATE" w:val="2017-03-15"/>
    <w:docVar w:name="LW_EMISSION_LOCATION" w:val="BRX"/>
    <w:docVar w:name="LW_EMISSION_PREFIX" w:val="Брюксел, "/>
    <w:docVar w:name="LW_EMISSION_SUFFIX" w:val=" \u1075?."/>
    <w:docVar w:name="LW_ID_DOCTYPE_NONLW" w:val="CP-034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"/>
    <w:docVar w:name="LW_REF.INST.NEW_ADOPTED" w:val="final"/>
    <w:docVar w:name="LW_REF.INST.NEW_TEXT" w:val="(2017) 1856"/>
    <w:docVar w:name="LW_REF.INTERNE" w:val="&lt;UNUSED&gt;"/>
    <w:docVar w:name="LW_SOUS.TITRE.OBJ.CP" w:val="&lt;UNUSED&gt;"/>
    <w:docVar w:name="LW_SUPERTITRE" w:val="&lt;UNUSED&gt;"/>
    <w:docVar w:name="LW_TITRE.OBJ.CP" w:val="\u1085?\u1072? \u1044?\u1077?\u1083?\u1077?\u1075?\u1080?\u1088?\u1072?\u1085? \u1088?\u1077?\u1075?\u1083?\u1072?\u1084?\u1077?\u1085?\u1090? \u1085?\u1072? \u1050?\u1086?\u1084?\u1080?\u1089?\u1080?\u1103?\u1090?\u1072? \u1086?\u1090? 14 \u1102?\u1083?\u1080? 2016 \u1075?\u1086?\u1076?\u1080?\u1085?\u1072? \u1079?\u1072? \u1076?\u1086?\u1087?\u1098?\u1083?\u1074?\u1072?\u1085?\u1077? \u1085?\u1072? \u1044?\u1080?\u1088?\u1077?\u1082?\u1090?\u1080?\u1074?\u1072? 2014/65/\u1045?\u1057? \u1085?\u1072? \u1045?\u1074?\u1088?\u1086?\u1087?\u1077?\u1081?\u1089?\u1082?\u1080?\u1103? \u1087?\u1072?\u1088?\u1083?\u1072?\u1084?\u1077?\u1085?\u1090? \u1080? \u1085?\u1072? \u1057?\u1098?\u1074?\u1077?\u1090?\u1072? \u1087?\u1086? \u1086?\u1090?\u1085?\u1086?\u1096?\u1077?\u1085?\u1080?\u1077? \u1085?\u1072? \u1088?\u1077?\u1075?\u1091?\u1083?\u1072?\u1090?\u1086?\u1088?\u1085?\u1080?\u1090?\u1077? \u1090?\u1077?\u1093?\u1085?\u1080?\u1095?\u1077?\u1089?\u1082?\u1080? \u1089?\u1090?\u1072?\u1085?\u1076?\u1072?\u1088?\u1090?\u1080? \u1074?\u1098?\u1074? \u1074?\u1088?\u1098?\u1079?\u1082?\u1072? \u1089? \u1088?\u1077?\u1078?\u1080?\u1084?\u1080?\u1090?\u1077? \u1079?\u1072? \u1089?\u1090?\u1098?\u1087?\u1082?\u1080? \u1085?\u1072? \u1082?\u1086?\u1090?\u1080?\u1088?\u1072?\u1085?\u1077? \u1079?\u1072? \u1072?\u1082?\u1094?\u1080?\u1080?, \u1076?\u1077?\u1087?\u1086?\u1079?\u1080?\u1090?\u1072?\u1088?\u1085?\u1080? \u1088?\u1072?\u1079?\u1087?\u1080?\u1089?\u1082?\u1080? \u1080? \u1073?\u1086?\u1088?\u1089?\u1086?\u1074?\u1086? \u1090?\u1098?\u1088?\u1075?\u1091?\u1074?\u1072?\u1085?\u1080? \u1092?\u1086?\u1085?\u1076?\u1086?\u1074?\u1077? _x000b__x000b_C(2016) 4389 final"/>
    <w:docVar w:name="LW_TYPE.DOC.CP" w:val="\u1055?\u1054?\u1055?\u1056?\u1040?\u1042?\u1050?\u1040?"/>
    <w:docVar w:name="LW_TYPE.DOC.CP.USERTEXT" w:val="&lt;EMPTY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146</Words>
  <Characters>794</Characters>
  <Application>Microsoft Office Word</Application>
  <DocSecurity>0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21</cp:revision>
  <dcterms:created xsi:type="dcterms:W3CDTF">2017-03-10T10:05:00Z</dcterms:created>
  <dcterms:modified xsi:type="dcterms:W3CDTF">2017-03-15T15:44:00Z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Classification">
    <vt:lpwstr> </vt:lpwstr>
  </property>
  <property fmtid="{D5CDD505-2E9C-101B-9397-08002B2CF9AE}" pid="5" name="DocStatus">
    <vt:lpwstr>Green</vt:lpwstr>
  </property>
</Properties>
</file>