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03712752E244A5A890AD09F01EC339C" style="width:450.75pt;height:393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code="9"/>
          <w:pgMar w:top="1134" w:right="1417" w:bottom="1134" w:left="1417" w:header="709" w:footer="709" w:gutter="0"/>
          <w:pgNumType w:start="1"/>
          <w:cols w:space="720"/>
          <w:docGrid w:linePitch="299"/>
        </w:sectPr>
      </w:pPr>
    </w:p>
    <w:p>
      <w:pPr>
        <w:pStyle w:val="Typedudocument"/>
        <w:rPr>
          <w:noProof/>
        </w:rPr>
      </w:pPr>
      <w:bookmarkStart w:id="1" w:name="_GoBack"/>
      <w:bookmarkEnd w:id="1"/>
      <w:r>
        <w:rPr>
          <w:noProof/>
        </w:rPr>
        <w:lastRenderedPageBreak/>
        <w:t>CORRIGENDUM</w:t>
      </w:r>
    </w:p>
    <w:p>
      <w:pPr>
        <w:pStyle w:val="Titreobjet"/>
        <w:rPr>
          <w:noProof/>
        </w:rPr>
      </w:pPr>
      <w:r>
        <w:rPr>
          <w:noProof/>
        </w:rPr>
        <w:t>to the Commission Delegated Regulation of 14 July 2016 supplementing Directive 2014/65/EU of the European Parliament and of the Council with regard to regulatory technical standards on the tick size regime for shares, depositary receipts and exchange traded funds</w:t>
      </w:r>
      <w:r>
        <w:rPr>
          <w:noProof/>
        </w:rPr>
        <w:br/>
      </w:r>
      <w:r>
        <w:rPr>
          <w:noProof/>
        </w:rPr>
        <w:br/>
        <w:t>C(2016) 4389 final</w:t>
      </w:r>
    </w:p>
    <w:p>
      <w:pPr>
        <w:rPr>
          <w:rFonts w:ascii="Times New Roman" w:hAnsi="Times New Roman" w:cs="Times New Roman"/>
          <w:noProof/>
          <w:sz w:val="24"/>
          <w:szCs w:val="24"/>
        </w:rPr>
      </w:pPr>
      <w:r>
        <w:rPr>
          <w:rFonts w:ascii="Times New Roman" w:hAnsi="Times New Roman" w:cs="Times New Roman"/>
          <w:noProof/>
          <w:sz w:val="24"/>
          <w:szCs w:val="24"/>
        </w:rPr>
        <w:t>Article 2(1)(a):</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i/>
          <w:noProof/>
          <w:sz w:val="24"/>
          <w:szCs w:val="24"/>
        </w:rPr>
        <w:tab/>
      </w:r>
      <w:r>
        <w:rPr>
          <w:rFonts w:ascii="Times New Roman" w:hAnsi="Times New Roman" w:cs="Times New Roman"/>
          <w:noProof/>
          <w:sz w:val="24"/>
          <w:szCs w:val="24"/>
        </w:rPr>
        <w:t>'(a)</w:t>
      </w:r>
      <w:r>
        <w:rPr>
          <w:rFonts w:ascii="Times New Roman" w:hAnsi="Times New Roman" w:cs="Times New Roman"/>
          <w:noProof/>
          <w:sz w:val="24"/>
          <w:szCs w:val="24"/>
        </w:rPr>
        <w:tab/>
        <w:t>the liquidity band in the table in the Annex corresponding to the range of average daily number of transactions in the most relevant market in terms of liquidity for that instrument; and'</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 xml:space="preserve">read:  </w:t>
      </w:r>
      <w:r>
        <w:rPr>
          <w:rFonts w:ascii="Times New Roman" w:hAnsi="Times New Roman" w:cs="Times New Roman"/>
          <w:i/>
          <w:noProof/>
          <w:sz w:val="24"/>
          <w:szCs w:val="24"/>
        </w:rPr>
        <w:tab/>
      </w:r>
      <w:r>
        <w:rPr>
          <w:rFonts w:ascii="Times New Roman" w:hAnsi="Times New Roman" w:cs="Times New Roman"/>
          <w:noProof/>
          <w:sz w:val="24"/>
          <w:szCs w:val="24"/>
        </w:rPr>
        <w:t>'(a)</w:t>
      </w:r>
      <w:r>
        <w:rPr>
          <w:rFonts w:ascii="Times New Roman" w:hAnsi="Times New Roman" w:cs="Times New Roman"/>
          <w:noProof/>
          <w:sz w:val="24"/>
          <w:szCs w:val="24"/>
        </w:rPr>
        <w:tab/>
        <w:t>the liquidity band in the table in the Annex corresponding to the average daily number of transactions in the most relevant market in terms of liquidity for that instrument; and'</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Article 6, second paragraph:</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i/>
          <w:noProof/>
          <w:sz w:val="24"/>
          <w:szCs w:val="24"/>
        </w:rPr>
        <w:tab/>
      </w:r>
      <w:r>
        <w:rPr>
          <w:rFonts w:ascii="Times New Roman" w:hAnsi="Times New Roman" w:cs="Times New Roman"/>
          <w:noProof/>
          <w:sz w:val="24"/>
          <w:szCs w:val="24"/>
        </w:rPr>
        <w:t>'This Regulation shall apply from the date that appears first in the second subparagraph of Article 93(1) of Directive 65/2014/EU.'</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 xml:space="preserve">read:  </w:t>
      </w:r>
      <w:r>
        <w:rPr>
          <w:rFonts w:ascii="Times New Roman" w:hAnsi="Times New Roman" w:cs="Times New Roman"/>
          <w:i/>
          <w:noProof/>
          <w:sz w:val="24"/>
          <w:szCs w:val="24"/>
        </w:rPr>
        <w:tab/>
        <w:t xml:space="preserve">' </w:t>
      </w:r>
      <w:r>
        <w:rPr>
          <w:rFonts w:ascii="Times New Roman" w:hAnsi="Times New Roman" w:cs="Times New Roman"/>
          <w:noProof/>
          <w:sz w:val="24"/>
          <w:szCs w:val="24"/>
        </w:rPr>
        <w:t>It shall apply from 3 January 2018.'.</w:t>
      </w: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code="9"/>
      <w:pgMar w:top="1927" w:right="680" w:bottom="1474" w:left="850" w:header="680" w:footer="624" w:gutter="0"/>
      <w:pgNumType w:start="2"/>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623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drawingGridHorizontalSpacing w:val="74"/>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F03712752E244A5A890AD09F01EC339C"/>
    <w:docVar w:name="LW_CROSSREFERENCE" w:val="&lt;UNUSED&gt;"/>
    <w:docVar w:name="LW_DATE.ADOPT.CP" w:val="of 15.3.2017"/>
    <w:docVar w:name="LW_DATE.ADOPT.CP_ISODATE" w:val="2017-03-15"/>
    <w:docVar w:name="LW_DocType" w:val="NORMAL"/>
    <w:docVar w:name="LW_EMISSION" w:val="15.3.2017"/>
    <w:docVar w:name="LW_EMISSION_ISODATE" w:val="2017-03-15"/>
    <w:docVar w:name="LW_EMISSION_LOCATION" w:val="BRX"/>
    <w:docVar w:name="LW_EMISSION_PREFIX" w:val="Brussels, "/>
    <w:docVar w:name="LW_EMISSION_SUFFIX" w:val=" "/>
    <w:docVar w:name="LW_ID_DOCTYPE_NONLW" w:val="CP-034"/>
    <w:docVar w:name="LW_LANGUE" w:val="EN"/>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7) 1856"/>
    <w:docVar w:name="LW_REF.INTERNE" w:val="&lt;UNUSED&gt;"/>
    <w:docVar w:name="LW_SOUS.TITRE.OBJ.CP" w:val="&lt;UNUSED&gt;"/>
    <w:docVar w:name="LW_SUPERTITRE" w:val="&lt;UNUSED&gt;"/>
    <w:docVar w:name="LW_TITRE.OBJ.CP" w:val="to the Commission Delegated Regulation of 14 July 2016 supplementing Directive 2014/65/EU of the European Parliament and of the Council with regard to regulatory technical standards on the tick size regime for shares, depositary receipts and exchange traded funds_x000b__x000b_C(2016) 4389 final"/>
    <w:docVar w:name="LW_TYPE.DOC.CP" w:val="CORRIGENDUM"/>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146</Words>
  <Characters>776</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2017-03-10T10:05:00Z</dcterms:created>
  <dcterms:modified xsi:type="dcterms:W3CDTF">2017-03-15T15:43:00Z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