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2C" w:rsidRDefault="009725D2" w:rsidP="009725D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4DF2D9D22114AA1B5DF6091B8855300" style="width:450.75pt;height:555pt">
            <v:imagedata r:id="rId12" o:title=""/>
          </v:shape>
        </w:pict>
      </w:r>
    </w:p>
    <w:bookmarkEnd w:id="0"/>
    <w:p w:rsidR="007B172C" w:rsidRDefault="007B172C">
      <w:pPr>
        <w:rPr>
          <w:noProof/>
        </w:rPr>
        <w:sectPr w:rsidR="007B172C" w:rsidSect="009725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Style w:val="TableGrid"/>
        <w:tblpPr w:leftFromText="141" w:rightFromText="141" w:vertAnchor="page" w:horzAnchor="margin" w:tblpY="976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7B172C" w:rsidRDefault="001A49D4" w:rsidP="009725D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Обобщенa оценка на въздействието</w:t>
            </w:r>
          </w:p>
        </w:tc>
      </w:tr>
      <w:tr w:rsidR="007B172C" w:rsidTr="009725D2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B172C" w:rsidRDefault="001A49D4" w:rsidP="009725D2">
            <w:pPr>
              <w:spacing w:before="120" w:after="12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EBEBEB" w:themeColor="background1"/>
                <w:sz w:val="20"/>
              </w:rPr>
              <w:t xml:space="preserve">Оценка на въздействието на предложенията за изменение на Регламент (ЕС) № 575/2013 относно пруденциалните изисквания за кредитните институции и инвестиционните посредници, Директива 2013/36/ЕС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посредници, Директива 2014/59/ЕС за създаване на рамка за възстановяване и преструктуриране на кредитни институции и инвестиционни посредници, Регламент (ЕС) № 806/2014 на Европейския парламент и на Съвета от 15 юли 2014 г.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 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7B172C" w:rsidRDefault="001A49D4" w:rsidP="009725D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А. Необходимост от действие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7B172C" w:rsidRDefault="001A49D4" w:rsidP="009725D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11 реда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 w:rsidP="00972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В интерес на финансовата стабилност и програмата на Комисията за работни места и растеж е налице спешна нужда от разглеждане на редица недостатъци в съществуващата регулаторна рамка, прилагане на редица международни мерки, приети след кризата, както и спешно допълване на инициативите във връзка с банковия съюз.  По-конкретно, в момента са налице значителни рискове за финансовата стабилност и тревожна липса на стабилно банково финансиране на икономиката. Освен това е необходимо да се направи повече, за да се гарантира, че данъкоплатците повече няма да бъдат обременявани с неплатежоспособността на „твърде големите, за да фалират“ институции. Много са важни също така опитите да се намали, където е възможно, прекомерното регулиране и бремето, което налага спазването на нормативната уредба. </w:t>
            </w:r>
          </w:p>
          <w:p w:rsidR="007B172C" w:rsidRDefault="007B172C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B172C" w:rsidRDefault="001A49D4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Тези проблеми могат да се дължат отчасти на следните фактори: </w:t>
            </w:r>
          </w:p>
          <w:p w:rsidR="007B172C" w:rsidRDefault="001A49D4" w:rsidP="009725D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риск от прекомерно разчитане на краткосрочното междубанково финансиране за финансиране на дългосрочни дейности; </w:t>
            </w:r>
          </w:p>
          <w:p w:rsidR="007B172C" w:rsidRDefault="001A49D4" w:rsidP="009725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риск от прекомерен ливъридж на институциите;</w:t>
            </w:r>
          </w:p>
          <w:p w:rsidR="007B172C" w:rsidRDefault="001A49D4" w:rsidP="009725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неоптимални капиталови изисквания за експозициите към МСП;</w:t>
            </w:r>
          </w:p>
          <w:p w:rsidR="007B172C" w:rsidRDefault="001A49D4" w:rsidP="009725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риск от неконтролирани фалити на системно значими институции;</w:t>
            </w:r>
          </w:p>
          <w:p w:rsidR="007B172C" w:rsidRDefault="001A49D4" w:rsidP="009725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възможни фалити поради неадекватни капиталови изисквания към институциите; както и</w:t>
            </w:r>
          </w:p>
          <w:p w:rsidR="007B172C" w:rsidRDefault="001A49D4" w:rsidP="009725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недостатъчна хармонизация на някои разпоредби относно преструктурирането (например на отнасящите се до реда на вземанията при несъстоятелност и мораториума). </w:t>
            </w:r>
          </w:p>
          <w:p w:rsidR="007B172C" w:rsidRDefault="007B172C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 w:rsidP="009725D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8 реда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 w:rsidP="009725D2">
            <w:pPr>
              <w:pStyle w:val="Text2"/>
              <w:spacing w:after="0"/>
              <w:ind w:left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На първо място с инициативата се цели да се отговори на горепосочените въпроси. По този начин с нея също така ще се засили отчитането на риска и чувствителността към риска в рамките на пруденциалната рамка, ще се подобри капацитетът за поемане на загуби и за рекапитализация на Г-СЗБ, както и ще се увеличи пропорционалността. Освен това се смята, че инициативата ще намали административното бреме и разходите за съблюдаване на нормативната уредба, както и възможностите за арбитраж на риска, като същевременно се подобри конкурентната равнопоставеност и произтичащите от това по-голяма правна сигурност и съгласуваност. 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 w:rsidP="009725D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Какво предимство има предприемането на действие на равнище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7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Необходимо е действие на равнище ЕС, тъй като пруденциалните изисквания за институциите вече са въведени на равнище ЕС. Така за най-добър вариант се приема изменение на правните инструменти на РКИ, ДКИ и ДВПБ (вж. като правно основание член 114 от ДФЕС за РКИ и ДВПБ и член 53, параграф 1 от ДФЕС за ДКИ). Допълнителните действия на равнище ЕС ще насърчат еднаквото прилагане на регулаторните стандарти и сближаването на надзорните практики. Те също така ще осигурят равни условия на конкуренция в целия ЕС, което е важно, тъй като банките — макар и с различен географски обхват — извършват дейност на пазари с по-широк географски обхват и могат свободно да предоставят услуги и да се установяват в други държави членки. Държавите членки и националните компетентни органи обаче ще запазят съществуващите правомощия с оглед на специфични национални икономически и финансови характеристики (макропруденциални политики и буфери за системен риск).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7B172C" w:rsidRDefault="001A49D4" w:rsidP="009725D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 w:rsidP="009725D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Кои законодателни и незаконодателни варианти бяха разгледани?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 xml:space="preserve">Има ли предпочитан вариант? Защо?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14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7B172C" w:rsidTr="009725D2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 w:rsidP="009725D2">
            <w:pPr>
              <w:spacing w:before="2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За всички аспекти на предложенията бяха разгледани както законодателни, така и незаконодателни варианти. Въпреки това, в интерес на правната сигурност и за да се способства за постигането на равнопоставени условия на конкуренция в ЕС и в световен мащаб, ще бъде необходимо, особено във връзка с прилагането на международните стандарти, приети от Базелския комитет по банков надзор (БКБН) и Съвета за финансова стабилност (СФС), предложенията да бъдат приложени като </w:t>
            </w: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законодателни варианти.</w:t>
            </w:r>
          </w:p>
          <w:p w:rsidR="007B172C" w:rsidRDefault="001A49D4" w:rsidP="009725D2">
            <w:pPr>
              <w:spacing w:before="2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Аналогично, новото калибриране на капиталовите изисквания за експозициите към МСП, което подпомага целта на Комисията в областта на растежа и работните места, може да се постигне единствено чрез изменение на РКИ.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  <w:p w:rsidR="007B172C" w:rsidRDefault="007B172C" w:rsidP="009725D2">
            <w:pPr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:rsidR="007B172C" w:rsidRDefault="001A49D4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Освен това, що се отнася до целта за пропорционалност, промените в правния текст ще бъдат задължителни. Тези промени включват премахване на някои задължения от съществуващото законодателство (напр. намаляване на някои изисквания за оповестяване за по-малко значимите институции: освобождаване на по-малките и опростени институции от някои изисквания във връзка с възнагражденията) или невъвеждане на правни изисквания за някои институции (напр. поставяне само на глобалните системно значими институции (Г-СЗИ) в обхвата на изискването ОКПЗ, както и изключване на публичните банки за развитие от изискването за отношението на ливъридж).</w:t>
            </w:r>
          </w:p>
          <w:p w:rsidR="007B172C" w:rsidRDefault="007B172C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B172C" w:rsidRDefault="001A49D4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Освен това е необходимо да се обърне внимание на липсата на хармонизация в разпоредбите относно преструктурирането, което може да бъде постигнато единствено чрез въвеждането на варианти, които способстват за по-голяма съгласуваност в прилагането на инструментите за мораториум и доуточняват реда на вземанията на кредиторите на институциите при несъстоятелност.</w:t>
            </w:r>
          </w:p>
          <w:p w:rsidR="007B172C" w:rsidRDefault="007B172C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B172C" w:rsidTr="009725D2">
        <w:tc>
          <w:tcPr>
            <w:tcW w:w="10188" w:type="dxa"/>
            <w:shd w:val="clear" w:color="auto" w:fill="CCCCCC"/>
          </w:tcPr>
          <w:p w:rsidR="007B172C" w:rsidRDefault="001A49D4" w:rsidP="009725D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 xml:space="preserve">Кой подкрепя отделните варианти?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7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7B172C" w:rsidTr="009725D2">
        <w:tc>
          <w:tcPr>
            <w:tcW w:w="10188" w:type="dxa"/>
            <w:shd w:val="clear" w:color="auto" w:fill="auto"/>
          </w:tcPr>
          <w:p w:rsidR="007B172C" w:rsidRDefault="001A49D4" w:rsidP="009725D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 по-голямата част от предложенията, разгледани в оценката на въздействието, институциите обикновено се застъпват за намаляване на пруденциалните изисквания, а надзорните органи защитават по-предпазливия подход, отразен в стандартите на БКБН. Предприятията, особено МСП, се застъпват за продължаване на намаляването на капиталовите изисквания за експозиции към МСП.</w:t>
            </w:r>
          </w:p>
          <w:p w:rsidR="007B172C" w:rsidRDefault="001A49D4" w:rsidP="009725D2">
            <w:pPr>
              <w:spacing w:before="2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Въпреки това, както бизнесът, така и надзорните органи почти единодушно подкрепят изясняване на прилагането по отношение на възнагражденията на принципа на пропорционалност.</w:t>
            </w:r>
          </w:p>
        </w:tc>
      </w:tr>
    </w:tbl>
    <w:p w:rsidR="007B172C" w:rsidRDefault="007B172C">
      <w:pPr>
        <w:rPr>
          <w:rFonts w:ascii="Arial" w:hAnsi="Arial" w:cs="Arial"/>
          <w:noProof/>
          <w:sz w:val="12"/>
          <w:szCs w:val="12"/>
        </w:rPr>
      </w:pPr>
    </w:p>
    <w:p w:rsidR="007B172C" w:rsidRDefault="007B172C">
      <w:pPr>
        <w:rPr>
          <w:rFonts w:ascii="Arial" w:hAnsi="Arial" w:cs="Arial"/>
          <w:noProof/>
          <w:sz w:val="12"/>
          <w:szCs w:val="12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7B172C" w:rsidRDefault="001A49D4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избрания вариант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Кои са ползите от предпочетения вариант (ако има такъв;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12 реда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Прилагането на различните предпочетени варианти ще гарантира, че институциите на ЕС i) са по-добре капитализирани; ii) имат по-стабилни източници на финансиране; iii) не са прекомерно задлъжнели; и iv) могат по-ефективно да бъдат преструктурирани. Така те ще бъдат по-устойчиви на икономически сътресения. Това от своя страна ще намали риска от изпадането им в неплатежоспособност и оттам — вероятността, че ще се наложи да бъдат спасявани от публичния сектор. Ако дадена институция (в частност Г-СЗИ) изпадне в неплатежоспособност, въвеждането на целенасочени мерки за укрепване на процеса на преструктуриране ще гарантира, че институцията ще бъде преструктурирана с минимално въздействие върху данъкоплатците.</w:t>
            </w:r>
          </w:p>
          <w:p w:rsidR="007B172C" w:rsidRDefault="001A49D4">
            <w:pPr>
              <w:spacing w:before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2" w:name="_Toc457218461"/>
            <w:bookmarkStart w:id="3" w:name="_Toc457218462"/>
            <w:bookmarkStart w:id="4" w:name="_Toc457218463"/>
            <w:bookmarkStart w:id="5" w:name="_Toc457218464"/>
            <w:bookmarkStart w:id="6" w:name="_Toc457218465"/>
            <w:bookmarkEnd w:id="2"/>
            <w:bookmarkEnd w:id="3"/>
            <w:bookmarkEnd w:id="4"/>
            <w:bookmarkEnd w:id="5"/>
            <w:bookmarkEnd w:id="6"/>
            <w:r>
              <w:rPr>
                <w:rFonts w:ascii="Arial" w:hAnsi="Arial"/>
                <w:noProof/>
                <w:sz w:val="20"/>
              </w:rPr>
              <w:t>Освен това допълнителните мерки за увеличаване на пропорционалността на някои от изискванията (свързани с докладването, оповестяването и възнагражденията) ще облекчат административното бреме за по-малките или опростени институции и ще намалят разходите им за съблюдаване на нормативната уредба. Също така мерките, разглеждани в контекста на преструктурирането на банки, ще дадат правна яснота и оттам — по-голяма сигурност за органите за преструктуриране и за институциите, като това ще повиши и доверието на инвеститорите.</w:t>
            </w:r>
            <w:r>
              <w:rPr>
                <w:rFonts w:ascii="Arial" w:hAnsi="Arial"/>
                <w:i/>
                <w:noProof/>
                <w:sz w:val="20"/>
              </w:rPr>
              <w:t xml:space="preserve">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предпочетения вариант (ако има такъв;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12 реда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Когато дадена институция не разполага с достатъчно собствени средства, за да изпълни новите (или изменените) капиталови изисквания, съдържащи се в предложението, тя ще трябва да набере допълнителни собствени средства или да намали своите експозиции. Аналогично, ако в даден момент институцията не разполага с достатъчен размер стабилно финансиране, за да изпълни изискването за стабилно финансиране, тя ще трябва да набере допълнително стабилно финансиране или да промени падежната структура на активите си. Промените в изискванията ще доведат до еднократни разходи поради промени в системите за докладване. Въпреки това, при по-малките институции по-ниските разходи за периодично докладване поради опростяване на изискванията за докладване и оповестяване ще принесат нетна полза. </w:t>
            </w:r>
          </w:p>
          <w:p w:rsidR="007B172C" w:rsidRDefault="007B172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B172C" w:rsidRDefault="001A49D4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Горепосочените разходи в повечето случай ще се материализират в краткосрочен план, като се очаква те да бъдат компенсирани от дългосрочната полза от стабилизиране на финансовия сектор.</w:t>
            </w:r>
          </w:p>
          <w:p w:rsidR="007B172C" w:rsidRDefault="001A49D4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8 реда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>
            <w:pPr>
              <w:spacing w:before="60" w:after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Предложеното ново калибриране на капиталовите изисквания за банковите експозиции към МСП се </w:t>
            </w:r>
            <w:r>
              <w:rPr>
                <w:rFonts w:ascii="Arial" w:hAnsi="Arial"/>
                <w:noProof/>
                <w:sz w:val="20"/>
              </w:rPr>
              <w:lastRenderedPageBreak/>
              <w:t>очаква да окаже положително влияние върху финансирането на МСП от страна на банките. Това ще подпомогне най-вече тези МСП, които понастоящем имат експозиции над 1,5 милиона евро, тъй като за тези експозиции не се прилага коефициентът за подпомагане на МСП.</w:t>
            </w:r>
          </w:p>
          <w:p w:rsidR="007B172C" w:rsidRDefault="001A49D4">
            <w:pPr>
              <w:spacing w:before="60" w:after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Очаква се други предложени в оценката на въздействието варианти, в частност насочените към повишаване на устойчивостта на банките на бъдещи кризи, да увеличат стабилността на кредитирането на МСП. </w:t>
            </w:r>
          </w:p>
          <w:p w:rsidR="007B172C" w:rsidRDefault="001A49D4">
            <w:pPr>
              <w:spacing w:before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Очаква се също с мерките, насочени към намаляване на разходите на институциите за съблюдаване на нормативната уредба, по-специално на по-малките и опростени институции, да се намалят разходите на МСП за финансиране.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>Ще има ли значимо отражение 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4 реда</w:t>
            </w:r>
          </w:p>
        </w:tc>
      </w:tr>
      <w:tr w:rsidR="007B172C">
        <w:tc>
          <w:tcPr>
            <w:tcW w:w="10188" w:type="dxa"/>
            <w:shd w:val="clear" w:color="auto" w:fill="auto"/>
          </w:tcPr>
          <w:p w:rsidR="007B172C" w:rsidRDefault="001A49D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последствия?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 xml:space="preserve">Максимум 6 реда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>
            <w:pPr>
              <w:pStyle w:val="Text2"/>
              <w:spacing w:after="0"/>
              <w:ind w:left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Други значителни последствия не се предвиждат.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7B172C" w:rsidRDefault="001A49D4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7B172C" w:rsidRDefault="001A49D4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бъде следващото преразглеждане на политиката?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4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7B172C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7B172C" w:rsidRDefault="001A49D4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Оценката на този пакет от мерки се извършва пет години след влизането в сила на законодателството, което е в съответствие с методиката, договорена преди започването на процеса на оценка.</w:t>
            </w:r>
          </w:p>
        </w:tc>
      </w:tr>
    </w:tbl>
    <w:p w:rsidR="007B172C" w:rsidRDefault="007B172C">
      <w:pPr>
        <w:rPr>
          <w:noProof/>
        </w:rPr>
      </w:pPr>
    </w:p>
    <w:sectPr w:rsidR="007B172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614" w:right="567" w:bottom="624" w:left="1134" w:header="284" w:footer="25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2C" w:rsidRDefault="001A49D4">
      <w:r>
        <w:separator/>
      </w:r>
    </w:p>
  </w:endnote>
  <w:endnote w:type="continuationSeparator" w:id="0">
    <w:p w:rsidR="007B172C" w:rsidRDefault="001A49D4">
      <w:r>
        <w:continuationSeparator/>
      </w:r>
    </w:p>
  </w:endnote>
  <w:endnote w:type="continuationNotice" w:id="1">
    <w:p w:rsidR="007B172C" w:rsidRDefault="007B1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D2" w:rsidRPr="009725D2" w:rsidRDefault="009725D2" w:rsidP="00972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D2" w:rsidRPr="009725D2" w:rsidRDefault="009725D2" w:rsidP="009725D2">
    <w:pPr>
      <w:pStyle w:val="FooterCoverPage"/>
      <w:rPr>
        <w:rFonts w:ascii="Arial" w:hAnsi="Arial" w:cs="Arial"/>
        <w:b/>
        <w:sz w:val="48"/>
      </w:rPr>
    </w:pPr>
    <w:r w:rsidRPr="009725D2">
      <w:rPr>
        <w:rFonts w:ascii="Arial" w:hAnsi="Arial" w:cs="Arial"/>
        <w:b/>
        <w:sz w:val="48"/>
      </w:rPr>
      <w:t>BG</w:t>
    </w:r>
    <w:r w:rsidRPr="009725D2">
      <w:rPr>
        <w:rFonts w:ascii="Arial" w:hAnsi="Arial" w:cs="Arial"/>
        <w:b/>
        <w:sz w:val="48"/>
      </w:rPr>
      <w:tab/>
    </w:r>
    <w:r w:rsidRPr="009725D2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725D2">
      <w:tab/>
    </w:r>
    <w:r w:rsidRPr="009725D2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D2" w:rsidRPr="009725D2" w:rsidRDefault="009725D2" w:rsidP="009725D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2C" w:rsidRDefault="007B172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7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72C" w:rsidRDefault="001A4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172C" w:rsidRDefault="007B172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100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72C" w:rsidRDefault="001A4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2C" w:rsidRDefault="007B1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2C" w:rsidRDefault="001A49D4">
      <w:r>
        <w:separator/>
      </w:r>
    </w:p>
  </w:footnote>
  <w:footnote w:type="continuationSeparator" w:id="0">
    <w:p w:rsidR="007B172C" w:rsidRDefault="001A49D4">
      <w:r>
        <w:continuationSeparator/>
      </w:r>
    </w:p>
  </w:footnote>
  <w:footnote w:type="continuationNotice" w:id="1">
    <w:p w:rsidR="007B172C" w:rsidRDefault="007B17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D2" w:rsidRPr="009725D2" w:rsidRDefault="009725D2" w:rsidP="00972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D2" w:rsidRPr="009725D2" w:rsidRDefault="009725D2" w:rsidP="009725D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D2" w:rsidRPr="009725D2" w:rsidRDefault="009725D2" w:rsidP="009725D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2C" w:rsidRDefault="007B172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2C" w:rsidRDefault="007B172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2C" w:rsidRDefault="001A49D4">
    <w:pPr>
      <w:pStyle w:val="Header"/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4FE"/>
    <w:multiLevelType w:val="hybridMultilevel"/>
    <w:tmpl w:val="E170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A03"/>
    <w:multiLevelType w:val="hybridMultilevel"/>
    <w:tmpl w:val="B6FC965E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DFB83284">
      <w:numFmt w:val="bullet"/>
      <w:lvlText w:val="•"/>
      <w:lvlJc w:val="left"/>
      <w:pPr>
        <w:ind w:left="3237" w:hanging="108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2C53387C"/>
    <w:multiLevelType w:val="hybridMultilevel"/>
    <w:tmpl w:val="7006399E"/>
    <w:lvl w:ilvl="0" w:tplc="23DE7F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0044CAE"/>
    <w:multiLevelType w:val="hybridMultilevel"/>
    <w:tmpl w:val="04A6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E1654"/>
    <w:multiLevelType w:val="multilevel"/>
    <w:tmpl w:val="7006399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051A26"/>
    <w:multiLevelType w:val="hybridMultilevel"/>
    <w:tmpl w:val="C092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D19AF"/>
    <w:multiLevelType w:val="hybridMultilevel"/>
    <w:tmpl w:val="0E623F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5B5C2028"/>
    <w:multiLevelType w:val="hybridMultilevel"/>
    <w:tmpl w:val="CAD0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B39AB"/>
    <w:multiLevelType w:val="multilevel"/>
    <w:tmpl w:val="0E623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6FA00E46"/>
    <w:multiLevelType w:val="hybridMultilevel"/>
    <w:tmpl w:val="9CF2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75577"/>
    <w:multiLevelType w:val="hybridMultilevel"/>
    <w:tmpl w:val="FC98E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/EU RESTRICTED"/>
    <w:docVar w:name="LW_CORRIGENDUM" w:val="&lt;UNUSED&gt;"/>
    <w:docVar w:name="LW_COVERPAGE_GUID" w:val="B4DF2D9D22114AA1B5DF6091B8855300"/>
    <w:docVar w:name="LW_CROSSREFERENCE" w:val="{COM(2016) 850 final}_x000a_{COM(2016) 851 final}_x000a_{COM(2016) 852 final}_x000a_{COM(2016) 853 final}_x000a_{COM(2016) 854 final}_x000a_{SWD(2016) 377 final}"/>
    <w:docVar w:name="LW_DocType" w:val="NORMAL"/>
    <w:docVar w:name="LW_EMISSION" w:val="23.11.2016"/>
    <w:docVar w:name="LW_EMISSION_ISODATE" w:val="2016-11-23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6) 378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80?\u1079?\u1084?\u1077?\u1085?\u1077?\u1085?\u1080?\u1077? \u1085?\u1072?: \u1056?\u1077?\u1075?\u1083?\u1072?\u1084?\u1077?\u1085?\u1090? (\u1045?\u1057?) \u8470? 575/2013 \u1086?\u1090?\u1085?\u1086?\u1089?\u1085?\u1086? \u1087?\u1088?\u1091?\u1076?\u1077?\u1085?\u1094?\u1080?\u1072?\u1083?\u1085?\u1080?\u1090?\u1077? \u1080?\u1079?\u1080?\u1089?\u1082?\u1074?\u1072?\u1085?\u1080?\u1103? \u1079?\u1072? \u1082?\u1088?\u1077?\u1076?\u1080?\u1090?\u1085?\u1080?\u1090?\u1077? \u1080?\u1085?\u1089?\u1090?\u1080?\u1090?\u1091?\u1094?\u1080?\u1080? \u1080? \u1080?\u1085?\u1074?\u1077?\u1089?\u1090?\u1080?\u1094?\u1080?\u1086?\u1085?\u1085?\u1080?\u1090?\u1077? \u1087?\u1086?\u1089?\u1088?\u1077?\u1076?\u1085?\u1080?\u1094?\u1080?; \u1044?\u1080?\u1088?\u1077?\u1082?\u1090?\u1080?\u1074?\u1072? 2013/36/\u1045?\u1057? \u1086?\u1090?\u1085?\u1086?\u1089?\u1085?\u1086? \u1076?\u1086?\u1089?\u1090?\u1098?\u1087?\u1072? \u1076?\u1086? \u1086?\u1089?\u1098?\u1097?\u1077?\u1089?\u1090?\u1074?\u1103?\u1074?\u1072?\u1085?\u1077?\u1090?\u1086? \u1085?\u1072? \u1076?\u1077?\u1081?\u1085?\u1086?\u1089?\u1090? \u1086?\u1090? \u1082?\u1088?\u1077?\u1076?\u1080?\u1090?\u1085?\u1080?\u1090?\u1077? \u1080?\u1085?\u1089?\u1090?\u1080?\u1090?\u1091?\u1094?\u1080?\u1080? \u1080? \u1086?\u1090?\u1085?\u1086?\u1089?\u1085?\u1086? \u1087?\u1088?\u1091?\u1076?\u1077?\u1085?\u1094?\u1080?\u1072?\u1083?\u1085?\u1080?\u1103? \u1085?\u1072?\u1076?\u1079?\u1086?\u1088? \u1074?\u1098?\u1088?\u1093?\u1091? \u1082?\u1088?\u1077?\u1076?\u1080?\u1090?\u1085?\u1080?\u1090?\u1077? \u1080?\u1085?\u1089?\u1090?\u1080?\u1090?\u1091?\u1094?\u1080?\u1080? \u1080? \u1080?\u1085?\u1074?\u1077?\u1089?\u1090?\u1080?\u1094?\u1080?\u1086?\u1085?\u1085?\u1080?\u1090?\u1077? \u1087?\u1086?\u1089?\u1088?\u1077?\u1076?\u1085?\u1080?\u1094?\u1080?; \u1044?\u1080?\u1088?\u1077?\u1082?\u1090?\u1080?\u1074?\u1072? 2014/59/\u1045?\u1057? \u1079?\u1072? \u1089?\u1098?\u1079?\u1076?\u1072?\u1074?\u1072?\u1085?\u1077? \u1085?\u1072? \u1088?\u1072?\u1084?\u1082?\u1072? \u1079?\u1072? \u1074?\u1098?\u1079?\u1089?\u1090?\u1072?\u1085?\u1086?\u1074?\u1103?\u1074?\u1072?\u1085?\u1077? \u1080? \u1087?\u1088?\u1077?\u1089?\u1090?\u1088?\u1091?\u1082?\u1090?\u1091?\u1088?\u1080?\u1088?\u1072?\u1085?\u1077? \u1085?\u1072? \u1082?\u1088?\u1077?\u1076?\u1080?\u1090?\u1085?\u1080? \u1080?\u1085?\u1089?\u1090?\u1080?\u1090?\u1091?\u1094?\u1080?\u1080? \u1080? \u1080?\u1085?\u1074?\u1077?\u1089?\u1090?\u1080?\u1094?\u1080?\u1086?\u1085?\u1085?\u1080? \u1087?\u1086?\u1089?\u1088?\u1077?\u1076?\u1085?\u1080?\u1094?\u1080?; \u1056?\u1077?\u1075?\u1083?\u1072?\u1084?\u1077?\u1085?\u1090? (\u1045?\u1057?) \u8470? 806/2014 \u1085?\u1072? \u1045?\u1074?\u1088?\u1086?\u1087?\u1077?\u1081?\u1089?\u1082?\u1080?\u1103? \u1087?\u1072?\u1088?\u1083?\u1072?\u1084?\u1077?\u1085?\u1090? \u1080? \u1085?\u1072? \u1057?\u1098?\u1074?\u1077?\u1090?\u1072? \u1086?\u1090? 15 \u1102?\u1083?\u1080? 2014 \u1075?. \u1079?\u1072? \u1091?\u1089?\u1090?\u1072?\u1085?\u1086?\u1074?\u1103?\u1074?\u1072?\u1085?\u1077?\u1090?\u1086? \u1085?\u1072? \u1077?\u1076?\u1085?\u1086?\u1086?\u1073?\u1088?\u1072?\u1079?\u1085?\u1080? \u1087?\u1088?\u1072?\u1074?\u1080?\u1083?\u1072? \u1080? \u1077?\u1076?\u1085?\u1086?\u1086?\u1073?\u1088?\u1072?\u1079?\u1085?\u1072? \u1087?\u1088?\u1086?\u1094?\u1077?\u1076?\u1091?\u1088?\u1072? \u1079?\u1072? \u1087?\u1088?\u1077?\u1089?\u1090?\u1088?\u1091?\u1082?\u1090?\u1091?\u1088?\u1080?\u1088?\u1072?\u1085?\u1077?\u1090?\u1086? \u1085?\u1072? \u1082?\u1088?\u1077?\u1076?\u1080?\u1090?\u1085?\u1080? \u1080?\u1085?\u1089?\u1090?\u1080?\u1090?\u1091?\u1094?\u1080?\u1080? \u1080? \u1085?\u1103?\u1082?\u1086?\u1080? \u1080?\u1085?\u1074?\u1077?\u1089?\u1090?\u1080?\u1094?\u1080?\u1086?\u1085?\u1085?\u1080? \u1087?\u1086?\u1089?\u1088?\u1077?\u1076?\u1085?\u1080?\u1094?\u1080? \u1074? \u1088?\u1072?\u1084?\u1082?\u1080?\u1090?\u1077? \u1085?\u1072? \u1045?\u1076?\u1080?\u1085?\u1085?\u1080?\u1103? \u1084?\u1077?\u1093?\u1072?\u1085?\u1080?\u1079?\u1098?\u1084? \u1079?\u1072? \u1087?\u1088?\u1077?\u1089?\u1090?\u1088?\u1091?\u1082?\u1090?\u1091?\u1088?\u1080?\u1088?\u1072?\u1085?\u1077? \u1080? \u1045?\u1076?\u1080?\u1085?\u1085?\u1080?\u1103? \u1092?\u1086?\u1085?\u1076? \u1079?\u1072? \u1087?\u1088?\u1077?\u1089?\u1090?\u1088?\u1091?\u1082?\u1090?\u1091?\u1088?\u1080?\u1088?\u1072?\u1085?\u1077?"/>
  </w:docVars>
  <w:rsids>
    <w:rsidRoot w:val="007B172C"/>
    <w:rsid w:val="001A49D4"/>
    <w:rsid w:val="007B172C"/>
    <w:rsid w:val="009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Ref,de nota al pie,BVI fnr,Footnote Reference Superscript,SUPERS,C"/>
    <w:basedOn w:val="DefaultParagraphFont"/>
    <w:uiPriority w:val="99"/>
    <w:qFormat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2">
    <w:name w:val="Text 2"/>
    <w:basedOn w:val="Normal"/>
    <w:pPr>
      <w:tabs>
        <w:tab w:val="left" w:pos="2160"/>
      </w:tabs>
      <w:spacing w:after="240"/>
      <w:ind w:left="1077"/>
      <w:jc w:val="both"/>
    </w:pPr>
    <w:rPr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Ref,de nota al pie,BVI fnr,Footnote Reference Superscript,SUPERS,C"/>
    <w:basedOn w:val="DefaultParagraphFont"/>
    <w:uiPriority w:val="99"/>
    <w:qFormat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2">
    <w:name w:val="Text 2"/>
    <w:basedOn w:val="Normal"/>
    <w:pPr>
      <w:tabs>
        <w:tab w:val="left" w:pos="2160"/>
      </w:tabs>
      <w:spacing w:after="240"/>
      <w:ind w:left="1077"/>
      <w:jc w:val="both"/>
    </w:pPr>
    <w:rPr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DBDB3D1CDB42ACFBCF9D32FAF3FF" ma:contentTypeVersion="0" ma:contentTypeDescription="Create a new document." ma:contentTypeScope="" ma:versionID="22e12672266e905b52eba3434be66a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20e549d02927c3e6a5045f4339a6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0FA0-D7E1-4366-B708-2FC3D80D4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39C6E-1009-4A21-9102-2ED16F46E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FD824-A633-47FA-9617-0904972E1E9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DD05DB-0B6D-4355-9DC9-558610F0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1428</Words>
  <Characters>8787</Characters>
  <Application>Microsoft Office Word</Application>
  <DocSecurity>0</DocSecurity>
  <Lines>140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(Template)</vt:lpstr>
    </vt:vector>
  </TitlesOfParts>
  <Manager/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(Template)</dc:title>
  <dc:creator/>
  <cp:lastModifiedBy>LAGES CARVALHO Patrick (SG)</cp:lastModifiedBy>
  <cp:revision>20</cp:revision>
  <cp:lastPrinted>2016-11-18T19:14:00Z</cp:lastPrinted>
  <dcterms:created xsi:type="dcterms:W3CDTF">2016-11-18T19:14:00Z</dcterms:created>
  <dcterms:modified xsi:type="dcterms:W3CDTF">2017-01-20T12:33:00Z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0x0101009293DBDB3D1CDB42ACFBCF9D32FAF3FF</vt:lpwstr>
  </property>
  <property fmtid="{D5CDD505-2E9C-101B-9397-08002B2CF9AE}" pid="4" name="IsMyDocuments">
    <vt:bool>true</vt:bool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lassification">
    <vt:lpwstr> </vt:lpwstr>
  </property>
</Properties>
</file>