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192A6D2239D04906A60EA8F0A79E6AFD" style="width:450.4pt;height:479.3pt">
            <v:imagedata r:id="rId11" o:title=""/>
          </v:shape>
        </w:pict>
      </w:r>
    </w:p>
    <w:p>
      <w:pPr>
        <w:pStyle w:val="Pagedecouverture"/>
        <w:rPr>
          <w:noProof/>
        </w:rPr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rPr>
          <w:noProof/>
        </w:rPr>
      </w:pPr>
    </w:p>
    <w:p>
      <w:pPr>
        <w:pStyle w:val="Point0number"/>
        <w:numPr>
          <w:ilvl w:val="0"/>
          <w:numId w:val="9"/>
        </w:numPr>
        <w:rPr>
          <w:noProof/>
        </w:rPr>
      </w:pPr>
      <w:r>
        <w:rPr>
          <w:noProof/>
        </w:rPr>
        <w:t>Приложение II се изменя, както следва: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в точка 1 буква д) се заменя със следния текст:</w:t>
      </w:r>
    </w:p>
    <w:p>
      <w:pPr>
        <w:pStyle w:val="Text2"/>
        <w:rPr>
          <w:noProof/>
        </w:rPr>
      </w:pPr>
      <w:r>
        <w:rPr>
          <w:noProof/>
        </w:rPr>
        <w:t>„д) лихвени опции;“;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в точка 2 буква г) се заменя със следния текст:</w:t>
      </w:r>
    </w:p>
    <w:p>
      <w:pPr>
        <w:pStyle w:val="Text2"/>
        <w:rPr>
          <w:noProof/>
        </w:rPr>
      </w:pPr>
      <w:r>
        <w:rPr>
          <w:noProof/>
        </w:rPr>
        <w:t>„г) валутни опции;“;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точка 3 се заменя със следния текст:</w:t>
      </w:r>
    </w:p>
    <w:p>
      <w:pPr>
        <w:pStyle w:val="Text1"/>
        <w:rPr>
          <w:noProof/>
        </w:rPr>
      </w:pPr>
      <w:r>
        <w:rPr>
          <w:noProof/>
        </w:rPr>
        <w:t>„</w:t>
      </w:r>
      <w:r>
        <w:rPr>
          <w:noProof/>
          <w:szCs w:val="24"/>
        </w:rPr>
        <w:t>Договори, подобни на договорите по точка 1, букви a)—д) и по точка 2, букви a)—г) от настоящото приложение за други референтни позиции или индекси</w:t>
      </w:r>
      <w:r>
        <w:rPr>
          <w:noProof/>
        </w:rPr>
        <w:t xml:space="preserve">. </w:t>
      </w:r>
      <w:r>
        <w:rPr>
          <w:noProof/>
          <w:szCs w:val="24"/>
        </w:rPr>
        <w:t xml:space="preserve">Тук се включват най-малко всички инструменти, посочени в раздел В, точки 4—7 и точки 9, 10 и 11 от приложение I към Директива </w:t>
      </w:r>
      <w:r>
        <w:rPr>
          <w:noProof/>
        </w:rPr>
        <w:t>2014/65</w:t>
      </w:r>
      <w:r>
        <w:rPr>
          <w:noProof/>
          <w:szCs w:val="24"/>
        </w:rPr>
        <w:t>/ЕС, които не са включени в точка 1 или точка 2 от настоящото приложение.“.</w:t>
      </w:r>
    </w:p>
    <w:p>
      <w:pPr>
        <w:rPr>
          <w:noProof/>
        </w:rPr>
      </w:pPr>
    </w:p>
    <w:sectPr>
      <w:footerReference w:type="default" r:id="rId18"/>
      <w:footerReference w:type="first" r:id="rId19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6D036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420FF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FA5E98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B6CAEE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384C6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402D19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97CABB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DFC49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7-01-20 11:42:3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192A6D2239D04906A60EA8F0A79E6AFD"/>
    <w:docVar w:name="LW_CROSSREFERENCE" w:val="{SWD(2016) 377 final}_x000b_{SWD(2016) 378 final}"/>
    <w:docVar w:name="LW_DocType" w:val="ANNEX"/>
    <w:docVar w:name="LW_EMISSION" w:val="23.11.2016"/>
    <w:docVar w:name="LW_EMISSION_ISODATE" w:val="2016-11-23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\u8470?&lt;LWCR:NBS&gt;575/2013 \u1087?\u1086? \u1086?\u1090?\u1085?\u1086?\u1096?\u1077?\u1085?\u1080?\u1077? \u1085?\u1072? \u1086?\u1090?\u1085?\u1086?\u1096?\u1077?\u1085?\u1080?\u1077?\u1090?\u1086? \u1085?\u1072? \u1083?\u1080?\u1074?\u1098?\u1088?\u1080?\u1076?\u1078?, \u1086?\u1090?\u1085?\u1086?\u1096?\u1077?\u1085?\u1080?\u1077?\u1090?\u1086? \u1085?\u1072? \u1085?\u1077?\u1090?\u1085?\u1086?\u1090?\u1086? \u1089?\u1090?\u1072?\u1073?\u1080?\u1083?\u1085?\u1086? \u1092?\u1080?\u1085?\u1072?\u1085?\u1089?\u1080?\u1088?\u1072?\u1085?\u1077?, \u1082?\u1072?\u1087?\u1080?\u1090?\u1072?\u1083?\u1086?\u1074?\u1080?\u1090?\u1077? \u1080?\u1079?\u1080?\u1089?\u1082?\u1074?\u1072?\u1085?\u1080?\u1103? \u1080? \u1080?\u1079?\u1080?\u1089?\u1082?\u1074?\u1072?\u1085?\u1080?\u1103?\u1090?\u1072? \u1079?\u1072? \u1087?\u1088?\u1080?\u1077?\u1084?\u1083?\u1080?\u1074?\u1080? \u1087?\u1072?\u1089?\u1080?\u1074?\u1080?, \u1082?\u1088?\u1077?\u1076?\u1080?\u1090?\u1085?\u1080?\u1103? \u1088?\u1080?\u1089?\u1082? \u1086?\u1090? \u1082?\u1086?\u1085?\u1090?\u1088?\u1072?\u1075?\u1077?\u1085?\u1090?\u1072?, \u1087?\u1072?\u1079?\u1072?\u1088?\u1085?\u1080?\u1103? \u1088?\u1080?\u1089?\u1082?, \u1077?\u1082?\u1089?\u1087?\u1086?\u1079?\u1080?\u1094?\u1080?\u1080?\u1090?\u1077? \u1082?\u1098?\u1084? \u1094?\u1077?\u1085?\u1090?\u1088?\u1072?\u1083?\u1085?\u1080? \u1082?\u1086?\u1085?\u1090?\u1088?\u1072?\u1075?\u1077?\u1085?\u1090?\u1080?, \u1077?\u1082?\u1089?\u1087?\u1086?\u1079?\u1080?\u1094?\u1080?\u1080?\u1090?\u1077? \u1082?\u1098?\u1084? \u1087?\u1088?\u1077?\u1076?\u1087?\u1088?\u1080?\u1103?\u1090?\u1080?\u1103? \u1079?\u1072? \u1082?\u1086?\u1083?\u1077?\u1082?\u1090?\u1080?\u1074?\u1085?\u1086? \u1080?\u1085?\u1074?\u1077?\u1089?\u1090?\u1080?\u1088?\u1072?\u1085?\u1077?, \u1075?\u1086?\u1083?\u1077?\u1084?\u1080?\u1090?\u1077? \u1077?\u1082?\u1089?\u1087?\u1086?\u1079?\u1080?\u1094?\u1080?\u1080?, \u1080?\u1079?\u1080?\u1089?\u1082?\u1074?\u1072?\u1085?\u1080?\u1103?\u1090?\u1072? \u1079?\u1072? \u1076?\u1086?\u1082?\u1083?\u1072?\u1076?\u1074?\u1072?\u1085?\u1077? \u1080? \u1086?\u1087?\u1086?\u1074?\u1077?\u1089?\u1090?\u1103?\u1074?\u1072?\u1085?\u1077?, \u1080? \u1079?\u1072? \u1080?\u1079?\u1084?\u1077?\u1085?\u1077?\u1085?\u1080?\u1077? \u1085?\u1072? \u1056?\u1077?\u1075?\u1083?\u1072?\u1084?\u1077?\u1085?\u1090? (\u1045?\u1057?) \u8470?&lt;LWCR:NBS&gt;648/2012"/>
    <w:docVar w:name="LW_OBJETACTEPRINCIPAL.CP" w:val="\u1079?\u1072? \u1080?\u1079?\u1084?\u1077?\u1085?\u1077?\u1085?\u1080?\u1077? \u1085?\u1072? \u1056?\u1077?\u1075?\u1083?\u1072?\u1084?\u1077?\u1085?\u1090? (\u1045?\u1057?) \u8470? 575/2013 \u1087?\u1086? \u1086?\u1090?\u1085?\u1086?\u1096?\u1077?\u1085?\u1080?\u1077? \u1085?\u1072? \u1086?\u1090?\u1085?\u1086?\u1096?\u1077?\u1085?\u1080?\u1077?\u1090?\u1086? \u1085?\u1072? \u1083?\u1080?\u1074?\u1098?\u1088?\u1080?\u1076?\u1078?, \u1086?\u1090?\u1085?\u1086?\u1096?\u1077?\u1085?\u1080?\u1077?\u1090?\u1086? \u1085?\u1072? \u1085?\u1077?\u1090?\u1085?\u1086?\u1090?\u1086? \u1089?\u1090?\u1072?\u1073?\u1080?\u1083?\u1085?\u1086? \u1092?\u1080?\u1085?\u1072?\u1085?\u1089?\u1080?\u1088?\u1072?\u1085?\u1077?, \u1082?\u1072?\u1087?\u1080?\u1090?\u1072?\u1083?\u1086?\u1074?\u1080?\u1090?\u1077? \u1080?\u1079?\u1080?\u1089?\u1082?\u1074?\u1072?\u1085?\u1080?\u1103? \u1080? \u1080?\u1079?\u1080?\u1089?\u1082?\u1074?\u1072?\u1085?\u1080?\u1103?\u1090?\u1072? \u1079?\u1072? \u1087?\u1088?\u1080?\u1077?\u1084?\u1083?\u1080?\u1074?\u1080? \u1087?\u1072?\u1089?\u1080?\u1074?\u1080?, \u1082?\u1088?\u1077?\u1076?\u1080?\u1090?\u1085?\u1080?\u1103? \u1088?\u1080?\u1089?\u1082? \u1086?\u1090? \u1082?\u1086?\u1085?\u1090?\u1088?\u1072?\u1075?\u1077?\u1085?\u1090?\u1072?, \u1087?\u1072?\u1079?\u1072?\u1088?\u1085?\u1080?\u1103? \u1088?\u1080?\u1089?\u1082?, \u1077?\u1082?\u1089?\u1087?\u1086?\u1079?\u1080?\u1094?\u1080?\u1080?\u1090?\u1077? \u1082?\u1098?\u1084? \u1094?\u1077?\u1085?\u1090?\u1088?\u1072?\u1083?\u1085?\u1080? \u1082?\u1086?\u1085?\u1090?\u1088?\u1072?\u1075?\u1077?\u1085?\u1090?\u1080?, \u1077?\u1082?\u1089?\u1087?\u1086?\u1079?\u1080?\u1094?\u1080?\u1080?\u1090?\u1077? \u1082?\u1098?\u1084? \u1087?\u1088?\u1077?\u1076?\u1087?\u1088?\u1080?\u1103?\u1090?\u1080?\u1103? \u1079?\u1072? \u1082?\u1086?\u1083?\u1077?\u1082?\u1090?\u1080?\u1074?\u1085?\u1086? \u1080?\u1085?\u1074?\u1077?\u1089?\u1090?\u1080?\u1088?\u1072?\u1085?\u1077?, \u1075?\u1086?\u1083?\u1077?\u1084?\u1080?\u1090?\u1077? \u1077?\u1082?\u1089?\u1087?\u1086?\u1079?\u1080?\u1094?\u1080?\u1080?, \u1080?\u1079?\u1080?\u1089?\u1082?\u1074?\u1072?\u1085?\u1080?\u1103?\u1090?\u1072? \u1079?\u1072? \u1076?\u1086?\u1082?\u1083?\u1072?\u1076?\u1074?\u1072?\u1085?\u1077? \u1080? \u1086?\u1087?\u1086?\u1074?\u1077?\u1089?\u1090?\u1103?\u1074?\u1072?\u1085?\u1077?, \u1080? \u1079?\u1072? \u1080?\u1079?\u1084?\u1077?\u1085?\u1077?\u1085?\u1080?\u1077? \u1085?\u1072? \u1056?\u1077?\u1075?\u1083?\u1072?\u1084?\u1077?\u1085?\u1090? (\u1045?\u1057?) \u8470? 648/2012"/>
    <w:docVar w:name="LW_PART_NBR" w:val="1"/>
    <w:docVar w:name="LW_PART_NBR_TOTAL" w:val="1"/>
    <w:docVar w:name="LW_REF.INST.NEW" w:val="COM"/>
    <w:docVar w:name="LW_REF.INST.NEW_ADOPTED" w:val="final"/>
    <w:docVar w:name="LW_REF.INST.NEW_TEXT" w:val="(2016) 850"/>
    <w:docVar w:name="LW_REF.INTERNE" w:val="&lt;UNUSED&gt;"/>
    <w:docVar w:name="LW_SUPERTITRE" w:val="&lt;UNUSED&gt;"/>
    <w:docVar w:name="LW_TITRE.OBJ.CP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56?\u1045?\u1044?\u1051?\u1054?\u1046?\u1045?\u1053?\u1048?\u1045? \u1047?\u1040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5?\u1056?\u1045?\u1044?\u1051?\u1054?\u1046?\u1045?\u1053?\u1048?\u1045? \u1047?\u1040? 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3E773AD32414B91D57B09972749FC" ma:contentTypeVersion="0" ma:contentTypeDescription="Create a new document." ma:contentTypeScope="" ma:versionID="1fd7e800c07dc8174a9d31dc124ef25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f26752ec285183b08678e223fcb2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CDF7A8-71ED-4933-9C58-C2DF15B5E489}">
  <ds:schemaRefs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641FDCB-9562-4699-9C20-02A74DC45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9A8850-4813-4F21-BDFD-CD56D1681B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107</Words>
  <Characters>491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MPOY NSAMBA Betty (MARKT-EXT)</dc:creator>
  <cp:lastModifiedBy>DIGIT/A3</cp:lastModifiedBy>
  <cp:revision>8</cp:revision>
  <cp:lastPrinted>2016-11-18T19:25:00Z</cp:lastPrinted>
  <dcterms:created xsi:type="dcterms:W3CDTF">2017-01-19T11:17:00Z</dcterms:created>
  <dcterms:modified xsi:type="dcterms:W3CDTF">2017-01-20T10:42:00Z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ContentTypeId">
    <vt:lpwstr>0x0101006673E773AD32414B91D57B09972749FC</vt:lpwstr>
  </property>
  <property fmtid="{D5CDD505-2E9C-101B-9397-08002B2CF9AE}" pid="13" name="IsMyDocuments">
    <vt:bool>true</vt:bool>
  </property>
  <property fmtid="{D5CDD505-2E9C-101B-9397-08002B2CF9AE}" pid="14" name="DQCStatus">
    <vt:lpwstr>Green (DQC version 03)</vt:lpwstr>
  </property>
</Properties>
</file>