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3D83B9C1DD24509A8E51961348B9923" style="width:450.55pt;height:411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 I</w:t>
      </w:r>
    </w:p>
    <w:p>
      <w:pPr>
        <w:pStyle w:val="Annexetitreexpos"/>
        <w:rPr>
          <w:noProof/>
        </w:rPr>
      </w:pPr>
      <w:r>
        <w:rPr>
          <w:noProof/>
        </w:rPr>
        <w:t>Objectifs ciblés de mortalité par pêche</w:t>
      </w:r>
    </w:p>
    <w:p>
      <w:pPr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(tels que visés à l'article 4)</w:t>
      </w:r>
    </w:p>
    <w:tbl>
      <w:tblPr>
        <w:tblW w:w="91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3260"/>
        <w:gridCol w:w="3119"/>
      </w:tblGrid>
      <w:tr>
        <w:tc>
          <w:tcPr>
            <w:tcW w:w="2775" w:type="dxa"/>
            <w:vMerge w:val="restart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Stock</w:t>
            </w:r>
          </w:p>
        </w:tc>
        <w:tc>
          <w:tcPr>
            <w:tcW w:w="6379" w:type="dxa"/>
            <w:gridSpan w:val="2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Fourchette des objectifs ciblés de mortalité par pêche </w:t>
            </w:r>
            <w:r>
              <w:rPr>
                <w:b/>
                <w:noProof/>
                <w:color w:val="000000"/>
                <w:sz w:val="22"/>
              </w:rPr>
              <w:t>permettant de garantir le rendement maximal durable (F</w:t>
            </w:r>
            <w:r>
              <w:rPr>
                <w:b/>
                <w:noProof/>
                <w:color w:val="000000"/>
                <w:sz w:val="22"/>
                <w:vertAlign w:val="subscript"/>
              </w:rPr>
              <w:t>RMD</w:t>
            </w:r>
            <w:r>
              <w:rPr>
                <w:b/>
                <w:noProof/>
                <w:color w:val="000000"/>
                <w:sz w:val="22"/>
              </w:rPr>
              <w:t>)</w:t>
            </w:r>
          </w:p>
        </w:tc>
      </w:tr>
      <w:tr>
        <w:tc>
          <w:tcPr>
            <w:tcW w:w="2775" w:type="dxa"/>
            <w:vMerge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Colonne A</w:t>
            </w:r>
          </w:p>
        </w:tc>
        <w:tc>
          <w:tcPr>
            <w:tcW w:w="3119" w:type="dxa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Colonne B</w:t>
            </w:r>
          </w:p>
        </w:tc>
      </w:tr>
      <w:tr>
        <w:tc>
          <w:tcPr>
            <w:tcW w:w="2775" w:type="dxa"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Anchois</w:t>
            </w:r>
          </w:p>
        </w:tc>
        <w:tc>
          <w:tcPr>
            <w:tcW w:w="3260" w:type="dxa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highlight w:val="yellow"/>
              </w:rPr>
            </w:pPr>
            <w:r>
              <w:rPr>
                <w:noProof/>
                <w:color w:val="000000"/>
              </w:rPr>
              <w:t>0,23 – 0,30</w:t>
            </w:r>
          </w:p>
        </w:tc>
        <w:tc>
          <w:tcPr>
            <w:tcW w:w="3119" w:type="dxa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highlight w:val="yellow"/>
              </w:rPr>
            </w:pPr>
            <w:r>
              <w:rPr>
                <w:noProof/>
                <w:color w:val="000000"/>
              </w:rPr>
              <w:t>0,30 – 0,364</w:t>
            </w:r>
          </w:p>
        </w:tc>
      </w:tr>
      <w:tr>
        <w:tc>
          <w:tcPr>
            <w:tcW w:w="2775" w:type="dxa"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Sardine</w:t>
            </w:r>
          </w:p>
        </w:tc>
        <w:tc>
          <w:tcPr>
            <w:tcW w:w="3260" w:type="dxa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0,065 – 0,08</w:t>
            </w:r>
          </w:p>
        </w:tc>
        <w:tc>
          <w:tcPr>
            <w:tcW w:w="3119" w:type="dxa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0,08 – 0,11</w:t>
            </w:r>
          </w:p>
        </w:tc>
      </w:tr>
    </w:tbl>
    <w:p>
      <w:pPr>
        <w:spacing w:before="0" w:after="200" w:line="276" w:lineRule="auto"/>
        <w:jc w:val="left"/>
        <w:rPr>
          <w:rFonts w:eastAsia="Calibri"/>
          <w:noProof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lastRenderedPageBreak/>
        <w:t>ANNEXE II</w:t>
      </w:r>
    </w:p>
    <w:p>
      <w:pPr>
        <w:pStyle w:val="Annexetitreexpos"/>
        <w:rPr>
          <w:noProof/>
        </w:rPr>
      </w:pPr>
      <w:r>
        <w:rPr>
          <w:noProof/>
        </w:rPr>
        <w:t>Niveaux de référence de conservation</w:t>
      </w:r>
    </w:p>
    <w:p>
      <w:pPr>
        <w:jc w:val="center"/>
        <w:rPr>
          <w:rFonts w:eastAsia="Calibri"/>
          <w:noProof/>
          <w:color w:val="000000"/>
        </w:rPr>
      </w:pPr>
      <w:r>
        <w:rPr>
          <w:b/>
          <w:noProof/>
          <w:color w:val="000000"/>
        </w:rPr>
        <w:t>(tels que visés à l'article 5)</w:t>
      </w:r>
    </w:p>
    <w:tbl>
      <w:tblPr>
        <w:tblW w:w="92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3544"/>
        <w:gridCol w:w="3530"/>
      </w:tblGrid>
      <w:tr>
        <w:tc>
          <w:tcPr>
            <w:tcW w:w="2215" w:type="dxa"/>
            <w:vMerge w:val="restart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Stock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Niveau de référence de la biomasse minimal du stock reproducteur(en tonnes) (RMD B</w:t>
            </w:r>
            <w:r>
              <w:rPr>
                <w:b/>
                <w:noProof/>
                <w:color w:val="000000"/>
                <w:vertAlign w:val="subscript"/>
              </w:rPr>
              <w:t>trigger</w:t>
            </w:r>
            <w:r>
              <w:rPr>
                <w:b/>
                <w:noProof/>
                <w:color w:val="000000"/>
              </w:rPr>
              <w:t>)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Niveau de référence de la biomasse limite (en tonnes) (B</w:t>
            </w:r>
            <w:r>
              <w:rPr>
                <w:b/>
                <w:noProof/>
                <w:color w:val="000000"/>
                <w:vertAlign w:val="subscript"/>
              </w:rPr>
              <w:t>lim</w:t>
            </w:r>
            <w:r>
              <w:rPr>
                <w:b/>
                <w:noProof/>
                <w:color w:val="000000"/>
              </w:rPr>
              <w:t>)</w:t>
            </w:r>
          </w:p>
        </w:tc>
      </w:tr>
      <w:tr>
        <w:tc>
          <w:tcPr>
            <w:tcW w:w="2215" w:type="dxa"/>
            <w:vMerge/>
          </w:tcPr>
          <w:p>
            <w:pPr>
              <w:rPr>
                <w:rFonts w:eastAsia="Times New Roman"/>
                <w:b/>
                <w:noProof/>
                <w:color w:val="000000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Colonne A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Colonne B</w:t>
            </w:r>
          </w:p>
        </w:tc>
      </w:tr>
      <w:t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Anchois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139 000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69 500</w:t>
            </w:r>
          </w:p>
        </w:tc>
      </w:tr>
      <w:t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Sardine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180 000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36 000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9CE31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64A3C6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D6E13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93287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9564B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B9C2F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92670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BA0F6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2-24 11:46:3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33D83B9C1DD24509A8E51961348B9923"/>
    <w:docVar w:name="LW_CROSSREFERENCE" w:val="{SWD(2017) 63 final}_x000b_{SWD(2017) 64 final}"/>
    <w:docVar w:name="LW_DocType" w:val="ANNEX"/>
    <w:docVar w:name="LW_EMISSION" w:val="24.2.2017"/>
    <w:docVar w:name="LW_EMISSION_ISODATE" w:val="2017-02-2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établissant un plan pluriannuel pour les stocks de petits pélagiques et leurs pêcheries en mer Adriatique"/>
    <w:docVar w:name="LW_OBJETACTEPRINCIPAL.CP" w:val="établissant un plan pluriannuel pour les stocks de petits pélagiques et leurs pêcheries en mer Adriatique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97"/>
    <w:docVar w:name="LW_REF.INTERNE" w:val="&lt;UNUSED&gt;"/>
    <w:docVar w:name="LW_SUPERTITRE" w:val="&lt;UNUSED&gt;"/>
    <w:docVar w:name="LW_TITRE.OBJ.CP" w:val="&lt;UNUSED&gt;"/>
    <w:docVar w:name="LW_TYPE.DOC" w:val="ANNEXES"/>
    <w:docVar w:name="LW_TYPE.DOC.CP" w:val="ANNEXES"/>
    <w:docVar w:name="LW_TYPEACTEPRINCIPAL" w:val="proposition de  règlement du Parlement européen et du Conseil"/>
    <w:docVar w:name="LW_TYPEACTEPRINCIPAL.CP" w:val="proposition de 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99</Words>
  <Characters>505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WESTBERG Annette (MARE)</dc:creator>
  <cp:lastModifiedBy>DIGIT/A3</cp:lastModifiedBy>
  <cp:revision>9</cp:revision>
  <dcterms:created xsi:type="dcterms:W3CDTF">2017-02-16T15:02:00Z</dcterms:created>
  <dcterms:modified xsi:type="dcterms:W3CDTF">2017-02-24T10:46:00Z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