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79587D9FB5445B8B5578C6ABA69D51" style="width:451pt;height:4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720"/>
        <w:jc w:val="center"/>
        <w:rPr>
          <w:b/>
          <w:noProof/>
        </w:rPr>
      </w:pPr>
      <w:bookmarkStart w:id="1" w:name="_GoBack"/>
      <w:bookmarkEnd w:id="1"/>
      <w:r>
        <w:rPr>
          <w:b/>
          <w:noProof/>
        </w:rPr>
        <w:lastRenderedPageBreak/>
        <w:t>Оценка на въздействието във връзка с предложение за Регламент на Европейския парламент и на Съвета за установяване на многогодишен план за запасите от дребни пелагични видове в Адриатическо море и за свързаните с тях риболовни дейности</w:t>
      </w:r>
    </w:p>
    <w:p>
      <w:pPr>
        <w:jc w:val="both"/>
        <w:rPr>
          <w:b/>
          <w:noProof/>
        </w:rPr>
      </w:pPr>
      <w:r>
        <w:rPr>
          <w:b/>
          <w:noProof/>
        </w:rPr>
        <w:t>A. Потребност от действия</w:t>
      </w:r>
    </w:p>
    <w:p>
      <w:pPr>
        <w:jc w:val="both"/>
        <w:rPr>
          <w:b/>
          <w:noProof/>
        </w:rPr>
      </w:pPr>
      <w:r>
        <w:rPr>
          <w:b/>
          <w:noProof/>
        </w:rPr>
        <w:t>1. Контекст</w:t>
      </w:r>
    </w:p>
    <w:p>
      <w:pPr>
        <w:jc w:val="both"/>
        <w:rPr>
          <w:rFonts w:ascii="Times New Roman" w:hAnsi="Times New Roman" w:cs="Times New Roman"/>
          <w:noProof/>
        </w:rPr>
      </w:pPr>
      <w:r>
        <w:rPr>
          <w:rFonts w:ascii="Times New Roman" w:hAnsi="Times New Roman"/>
          <w:noProof/>
        </w:rPr>
        <w:t xml:space="preserve">Съществуват два основни проблема, свързани с дребните пелагични видове (хамсия и сардинa) в Адриатическо море: </w:t>
      </w:r>
    </w:p>
    <w:p>
      <w:pPr>
        <w:jc w:val="both"/>
        <w:rPr>
          <w:rFonts w:ascii="Times New Roman" w:hAnsi="Times New Roman" w:cs="Times New Roman"/>
          <w:noProof/>
        </w:rPr>
      </w:pPr>
      <w:r>
        <w:rPr>
          <w:rFonts w:ascii="Times New Roman" w:hAnsi="Times New Roman"/>
          <w:noProof/>
        </w:rPr>
        <w:t xml:space="preserve">1) те са силно засегнати от прекомерен риболов, дължащ се на свръхкапацитета на флота, факторите на околната среда (попадащи извън обхвата на настоящото предложение) и неподходящи мерки за управление; </w:t>
      </w:r>
    </w:p>
    <w:p>
      <w:pPr>
        <w:jc w:val="both"/>
        <w:rPr>
          <w:rFonts w:ascii="Times New Roman" w:hAnsi="Times New Roman" w:cs="Times New Roman"/>
          <w:noProof/>
        </w:rPr>
      </w:pPr>
      <w:r>
        <w:rPr>
          <w:rFonts w:ascii="Times New Roman" w:hAnsi="Times New Roman"/>
          <w:noProof/>
        </w:rPr>
        <w:t xml:space="preserve">2) рамката на управление е неефективна поради неподходящите мерки за управление (ограничаване на риболовното усилие, което не е адаптирано към спецификите на конкретните видове и риболовната дейност), както и поради сложността и нестабилността на сегашните правила. </w:t>
      </w:r>
    </w:p>
    <w:p>
      <w:pPr>
        <w:jc w:val="both"/>
        <w:rPr>
          <w:rFonts w:ascii="Times New Roman" w:hAnsi="Times New Roman" w:cs="Times New Roman"/>
          <w:noProof/>
        </w:rPr>
      </w:pPr>
      <w:r>
        <w:rPr>
          <w:rFonts w:ascii="Times New Roman" w:hAnsi="Times New Roman"/>
          <w:noProof/>
        </w:rPr>
        <w:t>Ако не настъпят промени, съществува риск от срив при запасите и свързаните с тях риболовни дейности. Той ще засегне хищните риби, които се хранят с хамсия и сардина, и ще доведе до отрицателни социално-икономически последици за рибарския сектор и вторичните сектори, като например преработвателната промишленост. Най-сериозно засегнати са рибарските сектори на Хърватия и Италия, както и — в значително по-малка степен — този на Словения. Преработвателният сектор представлява значим вторичен сектор, най-вече в Хърватия и Италия.</w:t>
      </w:r>
    </w:p>
    <w:p>
      <w:pPr>
        <w:jc w:val="both"/>
        <w:rPr>
          <w:b/>
          <w:noProof/>
        </w:rPr>
      </w:pPr>
      <w:r>
        <w:rPr>
          <w:b/>
          <w:noProof/>
        </w:rPr>
        <w:t>2. Цели и добавена стойност на инициативата</w:t>
      </w:r>
    </w:p>
    <w:p>
      <w:pPr>
        <w:jc w:val="both"/>
        <w:rPr>
          <w:rFonts w:ascii="Times New Roman" w:hAnsi="Times New Roman" w:cs="Times New Roman"/>
          <w:noProof/>
        </w:rPr>
      </w:pPr>
      <w:r>
        <w:rPr>
          <w:rFonts w:ascii="Times New Roman" w:hAnsi="Times New Roman"/>
          <w:noProof/>
        </w:rPr>
        <w:t xml:space="preserve">Целите на настоящото предложение са следните: </w:t>
      </w:r>
    </w:p>
    <w:p>
      <w:pPr>
        <w:pStyle w:val="ListParagraph"/>
        <w:numPr>
          <w:ilvl w:val="0"/>
          <w:numId w:val="1"/>
        </w:numPr>
        <w:jc w:val="both"/>
        <w:rPr>
          <w:rFonts w:ascii="Times New Roman" w:hAnsi="Times New Roman" w:cs="Times New Roman"/>
          <w:noProof/>
        </w:rPr>
      </w:pPr>
      <w:r>
        <w:rPr>
          <w:rFonts w:ascii="Times New Roman" w:hAnsi="Times New Roman"/>
          <w:noProof/>
        </w:rPr>
        <w:t xml:space="preserve">най-късно до 2020 г. да се постигне и поддържа максимален устойчив улов на запасите от хамсия и сардина; </w:t>
      </w:r>
    </w:p>
    <w:p>
      <w:pPr>
        <w:pStyle w:val="ListParagraph"/>
        <w:numPr>
          <w:ilvl w:val="0"/>
          <w:numId w:val="1"/>
        </w:numPr>
        <w:jc w:val="both"/>
        <w:rPr>
          <w:rFonts w:ascii="Times New Roman" w:hAnsi="Times New Roman" w:cs="Times New Roman"/>
          <w:noProof/>
        </w:rPr>
      </w:pPr>
      <w:r>
        <w:rPr>
          <w:rFonts w:ascii="Times New Roman" w:hAnsi="Times New Roman"/>
          <w:noProof/>
        </w:rPr>
        <w:t xml:space="preserve">да се гарантира устойчивост на риболовния сектор; да се осигури ефективна, опростена и по-стабилна структура на управление; </w:t>
      </w:r>
    </w:p>
    <w:p>
      <w:pPr>
        <w:pStyle w:val="ListParagraph"/>
        <w:numPr>
          <w:ilvl w:val="0"/>
          <w:numId w:val="1"/>
        </w:numPr>
        <w:jc w:val="both"/>
        <w:rPr>
          <w:rFonts w:ascii="Times New Roman" w:hAnsi="Times New Roman" w:cs="Times New Roman"/>
          <w:noProof/>
        </w:rPr>
      </w:pPr>
      <w:r>
        <w:rPr>
          <w:rFonts w:ascii="Times New Roman" w:hAnsi="Times New Roman"/>
          <w:noProof/>
        </w:rPr>
        <w:t>да се осигури по-активната ангажираност на заинтересованите страни;</w:t>
      </w:r>
    </w:p>
    <w:p>
      <w:pPr>
        <w:pStyle w:val="ListParagraph"/>
        <w:numPr>
          <w:ilvl w:val="0"/>
          <w:numId w:val="1"/>
        </w:numPr>
        <w:jc w:val="both"/>
        <w:rPr>
          <w:rFonts w:ascii="Times New Roman" w:hAnsi="Times New Roman" w:cs="Times New Roman"/>
          <w:noProof/>
        </w:rPr>
      </w:pPr>
      <w:r>
        <w:rPr>
          <w:rFonts w:ascii="Times New Roman" w:hAnsi="Times New Roman"/>
          <w:noProof/>
        </w:rPr>
        <w:t>да се улесни изпълнението на задължението за разтоварване.</w:t>
      </w:r>
    </w:p>
    <w:p>
      <w:pPr>
        <w:jc w:val="both"/>
        <w:rPr>
          <w:rFonts w:ascii="Times New Roman" w:hAnsi="Times New Roman" w:cs="Times New Roman"/>
          <w:noProof/>
        </w:rPr>
      </w:pPr>
      <w:r>
        <w:rPr>
          <w:rFonts w:ascii="Times New Roman" w:hAnsi="Times New Roman"/>
          <w:noProof/>
        </w:rPr>
        <w:t>Очаква се с настоящото предложение да се постигне възстановяване до 2020 г. на запасите от хамсия и сардина, да се гарантира устойчивостта на риболовния сектор, да се повишат възнагражденията на рибарите (средно с 4 %) и да се увеличи рентабилността на сектора (средно с 8 %).</w:t>
      </w:r>
    </w:p>
    <w:p>
      <w:pPr>
        <w:jc w:val="both"/>
        <w:rPr>
          <w:rFonts w:ascii="Times New Roman" w:hAnsi="Times New Roman" w:cs="Times New Roman"/>
          <w:noProof/>
        </w:rPr>
      </w:pPr>
      <w:r>
        <w:rPr>
          <w:rFonts w:ascii="Times New Roman" w:hAnsi="Times New Roman"/>
          <w:noProof/>
        </w:rPr>
        <w:t>Тъй като запасите от хамсия и сардина, както и съответните риболовни кораби, прекосяват свободно международните граници, постигането на посочените цели не би било възможно с изолирани действия от страна на държавите членки. За да се осигури ефективност на мерките, те следва да се предприемат по съгласуван начин и да се прилагат в цялата зона на разпространение на запасите и по отношение на всички засегнати флотове.</w:t>
      </w:r>
    </w:p>
    <w:p>
      <w:pPr>
        <w:jc w:val="both"/>
        <w:rPr>
          <w:rFonts w:ascii="Times New Roman" w:hAnsi="Times New Roman" w:cs="Times New Roman"/>
          <w:b/>
          <w:noProof/>
        </w:rPr>
      </w:pPr>
      <w:r>
        <w:rPr>
          <w:rFonts w:ascii="Times New Roman" w:hAnsi="Times New Roman"/>
          <w:b/>
          <w:noProof/>
        </w:rPr>
        <w:t>Б. Решения</w:t>
      </w:r>
    </w:p>
    <w:p>
      <w:pPr>
        <w:jc w:val="both"/>
        <w:rPr>
          <w:rFonts w:ascii="Times New Roman" w:hAnsi="Times New Roman" w:cs="Times New Roman"/>
          <w:noProof/>
        </w:rPr>
      </w:pPr>
      <w:r>
        <w:rPr>
          <w:rFonts w:ascii="Times New Roman" w:hAnsi="Times New Roman"/>
          <w:noProof/>
        </w:rPr>
        <w:t xml:space="preserve">В рамките на настоящата оценка на въздействието бяха разгледани следните варианти на политиката: </w:t>
      </w:r>
    </w:p>
    <w:p>
      <w:pPr>
        <w:pStyle w:val="ListParagraph"/>
        <w:numPr>
          <w:ilvl w:val="0"/>
          <w:numId w:val="2"/>
        </w:numPr>
        <w:jc w:val="both"/>
        <w:rPr>
          <w:rFonts w:ascii="Times New Roman" w:hAnsi="Times New Roman" w:cs="Times New Roman"/>
          <w:noProof/>
        </w:rPr>
      </w:pPr>
      <w:r>
        <w:rPr>
          <w:rFonts w:ascii="Times New Roman" w:hAnsi="Times New Roman"/>
          <w:noProof/>
        </w:rPr>
        <w:t xml:space="preserve">използване на незаконодателни инструменти (актове с незадължителна юридическа сила); </w:t>
      </w:r>
    </w:p>
    <w:p>
      <w:pPr>
        <w:pStyle w:val="ListParagraph"/>
        <w:numPr>
          <w:ilvl w:val="0"/>
          <w:numId w:val="2"/>
        </w:numPr>
        <w:jc w:val="both"/>
        <w:rPr>
          <w:rFonts w:ascii="Times New Roman" w:hAnsi="Times New Roman" w:cs="Times New Roman"/>
          <w:noProof/>
        </w:rPr>
      </w:pPr>
      <w:r>
        <w:rPr>
          <w:rFonts w:ascii="Times New Roman" w:hAnsi="Times New Roman"/>
          <w:noProof/>
        </w:rPr>
        <w:t xml:space="preserve">запазване на статуквото — базов сценарий; </w:t>
      </w:r>
    </w:p>
    <w:p>
      <w:pPr>
        <w:pStyle w:val="ListParagraph"/>
        <w:numPr>
          <w:ilvl w:val="0"/>
          <w:numId w:val="2"/>
        </w:numPr>
        <w:jc w:val="both"/>
        <w:rPr>
          <w:rFonts w:ascii="Times New Roman" w:hAnsi="Times New Roman" w:cs="Times New Roman"/>
          <w:noProof/>
        </w:rPr>
      </w:pPr>
      <w:r>
        <w:rPr>
          <w:rFonts w:ascii="Times New Roman" w:hAnsi="Times New Roman"/>
          <w:noProof/>
        </w:rPr>
        <w:t>изготвяне на регламент на ЕС с цел до 2018 г. или 2020 г. да се постигне устойчив риболов на съответните запаси (два подварианта);</w:t>
      </w:r>
    </w:p>
    <w:p>
      <w:pPr>
        <w:pStyle w:val="ListParagraph"/>
        <w:numPr>
          <w:ilvl w:val="0"/>
          <w:numId w:val="2"/>
        </w:numPr>
        <w:jc w:val="both"/>
        <w:rPr>
          <w:rFonts w:ascii="Times New Roman" w:hAnsi="Times New Roman" w:cs="Times New Roman"/>
          <w:noProof/>
        </w:rPr>
      </w:pPr>
      <w:r>
        <w:rPr>
          <w:rFonts w:ascii="Times New Roman" w:hAnsi="Times New Roman"/>
          <w:noProof/>
        </w:rPr>
        <w:t>изменение на настоящата рамка на управление (национално и международно законодателство).</w:t>
      </w:r>
    </w:p>
    <w:p>
      <w:pPr>
        <w:jc w:val="both"/>
        <w:rPr>
          <w:rFonts w:ascii="Times New Roman" w:hAnsi="Times New Roman" w:cs="Times New Roman"/>
          <w:noProof/>
        </w:rPr>
      </w:pPr>
      <w:r>
        <w:rPr>
          <w:rFonts w:ascii="Times New Roman" w:hAnsi="Times New Roman"/>
          <w:b/>
          <w:noProof/>
        </w:rPr>
        <w:t xml:space="preserve">Бе предпочетен вариантът </w:t>
      </w:r>
      <w:r>
        <w:rPr>
          <w:rFonts w:ascii="Times New Roman" w:hAnsi="Times New Roman"/>
          <w:noProof/>
        </w:rPr>
        <w:t>за изготвяне на регламент на ЕС с подвариант „2020 г.“, тъй като в него е заложено постигането на всички посочени цели</w:t>
      </w:r>
    </w:p>
    <w:p>
      <w:pPr>
        <w:jc w:val="both"/>
        <w:rPr>
          <w:rFonts w:ascii="Times New Roman" w:hAnsi="Times New Roman" w:cs="Times New Roman"/>
          <w:noProof/>
        </w:rPr>
      </w:pPr>
      <w:r>
        <w:rPr>
          <w:rFonts w:ascii="Times New Roman" w:hAnsi="Times New Roman"/>
          <w:noProof/>
        </w:rPr>
        <w:t>Никоя от заинтересованите страни, взели участие в консултациите, не е изказала предпочитание към използването на актове с незадължителна юридическа сила. Само една заинтересована страна счита, че настоящата правна рамка е достатъчна. Всички респонденти (с изключение на Малта) са на мнение, че изменението на сегашната рамка няма да бъде достатъчно. Изготвянето на регламент на ЕС бе подкрепено от Консултативния съвет за Средиземно море (състоящ се от представители на сектора и гражданското общество), неправителствени организации, публични органи, научноизследователски институти, както и от Хърватия, Италия и Словения, които бе изразено категорично предпочитание за подварианта „2020 г.“.</w:t>
      </w:r>
    </w:p>
    <w:p>
      <w:pPr>
        <w:jc w:val="both"/>
        <w:rPr>
          <w:rFonts w:ascii="Times New Roman" w:hAnsi="Times New Roman" w:cs="Times New Roman"/>
          <w:noProof/>
        </w:rPr>
      </w:pPr>
      <w:r>
        <w:rPr>
          <w:rFonts w:ascii="Times New Roman" w:hAnsi="Times New Roman"/>
          <w:b/>
          <w:noProof/>
        </w:rPr>
        <w:t>В. Въздействие на предпочитания вариант</w:t>
      </w:r>
    </w:p>
    <w:p>
      <w:pPr>
        <w:jc w:val="both"/>
        <w:rPr>
          <w:rFonts w:ascii="Times New Roman" w:hAnsi="Times New Roman" w:cs="Times New Roman"/>
          <w:noProof/>
        </w:rPr>
      </w:pPr>
      <w:r>
        <w:rPr>
          <w:rFonts w:ascii="Times New Roman" w:hAnsi="Times New Roman"/>
          <w:noProof/>
        </w:rPr>
        <w:t xml:space="preserve">Основните </w:t>
      </w:r>
      <w:r>
        <w:rPr>
          <w:rFonts w:ascii="Times New Roman" w:hAnsi="Times New Roman"/>
          <w:b/>
          <w:noProof/>
        </w:rPr>
        <w:t>ползи от предпочитания вариант</w:t>
      </w:r>
      <w:r>
        <w:rPr>
          <w:rFonts w:ascii="Times New Roman" w:hAnsi="Times New Roman"/>
          <w:noProof/>
        </w:rPr>
        <w:t xml:space="preserve"> за околната среда ще се изразяват в постигането до 2020 г. на устойчив риболов на запасите от хамсия и сардина, които са били обект на прекомерна експлоатация в продължение на години, и в гарантиране на по-голяма стабилност и устойчивост на риболовния сектор. Действащата рамка на управление ще бъде опростена, по-стабилна и прозрачна и ще осигури по-осигури по-активната ангажираност на държавите членки и риболовните предприятия, тъй като те могат да бъдат привлечени за участие в разработването на някои от правилата за управление. Наред с това се очаква повишаването на числеността на запасите от хамсия и сардина да бъде от полза за по-големите и ценни хищни видове (например червения тон). </w:t>
      </w:r>
    </w:p>
    <w:p>
      <w:pPr>
        <w:jc w:val="both"/>
        <w:rPr>
          <w:rFonts w:ascii="Times New Roman" w:hAnsi="Times New Roman" w:cs="Times New Roman"/>
          <w:noProof/>
        </w:rPr>
      </w:pPr>
      <w:r>
        <w:rPr>
          <w:rFonts w:ascii="Times New Roman" w:hAnsi="Times New Roman"/>
          <w:noProof/>
        </w:rPr>
        <w:t>С приемането на многогодишен план на ЕС се очаква до 2021 г. да се постигне подобряване на състоянието на запасите (с около 20 % в сравнение със статуквото), както и на условията на труд на рибарите (увеличаване на възнаграждението с ± 5 % и на рентабилността с ± 10 %).</w:t>
      </w:r>
    </w:p>
    <w:p>
      <w:pPr>
        <w:jc w:val="both"/>
        <w:rPr>
          <w:rFonts w:ascii="Times New Roman" w:hAnsi="Times New Roman" w:cs="Times New Roman"/>
          <w:noProof/>
        </w:rPr>
      </w:pPr>
      <w:r>
        <w:rPr>
          <w:rFonts w:ascii="Times New Roman" w:hAnsi="Times New Roman"/>
          <w:noProof/>
        </w:rPr>
        <w:t xml:space="preserve">Що се отнася до </w:t>
      </w:r>
      <w:r>
        <w:rPr>
          <w:rFonts w:ascii="Times New Roman" w:hAnsi="Times New Roman"/>
          <w:b/>
          <w:noProof/>
        </w:rPr>
        <w:t>разходите за изпълнение на предпочитания вариант</w:t>
      </w:r>
      <w:r>
        <w:rPr>
          <w:rFonts w:ascii="Times New Roman" w:hAnsi="Times New Roman"/>
          <w:noProof/>
        </w:rPr>
        <w:t>, с цел да се гарантира поддържането в дългосрочен план на равнищата на риболов и да се осигури устойчивост и рентабилност на риболовния сектор, се очаква до 2021 г. да е необходимо намаление в улова на хамсия и сардина (± 25—30 %), което ще доведе до по-ниски общи приходи за сектора (± 25 %) и спад в заетостта (± 10 %). Тези прогнози се отнасят за рибарите в Хърватия, Италия и — в по-малка степен — Словения, които използват кораби с мрежи гъргър или пелагични тралове. С намаляването на улова има вероятност цените при първа продажба да се повишат — това до известна степен ще компенсира намалението на приходите на риболовния сектор, причинено от спада в улова, но ще окаже отрицателно въздействие върху потребителите и преработвателния сектор (по-специално в Хърватия и Италия), поради което може да се наложи увеличаване на вноса от други държави.</w:t>
      </w:r>
    </w:p>
    <w:p>
      <w:pPr>
        <w:jc w:val="both"/>
        <w:rPr>
          <w:rFonts w:ascii="Times New Roman" w:hAnsi="Times New Roman" w:cs="Times New Roman"/>
          <w:noProof/>
        </w:rPr>
      </w:pPr>
      <w:r>
        <w:rPr>
          <w:rFonts w:ascii="Times New Roman" w:hAnsi="Times New Roman"/>
          <w:noProof/>
        </w:rPr>
        <w:t xml:space="preserve">Що се отнася до </w:t>
      </w:r>
      <w:r>
        <w:rPr>
          <w:rFonts w:ascii="Times New Roman" w:hAnsi="Times New Roman"/>
          <w:b/>
          <w:noProof/>
        </w:rPr>
        <w:t>въздействието върху МСП</w:t>
      </w:r>
      <w:r>
        <w:rPr>
          <w:rFonts w:ascii="Times New Roman" w:hAnsi="Times New Roman"/>
          <w:noProof/>
        </w:rPr>
        <w:t>, следва да се отбележи, че ОПОР е политика, насочена конкретно към МСП, които са преобладаващите предприятия в риболовния сектор. Почти всички предприятия в сектора, занимаващи се с риболов на хамсия и сардина в Адриатическо море, и преобладаващата част от предприятията в преработвателния сектор са микропредприятия или МСП. Тяхното изключване от обхвата на настоящото предложение поради размера им би довело до изключване на преобладаващата част от сектора, а оттам — до обезсмисляне на предложението. Съответно многогодишният план на ЕС ще се прилага по отношение на всички предприятия, включително МСП и микропредприятията. Очаква се те да бъдат засегнати от посочените последици в различна степен и в зависимост от начините, по които държавите членки решат да разпределят необходимите ограничения на риболовното усилие сред сегментите на флота.</w:t>
      </w:r>
    </w:p>
    <w:p>
      <w:pPr>
        <w:jc w:val="both"/>
        <w:rPr>
          <w:rFonts w:ascii="Times New Roman" w:hAnsi="Times New Roman" w:cs="Times New Roman"/>
          <w:noProof/>
        </w:rPr>
      </w:pPr>
      <w:r>
        <w:rPr>
          <w:rFonts w:ascii="Times New Roman" w:hAnsi="Times New Roman"/>
          <w:noProof/>
        </w:rPr>
        <w:t xml:space="preserve">Не се очаква отражение върху </w:t>
      </w:r>
      <w:r>
        <w:rPr>
          <w:rFonts w:ascii="Times New Roman" w:hAnsi="Times New Roman"/>
          <w:b/>
          <w:noProof/>
        </w:rPr>
        <w:t>националните бюджети</w:t>
      </w:r>
      <w:r>
        <w:rPr>
          <w:rFonts w:ascii="Times New Roman" w:hAnsi="Times New Roman"/>
          <w:noProof/>
        </w:rPr>
        <w:t xml:space="preserve"> на държавите членки, тъй като необходимото наблюдение и събиране на данни вече се осъществяват и е необходимо единствено да се повиши тяхната честота.</w:t>
      </w:r>
    </w:p>
    <w:p>
      <w:pPr>
        <w:jc w:val="both"/>
        <w:rPr>
          <w:rFonts w:ascii="Times New Roman" w:hAnsi="Times New Roman" w:cs="Times New Roman"/>
          <w:noProof/>
        </w:rPr>
      </w:pPr>
      <w:r>
        <w:rPr>
          <w:rFonts w:ascii="Times New Roman" w:hAnsi="Times New Roman"/>
          <w:noProof/>
        </w:rPr>
        <w:t xml:space="preserve">По отношение на </w:t>
      </w:r>
      <w:r>
        <w:rPr>
          <w:rFonts w:ascii="Times New Roman" w:hAnsi="Times New Roman"/>
          <w:b/>
          <w:noProof/>
        </w:rPr>
        <w:t>другите значими въздействия</w:t>
      </w:r>
      <w:r>
        <w:rPr>
          <w:rFonts w:ascii="Times New Roman" w:hAnsi="Times New Roman"/>
          <w:noProof/>
        </w:rPr>
        <w:t xml:space="preserve"> може да се очаква, че подобрената рентабилност на риболовния сектор в Адриатическо море ще повиши неговата конкурентоспособност и, в съчетание с по-добрите възнаграждения, ще направи сектора по-привлекателен.</w:t>
      </w:r>
    </w:p>
    <w:p>
      <w:pPr>
        <w:jc w:val="both"/>
        <w:rPr>
          <w:rFonts w:ascii="Times New Roman" w:hAnsi="Times New Roman" w:cs="Times New Roman"/>
          <w:noProof/>
        </w:rPr>
      </w:pPr>
      <w:r>
        <w:rPr>
          <w:rFonts w:ascii="Times New Roman" w:hAnsi="Times New Roman"/>
          <w:b/>
          <w:noProof/>
        </w:rPr>
        <w:t>Г. Последващи действия</w:t>
      </w:r>
    </w:p>
    <w:p>
      <w:pPr>
        <w:jc w:val="both"/>
        <w:rPr>
          <w:rFonts w:ascii="Times New Roman" w:hAnsi="Times New Roman" w:cs="Times New Roman"/>
          <w:noProof/>
        </w:rPr>
      </w:pPr>
      <w:r>
        <w:rPr>
          <w:rFonts w:ascii="Times New Roman" w:hAnsi="Times New Roman"/>
          <w:noProof/>
        </w:rPr>
        <w:t>Във връзка с прегледа на политиката следва да се отбележи, че Комисията ще докладва на Европейския парламент и на Съвета за изпълнението на плана пет години след неговото влизане в сила, а след това — на всеки пет години.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690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0ED5"/>
    <w:multiLevelType w:val="hybridMultilevel"/>
    <w:tmpl w:val="63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E6025E"/>
    <w:multiLevelType w:val="hybridMultilevel"/>
    <w:tmpl w:val="0C7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2C79587D9FB5445B8B5578C6ABA69D51"/>
    <w:docVar w:name="LW_CROSSREFERENCE" w:val="{COM(2017) 97 final}_x000b_{SWD(2017) 64 final}"/>
    <w:docVar w:name="LW_DATE.ADOPT.CP_ISODATE" w:val="&lt;EMPTY&gt;"/>
    <w:docVar w:name="LW_DocType" w:val="NORMAL"/>
    <w:docVar w:name="LW_EMISSION" w:val="24.2.2017"/>
    <w:docVar w:name="LW_EMISSION_ISODATE" w:val="2017-02-24"/>
    <w:docVar w:name="LW_EMISSION_LOCATION" w:val="BRX"/>
    <w:docVar w:name="LW_EMISSION_PREFIX" w:val="Брюксел, "/>
    <w:docVar w:name="LW_EMISSION_SUFFIX" w:val=" \u1075?."/>
    <w:docVar w:name="LW_ID_DOCTYPE_NONLW" w:val="CP-027"/>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4?\u1085?\u1086?\u1075?\u1086?\u1075?\u1086?\u1076?\u1080?\u1096?\u1077?\u1085? \u1087?\u1083?\u1072?\u1085? \u1079?\u1072? \u1079?\u1072?\u1087?\u1072?\u1089?\u1080?\u1090?\u1077? \u1086?\u1090? \u1076?\u1088?\u1077?\u1073?\u1085?\u1080? \u1087?\u1077?\u1083?\u1072?\u1075?\u1080?\u1095?\u1085?\u1080? \u1074?\u1080?\u1076?\u1086?\u1074?\u1077? \u1074? \u1040?\u1076?\u1088?\u1080?\u1072?\u1090?\u1080?\u1095?\u1077?\u1089?\u1082?\u1086? \u1084?\u1086?\u1088?\u1077? \u1080? \u1079?\u1072? \u1089?\u1074?\u1098?\u1088?\u1079?\u1072?\u1085?\u1080?\u1090?\u1077? \u1089? \u1090?\u1103?\u1093? \u1088?\u1080?\u1073?\u1086?\u1083?\u1086?\u1074?\u1085?\u1080? \u1076?\u1077?\u1081?\u1085?\u1086?\u1089?\u1090?\u1080?"/>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63"/>
    <w:docVar w:name="LW_REF.INTERNE" w:val="&lt;UNUSED&gt;"/>
    <w:docVar w:name="LW_SOUS.TITRE.OBJ.CP"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56?\u1045?\u1044?\u1051?\u1054?\u1046?\u1045?\u1053?\u1048?\u1045? \u1047?\u1040? \u1056?\u1045?\u1043?\u1051?\u1040?\u1052?\u1045?\u1053?\u1058? \u1053?\u1040? \u1045?\u1042?\u1056?\u1054?\u1055?\u1045?\u1049?\u1057?\u1050?\u1048?\u1071? \u1055?\u1040?\u1056?\u1051?\u1040?\u1052?\u1045?\u1053?\u1058? \u1048? \u1053?\u1040? \u1057?\u1066?\u1042?\u1045?\u1058?\u1040?"/>
    <w:docVar w:name="Stamp" w:val="\\dossiers.dgt.cec.eu.int\dossiers\MARE\MARE-2016-00626\MARE-2016-00626-00-02-EN-REV-00.2016100312125347997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F2F1-29FF-4016-A6D6-597C028F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1104</Words>
  <Characters>6284</Characters>
  <Application>Microsoft Office Word</Application>
  <DocSecurity>0</DocSecurity>
  <Lines>108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2017-02-16T09:57:00Z</dcterms:created>
  <dcterms:modified xsi:type="dcterms:W3CDTF">2017-02-24T10:45:00Z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