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CE5A2B2A734A81AB62A36928EEBD4C" style="width:450.8pt;height:321.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СЪДЪРЖАНИЕ</w:t>
      </w:r>
    </w:p>
    <w:p>
      <w:pPr>
        <w:spacing w:after="0"/>
        <w:rPr>
          <w:rFonts w:ascii="Times New Roman" w:hAnsi="Times New Roman"/>
          <w:noProof/>
          <w:sz w:val="24"/>
          <w:szCs w:val="24"/>
        </w:rPr>
      </w:pPr>
    </w:p>
    <w:p>
      <w:pPr>
        <w:spacing w:after="0"/>
        <w:rPr>
          <w:rFonts w:ascii="Times New Roman" w:hAnsi="Times New Roman"/>
          <w:noProof/>
          <w:sz w:val="24"/>
          <w:szCs w:val="24"/>
        </w:rPr>
      </w:pPr>
      <w:r>
        <w:rPr>
          <w:rFonts w:ascii="Times New Roman" w:hAnsi="Times New Roman"/>
          <w:noProof/>
          <w:sz w:val="24"/>
        </w:rPr>
        <w:t>1. Бюджетната процедура на ЕФГЗ за 2017 г. …………………….….………………….....3</w:t>
      </w:r>
    </w:p>
    <w:p>
      <w:pPr>
        <w:spacing w:after="0"/>
        <w:rPr>
          <w:rFonts w:ascii="Times New Roman" w:hAnsi="Times New Roman"/>
          <w:noProof/>
          <w:sz w:val="24"/>
          <w:szCs w:val="24"/>
        </w:rPr>
      </w:pPr>
      <w:r>
        <w:rPr>
          <w:rFonts w:ascii="Times New Roman" w:hAnsi="Times New Roman"/>
          <w:noProof/>
          <w:sz w:val="24"/>
        </w:rPr>
        <w:t>2. Целеви приходи, предназначени за ЕФГЗ ……………………….….……………….…..3</w:t>
      </w:r>
    </w:p>
    <w:p>
      <w:pPr>
        <w:spacing w:after="0"/>
        <w:rPr>
          <w:rFonts w:ascii="Times New Roman" w:hAnsi="Times New Roman"/>
          <w:noProof/>
          <w:sz w:val="24"/>
          <w:szCs w:val="24"/>
        </w:rPr>
      </w:pPr>
      <w:r>
        <w:rPr>
          <w:rFonts w:ascii="Times New Roman" w:hAnsi="Times New Roman"/>
          <w:noProof/>
          <w:sz w:val="24"/>
        </w:rPr>
        <w:t>3. Коментари относно предварителните данни за изпълнението на бюджета на ЕФГЗ за 2017 г. ……………………………………………………………….….………………..……4</w:t>
      </w:r>
    </w:p>
    <w:p>
      <w:pPr>
        <w:spacing w:after="0"/>
        <w:rPr>
          <w:rFonts w:ascii="Times New Roman" w:hAnsi="Times New Roman"/>
          <w:noProof/>
          <w:sz w:val="24"/>
          <w:szCs w:val="24"/>
        </w:rPr>
      </w:pPr>
      <w:r>
        <w:rPr>
          <w:rFonts w:ascii="Times New Roman" w:hAnsi="Times New Roman"/>
          <w:noProof/>
          <w:sz w:val="24"/>
        </w:rPr>
        <w:t>4. Усвояване на целевите приходи, предназначени за ЕФГЗ …..…….……………..…….7</w:t>
      </w:r>
    </w:p>
    <w:p>
      <w:pPr>
        <w:spacing w:after="0"/>
        <w:rPr>
          <w:rFonts w:ascii="Times New Roman" w:hAnsi="Times New Roman"/>
          <w:noProof/>
          <w:sz w:val="24"/>
          <w:szCs w:val="24"/>
        </w:rPr>
      </w:pPr>
      <w:r>
        <w:rPr>
          <w:rFonts w:ascii="Times New Roman" w:hAnsi="Times New Roman"/>
          <w:noProof/>
          <w:sz w:val="24"/>
        </w:rPr>
        <w:t>5. Заключения ………………………………………………………………………………...7</w:t>
      </w:r>
    </w:p>
    <w:p>
      <w:pPr>
        <w:spacing w:after="0"/>
        <w:rPr>
          <w:rFonts w:ascii="Times New Roman" w:hAnsi="Times New Roman"/>
          <w:noProof/>
          <w:sz w:val="24"/>
          <w:szCs w:val="24"/>
        </w:rPr>
      </w:pPr>
    </w:p>
    <w:p>
      <w:pPr>
        <w:rPr>
          <w:noProof/>
        </w:rPr>
      </w:pPr>
    </w:p>
    <w:tbl>
      <w:tblPr>
        <w:tblW w:w="0" w:type="auto"/>
        <w:tblLook w:val="01E0" w:firstRow="1" w:lastRow="1" w:firstColumn="1" w:lastColumn="1" w:noHBand="0" w:noVBand="0"/>
      </w:tblPr>
      <w:tblGrid>
        <w:gridCol w:w="2111"/>
        <w:gridCol w:w="7154"/>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Приложение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 кредити по линия на ЕФГЗ към 31.1.2017 г.</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numPr>
          <w:ilvl w:val="0"/>
          <w:numId w:val="4"/>
        </w:numPr>
        <w:rPr>
          <w:noProof/>
        </w:rPr>
      </w:pPr>
      <w:bookmarkStart w:id="2" w:name="_Toc229306111"/>
      <w:bookmarkStart w:id="3" w:name="_Toc413145207"/>
      <w:bookmarkStart w:id="4" w:name="_Toc244054012"/>
      <w:bookmarkStart w:id="5" w:name="_Toc244054013"/>
      <w:r>
        <w:rPr>
          <w:noProof/>
        </w:rPr>
        <w:t>Бюджетната процедура на ЕФГЗ за 2017 г.</w:t>
      </w:r>
      <w:bookmarkEnd w:id="2"/>
      <w:bookmarkEnd w:id="3"/>
    </w:p>
    <w:p>
      <w:pPr>
        <w:pStyle w:val="Text1"/>
        <w:rPr>
          <w:noProof/>
        </w:rPr>
      </w:pPr>
      <w:r>
        <w:rPr>
          <w:noProof/>
        </w:rPr>
        <w:t xml:space="preserve">Бюджетът на ЕС за 2017 г. бе приет от Европейския парламент на 1 декември 2016 г. По линия на Европейския фонд за гарантиране на земеделието (ЕФГЗ) той включваше бюджетни кредити за поети задължения и бюджетни кредити за плащания съответно в размер на 42 613 млн. евро за директни плащания и в размер на 42 563 млн. евро за разходи, свързани с пазара. </w:t>
      </w:r>
    </w:p>
    <w:p>
      <w:pPr>
        <w:pStyle w:val="Text1"/>
        <w:rPr>
          <w:noProof/>
        </w:rPr>
      </w:pPr>
      <w:r>
        <w:rPr>
          <w:noProof/>
        </w:rPr>
        <w:t>Разликата между бюджетните кредити за поети задължения и бюджетните кредити за плащания се дължи на факта, че за някои мерки, прилагани директно от Комисията, се използват многогодишни бюджетни кредити. Те са свързани главно с мерки за насърчаване по отношение на селскостопански продукти и с мерки за стратегическо планиране и координиране на политиките.</w:t>
      </w:r>
    </w:p>
    <w:p>
      <w:pPr>
        <w:pStyle w:val="Heading1"/>
        <w:rPr>
          <w:noProof/>
        </w:rPr>
      </w:pPr>
      <w:bookmarkStart w:id="6" w:name="_Toc413145208"/>
      <w:bookmarkEnd w:id="4"/>
      <w:r>
        <w:rPr>
          <w:noProof/>
        </w:rPr>
        <w:t>Целеви приходи, предназначени за ЕФГЗ</w:t>
      </w:r>
      <w:bookmarkEnd w:id="5"/>
      <w:bookmarkEnd w:id="6"/>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Въз основа на разпоредбите на член 43 от Регламент (ЕС) № 1306/2013 приходите за 2017 г., получени от финансови корекции по силата на решения за счетоводно уравняване и уравняване по съответствие и вследствие на нередности, се считат за целеви приходи, предназначени за финансиране на разходите по линия на ЕФГЗ. Следва да се отбележи, че поради изтичането на срока на действие на квотите за мляко на 31 март 2015 г. бюджетната 2016 г. бе последната година за събиране на приходите от налога в сектора на млякото.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В съответствие с посочените разпоредби целевите приходи могат да се използват за финансиране на всички разходи по линия на ЕФГЗ. В случай че част от тези приходи не е усвоена в рамките на бюджетната година, тя автоматично се пренася към следващата</w:t>
      </w:r>
      <w:r>
        <w:rPr>
          <w:rFonts w:ascii="Times New Roman" w:hAnsi="Times New Roman"/>
          <w:noProof/>
          <w:sz w:val="24"/>
          <w:vertAlign w:val="superscript"/>
        </w:rPr>
        <w:footnoteReference w:id="1"/>
      </w:r>
      <w:r>
        <w:rPr>
          <w:rFonts w:ascii="Times New Roman" w:hAnsi="Times New Roman"/>
          <w:noProof/>
          <w:sz w:val="24"/>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sz w:val="24"/>
        </w:rPr>
        <w:t>Бюджетът на ЕФГЗ за 2017 г. включва:</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най-актуалните прогнози на Комисията относно нуждите от финансиране на пазарни мерки и директни плащания,</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прогнозите относно целевите приходи, които се очаква да бъдат събрани през съответната бюджетна година</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и пренесените суми от целевите приходи, останали неизползвани от предходната бюджетна година.</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В предложението си относно бюджетните кредити за ЕФГЗ за 2017 г. Комисията взе предвид общия размер на прогнозираните целеви приходи и поиска в бюджета за 2017 г. да бъдат включени кредити, изчислени чрез приспадане на прогнозните целеви приходи от прогнозните нужди. Бюджетният орган прие бюджета на ЕФГЗ, като взе предвид очакваните целеви приходи.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Според прогнозните изчисления на Комисията наличните целеви приходи към момента на изготвянето на бюджета за 2017 г. възлизаха на 2732 млн. евро, които включваха: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целевите приходи, които се очакваше да бъдат генерирани в течение на бюджетната 2017 г. и чийто прогнозиран размер</w:t>
      </w:r>
      <w:r>
        <w:rPr>
          <w:noProof/>
        </w:rPr>
        <w:t xml:space="preserve"> бе 1430 млн. евро (1278 млн. евро от уравняване по съответствие </w:t>
      </w:r>
      <w:r>
        <w:rPr>
          <w:rFonts w:ascii="Times New Roman" w:hAnsi="Times New Roman"/>
          <w:noProof/>
          <w:sz w:val="24"/>
        </w:rPr>
        <w:t xml:space="preserve"> и 152 млн. евро от възстановявания вследствие на нередности);</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целевите приходи, подлежащи на пренасяне от 2016 г. към 2017 г., чийто прогнозиран размер бе 1302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Комисията разпредели тези прогнозирани целеви приходи от 2732 млн. евро по следните схеми: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400 млн. евро за оперативните фондове на организациите на производители в сектора на плодовете и зеленчуците и</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2332 млн. евро за схемата за основно плащане.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Сумата на одобрените бюджетни кредити и на целевите приходи за тези схеми съответства на:</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855 млн. евро за оперативните фондове на организациите на производители в сектора на плодовете и зеленчуците и</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17 628 млн. евро за схемата за основно плащане.</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В приложението, в което се съдържат предварителните данни за изпълнението на бюджета за 2017 г. за периода до 31 януари 2017 г., гореспоменатите целеви приходи не са взети предвид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661,5 млн. евро и 33 191,8 млн. евро.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С включването на разпределените за тези статии целеви приходи общите суми, предвидени в бюджета за 2017 г., са 1061,5 млн. евро за сектора на плодовете и зеленчуците и 35 523,8 млн. евро за отделените от производството директни плащания. </w:t>
      </w:r>
    </w:p>
    <w:p>
      <w:pPr>
        <w:pStyle w:val="Heading1"/>
        <w:rPr>
          <w:noProof/>
        </w:rPr>
      </w:pPr>
      <w:bookmarkStart w:id="7" w:name="_Toc244054015"/>
      <w:bookmarkStart w:id="8" w:name="_Toc413145209"/>
      <w:r>
        <w:rPr>
          <w:noProof/>
        </w:rPr>
        <w:t>Коментари относно предварителните данни за изпълнението на бюджета на ЕФГЗ за 2017 г.</w:t>
      </w:r>
      <w:bookmarkEnd w:id="7"/>
      <w:bookmarkEnd w:id="8"/>
    </w:p>
    <w:p>
      <w:pPr>
        <w:spacing w:before="120" w:after="120" w:line="240" w:lineRule="auto"/>
        <w:ind w:left="850"/>
        <w:jc w:val="both"/>
        <w:rPr>
          <w:rFonts w:ascii="Times New Roman" w:eastAsia="Times New Roman" w:hAnsi="Times New Roman"/>
          <w:noProof/>
          <w:sz w:val="24"/>
          <w:szCs w:val="24"/>
        </w:rPr>
      </w:pPr>
      <w:bookmarkStart w:id="9" w:name="_Toc244054016"/>
      <w:r>
        <w:rPr>
          <w:rFonts w:ascii="Times New Roman" w:hAnsi="Times New Roman"/>
          <w:noProof/>
          <w:sz w:val="24"/>
        </w:rPr>
        <w:t>Предварителните данни за изпълнението на бюджета за периода от 16 октомври 2016 г. до 31 януари 2017 г. са представени в приложението. Това изпълнение е съпоставено с профила на разходите на Системата за ранно предупреждение и мониторинг, въведена съгласно член 28 от Регламент (ЕС) № 1306/2013. По-долу следва кратък коментар по някои бюджетни статии, по които се наблюдават най-значителните отклонения между реалното и очакваното равнище на изпълнение на бюджета за 2017 г.</w:t>
      </w:r>
    </w:p>
    <w:p>
      <w:pPr>
        <w:pStyle w:val="Heading2"/>
        <w:rPr>
          <w:noProof/>
        </w:rPr>
      </w:pPr>
      <w:r>
        <w:rPr>
          <w:noProof/>
        </w:rPr>
        <w:t>Пазарни мерки</w:t>
      </w:r>
      <w:bookmarkEnd w:id="9"/>
    </w:p>
    <w:p>
      <w:pPr>
        <w:pStyle w:val="Text1"/>
        <w:rPr>
          <w:noProof/>
        </w:rPr>
      </w:pPr>
      <w:r>
        <w:rPr>
          <w:noProof/>
        </w:rPr>
        <w:t>Усвоените бюджетни кредити за интервенции на пазарите на селскостопански продукти бяха с 35,9 млн. евро по-малко от очакваното. Като се имат предвид обаче целевите приходи в размер на 400 млн. евро, разпределени за пазарни мерки, и като се приложи прогнозният профил на разходите, се получава неизпълнение в размер на 113 млн. евро. Това отклонение е нетен ефект от тенденциите в изпълнението на бюджета — преди всичко в сектора на плодовете и зеленчуците, лозаро-винарския сектор, сектора на млякото и млечните продукти и сектора на свинското месо.</w:t>
      </w:r>
    </w:p>
    <w:p>
      <w:pPr>
        <w:pStyle w:val="Heading3"/>
        <w:rPr>
          <w:noProof/>
        </w:rPr>
      </w:pPr>
      <w:r>
        <w:rPr>
          <w:noProof/>
        </w:rPr>
        <w:t>Плодове и зеленчуци (+ 40,9 млн. евро в сравнение с одобрените бюджетни кредити)</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По отношение на одобрените бюджетни кредити посочената степен на усвояване не е показателна поради разходите за оперативните фондове за схемата за организации на производители и разходите за други мерки за плодовете и зеленчуците, които се финансират както от одобрените бюджетни кредити, така и от целевите приходи, предназначени за тази схема (забележка: за повече информация вж. точка 2 по-горе).</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В бележка под линия (*) към таблицата с предварителните данни за изпълнението, съдържаша се в приложението, се прави съпоставка на усвояването и профила на усвояването с общия размер на наличните финансови средства. Съпоставката показва че усвояването на разходите изостава с 36,5 млн евро спрямо профила.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Това е последица от по-бавното усвояване по всички схеми, финансирани по тази статия. Преди всичко не могат да бъдат направени надеждни прогнози за темповете на усвояване на бюджетните кредити за мерките при криза и има вероятност тези темпове да се отклоняват от 3-годишния среден профил на усвояването, който представлява основата на показателя за повечето схеми, финансирани по тази статия.</w:t>
      </w:r>
      <w:r>
        <w:rPr>
          <w:rFonts w:ascii="Times New Roman" w:hAnsi="Times New Roman"/>
          <w:noProof/>
          <w:color w:val="FF0000"/>
          <w:sz w:val="24"/>
        </w:rPr>
        <w:t xml:space="preserve"> </w:t>
      </w:r>
      <w:r>
        <w:rPr>
          <w:rFonts w:ascii="Times New Roman" w:hAnsi="Times New Roman"/>
          <w:noProof/>
          <w:sz w:val="24"/>
        </w:rPr>
        <w:t>Към настоящия момент това положение се счита за временно, като изпълнението по тази статия се следи внимателно от службите на Комисията.</w:t>
      </w:r>
    </w:p>
    <w:p>
      <w:pPr>
        <w:pStyle w:val="Heading3"/>
        <w:rPr>
          <w:noProof/>
        </w:rPr>
      </w:pPr>
      <w:r>
        <w:rPr>
          <w:noProof/>
        </w:rPr>
        <w:t>Продукти от лозаро-винарския сектор (– 31,6 млн. евро)</w:t>
      </w:r>
    </w:p>
    <w:p>
      <w:pPr>
        <w:tabs>
          <w:tab w:val="left" w:pos="851"/>
        </w:tabs>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Това неизпълнение се дължи на по-бавните темпове на плащанията, извършени от държавите членки, в сравнение с установения профил на разходите за националните програми в лозаро-винарския сектор. Към настоящия момент това положение се счита за временно.</w:t>
      </w:r>
    </w:p>
    <w:p>
      <w:pPr>
        <w:pStyle w:val="Heading3"/>
        <w:rPr>
          <w:noProof/>
        </w:rPr>
      </w:pPr>
      <w:r>
        <w:rPr>
          <w:noProof/>
        </w:rPr>
        <w:t xml:space="preserve">Мляко и млечни продукти (– 45,9 млн. евро)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Основната причина за степента на усвояване по тази статия е изпълнението на извънредната помощ за приспособяване за секторите на животновъдството</w:t>
      </w:r>
      <w:r>
        <w:rPr>
          <w:rFonts w:ascii="Times New Roman" w:hAnsi="Times New Roman"/>
          <w:noProof/>
          <w:sz w:val="24"/>
          <w:vertAlign w:val="superscript"/>
        </w:rPr>
        <w:footnoteReference w:id="2"/>
      </w:r>
      <w:r>
        <w:rPr>
          <w:rFonts w:ascii="Times New Roman" w:hAnsi="Times New Roman"/>
          <w:noProof/>
          <w:sz w:val="24"/>
        </w:rPr>
        <w:t xml:space="preserve">. Сумата от 350 млн. евро бюджетни кредити за тази схема за подпомагане е вписана в бюджетна позиция 05 02 12 99 — Други мерки (мляко и млечни продукти). Въпреки това, тъй като държавите членки могат да предоставят помощта на производители от всички сектори на животновъдството, усвояването на бюджетните кредити по тази статия ще бъде по-ниско и ще бъдат направени необходимите прехвърляния за покриване на разходите, декларирани по други статии (05 02 13, 05 02 14 и 05 02 15).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Що се отнася до усвояването по схемата, според профила на усвояването се прогнозира равномерно разпределяне на разходите през периода на допустимост до 30 септември 2017 г. Накратко, настоящото неизпълнение се счита за временно, като изпълнението по тази статия се следи внимателно от службите на Комисията.  </w:t>
      </w:r>
    </w:p>
    <w:p>
      <w:pPr>
        <w:pStyle w:val="Heading3"/>
        <w:rPr>
          <w:noProof/>
        </w:rPr>
      </w:pPr>
      <w:r>
        <w:rPr>
          <w:noProof/>
        </w:rPr>
        <w:t xml:space="preserve">Свинско месо, яйца и птиче месо, пчеларство и други животински продукти (+ 10,1 млн. евро)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Това усвояване в превишение на усвояването съгласно профила е най-вече резултат от извънредната помощ за приспособяване, посочена в точка 3.1.3 по-горе, според която разходите за съответната помощ в сектора на свинското месо са обявени в посочената статия, а целият размер на предвидените бюджетни кредити е вписан в статия 05 02 12 — Мляко и млечни продукти. В резултат на това се получава надхвърляне на одобрените бюджетни кредити по тази статия, което се покрива чрез прехвърляне на бюджетни кредити от бюджетна статия 05 02 12.</w:t>
      </w:r>
    </w:p>
    <w:p>
      <w:pPr>
        <w:pStyle w:val="Text1"/>
        <w:rPr>
          <w:noProof/>
        </w:rPr>
      </w:pPr>
    </w:p>
    <w:p>
      <w:pPr>
        <w:pStyle w:val="Heading2"/>
        <w:rPr>
          <w:noProof/>
        </w:rPr>
      </w:pPr>
      <w:bookmarkStart w:id="10" w:name="_Toc244054022"/>
      <w:r>
        <w:rPr>
          <w:noProof/>
        </w:rPr>
        <w:t xml:space="preserve">Директни плащания </w:t>
      </w:r>
      <w:bookmarkEnd w:id="10"/>
    </w:p>
    <w:p>
      <w:pPr>
        <w:spacing w:before="120" w:after="120" w:line="240" w:lineRule="auto"/>
        <w:ind w:left="850"/>
        <w:jc w:val="both"/>
        <w:rPr>
          <w:rFonts w:ascii="Times New Roman" w:eastAsia="Times New Roman" w:hAnsi="Times New Roman"/>
          <w:noProof/>
          <w:sz w:val="24"/>
          <w:szCs w:val="24"/>
        </w:rPr>
      </w:pPr>
      <w:bookmarkStart w:id="11" w:name="_Toc244054023"/>
      <w:r>
        <w:rPr>
          <w:rFonts w:ascii="Times New Roman" w:hAnsi="Times New Roman"/>
          <w:noProof/>
          <w:sz w:val="24"/>
        </w:rPr>
        <w:t xml:space="preserve">Усвояването на бюджетни кредити за директни плащания е с 2283,4 млн. евро по-малко в сравнение с профила на усвояване. Като се вземат предвид целевите приходи, разпределени по тази глава, т.е. 2332 млн. евро, се получава неизпълнение в размер на около 4 млрд. евро. Следва да се отбележи, че усвояването на 27 млрд. евро до 31 януари 2017 г. представлява значително подобрение в сравнение с усвоените 20 млрд. евро към същата дата от предходната година, която бе първата година на изпълнение на схемите за директни плащания, договорени в рамките на реформата на общата селскостопанска политика от 2013 г.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За редица схеми изпълнението на директните плащания видимо се е подобрило в сравнение с резултатите по същото време през бюджетната 2016 г. Освен това няколко държави членки са се възползвали от възможността за извършване на авансови плащания, считано от 16 октомври 2016 г., като в някои случаи са се възползвали и от предоставената дерогация, за да наредят авансови плащания в размер над 50 %.</w:t>
      </w:r>
    </w:p>
    <w:p>
      <w:pPr>
        <w:pStyle w:val="Heading3"/>
        <w:rPr>
          <w:noProof/>
        </w:rPr>
      </w:pPr>
      <w:r>
        <w:rPr>
          <w:noProof/>
        </w:rPr>
        <w:t>Отделени от производството директни плащания (– 2111,1 млн. евро в сравнение с одобрените бюджетни кредити)</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По отношение на одобрените бюджетни кредити горепосочената степен на усвояване не е съвсем показателна, тъй като разходите по схемата за основно плащане се финансират както от одобрените бюджетни кредити, така и от целевите приходи, предназначени за тази схема (забележка: повече информация се съдържа в точка 2 по-горе).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В бележка под линия * към таблицата с предварителните данни за изпълнението, съдържаща се в в приложението, се прави съпоставка на усвояването и профила на усвояването с общия размер на наличните финансови средства. Съпоставката показва че усвояването на разходите изостава с 4063,3 млн евро спрямо профила, което представлява видимо подобрение спрямо предходната бюджетна година (разлика от 14 839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Комисията ежемесечно следи степента на изпълнение и прогнозите за бъдещи разходи на държавите членки. Към настоящия момент тя счита, че това отклонение е временно и очаква, че отделените от производството директни плащания ще бъдат осъществени до края на бюджетната година съгласно предвиденото.</w:t>
      </w:r>
    </w:p>
    <w:p>
      <w:pPr>
        <w:pStyle w:val="Heading3"/>
        <w:rPr>
          <w:noProof/>
        </w:rPr>
      </w:pPr>
      <w:r>
        <w:rPr>
          <w:noProof/>
        </w:rPr>
        <w:t>Други директни плащания (– 172,2 млн. евро)</w:t>
      </w:r>
    </w:p>
    <w:p>
      <w:pPr>
        <w:spacing w:before="120" w:after="120" w:line="240" w:lineRule="auto"/>
        <w:ind w:left="850"/>
        <w:jc w:val="both"/>
        <w:rPr>
          <w:rFonts w:ascii="Times New Roman" w:eastAsia="Times New Roman" w:hAnsi="Times New Roman"/>
          <w:noProof/>
          <w:sz w:val="24"/>
          <w:szCs w:val="24"/>
        </w:rPr>
      </w:pPr>
      <w:bookmarkStart w:id="12" w:name="_Toc244054027"/>
      <w:bookmarkEnd w:id="11"/>
      <w:r>
        <w:rPr>
          <w:rFonts w:ascii="Times New Roman" w:hAnsi="Times New Roman"/>
          <w:noProof/>
          <w:sz w:val="24"/>
        </w:rPr>
        <w:t>Относително ниската степен на неизпълнение на одобрените бюджетни кредити в сравнение с профила на усвояване отразява позитивно развитие спрямо предходната година. Счита се, че това неизпълнение е временно и се очаква останалите директни плащания да бъдат осъществени до края на бюджетната година съгласно предвиденото.</w:t>
      </w:r>
    </w:p>
    <w:p>
      <w:pPr>
        <w:spacing w:before="120" w:after="120" w:line="240" w:lineRule="auto"/>
        <w:ind w:left="850"/>
        <w:jc w:val="both"/>
        <w:rPr>
          <w:rFonts w:ascii="Times New Roman" w:eastAsia="Times New Roman" w:hAnsi="Times New Roman"/>
          <w:i/>
          <w:noProof/>
          <w:sz w:val="24"/>
          <w:szCs w:val="24"/>
        </w:rPr>
      </w:pPr>
    </w:p>
    <w:p>
      <w:pPr>
        <w:pStyle w:val="Heading2"/>
        <w:rPr>
          <w:noProof/>
        </w:rPr>
      </w:pPr>
      <w:r>
        <w:rPr>
          <w:noProof/>
        </w:rPr>
        <w:t>Одит на разходите за земеделие (+ 27,2 млн. евро)</w:t>
      </w:r>
    </w:p>
    <w:p>
      <w:pPr>
        <w:pStyle w:val="Text1"/>
        <w:rPr>
          <w:noProof/>
        </w:rPr>
      </w:pPr>
      <w:r>
        <w:rPr>
          <w:noProof/>
        </w:rPr>
        <w:t xml:space="preserve">За глава 05 07 от бюджета усвояването в превишение на усвояването съгласно профила се дължи предимно на извършването на плащания на по-ранен етап в сравнение със средния профил от предходните години. Тези плащания засягат предимно финансови корекции в полза на държавите членки вследствие на решения за уравняване по съответствие на счетоводните сметки от предходни години. </w:t>
      </w:r>
    </w:p>
    <w:p>
      <w:pPr>
        <w:pStyle w:val="Heading1"/>
        <w:rPr>
          <w:noProof/>
        </w:rPr>
      </w:pPr>
      <w:bookmarkStart w:id="13" w:name="_Toc413145210"/>
      <w:r>
        <w:rPr>
          <w:noProof/>
        </w:rPr>
        <w:t>Усвояване на целевите приходи, предназначени за ЕФГЗ</w:t>
      </w:r>
      <w:bookmarkEnd w:id="12"/>
      <w:bookmarkEnd w:id="13"/>
    </w:p>
    <w:p>
      <w:pPr>
        <w:spacing w:before="90" w:after="120" w:line="240" w:lineRule="auto"/>
        <w:ind w:left="851"/>
        <w:jc w:val="both"/>
        <w:rPr>
          <w:rFonts w:ascii="Times New Roman" w:eastAsia="Times New Roman" w:hAnsi="Times New Roman"/>
          <w:noProof/>
          <w:sz w:val="24"/>
          <w:szCs w:val="24"/>
        </w:rPr>
      </w:pPr>
      <w:bookmarkStart w:id="14" w:name="_Toc244054028"/>
      <w:r>
        <w:rPr>
          <w:rFonts w:ascii="Times New Roman" w:hAnsi="Times New Roman"/>
          <w:noProof/>
          <w:sz w:val="24"/>
        </w:rPr>
        <w:t>Таблицата в приложението показва, че към края на януари 2017 г. са събрани целеви приходи, възлизащи на 206,8 млн. евро. По-конкретно:</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приходи от корекции въз основа на решения за счетоводно уравняване и за уравняване по съответствие в размер на 161,4 млн. евро, като до края на бюджетната година се очакват допълнителни суми,</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 xml:space="preserve">приходи от финансови корекции вследствие на нередности в размер на 43,6 млн. евро, като до края на бюджетната година също се очакват допълнителни суми, и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известна сума остатъчни приходи от налога в сектора на млякото и млечните продукти в размер на 1,7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На последно място, сумата на целевите приходи, окончателно пренесени от 2016 г. към 2017 г., възлиза на 1304 млн. евро. </w:t>
      </w:r>
    </w:p>
    <w:p>
      <w:pPr>
        <w:pStyle w:val="Text1"/>
        <w:rPr>
          <w:noProof/>
        </w:rPr>
      </w:pPr>
      <w:r>
        <w:rPr>
          <w:noProof/>
        </w:rPr>
        <w:t>Така общата сума на наличните целеви приходи за финансиране на разходите по ЕФГЗ към 31 януари 2017 г. възлиза на 1510,8 млн. евро, като в течение на бюджетната година се очаква да бъдат събрани суми.</w:t>
      </w:r>
    </w:p>
    <w:p>
      <w:pPr>
        <w:pStyle w:val="Heading1"/>
        <w:rPr>
          <w:noProof/>
        </w:rPr>
      </w:pPr>
      <w:bookmarkStart w:id="15" w:name="_Toc244054030"/>
      <w:bookmarkStart w:id="16" w:name="_Toc413145211"/>
      <w:bookmarkEnd w:id="14"/>
      <w:r>
        <w:rPr>
          <w:noProof/>
        </w:rPr>
        <w:t>Заключения</w:t>
      </w:r>
      <w:bookmarkEnd w:id="15"/>
      <w:bookmarkEnd w:id="16"/>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Съгласно предварителните данни за усвояването на бюджетни кредити за ЕФГЗ за 2017 г., за периода до 31 януари 2017 г. месечните възстановявания в полза на държавите членки са с 2296,5 млн. евро по-малко от изчисления профил на усвояване.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Вече са налице целеви приходи в размер на 1510,8 млн. евро, като в течение на бюджетната година се очаква да бъдат събрани и допълнителни суми. </w:t>
      </w:r>
    </w:p>
    <w:p>
      <w:pPr>
        <w:spacing w:before="120" w:after="120" w:line="240" w:lineRule="auto"/>
        <w:ind w:left="850"/>
        <w:jc w:val="both"/>
        <w:rPr>
          <w:noProof/>
        </w:rPr>
      </w:pPr>
      <w:r>
        <w:rPr>
          <w:rFonts w:ascii="Times New Roman" w:hAnsi="Times New Roman"/>
          <w:noProof/>
          <w:sz w:val="24"/>
        </w:rPr>
        <w:t>Към настоящия момент Комисията очаква усвояването на бюджетните кредити за разходи, свързани с пазара, и бюджетни кредити за директни плащания да се ускори през следващите месеци, по-специално за някои от държавите членки, и всички директни плащания да бъдат извършени според първоначалните очаквания при изготвянето на бюджета за 2017 г. Освен това Комисията смята, че средствата от целеви приходи, които ще бъдат налични към края на годината, ще бъдат достатъчни за финансиране както на оперативните фондове на организациите на производители в сектора на плодовете и зеленчуците, така и на схемата за основно плащане.</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8</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В член 14 от Регламент (ЕС, Евратом) № 966/2012 на Европейския парламент и на Съвета относно финансовите правила, приложими за общия бюджет на Съюза, се определя, че вътрешните целеви приходи се пренасят само за една година. Поради това,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Секторът на млякото и млечните продукти, както и секторите на говеждото и телешкото месо, на свинското и на овчето и козето месо.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Moves/>
  <w:defaultTabStop w:val="720"/>
  <w:hyphenationZone w:val="425"/>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22CE5A2B2A734A81AB62A36928EEBD4C"/>
    <w:docVar w:name="LW_CROSSREFERENCE" w:val="&lt;UNUSED&gt;"/>
    <w:docVar w:name="LW_DocType" w:val="NORMAL"/>
    <w:docVar w:name="LW_EMISSION" w:val="22.3.2017"/>
    <w:docVar w:name="LW_EMISSION_ISODATE" w:val="2017-03-2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56"/>
    <w:docVar w:name="LW_REF.INTERNE" w:val="&lt;UNUSED&gt;"/>
    <w:docVar w:name="LW_SOUS.TITRE.OBJ.CP" w:val="&lt;UNUSED&gt;"/>
    <w:docVar w:name="LW_SUPERTITRE" w:val="&lt;UNUSED&gt;"/>
    <w:docVar w:name="LW_TITRE.OBJ.CP" w:val="\u1086?\u1090?\u1085?\u1086?\u1089?\u1085?\u1086? \u1088?\u1072?\u1079?\u1093?\u1086?\u1076?\u1080?\u1090?\u1077? \u1087?\u1086? \u1083?\u1080?\u1085?\u1080?\u1103? \u1085?\u1072? \u1045?\u1060?\u1043?\u1047?_x000b__x000b_\u1057?\u1080?\u1089?\u1090?\u1077?\u1084?\u1072? \u1079?\u1072? \u1088?\u1072?\u1085?\u1085?\u1086? \u1087?\u1088?\u1077?\u1076?\u1091?\u1087?\u1088?\u1077?\u1078?\u1076?\u1077?\u1085?\u1080?\u1077? \u8470? 1-3/201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bg-BG"/>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semiHidden/>
    <w:rPr>
      <w:rFonts w:ascii="Times New Roman" w:eastAsia="Times New Roman" w:hAnsi="Times New Roman"/>
      <w:bCs/>
      <w:sz w:val="24"/>
      <w:szCs w:val="28"/>
      <w:lang w:eastAsia="bg-BG"/>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F3EB-1BAA-4A40-A63E-5029DA5A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2098</Words>
  <Characters>11628</Characters>
  <Application>Microsoft Office Word</Application>
  <DocSecurity>0</DocSecurity>
  <Lines>237</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2017-02-28T15:14:00Z</cp:lastPrinted>
  <dcterms:created xsi:type="dcterms:W3CDTF">2017-03-14T11:02:00Z</dcterms:created>
  <dcterms:modified xsi:type="dcterms:W3CDTF">2017-03-28T14:18:00Z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