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53A0" w:rsidRDefault="00761EEB">
      <w:pPr>
        <w:pStyle w:val="Pagedecouverture"/>
        <w:rPr>
          <w:noProof/>
        </w:rPr>
      </w:pPr>
      <w:bookmarkStart w:id="0" w:name="LW_BM_COVERPAGE"/>
      <w:bookmarkStart w:id="1" w:name="_GoBack"/>
      <w:bookmarkEnd w:id="1"/>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92F7A340E8944F31B4671D8CBBDC5B8B" style="width:451pt;height:307.6pt">
            <v:imagedata r:id="rId9" o:title=""/>
          </v:shape>
        </w:pict>
      </w:r>
    </w:p>
    <w:bookmarkEnd w:id="0"/>
    <w:p w:rsidR="005753A0" w:rsidRDefault="005753A0">
      <w:pPr>
        <w:rPr>
          <w:noProof/>
        </w:rPr>
        <w:sectPr w:rsidR="005753A0">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rsidR="005753A0" w:rsidRDefault="00761EEB">
      <w:pPr>
        <w:pStyle w:val="Heading1"/>
        <w:spacing w:before="0" w:after="200"/>
        <w:rPr>
          <w:noProof/>
          <w:szCs w:val="24"/>
        </w:rPr>
      </w:pPr>
      <w:bookmarkStart w:id="2" w:name="_Toc445287964"/>
      <w:r>
        <w:rPr>
          <w:noProof/>
          <w:szCs w:val="24"/>
        </w:rPr>
        <w:lastRenderedPageBreak/>
        <w:t>Introduction</w:t>
      </w:r>
      <w:bookmarkEnd w:id="2"/>
    </w:p>
    <w:p w:rsidR="005753A0" w:rsidRDefault="00761EEB">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success of the Investment Plan for Europe in channelling funding to projects with </w:t>
      </w:r>
      <w:r>
        <w:rPr>
          <w:rFonts w:ascii="Times New Roman" w:hAnsi="Times New Roman" w:cs="Times New Roman"/>
          <w:noProof/>
          <w:sz w:val="24"/>
          <w:szCs w:val="24"/>
        </w:rPr>
        <w:t>an added value for the European economy depends partly on the collective capacity of the EU and its Member States to overcome barriers to cross-border investment. Therefore, as part of the third pillar of the Investment Plan, which focuses on removing obst</w:t>
      </w:r>
      <w:r>
        <w:rPr>
          <w:rFonts w:ascii="Times New Roman" w:hAnsi="Times New Roman" w:cs="Times New Roman"/>
          <w:noProof/>
          <w:sz w:val="24"/>
          <w:szCs w:val="24"/>
        </w:rPr>
        <w:t>acles to investment, the Commission committed to accelerating the process of creating a capital markets union (CMU).</w:t>
      </w:r>
    </w:p>
    <w:p w:rsidR="005753A0" w:rsidRDefault="00761EEB">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Building integrated financial markets as part of the CMU requires important decisions at EU level, but also decisive commitments by each Me</w:t>
      </w:r>
      <w:r>
        <w:rPr>
          <w:rFonts w:ascii="Times New Roman" w:hAnsi="Times New Roman" w:cs="Times New Roman"/>
          <w:noProof/>
          <w:sz w:val="24"/>
          <w:szCs w:val="24"/>
        </w:rPr>
        <w:t>mber State to tackle national barriers. Action at national level is needed</w:t>
      </w:r>
      <w:r>
        <w:rPr>
          <w:rFonts w:ascii="Times New Roman" w:hAnsi="Times New Roman" w:cs="Times New Roman"/>
          <w:b/>
          <w:noProof/>
          <w:sz w:val="24"/>
          <w:szCs w:val="24"/>
        </w:rPr>
        <w:t xml:space="preserve"> </w:t>
      </w:r>
      <w:r>
        <w:rPr>
          <w:rFonts w:ascii="Times New Roman" w:hAnsi="Times New Roman" w:cs="Times New Roman"/>
          <w:noProof/>
          <w:sz w:val="24"/>
          <w:szCs w:val="24"/>
        </w:rPr>
        <w:t>to set up the clear, predictable and stable environment that will allow for more investment and a more efficient allocation of capital, and ultimately boost financing of business an</w:t>
      </w:r>
      <w:r>
        <w:rPr>
          <w:rFonts w:ascii="Times New Roman" w:hAnsi="Times New Roman" w:cs="Times New Roman"/>
          <w:noProof/>
          <w:sz w:val="24"/>
          <w:szCs w:val="24"/>
        </w:rPr>
        <w:t>d infrastructure.</w:t>
      </w:r>
    </w:p>
    <w:p w:rsidR="005753A0" w:rsidRDefault="00761EEB">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Following a call by the ECOFIN Council of June 2015, the Commission and an expert group of Member States’ representatives have been working together, with the European Parliament as observer, to map national barriers to cross-border capit</w:t>
      </w:r>
      <w:r>
        <w:rPr>
          <w:rFonts w:ascii="Times New Roman" w:hAnsi="Times New Roman" w:cs="Times New Roman"/>
          <w:noProof/>
          <w:sz w:val="24"/>
          <w:szCs w:val="24"/>
        </w:rPr>
        <w:t>al flows and find the best ways of tackling those that are either not justified by public interest considerations or are disproportionate. This work should result in a joint roadmap for removing these barriers that would complement other initiatives on exi</w:t>
      </w:r>
      <w:r>
        <w:rPr>
          <w:rFonts w:ascii="Times New Roman" w:hAnsi="Times New Roman" w:cs="Times New Roman"/>
          <w:noProof/>
          <w:sz w:val="24"/>
          <w:szCs w:val="24"/>
        </w:rPr>
        <w:t>sting obstacles to investment identified by the Commission in the context of the European Semester and the CMU-related work aimed at developing capital markets with assistance provided by the Structural Support Reform Service (SRSS).</w:t>
      </w:r>
      <w:r>
        <w:rPr>
          <w:rStyle w:val="FootnoteReference"/>
          <w:rFonts w:ascii="Times New Roman" w:hAnsi="Times New Roman" w:cs="Times New Roman"/>
          <w:noProof/>
          <w:sz w:val="24"/>
          <w:szCs w:val="24"/>
        </w:rPr>
        <w:footnoteReference w:id="1"/>
      </w:r>
    </w:p>
    <w:p w:rsidR="005753A0" w:rsidRDefault="00761EEB">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Commission believ</w:t>
      </w:r>
      <w:r>
        <w:rPr>
          <w:rFonts w:ascii="Times New Roman" w:hAnsi="Times New Roman" w:cs="Times New Roman"/>
          <w:noProof/>
          <w:sz w:val="24"/>
          <w:szCs w:val="24"/>
        </w:rPr>
        <w:t>es that this collaborative method of working with Member States, on the basis of the mutual evaluation of national requirements, peer reviews and an exchange of best practices, can bring substantial benefits. In this spirit, the expert group has started wo</w:t>
      </w:r>
      <w:r>
        <w:rPr>
          <w:rFonts w:ascii="Times New Roman" w:hAnsi="Times New Roman" w:cs="Times New Roman"/>
          <w:noProof/>
          <w:sz w:val="24"/>
          <w:szCs w:val="24"/>
        </w:rPr>
        <w:t>rking on a number of barriers that are mainly in the area of national competence, which were selected based on Member States’ input and stakeholders’ replies to various CMU-related consultations.</w:t>
      </w:r>
      <w:r>
        <w:rPr>
          <w:rStyle w:val="FootnoteReference"/>
          <w:rFonts w:ascii="Times New Roman" w:hAnsi="Times New Roman" w:cs="Times New Roman"/>
          <w:noProof/>
          <w:sz w:val="24"/>
          <w:szCs w:val="24"/>
        </w:rPr>
        <w:footnoteReference w:id="2"/>
      </w:r>
      <w:r>
        <w:rPr>
          <w:rFonts w:ascii="Times New Roman" w:hAnsi="Times New Roman" w:cs="Times New Roman"/>
          <w:noProof/>
          <w:sz w:val="24"/>
          <w:szCs w:val="24"/>
        </w:rPr>
        <w:t xml:space="preserve"> This report represents the Commission's interpretation of t</w:t>
      </w:r>
      <w:r>
        <w:rPr>
          <w:rFonts w:ascii="Times New Roman" w:hAnsi="Times New Roman" w:cs="Times New Roman"/>
          <w:noProof/>
          <w:sz w:val="24"/>
          <w:szCs w:val="24"/>
        </w:rPr>
        <w:t>he legal situation in the Member States, based on the evidence and information available. Further to the adoption of the first version of this report on 27 February 2017, the Commission was made aware of certain inaccuracies, mainly due to incomplete or co</w:t>
      </w:r>
      <w:r>
        <w:rPr>
          <w:rFonts w:ascii="Times New Roman" w:hAnsi="Times New Roman" w:cs="Times New Roman"/>
          <w:noProof/>
          <w:sz w:val="24"/>
          <w:szCs w:val="24"/>
        </w:rPr>
        <w:t xml:space="preserve">nflicting information, and  consequently decided to adopt this amended version. </w:t>
      </w:r>
    </w:p>
    <w:p w:rsidR="005753A0" w:rsidRDefault="00761EEB">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A first set of barriers identified by the expert group includes issues that hamper investors’ cross-border operations throughout the investment cycle. This report distinguishe</w:t>
      </w:r>
      <w:r>
        <w:rPr>
          <w:rFonts w:ascii="Times New Roman" w:hAnsi="Times New Roman" w:cs="Times New Roman"/>
          <w:noProof/>
          <w:sz w:val="24"/>
          <w:szCs w:val="24"/>
        </w:rPr>
        <w:t xml:space="preserve">s between </w:t>
      </w:r>
      <w:r>
        <w:rPr>
          <w:rFonts w:ascii="Times New Roman" w:hAnsi="Times New Roman" w:cs="Times New Roman"/>
          <w:i/>
          <w:noProof/>
          <w:sz w:val="24"/>
          <w:szCs w:val="24"/>
        </w:rPr>
        <w:t>ex ante</w:t>
      </w:r>
      <w:r>
        <w:rPr>
          <w:rFonts w:ascii="Times New Roman" w:hAnsi="Times New Roman" w:cs="Times New Roman"/>
          <w:noProof/>
          <w:sz w:val="24"/>
          <w:szCs w:val="24"/>
        </w:rPr>
        <w:t xml:space="preserve"> barriers (of immediate concern when investors consider engaging in cross</w:t>
      </w:r>
      <w:r>
        <w:rPr>
          <w:rFonts w:ascii="Times New Roman" w:hAnsi="Times New Roman" w:cs="Times New Roman"/>
          <w:noProof/>
          <w:sz w:val="24"/>
          <w:szCs w:val="24"/>
        </w:rPr>
        <w:noBreakHyphen/>
        <w:t xml:space="preserve">border activity), </w:t>
      </w:r>
      <w:r>
        <w:rPr>
          <w:rFonts w:ascii="Times New Roman" w:hAnsi="Times New Roman" w:cs="Times New Roman"/>
          <w:i/>
          <w:noProof/>
          <w:sz w:val="24"/>
          <w:szCs w:val="24"/>
        </w:rPr>
        <w:t>in itinere</w:t>
      </w:r>
      <w:r>
        <w:rPr>
          <w:rFonts w:ascii="Times New Roman" w:hAnsi="Times New Roman" w:cs="Times New Roman"/>
          <w:noProof/>
          <w:sz w:val="24"/>
          <w:szCs w:val="24"/>
        </w:rPr>
        <w:t xml:space="preserve"> barriers (deterring investors from maintaining or increasing their cross-</w:t>
      </w:r>
      <w:r>
        <w:rPr>
          <w:rFonts w:ascii="Times New Roman" w:hAnsi="Times New Roman" w:cs="Times New Roman"/>
          <w:noProof/>
          <w:sz w:val="24"/>
          <w:szCs w:val="24"/>
        </w:rPr>
        <w:lastRenderedPageBreak/>
        <w:t xml:space="preserve">border exposure) and </w:t>
      </w:r>
      <w:r>
        <w:rPr>
          <w:rFonts w:ascii="Times New Roman" w:hAnsi="Times New Roman" w:cs="Times New Roman"/>
          <w:i/>
          <w:noProof/>
          <w:sz w:val="24"/>
          <w:szCs w:val="24"/>
        </w:rPr>
        <w:t>ex post</w:t>
      </w:r>
      <w:r>
        <w:rPr>
          <w:rFonts w:ascii="Times New Roman" w:hAnsi="Times New Roman" w:cs="Times New Roman"/>
          <w:noProof/>
          <w:sz w:val="24"/>
          <w:szCs w:val="24"/>
        </w:rPr>
        <w:t xml:space="preserve"> barriers (leading to difficulties </w:t>
      </w:r>
      <w:r>
        <w:rPr>
          <w:rFonts w:ascii="Times New Roman" w:hAnsi="Times New Roman" w:cs="Times New Roman"/>
          <w:noProof/>
          <w:sz w:val="24"/>
          <w:szCs w:val="24"/>
        </w:rPr>
        <w:t>at the end of the investment process).</w:t>
      </w:r>
    </w:p>
    <w:p w:rsidR="005753A0" w:rsidRDefault="00761EEB">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For each of the above, this report builds on the discussions in the expert group and proposes next steps, without necessarily reflecting a consensus between the Member States on each subject. The Commission expects Me</w:t>
      </w:r>
      <w:r>
        <w:rPr>
          <w:rFonts w:ascii="Times New Roman" w:hAnsi="Times New Roman" w:cs="Times New Roman"/>
          <w:noProof/>
          <w:sz w:val="24"/>
          <w:szCs w:val="24"/>
        </w:rPr>
        <w:t>mber States to agree on the proposed roadmap and take action accordingly. It intends to monitor the implementation of the roadmap and, while continuing to work with the Member States to gather exhaustive and updated information, it invites the expert group</w:t>
      </w:r>
      <w:r>
        <w:rPr>
          <w:rFonts w:ascii="Times New Roman" w:hAnsi="Times New Roman" w:cs="Times New Roman"/>
          <w:noProof/>
          <w:sz w:val="24"/>
          <w:szCs w:val="24"/>
        </w:rPr>
        <w:t xml:space="preserve"> to identify other barriers in CMU-relevant areas. It sees the roadmap as a living document that will need to be updated with additional action, to be taken before 2019, on barriers which may be identified in a second stage.</w:t>
      </w:r>
    </w:p>
    <w:p w:rsidR="005753A0" w:rsidRDefault="00761EEB">
      <w:pPr>
        <w:pStyle w:val="Heading1"/>
        <w:spacing w:before="0" w:after="200"/>
        <w:rPr>
          <w:noProof/>
          <w:szCs w:val="24"/>
        </w:rPr>
      </w:pPr>
      <w:r>
        <w:rPr>
          <w:i/>
          <w:noProof/>
          <w:szCs w:val="24"/>
        </w:rPr>
        <w:t xml:space="preserve">Ex ante </w:t>
      </w:r>
      <w:r>
        <w:rPr>
          <w:noProof/>
          <w:szCs w:val="24"/>
        </w:rPr>
        <w:t>barriers</w:t>
      </w:r>
    </w:p>
    <w:p w:rsidR="005753A0" w:rsidRDefault="00761EEB">
      <w:pPr>
        <w:pStyle w:val="Heading2"/>
        <w:spacing w:after="200"/>
        <w:rPr>
          <w:noProof/>
          <w:szCs w:val="24"/>
          <w:lang w:val="en-GB"/>
        </w:rPr>
      </w:pPr>
      <w:r>
        <w:rPr>
          <w:noProof/>
          <w:szCs w:val="24"/>
          <w:lang w:val="en-GB"/>
        </w:rPr>
        <w:t xml:space="preserve">Barriers to </w:t>
      </w:r>
      <w:r>
        <w:rPr>
          <w:noProof/>
          <w:szCs w:val="24"/>
          <w:lang w:val="en-GB"/>
        </w:rPr>
        <w:t>the cross-border distribution of investment funds</w:t>
      </w:r>
    </w:p>
    <w:p w:rsidR="005753A0" w:rsidRDefault="00761EEB">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With 80 % of funds from undertakings for collective investment in transferable securities (UCITS) and 40 % of alternative investment funds (AIF) marketed cross-border, the EU marketing passport has </w:t>
      </w:r>
      <w:r>
        <w:rPr>
          <w:rFonts w:ascii="Times New Roman" w:hAnsi="Times New Roman" w:cs="Times New Roman"/>
          <w:noProof/>
          <w:sz w:val="24"/>
          <w:szCs w:val="24"/>
        </w:rPr>
        <w:t xml:space="preserve">contributed to creating a successful cross-border market. However, the distribution of funds remains geographically limited. A third of funds marketed cross-border are sold in only one other Member State and another third in no more than four other Member </w:t>
      </w:r>
      <w:r>
        <w:rPr>
          <w:rFonts w:ascii="Times New Roman" w:hAnsi="Times New Roman" w:cs="Times New Roman"/>
          <w:noProof/>
          <w:sz w:val="24"/>
          <w:szCs w:val="24"/>
        </w:rPr>
        <w:t>States. The reasons may include the concentrated fund distribution channels in individual Member States, cultural preferences and a lack of incentives to compete across borders. However, replies to various consultations also refer to additional national re</w:t>
      </w:r>
      <w:r>
        <w:rPr>
          <w:rFonts w:ascii="Times New Roman" w:hAnsi="Times New Roman" w:cs="Times New Roman"/>
          <w:noProof/>
          <w:sz w:val="24"/>
          <w:szCs w:val="24"/>
        </w:rPr>
        <w:t>quirements adopted by Member States when transposing the AIFM Directive</w:t>
      </w:r>
      <w:r>
        <w:rPr>
          <w:rStyle w:val="FootnoteReference"/>
          <w:rFonts w:ascii="Times New Roman" w:hAnsi="Times New Roman" w:cs="Times New Roman"/>
          <w:noProof/>
          <w:sz w:val="24"/>
          <w:szCs w:val="24"/>
        </w:rPr>
        <w:footnoteReference w:id="3"/>
      </w:r>
      <w:r>
        <w:rPr>
          <w:rFonts w:ascii="Times New Roman" w:hAnsi="Times New Roman" w:cs="Times New Roman"/>
          <w:noProof/>
          <w:sz w:val="24"/>
          <w:szCs w:val="24"/>
        </w:rPr>
        <w:t xml:space="preserve"> and the UCITS Directive</w:t>
      </w:r>
      <w:r>
        <w:rPr>
          <w:rStyle w:val="FootnoteReference"/>
          <w:rFonts w:ascii="Times New Roman" w:hAnsi="Times New Roman" w:cs="Times New Roman"/>
          <w:noProof/>
          <w:sz w:val="24"/>
          <w:szCs w:val="24"/>
        </w:rPr>
        <w:footnoteReference w:id="4"/>
      </w:r>
      <w:r>
        <w:rPr>
          <w:rFonts w:ascii="Times New Roman" w:hAnsi="Times New Roman" w:cs="Times New Roman"/>
          <w:noProof/>
          <w:sz w:val="24"/>
          <w:szCs w:val="24"/>
        </w:rPr>
        <w:t>.</w:t>
      </w:r>
    </w:p>
    <w:p w:rsidR="005753A0" w:rsidRDefault="00761EEB">
      <w:pPr>
        <w:spacing w:line="240" w:lineRule="auto"/>
        <w:jc w:val="both"/>
        <w:rPr>
          <w:rFonts w:ascii="Times New Roman" w:hAnsi="Times New Roman" w:cs="Times New Roman"/>
          <w:noProof/>
          <w:sz w:val="24"/>
          <w:szCs w:val="24"/>
        </w:rPr>
      </w:pPr>
      <w:r>
        <w:rPr>
          <w:rFonts w:ascii="Times New Roman" w:hAnsi="Times New Roman" w:cs="Times New Roman"/>
          <w:noProof/>
          <w:color w:val="000000"/>
          <w:sz w:val="24"/>
          <w:szCs w:val="24"/>
        </w:rPr>
        <w:t>The work of the expert group in this area focused on identifying and tackling barriers stemming from national provisions or practices. In addition to this an</w:t>
      </w:r>
      <w:r>
        <w:rPr>
          <w:rFonts w:ascii="Times New Roman" w:hAnsi="Times New Roman" w:cs="Times New Roman"/>
          <w:noProof/>
          <w:color w:val="000000"/>
          <w:sz w:val="24"/>
          <w:szCs w:val="24"/>
        </w:rPr>
        <w:t>d in view of the need to act at the EU level, the Commission launched a public consultation on barriers to the cross-border distribution of investment funds, which also considers these themes.</w:t>
      </w:r>
      <w:r>
        <w:rPr>
          <w:rStyle w:val="FootnoteReference"/>
          <w:rFonts w:ascii="Times New Roman" w:hAnsi="Times New Roman" w:cs="Times New Roman"/>
          <w:noProof/>
          <w:color w:val="000000"/>
          <w:sz w:val="24"/>
          <w:szCs w:val="24"/>
        </w:rPr>
        <w:footnoteReference w:id="5"/>
      </w:r>
      <w:r>
        <w:rPr>
          <w:rFonts w:ascii="Times New Roman" w:hAnsi="Times New Roman" w:cs="Times New Roman"/>
          <w:noProof/>
          <w:color w:val="000000"/>
          <w:sz w:val="24"/>
          <w:szCs w:val="24"/>
        </w:rPr>
        <w:t xml:space="preserve"> Further work arising from the Commission’s consultation, which</w:t>
      </w:r>
      <w:r>
        <w:rPr>
          <w:rFonts w:ascii="Times New Roman" w:hAnsi="Times New Roman" w:cs="Times New Roman"/>
          <w:noProof/>
          <w:color w:val="000000"/>
          <w:sz w:val="24"/>
          <w:szCs w:val="24"/>
        </w:rPr>
        <w:t xml:space="preserve"> will take account of this report, will be announced in due course.</w:t>
      </w:r>
    </w:p>
    <w:p w:rsidR="005753A0" w:rsidRDefault="00761EEB">
      <w:pPr>
        <w:pStyle w:val="Heading3"/>
        <w:spacing w:after="200"/>
        <w:rPr>
          <w:b/>
          <w:noProof/>
        </w:rPr>
      </w:pPr>
      <w:r>
        <w:rPr>
          <w:rFonts w:eastAsia="Calibri"/>
          <w:b/>
          <w:noProof/>
        </w:rPr>
        <w:t>Marketing requirements</w:t>
      </w:r>
    </w:p>
    <w:p w:rsidR="005753A0" w:rsidRDefault="00761EEB">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Several Member States stated that wide disparities in national rules and divergent supervisory approaches were a significant impediment to a fully effective EU passp</w:t>
      </w:r>
      <w:r>
        <w:rPr>
          <w:rFonts w:ascii="Times New Roman" w:hAnsi="Times New Roman" w:cs="Times New Roman"/>
          <w:noProof/>
          <w:sz w:val="24"/>
          <w:szCs w:val="24"/>
        </w:rPr>
        <w:t>ort in the asset management sector.</w:t>
      </w:r>
    </w:p>
    <w:p w:rsidR="005753A0" w:rsidRDefault="00761EEB">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Legal uncertainty is especially high:</w:t>
      </w:r>
    </w:p>
    <w:p w:rsidR="005753A0" w:rsidRDefault="00761EEB">
      <w:pPr>
        <w:spacing w:after="120" w:line="240" w:lineRule="auto"/>
        <w:ind w:left="709" w:hanging="425"/>
        <w:jc w:val="both"/>
        <w:rPr>
          <w:rFonts w:ascii="Times New Roman" w:hAnsi="Times New Roman" w:cs="Times New Roman"/>
          <w:noProof/>
          <w:sz w:val="24"/>
          <w:szCs w:val="24"/>
        </w:rPr>
      </w:pPr>
      <w:r>
        <w:rPr>
          <w:rFonts w:ascii="Times New Roman" w:hAnsi="Times New Roman" w:cs="Times New Roman"/>
          <w:noProof/>
          <w:sz w:val="24"/>
          <w:szCs w:val="24"/>
        </w:rPr>
        <w:t xml:space="preserve">(i) </w:t>
      </w:r>
      <w:r>
        <w:rPr>
          <w:rFonts w:ascii="Times New Roman" w:hAnsi="Times New Roman" w:cs="Times New Roman"/>
          <w:noProof/>
          <w:sz w:val="24"/>
          <w:szCs w:val="24"/>
        </w:rPr>
        <w:tab/>
        <w:t>in the very early stages of the life-cycle of a fund, such as the phase preceding its launch, when asset managers may need to test the appetite of potential investors; and</w:t>
      </w:r>
    </w:p>
    <w:p w:rsidR="005753A0" w:rsidRDefault="00761EEB">
      <w:pPr>
        <w:spacing w:line="240" w:lineRule="auto"/>
        <w:ind w:left="709" w:hanging="425"/>
        <w:jc w:val="both"/>
        <w:rPr>
          <w:rFonts w:ascii="Times New Roman" w:hAnsi="Times New Roman" w:cs="Times New Roman"/>
          <w:noProof/>
          <w:sz w:val="24"/>
          <w:szCs w:val="24"/>
        </w:rPr>
      </w:pPr>
      <w:r>
        <w:rPr>
          <w:rFonts w:ascii="Times New Roman" w:hAnsi="Times New Roman" w:cs="Times New Roman"/>
          <w:noProof/>
          <w:sz w:val="24"/>
          <w:szCs w:val="24"/>
        </w:rPr>
        <w:lastRenderedPageBreak/>
        <w:t xml:space="preserve">(ii) </w:t>
      </w:r>
      <w:r>
        <w:rPr>
          <w:rFonts w:ascii="Times New Roman" w:hAnsi="Times New Roman" w:cs="Times New Roman"/>
          <w:noProof/>
          <w:sz w:val="24"/>
          <w:szCs w:val="24"/>
        </w:rPr>
        <w:tab/>
        <w:t>once the fund is launched, when fund managers may be approached by potential clients.</w:t>
      </w:r>
    </w:p>
    <w:p w:rsidR="005753A0" w:rsidRDefault="00761EEB">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Management companies are faced with the expense of researching and complying with individual national marketing, financial promotion and consumer protection regimes incl</w:t>
      </w:r>
      <w:r>
        <w:rPr>
          <w:rFonts w:ascii="Times New Roman" w:hAnsi="Times New Roman" w:cs="Times New Roman"/>
          <w:noProof/>
          <w:sz w:val="24"/>
          <w:szCs w:val="24"/>
        </w:rPr>
        <w:t>uding time-consuming translations and required changes to their marketing materials.</w:t>
      </w:r>
    </w:p>
    <w:p w:rsidR="005753A0" w:rsidRDefault="00761EEB">
      <w:pPr>
        <w:shd w:val="clear" w:color="auto" w:fill="FFFFFF" w:themeFill="background1"/>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search for greater clarity, Member States in the expert group also discussed whether </w:t>
      </w:r>
      <w:r>
        <w:rPr>
          <w:rFonts w:ascii="Times New Roman" w:hAnsi="Times New Roman" w:cs="Times New Roman"/>
          <w:i/>
          <w:noProof/>
          <w:sz w:val="24"/>
          <w:szCs w:val="24"/>
        </w:rPr>
        <w:t xml:space="preserve">pre-marketing </w:t>
      </w:r>
      <w:r>
        <w:rPr>
          <w:rFonts w:ascii="Times New Roman" w:hAnsi="Times New Roman"/>
          <w:noProof/>
          <w:sz w:val="24"/>
        </w:rPr>
        <w:t>to</w:t>
      </w:r>
      <w:r>
        <w:rPr>
          <w:rFonts w:ascii="Times New Roman" w:hAnsi="Times New Roman" w:cs="Times New Roman"/>
          <w:i/>
          <w:noProof/>
          <w:sz w:val="24"/>
          <w:szCs w:val="24"/>
        </w:rPr>
        <w:t xml:space="preserve">, </w:t>
      </w:r>
      <w:r>
        <w:rPr>
          <w:rFonts w:ascii="Times New Roman" w:hAnsi="Times New Roman" w:cs="Times New Roman"/>
          <w:noProof/>
          <w:sz w:val="24"/>
          <w:szCs w:val="24"/>
        </w:rPr>
        <w:t xml:space="preserve">and </w:t>
      </w:r>
      <w:r>
        <w:rPr>
          <w:rFonts w:ascii="Times New Roman" w:hAnsi="Times New Roman" w:cs="Times New Roman"/>
          <w:i/>
          <w:noProof/>
          <w:sz w:val="24"/>
          <w:szCs w:val="24"/>
        </w:rPr>
        <w:t>reverse solicitation</w:t>
      </w:r>
      <w:r>
        <w:rPr>
          <w:rFonts w:ascii="Times New Roman" w:hAnsi="Times New Roman" w:cs="Times New Roman"/>
          <w:noProof/>
          <w:sz w:val="24"/>
          <w:szCs w:val="24"/>
        </w:rPr>
        <w:t xml:space="preserve"> by potential professional clients could </w:t>
      </w:r>
      <w:r>
        <w:rPr>
          <w:rFonts w:ascii="Times New Roman" w:hAnsi="Times New Roman" w:cs="Times New Roman"/>
          <w:noProof/>
          <w:sz w:val="24"/>
          <w:szCs w:val="24"/>
        </w:rPr>
        <w:t>be considered as not being ‘marketing’ of units or shares of a fund and thus not be subject to national marketing requirements.</w:t>
      </w:r>
    </w:p>
    <w:p w:rsidR="005753A0" w:rsidRDefault="00761EEB">
      <w:pPr>
        <w:shd w:val="clear" w:color="auto" w:fill="FFFFFF" w:themeFill="background1"/>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expert group considered that </w:t>
      </w:r>
      <w:r>
        <w:rPr>
          <w:rFonts w:ascii="Times New Roman" w:hAnsi="Times New Roman" w:cs="Times New Roman"/>
          <w:i/>
          <w:noProof/>
          <w:sz w:val="24"/>
          <w:szCs w:val="24"/>
        </w:rPr>
        <w:t>pre-marketing</w:t>
      </w:r>
      <w:r>
        <w:rPr>
          <w:rFonts w:ascii="Times New Roman" w:hAnsi="Times New Roman" w:cs="Times New Roman"/>
          <w:noProof/>
          <w:sz w:val="24"/>
          <w:szCs w:val="24"/>
        </w:rPr>
        <w:t xml:space="preserve"> should cover situations in which draft fund documentation, but not subscription m</w:t>
      </w:r>
      <w:r>
        <w:rPr>
          <w:rFonts w:ascii="Times New Roman" w:hAnsi="Times New Roman" w:cs="Times New Roman"/>
          <w:noProof/>
          <w:sz w:val="24"/>
          <w:szCs w:val="24"/>
        </w:rPr>
        <w:t>aterial, is provided to a limited number of potential professional clients, in the absence of any possible subscription choice.</w:t>
      </w:r>
    </w:p>
    <w:p w:rsidR="005753A0" w:rsidRDefault="00761EEB">
      <w:pPr>
        <w:shd w:val="clear" w:color="auto" w:fill="FFFFFF" w:themeFill="background1"/>
        <w:spacing w:line="240" w:lineRule="auto"/>
        <w:jc w:val="both"/>
        <w:rPr>
          <w:rFonts w:ascii="Times New Roman" w:hAnsi="Times New Roman" w:cs="Times New Roman"/>
          <w:noProof/>
          <w:sz w:val="24"/>
          <w:szCs w:val="24"/>
        </w:rPr>
      </w:pPr>
      <w:r>
        <w:rPr>
          <w:rFonts w:ascii="Times New Roman" w:hAnsi="Times New Roman" w:cs="Times New Roman"/>
          <w:i/>
          <w:noProof/>
          <w:sz w:val="24"/>
          <w:szCs w:val="24"/>
        </w:rPr>
        <w:t>Reverse solicitation</w:t>
      </w:r>
      <w:r>
        <w:rPr>
          <w:rStyle w:val="FootnoteReference"/>
          <w:rFonts w:ascii="Times New Roman" w:hAnsi="Times New Roman" w:cs="Times New Roman"/>
          <w:noProof/>
          <w:sz w:val="24"/>
          <w:szCs w:val="24"/>
        </w:rPr>
        <w:footnoteReference w:id="6"/>
      </w:r>
      <w:r>
        <w:rPr>
          <w:rFonts w:ascii="Times New Roman" w:hAnsi="Times New Roman" w:cs="Times New Roman"/>
          <w:noProof/>
          <w:sz w:val="24"/>
          <w:szCs w:val="24"/>
        </w:rPr>
        <w:t xml:space="preserve"> was then construed as a request by a professional client regarding units or shares of a specifically desig</w:t>
      </w:r>
      <w:r>
        <w:rPr>
          <w:rFonts w:ascii="Times New Roman" w:hAnsi="Times New Roman" w:cs="Times New Roman"/>
          <w:noProof/>
          <w:sz w:val="24"/>
          <w:szCs w:val="24"/>
        </w:rPr>
        <w:t>nated existing fund without a prior direct or indirect offer or placement (i.e. solicitation) from the management company or on its behalf. The contact is thus to be established only on the investor’s initiative and may not constitute a reaction to previou</w:t>
      </w:r>
      <w:r>
        <w:rPr>
          <w:rFonts w:ascii="Times New Roman" w:hAnsi="Times New Roman" w:cs="Times New Roman"/>
          <w:noProof/>
          <w:sz w:val="24"/>
          <w:szCs w:val="24"/>
        </w:rPr>
        <w:t>s offers or placements.</w:t>
      </w:r>
    </w:p>
    <w:p w:rsidR="005753A0" w:rsidRDefault="00761EEB">
      <w:pPr>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welcomes the work of the Member States through the expert group towards identifying a </w:t>
      </w:r>
      <w:r>
        <w:rPr>
          <w:rFonts w:ascii="Times New Roman" w:hAnsi="Times New Roman" w:cs="Times New Roman"/>
          <w:b/>
          <w:noProof/>
          <w:sz w:val="24"/>
          <w:szCs w:val="24"/>
        </w:rPr>
        <w:t>common understanding of pre-marketing and reverse solicitation</w:t>
      </w:r>
      <w:r>
        <w:rPr>
          <w:rFonts w:ascii="Times New Roman" w:hAnsi="Times New Roman" w:cs="Times New Roman"/>
          <w:noProof/>
          <w:sz w:val="24"/>
          <w:szCs w:val="24"/>
        </w:rPr>
        <w:t xml:space="preserve"> practices and invites them to continue reviewing their national rules, with the aim of promoting </w:t>
      </w:r>
      <w:r>
        <w:rPr>
          <w:rFonts w:ascii="Times New Roman" w:hAnsi="Times New Roman" w:cs="Times New Roman"/>
          <w:b/>
          <w:noProof/>
          <w:sz w:val="24"/>
          <w:szCs w:val="24"/>
        </w:rPr>
        <w:t>convergence in this area</w:t>
      </w:r>
      <w:r>
        <w:rPr>
          <w:rFonts w:ascii="Times New Roman" w:hAnsi="Times New Roman" w:cs="Times New Roman"/>
          <w:noProof/>
          <w:sz w:val="24"/>
          <w:szCs w:val="24"/>
        </w:rPr>
        <w:t>. The Commission also invites Member States to continue working with the European Securities and Markets Authority (ESMA) to achieve s</w:t>
      </w:r>
      <w:r>
        <w:rPr>
          <w:rFonts w:ascii="Times New Roman" w:hAnsi="Times New Roman" w:cs="Times New Roman"/>
          <w:noProof/>
          <w:sz w:val="24"/>
          <w:szCs w:val="24"/>
        </w:rPr>
        <w:t>upervisory convergence in this area.</w:t>
      </w:r>
    </w:p>
    <w:p w:rsidR="005753A0" w:rsidRDefault="00761EEB">
      <w:pPr>
        <w:pStyle w:val="Heading3"/>
        <w:spacing w:after="200"/>
        <w:rPr>
          <w:b/>
          <w:noProof/>
        </w:rPr>
      </w:pPr>
      <w:r>
        <w:rPr>
          <w:b/>
          <w:noProof/>
        </w:rPr>
        <w:t>Administrative arrangements</w:t>
      </w:r>
    </w:p>
    <w:p w:rsidR="005753A0" w:rsidRDefault="00761EEB">
      <w:pPr>
        <w:tabs>
          <w:tab w:val="left" w:pos="2272"/>
        </w:tabs>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Although allowed by the UCITS Directive, diverging domestic administrative arrangements imposed by host Member States could be seen as a barrier to the cross-border marketing of funds and are</w:t>
      </w:r>
      <w:r>
        <w:rPr>
          <w:rFonts w:ascii="Times New Roman" w:hAnsi="Times New Roman" w:cs="Times New Roman"/>
          <w:noProof/>
          <w:sz w:val="24"/>
          <w:szCs w:val="24"/>
        </w:rPr>
        <w:t xml:space="preserve"> not always justified in terms of added value for local investors, especially in view of developments in new technologies.</w:t>
      </w:r>
    </w:p>
    <w:p w:rsidR="005753A0" w:rsidRDefault="00761EEB">
      <w:pPr>
        <w:tabs>
          <w:tab w:val="left" w:pos="2272"/>
        </w:tabs>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Most Member States require that facilities for redeeming, subscribing and obtaining payment be based on their territory. Several </w:t>
      </w:r>
      <w:r>
        <w:rPr>
          <w:rFonts w:ascii="Times New Roman" w:hAnsi="Times New Roman" w:cs="Times New Roman"/>
          <w:noProof/>
          <w:sz w:val="24"/>
          <w:szCs w:val="24"/>
        </w:rPr>
        <w:t>Member States apply the same requirement to AIFs marketed to retail investors or require that the paying agent tasks be performed by a local credit institution for consumer protection reasons. A few Member States also require a local distributor to be appo</w:t>
      </w:r>
      <w:r>
        <w:rPr>
          <w:rFonts w:ascii="Times New Roman" w:hAnsi="Times New Roman" w:cs="Times New Roman"/>
          <w:noProof/>
          <w:sz w:val="24"/>
          <w:szCs w:val="24"/>
        </w:rPr>
        <w:t>inted once the UCITS or AIF is marketed to retail investors.</w:t>
      </w:r>
    </w:p>
    <w:p w:rsidR="005753A0" w:rsidRDefault="00761EEB">
      <w:pPr>
        <w:pBdr>
          <w:top w:val="single" w:sz="4" w:space="1" w:color="auto"/>
          <w:left w:val="single" w:sz="4" w:space="4" w:color="auto"/>
          <w:bottom w:val="single" w:sz="4" w:space="1" w:color="auto"/>
          <w:right w:val="single" w:sz="4" w:space="4" w:color="auto"/>
        </w:pBdr>
        <w:shd w:val="pct15" w:color="auto" w:fill="auto"/>
        <w:tabs>
          <w:tab w:val="left" w:pos="2272"/>
        </w:tabs>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Without prejudice to future initiatives, the Commission invites Member States to further map the administrative arrangements currently in place in their national legislation, with a view to elimi</w:t>
      </w:r>
      <w:r>
        <w:rPr>
          <w:rFonts w:ascii="Times New Roman" w:hAnsi="Times New Roman" w:cs="Times New Roman"/>
          <w:noProof/>
          <w:sz w:val="24"/>
          <w:szCs w:val="24"/>
        </w:rPr>
        <w:t>nating unnecessary administrative burdens by 2019.</w:t>
      </w:r>
    </w:p>
    <w:p w:rsidR="005753A0" w:rsidRDefault="00761EEB">
      <w:pPr>
        <w:pStyle w:val="Heading3"/>
        <w:spacing w:after="200"/>
        <w:rPr>
          <w:b/>
          <w:noProof/>
        </w:rPr>
      </w:pPr>
      <w:r>
        <w:rPr>
          <w:b/>
          <w:noProof/>
        </w:rPr>
        <w:t>Regulatory fees for marketing cross-border</w:t>
      </w:r>
    </w:p>
    <w:p w:rsidR="005753A0" w:rsidRDefault="00761EEB">
      <w:pPr>
        <w:shd w:val="clear" w:color="auto" w:fill="FFFFFF" w:themeFill="background1"/>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A formal notification process applies in respect of the passporting of all EU investment funds and in many cases is subject to a fee applied by national competent</w:t>
      </w:r>
      <w:r>
        <w:rPr>
          <w:rFonts w:ascii="Times New Roman" w:hAnsi="Times New Roman" w:cs="Times New Roman"/>
          <w:noProof/>
          <w:sz w:val="24"/>
          <w:szCs w:val="24"/>
        </w:rPr>
        <w:t xml:space="preserve"> authorities (NCAs).</w:t>
      </w:r>
    </w:p>
    <w:p w:rsidR="005753A0" w:rsidRDefault="00761EEB">
      <w:pPr>
        <w:shd w:val="clear" w:color="auto" w:fill="FFFFFF" w:themeFill="background1"/>
        <w:spacing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sz w:val="24"/>
          <w:szCs w:val="24"/>
        </w:rPr>
        <w:t>Arrangements vary considerably, in terms both of the absolute level of the fees and how they are calculated, and include the following factors: the fund’s regulatory form, the target market (professional or retail), the number of sub-f</w:t>
      </w:r>
      <w:r>
        <w:rPr>
          <w:rFonts w:ascii="Times New Roman" w:hAnsi="Times New Roman" w:cs="Times New Roman"/>
          <w:noProof/>
          <w:sz w:val="24"/>
          <w:szCs w:val="24"/>
        </w:rPr>
        <w:t>unds and the assets under management.</w:t>
      </w:r>
      <w:r>
        <w:rPr>
          <w:rFonts w:ascii="Times New Roman" w:hAnsi="Times New Roman" w:cs="Times New Roman"/>
          <w:noProof/>
          <w:color w:val="000000" w:themeColor="text1"/>
          <w:sz w:val="24"/>
          <w:szCs w:val="24"/>
        </w:rPr>
        <w:t xml:space="preserve"> For example, the one-off registration fee for a stand-alone UCITS can vary from EUR 115 to EUR 1 100, while the one-off registration fee for a stand-alone AIF can vary from EUR 200 to EUR 2 520. The annual fees for sta</w:t>
      </w:r>
      <w:r>
        <w:rPr>
          <w:rFonts w:ascii="Times New Roman" w:hAnsi="Times New Roman" w:cs="Times New Roman"/>
          <w:noProof/>
          <w:color w:val="000000" w:themeColor="text1"/>
          <w:sz w:val="24"/>
          <w:szCs w:val="24"/>
        </w:rPr>
        <w:t>nd-alone UCITS and AIFs can range from EUR 200 to more than EUR 4 000.</w:t>
      </w:r>
    </w:p>
    <w:p w:rsidR="005753A0" w:rsidRDefault="00761EEB">
      <w:pPr>
        <w:shd w:val="clear" w:color="auto" w:fill="FFFFFF" w:themeFill="background1"/>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range of regulatory fees charged by host Member States, the lack of transparency concerning their calculation methods or the applicable regulatory frameworks hinder the development </w:t>
      </w:r>
      <w:r>
        <w:rPr>
          <w:rFonts w:ascii="Times New Roman" w:hAnsi="Times New Roman" w:cs="Times New Roman"/>
          <w:noProof/>
          <w:sz w:val="24"/>
          <w:szCs w:val="24"/>
        </w:rPr>
        <w:t>of the cross-border marketing of funds across the EU. Notification procedures contained in the various pieces of fund legislation do not currently include any reference to regulatory fees. In some cases, such as EuVECA and EuSEF,</w:t>
      </w:r>
      <w:r>
        <w:rPr>
          <w:rStyle w:val="FootnoteReference"/>
          <w:rFonts w:ascii="Times New Roman" w:hAnsi="Times New Roman"/>
          <w:noProof/>
          <w:sz w:val="24"/>
        </w:rPr>
        <w:t xml:space="preserve"> </w:t>
      </w:r>
      <w:r>
        <w:rPr>
          <w:rStyle w:val="FootnoteReference"/>
          <w:rFonts w:ascii="Times New Roman" w:hAnsi="Times New Roman" w:cs="Times New Roman"/>
          <w:noProof/>
          <w:sz w:val="24"/>
          <w:szCs w:val="24"/>
        </w:rPr>
        <w:footnoteReference w:id="7"/>
      </w:r>
      <w:r>
        <w:rPr>
          <w:rFonts w:ascii="Times New Roman" w:hAnsi="Times New Roman" w:cs="Times New Roman"/>
          <w:noProof/>
          <w:sz w:val="24"/>
          <w:szCs w:val="24"/>
        </w:rPr>
        <w:t xml:space="preserve"> all supervisory powers a</w:t>
      </w:r>
      <w:r>
        <w:rPr>
          <w:rFonts w:ascii="Times New Roman" w:hAnsi="Times New Roman" w:cs="Times New Roman"/>
          <w:noProof/>
          <w:sz w:val="24"/>
          <w:szCs w:val="24"/>
        </w:rPr>
        <w:t>re reserved for the home competent authority and host authorities are expressly prohibited from imposing any requirements or administrative procedures in relation to marketing. The Commission has already proposed to decrease the costs managers incur by exp</w:t>
      </w:r>
      <w:r>
        <w:rPr>
          <w:rFonts w:ascii="Times New Roman" w:hAnsi="Times New Roman" w:cs="Times New Roman"/>
          <w:noProof/>
          <w:sz w:val="24"/>
          <w:szCs w:val="24"/>
        </w:rPr>
        <w:t>licitly prohibiting fees imposed by host NCAs in its proposals to amend the EuVECA and EuSEF Regulations.</w:t>
      </w:r>
    </w:p>
    <w:p w:rsidR="005753A0" w:rsidRDefault="00761EEB">
      <w:pPr>
        <w:shd w:val="clear" w:color="auto" w:fill="FFFFFF" w:themeFill="background1"/>
        <w:spacing w:line="240" w:lineRule="auto"/>
        <w:jc w:val="both"/>
        <w:rPr>
          <w:rFonts w:ascii="Times New Roman" w:hAnsi="Times New Roman" w:cs="Times New Roman"/>
          <w:noProof/>
        </w:rPr>
      </w:pPr>
      <w:r>
        <w:rPr>
          <w:rFonts w:ascii="Times New Roman" w:hAnsi="Times New Roman" w:cs="Times New Roman"/>
          <w:noProof/>
          <w:sz w:val="24"/>
          <w:szCs w:val="24"/>
        </w:rPr>
        <w:t>The expert group underlined the differences in national supervisory arrangements in the context of the UCITS and the AIFM Directives and noted that th</w:t>
      </w:r>
      <w:r>
        <w:rPr>
          <w:rFonts w:ascii="Times New Roman" w:hAnsi="Times New Roman" w:cs="Times New Roman"/>
          <w:noProof/>
          <w:sz w:val="24"/>
          <w:szCs w:val="24"/>
        </w:rPr>
        <w:t>e fees may be seen as either covering the supervisory and administrative costs incurred by the NCAs in handling the notification and/or as a measure to create a level playing field between domestic and foreign players and avoid regulatory arbitrage.</w:t>
      </w:r>
    </w:p>
    <w:p w:rsidR="005753A0" w:rsidRDefault="00761EEB">
      <w:pPr>
        <w:shd w:val="clear" w:color="auto" w:fill="FFFFFF" w:themeFill="background1"/>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Althou</w:t>
      </w:r>
      <w:r>
        <w:rPr>
          <w:rFonts w:ascii="Times New Roman" w:hAnsi="Times New Roman" w:cs="Times New Roman"/>
          <w:noProof/>
          <w:sz w:val="24"/>
          <w:szCs w:val="24"/>
        </w:rPr>
        <w:t>gh the administrative fees might not be a significant barrier in absolute terms, together with the legal and consulting costs of operating in various national markets they represent a significant burden, especially for small managers. Accordingly, Member S</w:t>
      </w:r>
      <w:r>
        <w:rPr>
          <w:rFonts w:ascii="Times New Roman" w:hAnsi="Times New Roman" w:cs="Times New Roman"/>
          <w:noProof/>
          <w:sz w:val="24"/>
          <w:szCs w:val="24"/>
        </w:rPr>
        <w:t>tates recognised the need to improve the clarity, transparency and predictability of national fees.</w:t>
      </w:r>
    </w:p>
    <w:p w:rsidR="005753A0" w:rsidRDefault="00761EEB">
      <w:pPr>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Without prejudice to other initiatives in this area, the Commission invites Member States to build on the discussions in the expert group and </w:t>
      </w:r>
      <w:r>
        <w:rPr>
          <w:rFonts w:ascii="Times New Roman" w:hAnsi="Times New Roman" w:cs="Times New Roman"/>
          <w:b/>
          <w:noProof/>
          <w:sz w:val="24"/>
          <w:szCs w:val="24"/>
        </w:rPr>
        <w:t>undertake to e</w:t>
      </w:r>
      <w:r>
        <w:rPr>
          <w:rFonts w:ascii="Times New Roman" w:hAnsi="Times New Roman" w:cs="Times New Roman"/>
          <w:b/>
          <w:noProof/>
          <w:sz w:val="24"/>
          <w:szCs w:val="24"/>
        </w:rPr>
        <w:t>nsure clarity and transparency in their regulatory fees framework</w:t>
      </w:r>
      <w:r>
        <w:rPr>
          <w:rFonts w:ascii="Times New Roman" w:hAnsi="Times New Roman" w:cs="Times New Roman"/>
          <w:noProof/>
          <w:sz w:val="24"/>
          <w:szCs w:val="24"/>
        </w:rPr>
        <w:t>. Member States should publish information on all fund notification-related fees, whether one-off or annual, in a comprehensive and user</w:t>
      </w:r>
      <w:r>
        <w:rPr>
          <w:rFonts w:ascii="Times New Roman" w:hAnsi="Times New Roman" w:cs="Times New Roman"/>
          <w:noProof/>
          <w:sz w:val="24"/>
          <w:szCs w:val="24"/>
        </w:rPr>
        <w:noBreakHyphen/>
        <w:t>friendly manner on a single national public website.</w:t>
      </w:r>
    </w:p>
    <w:p w:rsidR="005753A0" w:rsidRDefault="00761EEB">
      <w:pPr>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A</w:t>
      </w:r>
      <w:r>
        <w:rPr>
          <w:rFonts w:ascii="Times New Roman" w:hAnsi="Times New Roman" w:cs="Times New Roman"/>
          <w:noProof/>
          <w:sz w:val="24"/>
          <w:szCs w:val="24"/>
        </w:rPr>
        <w:t>s part of the consultation on cross-border fund distribution, the Commission is assessing whether notification fees are compatible with an efficient notification procedure, the passporting rights provided for in legislation and, if fees were to be allowed,</w:t>
      </w:r>
      <w:r>
        <w:rPr>
          <w:rFonts w:ascii="Times New Roman" w:hAnsi="Times New Roman" w:cs="Times New Roman"/>
          <w:noProof/>
          <w:sz w:val="24"/>
          <w:szCs w:val="24"/>
        </w:rPr>
        <w:t xml:space="preserve"> how to ensure that they are proportionate and not excessive. To the extent fees are allowed, the Commission intends to </w:t>
      </w:r>
      <w:r>
        <w:rPr>
          <w:rFonts w:ascii="Times New Roman" w:hAnsi="Times New Roman" w:cs="Times New Roman"/>
          <w:b/>
          <w:noProof/>
          <w:sz w:val="24"/>
          <w:szCs w:val="24"/>
        </w:rPr>
        <w:t>continue reflecting with the Member States and ESMA on the merits of a single public domain for fee-related information</w:t>
      </w:r>
      <w:r>
        <w:rPr>
          <w:rFonts w:ascii="Times New Roman" w:hAnsi="Times New Roman" w:cs="Times New Roman"/>
          <w:noProof/>
          <w:sz w:val="24"/>
          <w:szCs w:val="24"/>
        </w:rPr>
        <w:t xml:space="preserve">, in the form of </w:t>
      </w:r>
      <w:r>
        <w:rPr>
          <w:rFonts w:ascii="Times New Roman" w:hAnsi="Times New Roman" w:cs="Times New Roman"/>
          <w:noProof/>
          <w:sz w:val="24"/>
          <w:szCs w:val="24"/>
        </w:rPr>
        <w:t>a comparative website or a central repository.</w:t>
      </w:r>
    </w:p>
    <w:p w:rsidR="005753A0" w:rsidRDefault="00761EEB">
      <w:pPr>
        <w:pStyle w:val="Heading2"/>
        <w:spacing w:after="200"/>
        <w:rPr>
          <w:noProof/>
          <w:szCs w:val="24"/>
          <w:lang w:val="en-GB"/>
        </w:rPr>
      </w:pPr>
      <w:r>
        <w:rPr>
          <w:noProof/>
          <w:szCs w:val="24"/>
          <w:lang w:val="en-GB"/>
        </w:rPr>
        <w:t>Requirements on investment by pension funds</w:t>
      </w:r>
    </w:p>
    <w:p w:rsidR="005753A0" w:rsidRDefault="00761EEB">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expert group addressed the issue of a possible home bias in the choice of investments due to national restrictions on pension fund investments. This could be of </w:t>
      </w:r>
      <w:r>
        <w:rPr>
          <w:rFonts w:ascii="Times New Roman" w:hAnsi="Times New Roman" w:cs="Times New Roman"/>
          <w:noProof/>
          <w:sz w:val="24"/>
          <w:szCs w:val="24"/>
        </w:rPr>
        <w:t>relevance for funds in the so-called ‘pillar 1 bis’ (operating under the social security umbrella, but privately managed) and ‘pillar 2’ (occupational pension schemes). ‘Pillar 3’ (personal pension schemes) is mostly covered by insurance regulations and is</w:t>
      </w:r>
      <w:r>
        <w:rPr>
          <w:rFonts w:ascii="Times New Roman" w:hAnsi="Times New Roman" w:cs="Times New Roman"/>
          <w:noProof/>
          <w:sz w:val="24"/>
          <w:szCs w:val="24"/>
        </w:rPr>
        <w:t xml:space="preserve"> less likely to be concerned by this type of restriction. Work to date has confirmed that many Member States apply limits on investments in various asset classes, in shares traded on non-regulated markets or in unlisted shares. The great majority of geogra</w:t>
      </w:r>
      <w:r>
        <w:rPr>
          <w:rFonts w:ascii="Times New Roman" w:hAnsi="Times New Roman" w:cs="Times New Roman"/>
          <w:noProof/>
          <w:sz w:val="24"/>
          <w:szCs w:val="24"/>
        </w:rPr>
        <w:t>phical restrictions apply only to investment outside the EU, EEA and/or OECD. They all seem justified by general prudential rules</w:t>
      </w:r>
      <w:r>
        <w:rPr>
          <w:rStyle w:val="FootnoteReference"/>
          <w:rFonts w:ascii="Times New Roman" w:hAnsi="Times New Roman" w:cs="Times New Roman"/>
          <w:noProof/>
          <w:sz w:val="24"/>
          <w:szCs w:val="24"/>
        </w:rPr>
        <w:footnoteReference w:id="8"/>
      </w:r>
      <w:r>
        <w:rPr>
          <w:rFonts w:ascii="Times New Roman" w:hAnsi="Times New Roman" w:cs="Times New Roman"/>
          <w:noProof/>
          <w:sz w:val="24"/>
          <w:szCs w:val="24"/>
        </w:rPr>
        <w:t xml:space="preserve"> and are not the main factor limiting cross-border investment in the EU.</w:t>
      </w:r>
    </w:p>
    <w:p w:rsidR="005753A0" w:rsidRDefault="00761EEB">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Some pension funds may have a certain national bias, </w:t>
      </w:r>
      <w:r>
        <w:rPr>
          <w:rFonts w:ascii="Times New Roman" w:hAnsi="Times New Roman" w:cs="Times New Roman"/>
          <w:noProof/>
          <w:sz w:val="24"/>
          <w:szCs w:val="24"/>
        </w:rPr>
        <w:t>which could be explained less by national regulatory constraints than by other factors affecting their investment decisions, such as business environment, project-related guarantees and administrative and tax obstacles.</w:t>
      </w:r>
      <w:r>
        <w:rPr>
          <w:rStyle w:val="FootnoteReference"/>
          <w:rFonts w:ascii="Times New Roman" w:hAnsi="Times New Roman" w:cs="Times New Roman"/>
          <w:noProof/>
          <w:sz w:val="24"/>
          <w:szCs w:val="24"/>
        </w:rPr>
        <w:footnoteReference w:id="9"/>
      </w:r>
      <w:r>
        <w:rPr>
          <w:rFonts w:ascii="Times New Roman" w:hAnsi="Times New Roman" w:cs="Times New Roman"/>
          <w:noProof/>
          <w:sz w:val="24"/>
          <w:szCs w:val="24"/>
        </w:rPr>
        <w:t xml:space="preserve"> Some pension funds invest cross-bor</w:t>
      </w:r>
      <w:r>
        <w:rPr>
          <w:rFonts w:ascii="Times New Roman" w:hAnsi="Times New Roman" w:cs="Times New Roman"/>
          <w:noProof/>
          <w:sz w:val="24"/>
          <w:szCs w:val="24"/>
        </w:rPr>
        <w:t>der, but seem to do so to a large extent outside the EU.</w:t>
      </w:r>
    </w:p>
    <w:p w:rsidR="005753A0" w:rsidRDefault="00761EEB">
      <w:pPr>
        <w:pStyle w:val="PlainText"/>
        <w:jc w:val="both"/>
        <w:rPr>
          <w:noProof/>
        </w:rPr>
      </w:pPr>
      <w:r>
        <w:rPr>
          <w:rFonts w:ascii="Times New Roman" w:hAnsi="Times New Roman" w:cs="Times New Roman"/>
          <w:noProof/>
          <w:sz w:val="24"/>
          <w:szCs w:val="24"/>
        </w:rPr>
        <w:t>The Investment Plan for Europe, through the European Investment Fund and the European Fund for Strategic Investments (EFSI), represents an opportunity to increase pension funds’ cross-border investme</w:t>
      </w:r>
      <w:r>
        <w:rPr>
          <w:rFonts w:ascii="Times New Roman" w:hAnsi="Times New Roman" w:cs="Times New Roman"/>
          <w:noProof/>
          <w:sz w:val="24"/>
          <w:szCs w:val="24"/>
        </w:rPr>
        <w:t>nt in the EU. The Copenhagen Infrastructure II</w:t>
      </w:r>
      <w:r>
        <w:rPr>
          <w:rStyle w:val="FootnoteReference"/>
          <w:rFonts w:ascii="Times New Roman" w:hAnsi="Times New Roman" w:cs="Times New Roman"/>
          <w:noProof/>
          <w:sz w:val="24"/>
          <w:szCs w:val="24"/>
        </w:rPr>
        <w:footnoteReference w:id="10"/>
      </w:r>
      <w:r>
        <w:rPr>
          <w:rFonts w:ascii="Times New Roman" w:hAnsi="Times New Roman" w:cs="Times New Roman"/>
          <w:noProof/>
          <w:sz w:val="24"/>
          <w:szCs w:val="24"/>
        </w:rPr>
        <w:t xml:space="preserve"> is one example of joint investment by pension funds in renewable energy projects in Germany and the UK, with the support of EFSI. The Commission has recently launched a pan-European Venture Capital Fund-of-Fu</w:t>
      </w:r>
      <w:r>
        <w:rPr>
          <w:rFonts w:ascii="Times New Roman" w:hAnsi="Times New Roman" w:cs="Times New Roman"/>
          <w:noProof/>
          <w:sz w:val="24"/>
          <w:szCs w:val="24"/>
        </w:rPr>
        <w:t>nds initiative, with the purpose of attracting more private institutional investment, including from pension funds.</w:t>
      </w:r>
      <w:r>
        <w:rPr>
          <w:noProof/>
        </w:rPr>
        <w:t xml:space="preserve"> </w:t>
      </w:r>
    </w:p>
    <w:p w:rsidR="005753A0" w:rsidRDefault="005753A0">
      <w:pPr>
        <w:pStyle w:val="PlainText"/>
        <w:jc w:val="both"/>
        <w:rPr>
          <w:noProof/>
        </w:rPr>
      </w:pPr>
    </w:p>
    <w:p w:rsidR="005753A0" w:rsidRDefault="00761EEB">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invites Member States to </w:t>
      </w:r>
      <w:r>
        <w:rPr>
          <w:rFonts w:ascii="Times New Roman" w:hAnsi="Times New Roman" w:cs="Times New Roman"/>
          <w:b/>
          <w:noProof/>
          <w:sz w:val="24"/>
          <w:szCs w:val="24"/>
        </w:rPr>
        <w:t>focus in a sub-group on successful examples of cross-border investment in the EU, with the partici</w:t>
      </w:r>
      <w:r>
        <w:rPr>
          <w:rFonts w:ascii="Times New Roman" w:hAnsi="Times New Roman" w:cs="Times New Roman"/>
          <w:b/>
          <w:noProof/>
          <w:sz w:val="24"/>
          <w:szCs w:val="24"/>
        </w:rPr>
        <w:t>pation of the pension fund industry</w:t>
      </w:r>
      <w:r>
        <w:rPr>
          <w:rFonts w:ascii="Times New Roman" w:hAnsi="Times New Roman" w:cs="Times New Roman"/>
          <w:noProof/>
          <w:sz w:val="24"/>
          <w:szCs w:val="24"/>
        </w:rPr>
        <w:t>, to:</w:t>
      </w:r>
    </w:p>
    <w:p w:rsidR="005753A0" w:rsidRDefault="00761EEB">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ind w:left="426" w:hanging="426"/>
        <w:jc w:val="both"/>
        <w:rPr>
          <w:rFonts w:ascii="Times New Roman" w:hAnsi="Times New Roman" w:cs="Times New Roman"/>
          <w:noProof/>
          <w:sz w:val="24"/>
          <w:szCs w:val="24"/>
        </w:rPr>
      </w:pPr>
      <w:r>
        <w:rPr>
          <w:rFonts w:ascii="Times New Roman" w:hAnsi="Times New Roman" w:cs="Times New Roman"/>
          <w:noProof/>
          <w:sz w:val="24"/>
          <w:szCs w:val="24"/>
        </w:rPr>
        <w:t xml:space="preserve">(i) </w:t>
      </w:r>
      <w:r>
        <w:rPr>
          <w:rFonts w:ascii="Times New Roman" w:hAnsi="Times New Roman" w:cs="Times New Roman"/>
          <w:noProof/>
          <w:sz w:val="24"/>
          <w:szCs w:val="24"/>
        </w:rPr>
        <w:tab/>
        <w:t>identify the main drivers in pension funds’ investment decisions and promote best practices; and</w:t>
      </w:r>
    </w:p>
    <w:p w:rsidR="005753A0" w:rsidRDefault="00761EEB">
      <w:pPr>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ind w:left="426" w:hanging="426"/>
        <w:jc w:val="both"/>
        <w:rPr>
          <w:rFonts w:ascii="Times New Roman" w:hAnsi="Times New Roman" w:cs="Times New Roman"/>
          <w:noProof/>
          <w:sz w:val="24"/>
          <w:szCs w:val="24"/>
        </w:rPr>
      </w:pPr>
      <w:r>
        <w:rPr>
          <w:rFonts w:ascii="Times New Roman" w:hAnsi="Times New Roman" w:cs="Times New Roman"/>
          <w:noProof/>
          <w:sz w:val="24"/>
          <w:szCs w:val="24"/>
        </w:rPr>
        <w:t xml:space="preserve">(ii) </w:t>
      </w:r>
      <w:r>
        <w:rPr>
          <w:rFonts w:ascii="Times New Roman" w:hAnsi="Times New Roman" w:cs="Times New Roman"/>
          <w:noProof/>
          <w:sz w:val="24"/>
          <w:szCs w:val="24"/>
        </w:rPr>
        <w:tab/>
        <w:t>raise awareness about new opportunities under the Investment Plan in order to make infrastructure investmen</w:t>
      </w:r>
      <w:r>
        <w:rPr>
          <w:rFonts w:ascii="Times New Roman" w:hAnsi="Times New Roman" w:cs="Times New Roman"/>
          <w:noProof/>
          <w:sz w:val="24"/>
          <w:szCs w:val="24"/>
        </w:rPr>
        <w:t>t more attractive and accessible to institutional investors.</w:t>
      </w:r>
    </w:p>
    <w:p w:rsidR="005753A0" w:rsidRDefault="00761EEB">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Commission invites Member States to:</w:t>
      </w:r>
    </w:p>
    <w:p w:rsidR="005753A0" w:rsidRDefault="00761EEB">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ind w:left="426" w:hanging="426"/>
        <w:jc w:val="both"/>
        <w:rPr>
          <w:rFonts w:ascii="Times New Roman" w:hAnsi="Times New Roman" w:cs="Times New Roman"/>
          <w:noProof/>
          <w:sz w:val="24"/>
          <w:szCs w:val="24"/>
        </w:rPr>
      </w:pPr>
      <w:r>
        <w:rPr>
          <w:rFonts w:ascii="Times New Roman" w:hAnsi="Times New Roman" w:cs="Times New Roman"/>
          <w:noProof/>
          <w:sz w:val="24"/>
          <w:szCs w:val="24"/>
        </w:rPr>
        <w:t xml:space="preserve">(i) </w:t>
      </w:r>
      <w:r>
        <w:rPr>
          <w:rFonts w:ascii="Times New Roman" w:hAnsi="Times New Roman" w:cs="Times New Roman"/>
          <w:noProof/>
          <w:sz w:val="24"/>
          <w:szCs w:val="24"/>
        </w:rPr>
        <w:tab/>
        <w:t>promote the opportunities offered by the European Investment Advisory Hub and the European Investment Project Portal;</w:t>
      </w:r>
    </w:p>
    <w:p w:rsidR="005753A0" w:rsidRDefault="00761EEB">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ind w:left="426" w:hanging="426"/>
        <w:jc w:val="both"/>
        <w:rPr>
          <w:rFonts w:ascii="Times New Roman" w:hAnsi="Times New Roman" w:cs="Times New Roman"/>
          <w:noProof/>
          <w:sz w:val="24"/>
          <w:szCs w:val="24"/>
        </w:rPr>
      </w:pPr>
      <w:r>
        <w:rPr>
          <w:rFonts w:ascii="Times New Roman" w:hAnsi="Times New Roman" w:cs="Times New Roman"/>
          <w:noProof/>
          <w:sz w:val="24"/>
          <w:szCs w:val="24"/>
        </w:rPr>
        <w:t xml:space="preserve">(ii) </w:t>
      </w:r>
      <w:r>
        <w:rPr>
          <w:rFonts w:ascii="Times New Roman" w:hAnsi="Times New Roman" w:cs="Times New Roman"/>
          <w:noProof/>
          <w:sz w:val="24"/>
          <w:szCs w:val="24"/>
        </w:rPr>
        <w:tab/>
        <w:t xml:space="preserve">strengthen the role of </w:t>
      </w:r>
      <w:r>
        <w:rPr>
          <w:rFonts w:ascii="Times New Roman" w:hAnsi="Times New Roman" w:cs="Times New Roman"/>
          <w:noProof/>
          <w:sz w:val="24"/>
          <w:szCs w:val="24"/>
        </w:rPr>
        <w:t>national promotional banks (NPBs) and the complementarity of public and private funds; and</w:t>
      </w:r>
    </w:p>
    <w:p w:rsidR="005753A0" w:rsidRDefault="00761EEB">
      <w:pPr>
        <w:pBdr>
          <w:top w:val="single" w:sz="4" w:space="1" w:color="auto"/>
          <w:left w:val="single" w:sz="4" w:space="4" w:color="auto"/>
          <w:bottom w:val="single" w:sz="4" w:space="1" w:color="auto"/>
          <w:right w:val="single" w:sz="4" w:space="4" w:color="auto"/>
        </w:pBdr>
        <w:shd w:val="clear" w:color="auto" w:fill="D9D9D9" w:themeFill="background1" w:themeFillShade="D9"/>
        <w:spacing w:before="200" w:after="120" w:line="240" w:lineRule="auto"/>
        <w:ind w:left="426" w:hanging="426"/>
        <w:jc w:val="both"/>
        <w:rPr>
          <w:rFonts w:ascii="Times New Roman" w:hAnsi="Times New Roman" w:cs="Times New Roman"/>
          <w:noProof/>
          <w:sz w:val="24"/>
          <w:szCs w:val="24"/>
        </w:rPr>
      </w:pPr>
      <w:r>
        <w:rPr>
          <w:rFonts w:ascii="Times New Roman" w:hAnsi="Times New Roman" w:cs="Times New Roman"/>
          <w:noProof/>
          <w:sz w:val="24"/>
          <w:szCs w:val="24"/>
        </w:rPr>
        <w:t>(iii)</w:t>
      </w:r>
      <w:r>
        <w:rPr>
          <w:rFonts w:ascii="Times New Roman" w:hAnsi="Times New Roman" w:cs="Times New Roman"/>
          <w:noProof/>
          <w:sz w:val="24"/>
          <w:szCs w:val="24"/>
        </w:rPr>
        <w:tab/>
        <w:t>support the establishment of a network of NPBs, in coordination with the European Investment Bank,</w:t>
      </w:r>
      <w:r>
        <w:rPr>
          <w:rStyle w:val="FootnoteReference"/>
          <w:rFonts w:ascii="Times New Roman" w:hAnsi="Times New Roman" w:cs="Times New Roman"/>
          <w:noProof/>
          <w:sz w:val="24"/>
          <w:szCs w:val="24"/>
        </w:rPr>
        <w:footnoteReference w:id="11"/>
      </w:r>
      <w:r>
        <w:rPr>
          <w:rFonts w:ascii="Times New Roman" w:hAnsi="Times New Roman" w:cs="Times New Roman"/>
          <w:noProof/>
          <w:sz w:val="24"/>
          <w:szCs w:val="24"/>
        </w:rPr>
        <w:t xml:space="preserve"> to align efforts in support of equity and risk capital and </w:t>
      </w:r>
      <w:r>
        <w:rPr>
          <w:rFonts w:ascii="Times New Roman" w:hAnsi="Times New Roman" w:cs="Times New Roman"/>
          <w:noProof/>
          <w:sz w:val="24"/>
          <w:szCs w:val="24"/>
        </w:rPr>
        <w:t>fully deliver on the objectives of EFSI 2.0.</w:t>
      </w:r>
      <w:r>
        <w:rPr>
          <w:rStyle w:val="FootnoteReference"/>
          <w:noProof/>
        </w:rPr>
        <w:footnoteReference w:id="12"/>
      </w:r>
    </w:p>
    <w:p w:rsidR="005753A0" w:rsidRDefault="005753A0">
      <w:pPr>
        <w:pBdr>
          <w:top w:val="single" w:sz="4" w:space="1" w:color="auto"/>
          <w:left w:val="single" w:sz="4" w:space="4" w:color="auto"/>
          <w:bottom w:val="single" w:sz="4" w:space="1" w:color="auto"/>
          <w:right w:val="single" w:sz="4" w:space="4" w:color="auto"/>
        </w:pBdr>
        <w:shd w:val="clear" w:color="auto" w:fill="D9D9D9" w:themeFill="background1" w:themeFillShade="D9"/>
        <w:spacing w:before="200" w:after="120" w:line="240" w:lineRule="auto"/>
        <w:ind w:left="426" w:hanging="426"/>
        <w:jc w:val="both"/>
        <w:rPr>
          <w:rFonts w:ascii="Times New Roman" w:hAnsi="Times New Roman" w:cs="Times New Roman"/>
          <w:noProof/>
          <w:sz w:val="24"/>
          <w:szCs w:val="24"/>
        </w:rPr>
      </w:pPr>
    </w:p>
    <w:p w:rsidR="005753A0" w:rsidRDefault="00761EEB">
      <w:pPr>
        <w:pStyle w:val="Heading2"/>
        <w:spacing w:after="200"/>
        <w:rPr>
          <w:noProof/>
          <w:szCs w:val="24"/>
          <w:lang w:val="en-GB"/>
        </w:rPr>
      </w:pPr>
      <w:r>
        <w:rPr>
          <w:noProof/>
          <w:szCs w:val="24"/>
          <w:lang w:val="en-GB"/>
        </w:rPr>
        <w:t>Different national approaches to crowdfunding</w:t>
      </w:r>
    </w:p>
    <w:p w:rsidR="005753A0" w:rsidRDefault="00761EEB">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Commission is currently monitoring</w:t>
      </w:r>
      <w:r>
        <w:rPr>
          <w:rStyle w:val="FootnoteReference"/>
          <w:rFonts w:ascii="Times New Roman" w:hAnsi="Times New Roman" w:cs="Times New Roman"/>
          <w:noProof/>
          <w:sz w:val="24"/>
          <w:szCs w:val="24"/>
        </w:rPr>
        <w:footnoteReference w:id="13"/>
      </w:r>
      <w:r>
        <w:rPr>
          <w:rFonts w:ascii="Times New Roman" w:hAnsi="Times New Roman" w:cs="Times New Roman"/>
          <w:noProof/>
          <w:sz w:val="24"/>
          <w:szCs w:val="24"/>
        </w:rPr>
        <w:t xml:space="preserve"> the development of investment-based and lending</w:t>
      </w:r>
      <w:r>
        <w:rPr>
          <w:rFonts w:ascii="Times New Roman" w:hAnsi="Times New Roman" w:cs="Times New Roman"/>
          <w:noProof/>
          <w:sz w:val="24"/>
          <w:szCs w:val="24"/>
        </w:rPr>
        <w:noBreakHyphen/>
        <w:t>based crowdfunding and notes that the available studies indicate that cross</w:t>
      </w:r>
      <w:r>
        <w:rPr>
          <w:rFonts w:ascii="Times New Roman" w:hAnsi="Times New Roman" w:cs="Times New Roman"/>
          <w:noProof/>
          <w:sz w:val="24"/>
          <w:szCs w:val="24"/>
        </w:rPr>
        <w:t>-border activity remains limited.</w:t>
      </w:r>
      <w:r>
        <w:rPr>
          <w:rStyle w:val="FootnoteReference"/>
          <w:rFonts w:ascii="Times New Roman" w:hAnsi="Times New Roman" w:cs="Times New Roman"/>
          <w:noProof/>
          <w:sz w:val="24"/>
          <w:szCs w:val="24"/>
        </w:rPr>
        <w:footnoteReference w:id="14"/>
      </w:r>
    </w:p>
    <w:p w:rsidR="005753A0" w:rsidRDefault="00761EEB">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Different consumer or investor protection rules, among other factors, seem to lead many platforms to refuse to provide their services to non-residents and make extension to new markets possible only through new establishm</w:t>
      </w:r>
      <w:r>
        <w:rPr>
          <w:rFonts w:ascii="Times New Roman" w:hAnsi="Times New Roman" w:cs="Times New Roman"/>
          <w:noProof/>
          <w:sz w:val="24"/>
          <w:szCs w:val="24"/>
        </w:rPr>
        <w:t>ents.</w:t>
      </w:r>
    </w:p>
    <w:p w:rsidR="005753A0" w:rsidRDefault="00761EEB">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Other potential national barriers to cross-border activity include differences in:</w:t>
      </w:r>
    </w:p>
    <w:p w:rsidR="005753A0" w:rsidRDefault="00761EEB">
      <w:pPr>
        <w:pStyle w:val="ListParagraph"/>
        <w:numPr>
          <w:ilvl w:val="0"/>
          <w:numId w:val="2"/>
        </w:numPr>
        <w:spacing w:after="120" w:line="240" w:lineRule="auto"/>
        <w:ind w:left="714" w:hanging="357"/>
        <w:contextualSpacing w:val="0"/>
        <w:jc w:val="both"/>
        <w:rPr>
          <w:rFonts w:ascii="Times New Roman" w:hAnsi="Times New Roman" w:cs="Times New Roman"/>
          <w:noProof/>
          <w:sz w:val="24"/>
          <w:szCs w:val="24"/>
        </w:rPr>
      </w:pPr>
      <w:r>
        <w:rPr>
          <w:rFonts w:ascii="Times New Roman" w:hAnsi="Times New Roman" w:cs="Times New Roman"/>
          <w:noProof/>
          <w:sz w:val="24"/>
          <w:szCs w:val="24"/>
        </w:rPr>
        <w:t>the definitions of crowdfunding and the scope of activities for investment</w:t>
      </w:r>
      <w:r>
        <w:rPr>
          <w:rFonts w:ascii="Times New Roman" w:hAnsi="Times New Roman" w:cs="Times New Roman"/>
          <w:noProof/>
          <w:sz w:val="24"/>
          <w:szCs w:val="24"/>
        </w:rPr>
        <w:noBreakHyphen/>
        <w:t>based models;</w:t>
      </w:r>
    </w:p>
    <w:p w:rsidR="005753A0" w:rsidRDefault="00761EEB">
      <w:pPr>
        <w:pStyle w:val="ListParagraph"/>
        <w:numPr>
          <w:ilvl w:val="0"/>
          <w:numId w:val="2"/>
        </w:numPr>
        <w:spacing w:after="120" w:line="240" w:lineRule="auto"/>
        <w:ind w:left="714" w:hanging="357"/>
        <w:contextualSpacing w:val="0"/>
        <w:jc w:val="both"/>
        <w:rPr>
          <w:rFonts w:ascii="Times New Roman" w:hAnsi="Times New Roman" w:cs="Times New Roman"/>
          <w:noProof/>
          <w:sz w:val="24"/>
          <w:szCs w:val="24"/>
        </w:rPr>
      </w:pPr>
      <w:r>
        <w:rPr>
          <w:rFonts w:ascii="Times New Roman" w:hAnsi="Times New Roman" w:cs="Times New Roman"/>
          <w:noProof/>
          <w:sz w:val="24"/>
          <w:szCs w:val="24"/>
        </w:rPr>
        <w:t>national credit brokerage rules for lending-based models;</w:t>
      </w:r>
    </w:p>
    <w:p w:rsidR="005753A0" w:rsidRDefault="00761EEB">
      <w:pPr>
        <w:pStyle w:val="ListParagraph"/>
        <w:numPr>
          <w:ilvl w:val="0"/>
          <w:numId w:val="2"/>
        </w:numPr>
        <w:spacing w:after="120" w:line="240" w:lineRule="auto"/>
        <w:ind w:left="714" w:hanging="357"/>
        <w:contextualSpacing w:val="0"/>
        <w:jc w:val="both"/>
        <w:rPr>
          <w:rFonts w:ascii="Times New Roman" w:hAnsi="Times New Roman" w:cs="Times New Roman"/>
          <w:noProof/>
          <w:sz w:val="24"/>
          <w:szCs w:val="24"/>
        </w:rPr>
      </w:pPr>
      <w:r>
        <w:rPr>
          <w:rFonts w:ascii="Times New Roman" w:hAnsi="Times New Roman" w:cs="Times New Roman"/>
          <w:noProof/>
          <w:sz w:val="24"/>
          <w:szCs w:val="24"/>
        </w:rPr>
        <w:t>conditions for autho</w:t>
      </w:r>
      <w:r>
        <w:rPr>
          <w:rFonts w:ascii="Times New Roman" w:hAnsi="Times New Roman" w:cs="Times New Roman"/>
          <w:noProof/>
          <w:sz w:val="24"/>
          <w:szCs w:val="24"/>
        </w:rPr>
        <w:t>risation (for example capital requirements); and</w:t>
      </w:r>
    </w:p>
    <w:p w:rsidR="005753A0" w:rsidRDefault="00761EEB">
      <w:pPr>
        <w:pStyle w:val="ListParagraph"/>
        <w:numPr>
          <w:ilvl w:val="0"/>
          <w:numId w:val="2"/>
        </w:num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business requirements (such as professional qualifications, information and risk warnings, due diligence, conflicts of interest, investment limits).</w:t>
      </w:r>
    </w:p>
    <w:p w:rsidR="005753A0" w:rsidRDefault="00761EEB">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This diversity raises concerns as to whether platforms can</w:t>
      </w:r>
      <w:r>
        <w:rPr>
          <w:rFonts w:ascii="Times New Roman" w:hAnsi="Times New Roman" w:cs="Times New Roman"/>
          <w:noProof/>
          <w:sz w:val="24"/>
          <w:szCs w:val="24"/>
        </w:rPr>
        <w:t xml:space="preserve"> access other national markets without having to establish there, how consumers are protected when services are provided cross-border on a temporary basis and whether authorities can take account of the fulfilment of requirements in other Member States (fo</w:t>
      </w:r>
      <w:r>
        <w:rPr>
          <w:rFonts w:ascii="Times New Roman" w:hAnsi="Times New Roman" w:cs="Times New Roman"/>
          <w:noProof/>
          <w:sz w:val="24"/>
          <w:szCs w:val="24"/>
        </w:rPr>
        <w:t>r example in respect of minimum capital or organisational structures).</w:t>
      </w:r>
    </w:p>
    <w:p w:rsidR="005753A0" w:rsidRDefault="00761EEB">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Concerns have also been raised about the requirement in some Member States for investment</w:t>
      </w:r>
      <w:r>
        <w:rPr>
          <w:rFonts w:ascii="Times New Roman" w:hAnsi="Times New Roman" w:cs="Times New Roman"/>
          <w:noProof/>
          <w:sz w:val="24"/>
          <w:szCs w:val="24"/>
        </w:rPr>
        <w:noBreakHyphen/>
        <w:t xml:space="preserve">based platforms to be authorised under national regimes, even though they should be allowed to </w:t>
      </w:r>
      <w:r>
        <w:rPr>
          <w:rFonts w:ascii="Times New Roman" w:hAnsi="Times New Roman" w:cs="Times New Roman"/>
          <w:noProof/>
          <w:sz w:val="24"/>
          <w:szCs w:val="24"/>
        </w:rPr>
        <w:t>provide cross-border investment services in relation to MiFID financial instruments on the basis of their MiFID passport. The Commission will monitor this development closely.</w:t>
      </w:r>
    </w:p>
    <w:p w:rsidR="005753A0" w:rsidRDefault="00761EEB">
      <w:pPr>
        <w:pBdr>
          <w:top w:val="single" w:sz="4" w:space="1" w:color="auto"/>
          <w:left w:val="single" w:sz="4" w:space="4" w:color="auto"/>
          <w:bottom w:val="single" w:sz="4" w:space="1" w:color="auto"/>
          <w:right w:val="single" w:sz="4" w:space="4" w:color="auto"/>
        </w:pBdr>
        <w:shd w:val="pct10" w:color="auto" w:fill="auto"/>
        <w:spacing w:line="240" w:lineRule="auto"/>
        <w:jc w:val="both"/>
        <w:rPr>
          <w:rFonts w:ascii="Times New Roman" w:hAnsi="Times New Roman" w:cs="Times New Roman"/>
          <w:noProof/>
          <w:sz w:val="24"/>
          <w:szCs w:val="24"/>
        </w:rPr>
      </w:pPr>
      <w:r>
        <w:rPr>
          <w:rFonts w:ascii="Times New Roman" w:hAnsi="Times New Roman" w:cs="Times New Roman"/>
          <w:b/>
          <w:noProof/>
          <w:sz w:val="24"/>
          <w:szCs w:val="24"/>
        </w:rPr>
        <w:t xml:space="preserve">The Commission will assess these issues </w:t>
      </w:r>
      <w:r>
        <w:rPr>
          <w:rFonts w:ascii="Times New Roman" w:hAnsi="Times New Roman" w:cs="Times New Roman"/>
          <w:noProof/>
          <w:sz w:val="24"/>
          <w:szCs w:val="24"/>
        </w:rPr>
        <w:t>and discuss them with crowdfunding platf</w:t>
      </w:r>
      <w:r>
        <w:rPr>
          <w:rFonts w:ascii="Times New Roman" w:hAnsi="Times New Roman" w:cs="Times New Roman"/>
          <w:noProof/>
          <w:sz w:val="24"/>
          <w:szCs w:val="24"/>
        </w:rPr>
        <w:t xml:space="preserve">orms, European supervisory authorities and the Member States. </w:t>
      </w:r>
    </w:p>
    <w:p w:rsidR="005753A0" w:rsidRDefault="00761EEB">
      <w:pPr>
        <w:pBdr>
          <w:top w:val="single" w:sz="4" w:space="1" w:color="auto"/>
          <w:left w:val="single" w:sz="4" w:space="4" w:color="auto"/>
          <w:bottom w:val="single" w:sz="4" w:space="1" w:color="auto"/>
          <w:right w:val="single" w:sz="4" w:space="4" w:color="auto"/>
        </w:pBdr>
        <w:shd w:val="pct10" w:color="auto" w:fill="auto"/>
        <w:spacing w:line="240" w:lineRule="auto"/>
        <w:jc w:val="both"/>
        <w:rPr>
          <w:rFonts w:ascii="Times New Roman" w:hAnsi="Times New Roman"/>
          <w:b/>
          <w:noProof/>
          <w:sz w:val="24"/>
        </w:rPr>
      </w:pPr>
      <w:r>
        <w:rPr>
          <w:rFonts w:ascii="Times New Roman" w:hAnsi="Times New Roman" w:cs="Times New Roman"/>
          <w:noProof/>
          <w:sz w:val="24"/>
          <w:szCs w:val="24"/>
        </w:rPr>
        <w:t>The Commission invites the Member States</w:t>
      </w:r>
      <w:r>
        <w:rPr>
          <w:rFonts w:ascii="Times New Roman" w:hAnsi="Times New Roman"/>
          <w:b/>
          <w:noProof/>
          <w:sz w:val="24"/>
        </w:rPr>
        <w:t xml:space="preserve"> </w:t>
      </w:r>
      <w:r>
        <w:rPr>
          <w:rFonts w:ascii="Times New Roman" w:hAnsi="Times New Roman" w:cs="Times New Roman"/>
          <w:noProof/>
          <w:sz w:val="24"/>
          <w:szCs w:val="24"/>
        </w:rPr>
        <w:t xml:space="preserve">to </w:t>
      </w:r>
      <w:r>
        <w:rPr>
          <w:rFonts w:ascii="Times New Roman" w:hAnsi="Times New Roman"/>
          <w:noProof/>
          <w:sz w:val="24"/>
        </w:rPr>
        <w:t>consider</w:t>
      </w:r>
      <w:r>
        <w:rPr>
          <w:rFonts w:ascii="Times New Roman" w:hAnsi="Times New Roman" w:cs="Times New Roman"/>
          <w:b/>
          <w:noProof/>
          <w:sz w:val="24"/>
          <w:szCs w:val="24"/>
        </w:rPr>
        <w:t xml:space="preserve"> whether national crowdfunding legislation provide an effective and proportionate level of investor and consumer protection while permitting cross-border activity</w:t>
      </w:r>
      <w:r>
        <w:rPr>
          <w:rFonts w:ascii="Times New Roman" w:hAnsi="Times New Roman"/>
          <w:b/>
          <w:noProof/>
          <w:sz w:val="24"/>
        </w:rPr>
        <w:t>.</w:t>
      </w:r>
      <w:r>
        <w:rPr>
          <w:rFonts w:ascii="Times New Roman" w:hAnsi="Times New Roman" w:cs="Times New Roman"/>
          <w:b/>
          <w:noProof/>
          <w:sz w:val="24"/>
          <w:szCs w:val="24"/>
        </w:rPr>
        <w:t xml:space="preserve"> </w:t>
      </w:r>
    </w:p>
    <w:p w:rsidR="005753A0" w:rsidRDefault="00761EEB">
      <w:pPr>
        <w:pStyle w:val="Heading1"/>
        <w:spacing w:before="0" w:after="200"/>
        <w:rPr>
          <w:noProof/>
          <w:szCs w:val="24"/>
        </w:rPr>
      </w:pPr>
      <w:r>
        <w:rPr>
          <w:i/>
          <w:noProof/>
          <w:szCs w:val="24"/>
        </w:rPr>
        <w:t xml:space="preserve">In itinere </w:t>
      </w:r>
      <w:r>
        <w:rPr>
          <w:noProof/>
          <w:szCs w:val="24"/>
        </w:rPr>
        <w:t>barriers</w:t>
      </w:r>
    </w:p>
    <w:p w:rsidR="005753A0" w:rsidRDefault="00761EEB">
      <w:pPr>
        <w:pStyle w:val="Heading2"/>
        <w:spacing w:after="200"/>
        <w:rPr>
          <w:noProof/>
          <w:szCs w:val="24"/>
          <w:lang w:val="en-GB"/>
        </w:rPr>
      </w:pPr>
      <w:r>
        <w:rPr>
          <w:noProof/>
          <w:szCs w:val="24"/>
          <w:lang w:val="en-GB"/>
        </w:rPr>
        <w:t>Residence and location requirements imposed on the managers of financia</w:t>
      </w:r>
      <w:r>
        <w:rPr>
          <w:noProof/>
          <w:szCs w:val="24"/>
          <w:lang w:val="en-GB"/>
        </w:rPr>
        <w:t>l market players</w:t>
      </w:r>
    </w:p>
    <w:p w:rsidR="005753A0" w:rsidRDefault="00761EEB">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Requiring residence in the country as a condition for appointment to certain positions hampers local companies seeking to attract foreign expertise. It also affects foreign companies that want their own staff to be involved in the manageme</w:t>
      </w:r>
      <w:r>
        <w:rPr>
          <w:rFonts w:ascii="Times New Roman" w:hAnsi="Times New Roman" w:cs="Times New Roman"/>
          <w:noProof/>
          <w:sz w:val="24"/>
          <w:szCs w:val="24"/>
        </w:rPr>
        <w:t>nt of a subsidiary.</w:t>
      </w:r>
    </w:p>
    <w:p w:rsidR="005753A0" w:rsidRDefault="00761EEB">
      <w:pPr>
        <w:spacing w:line="240" w:lineRule="auto"/>
        <w:jc w:val="both"/>
        <w:rPr>
          <w:rFonts w:ascii="Times New Roman" w:hAnsi="Times New Roman"/>
          <w:noProof/>
          <w:sz w:val="24"/>
          <w:szCs w:val="24"/>
        </w:rPr>
      </w:pPr>
      <w:r>
        <w:rPr>
          <w:rFonts w:ascii="Times New Roman" w:hAnsi="Times New Roman" w:cs="Times New Roman"/>
          <w:noProof/>
          <w:sz w:val="24"/>
          <w:szCs w:val="24"/>
        </w:rPr>
        <w:t>According to information available to the Commission, such requirements exist in a limited number of Member States and could be found in legislation or in supervisory practice. They might affect the majority of board members or only one</w:t>
      </w:r>
      <w:r>
        <w:rPr>
          <w:rFonts w:ascii="Times New Roman" w:hAnsi="Times New Roman" w:cs="Times New Roman"/>
          <w:noProof/>
          <w:sz w:val="24"/>
          <w:szCs w:val="24"/>
        </w:rPr>
        <w:t xml:space="preserve"> or two. They may apply to all types of financial services or only to some, such as insurance, banks or fund managers established in these countries.</w:t>
      </w:r>
      <w:r>
        <w:rPr>
          <w:rFonts w:ascii="Times New Roman" w:hAnsi="Times New Roman"/>
          <w:noProof/>
          <w:sz w:val="24"/>
          <w:szCs w:val="24"/>
        </w:rPr>
        <w:t xml:space="preserve"> </w:t>
      </w:r>
    </w:p>
    <w:p w:rsidR="005753A0" w:rsidRDefault="00761EEB">
      <w:pPr>
        <w:spacing w:line="240" w:lineRule="auto"/>
        <w:jc w:val="both"/>
        <w:rPr>
          <w:rFonts w:ascii="Times New Roman" w:hAnsi="Times New Roman" w:cs="Times New Roman"/>
          <w:noProof/>
          <w:sz w:val="24"/>
          <w:szCs w:val="24"/>
        </w:rPr>
      </w:pPr>
      <w:r>
        <w:rPr>
          <w:rFonts w:ascii="Times New Roman" w:hAnsi="Times New Roman"/>
          <w:noProof/>
          <w:sz w:val="24"/>
          <w:szCs w:val="24"/>
        </w:rPr>
        <w:t>A few Member States require that senior staff in charge of daily management be permanently present at the</w:t>
      </w:r>
      <w:r>
        <w:rPr>
          <w:rFonts w:ascii="Times New Roman" w:hAnsi="Times New Roman"/>
          <w:noProof/>
          <w:sz w:val="24"/>
          <w:szCs w:val="24"/>
        </w:rPr>
        <w:t xml:space="preserve"> national premises of the entity.</w:t>
      </w:r>
    </w:p>
    <w:p w:rsidR="005753A0" w:rsidRDefault="00761EEB">
      <w:pPr>
        <w:spacing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Even though such requirements might not pose specific problems for large banks or insurance companies, their suitability is doubtful and they can negatively impact smaller financial services providers, as well as the perso</w:t>
      </w:r>
      <w:r>
        <w:rPr>
          <w:rFonts w:ascii="Times New Roman" w:hAnsi="Times New Roman" w:cs="Times New Roman"/>
          <w:noProof/>
          <w:color w:val="000000" w:themeColor="text1"/>
          <w:sz w:val="24"/>
          <w:szCs w:val="24"/>
        </w:rPr>
        <w:t xml:space="preserve">nal freedom of the individuals concerned. </w:t>
      </w:r>
    </w:p>
    <w:p w:rsidR="005753A0" w:rsidRDefault="00761EEB">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Member States put forward various reasons for these requirements, such as easing supervision, ensuring effective management, geographic characteristics and preventing fraud. However, these </w:t>
      </w:r>
      <w:r>
        <w:rPr>
          <w:rFonts w:ascii="Times New Roman" w:hAnsi="Times New Roman" w:cs="Times New Roman"/>
          <w:noProof/>
          <w:color w:val="000000" w:themeColor="text1"/>
          <w:sz w:val="24"/>
          <w:szCs w:val="24"/>
        </w:rPr>
        <w:t>restrictions to fundamen</w:t>
      </w:r>
      <w:r>
        <w:rPr>
          <w:rFonts w:ascii="Times New Roman" w:hAnsi="Times New Roman" w:cs="Times New Roman"/>
          <w:noProof/>
          <w:color w:val="000000" w:themeColor="text1"/>
          <w:sz w:val="24"/>
          <w:szCs w:val="24"/>
        </w:rPr>
        <w:t>tal single market freedoms d</w:t>
      </w:r>
      <w:r>
        <w:rPr>
          <w:rFonts w:ascii="Times New Roman" w:hAnsi="Times New Roman" w:cs="Times New Roman"/>
          <w:noProof/>
          <w:sz w:val="24"/>
          <w:szCs w:val="24"/>
        </w:rPr>
        <w:t xml:space="preserve">o not appear to be justified, suitable and limited to what is necessary, since they are formulated in general terms. Moreover, modern communication methods could in most situations be seen as sufficient to achieve some of these </w:t>
      </w:r>
      <w:r>
        <w:rPr>
          <w:rFonts w:ascii="Times New Roman" w:hAnsi="Times New Roman" w:cs="Times New Roman"/>
          <w:noProof/>
          <w:sz w:val="24"/>
          <w:szCs w:val="24"/>
        </w:rPr>
        <w:t>objectives.</w:t>
      </w:r>
    </w:p>
    <w:p w:rsidR="005753A0" w:rsidRDefault="00761EEB">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Nevertheless, NCAs would be able to require that managers commit sufficient time to their mandate, that they are present when needed and that they have the necessary knowledge, skills and experience for the position. While not determining on </w:t>
      </w:r>
      <w:r>
        <w:rPr>
          <w:rFonts w:ascii="Times New Roman" w:hAnsi="Times New Roman" w:cs="Times New Roman"/>
          <w:noProof/>
          <w:sz w:val="24"/>
          <w:szCs w:val="24"/>
        </w:rPr>
        <w:t>its own, residence could be one of the elements considered in this respect.</w:t>
      </w:r>
    </w:p>
    <w:p w:rsidR="005753A0" w:rsidRDefault="00761EEB">
      <w:pPr>
        <w:pBdr>
          <w:top w:val="single" w:sz="4" w:space="1" w:color="auto"/>
          <w:left w:val="single" w:sz="4" w:space="4" w:color="auto"/>
          <w:bottom w:val="single" w:sz="4" w:space="1" w:color="auto"/>
          <w:right w:val="single" w:sz="4" w:space="4" w:color="auto"/>
        </w:pBdr>
        <w:shd w:val="pct10" w:color="auto" w:fill="auto"/>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invites Member States to </w:t>
      </w:r>
      <w:r>
        <w:rPr>
          <w:rFonts w:ascii="Times New Roman" w:hAnsi="Times New Roman" w:cs="Times New Roman"/>
          <w:b/>
          <w:noProof/>
          <w:sz w:val="24"/>
          <w:szCs w:val="24"/>
        </w:rPr>
        <w:t xml:space="preserve">remove </w:t>
      </w:r>
      <w:r>
        <w:rPr>
          <w:rFonts w:ascii="Times New Roman" w:hAnsi="Times New Roman" w:cs="Times New Roman"/>
          <w:noProof/>
          <w:sz w:val="24"/>
          <w:szCs w:val="24"/>
        </w:rPr>
        <w:t>residence requirements on managers of companies in the financial sector,</w:t>
      </w:r>
      <w:r>
        <w:rPr>
          <w:rFonts w:ascii="Times New Roman" w:hAnsi="Times New Roman" w:cs="Times New Roman"/>
          <w:b/>
          <w:noProof/>
          <w:sz w:val="24"/>
          <w:szCs w:val="24"/>
        </w:rPr>
        <w:t xml:space="preserve"> residing in the EU, where they are not </w:t>
      </w:r>
      <w:r>
        <w:rPr>
          <w:rFonts w:ascii="Times New Roman" w:hAnsi="Times New Roman"/>
          <w:b/>
          <w:noProof/>
          <w:sz w:val="24"/>
        </w:rPr>
        <w:t>justified, suitable o</w:t>
      </w:r>
      <w:r>
        <w:rPr>
          <w:rFonts w:ascii="Times New Roman" w:hAnsi="Times New Roman"/>
          <w:b/>
          <w:noProof/>
          <w:sz w:val="24"/>
        </w:rPr>
        <w:t>r proportionate</w:t>
      </w:r>
      <w:r>
        <w:rPr>
          <w:rFonts w:ascii="Times New Roman" w:hAnsi="Times New Roman" w:cs="Times New Roman"/>
          <w:noProof/>
          <w:sz w:val="24"/>
          <w:szCs w:val="24"/>
        </w:rPr>
        <w:t>.</w:t>
      </w:r>
    </w:p>
    <w:p w:rsidR="005753A0" w:rsidRDefault="00761EEB">
      <w:pPr>
        <w:pStyle w:val="Heading2"/>
        <w:spacing w:after="200"/>
        <w:rPr>
          <w:noProof/>
          <w:szCs w:val="24"/>
          <w:lang w:val="en-GB"/>
        </w:rPr>
      </w:pPr>
      <w:r>
        <w:rPr>
          <w:noProof/>
          <w:szCs w:val="24"/>
          <w:lang w:val="en-GB"/>
        </w:rPr>
        <w:t>Insufficient financial literacy</w:t>
      </w:r>
    </w:p>
    <w:p w:rsidR="005753A0" w:rsidRDefault="00761EEB">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Faced with increasingly complex financial products, consumers and SMEs may make unwise financial decisions without a proper understanding of the risk involved or miss optimal investment or funding opportunit</w:t>
      </w:r>
      <w:r>
        <w:rPr>
          <w:rFonts w:ascii="Times New Roman" w:hAnsi="Times New Roman" w:cs="Times New Roman"/>
          <w:noProof/>
          <w:sz w:val="24"/>
          <w:szCs w:val="24"/>
        </w:rPr>
        <w:t>ies, especially cross-border ones.</w:t>
      </w:r>
    </w:p>
    <w:p w:rsidR="005753A0" w:rsidRDefault="00761EEB">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Member States have adopted various financial literacy programmes.</w:t>
      </w:r>
      <w:r>
        <w:rPr>
          <w:rStyle w:val="FootnoteReference"/>
          <w:rFonts w:ascii="Times New Roman" w:hAnsi="Times New Roman" w:cs="Times New Roman"/>
          <w:noProof/>
          <w:sz w:val="24"/>
          <w:szCs w:val="24"/>
        </w:rPr>
        <w:footnoteReference w:id="15"/>
      </w:r>
      <w:r>
        <w:rPr>
          <w:rFonts w:ascii="Times New Roman" w:hAnsi="Times New Roman" w:cs="Times New Roman"/>
          <w:noProof/>
          <w:sz w:val="24"/>
          <w:szCs w:val="24"/>
        </w:rPr>
        <w:t xml:space="preserve"> Most actions focus on the basic financial education of core social groups (such as young adults or pensioners) and vulnerable groups (for example immigran</w:t>
      </w:r>
      <w:r>
        <w:rPr>
          <w:rFonts w:ascii="Times New Roman" w:hAnsi="Times New Roman" w:cs="Times New Roman"/>
          <w:noProof/>
          <w:sz w:val="24"/>
          <w:szCs w:val="24"/>
        </w:rPr>
        <w:t>ts and young mothers) without necessarily mentioning cross-border options, overall public knowledge of which is uneven and incomplete.</w:t>
      </w:r>
    </w:p>
    <w:p w:rsidR="005753A0" w:rsidRDefault="00761EEB">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Most Member States have taken specific initiatives to help SMEs. One key field of action in promoting the CMU is thus com</w:t>
      </w:r>
      <w:r>
        <w:rPr>
          <w:rFonts w:ascii="Times New Roman" w:hAnsi="Times New Roman" w:cs="Times New Roman"/>
          <w:noProof/>
          <w:sz w:val="24"/>
          <w:szCs w:val="24"/>
        </w:rPr>
        <w:t>plementing EU funding for SMEs</w:t>
      </w:r>
      <w:r>
        <w:rPr>
          <w:rStyle w:val="FootnoteReference"/>
          <w:rFonts w:ascii="Times New Roman" w:hAnsi="Times New Roman" w:cs="Times New Roman"/>
          <w:noProof/>
          <w:color w:val="000000"/>
          <w:sz w:val="24"/>
          <w:szCs w:val="24"/>
        </w:rPr>
        <w:footnoteReference w:id="16"/>
      </w:r>
      <w:r>
        <w:rPr>
          <w:rFonts w:ascii="Times New Roman" w:hAnsi="Times New Roman" w:cs="Times New Roman"/>
          <w:noProof/>
          <w:sz w:val="24"/>
          <w:szCs w:val="24"/>
        </w:rPr>
        <w:t xml:space="preserve"> with effective support for those seeking market-based funding, including in other Member States, by identifying and sharing innovative (mostly online) solutions. In this context, the Enterprise Europe Network provides a capi</w:t>
      </w:r>
      <w:r>
        <w:rPr>
          <w:rFonts w:ascii="Times New Roman" w:hAnsi="Times New Roman" w:cs="Times New Roman"/>
          <w:noProof/>
          <w:sz w:val="24"/>
          <w:szCs w:val="24"/>
        </w:rPr>
        <w:t>llary advisory service to European SMEs on various topics, including on improving their financial literacy.</w:t>
      </w:r>
    </w:p>
    <w:p w:rsidR="005753A0" w:rsidRDefault="00761EEB">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Any such solutions should take account of the wide disparities in levels of financial education across and within the Member States</w:t>
      </w:r>
      <w:r>
        <w:rPr>
          <w:rStyle w:val="FootnoteReference"/>
          <w:rFonts w:ascii="Times New Roman" w:hAnsi="Times New Roman" w:cs="Times New Roman"/>
          <w:noProof/>
          <w:sz w:val="24"/>
          <w:szCs w:val="24"/>
        </w:rPr>
        <w:footnoteReference w:id="17"/>
      </w:r>
      <w:r>
        <w:rPr>
          <w:rFonts w:ascii="Times New Roman" w:hAnsi="Times New Roman" w:cs="Times New Roman"/>
          <w:noProof/>
          <w:sz w:val="24"/>
          <w:szCs w:val="24"/>
        </w:rPr>
        <w:t>. They should co</w:t>
      </w:r>
      <w:r>
        <w:rPr>
          <w:rFonts w:ascii="Times New Roman" w:hAnsi="Times New Roman" w:cs="Times New Roman"/>
          <w:noProof/>
          <w:sz w:val="24"/>
          <w:szCs w:val="24"/>
        </w:rPr>
        <w:t>nsider approaches other than formal education and leave scope for innovative forms of hands-on experience.</w:t>
      </w:r>
    </w:p>
    <w:p w:rsidR="005753A0" w:rsidRDefault="00761EEB">
      <w:pPr>
        <w:pBdr>
          <w:top w:val="single" w:sz="4" w:space="1" w:color="auto"/>
          <w:left w:val="single" w:sz="4" w:space="4" w:color="auto"/>
          <w:bottom w:val="single" w:sz="4" w:space="1" w:color="auto"/>
          <w:right w:val="single" w:sz="4" w:space="4" w:color="auto"/>
        </w:pBdr>
        <w:shd w:val="pct10" w:color="auto" w:fill="auto"/>
        <w:spacing w:line="240" w:lineRule="auto"/>
        <w:jc w:val="both"/>
        <w:rPr>
          <w:rFonts w:ascii="Times New Roman" w:hAnsi="Times New Roman" w:cs="Times New Roman"/>
          <w:noProof/>
          <w:sz w:val="24"/>
          <w:szCs w:val="24"/>
        </w:rPr>
      </w:pPr>
      <w:r>
        <w:rPr>
          <w:rFonts w:ascii="Times New Roman" w:hAnsi="Times New Roman" w:cs="Times New Roman"/>
          <w:b/>
          <w:noProof/>
          <w:sz w:val="24"/>
          <w:szCs w:val="24"/>
        </w:rPr>
        <w:t>The Commission welcomes Member States’ agreement to continue the work on financial literacy</w:t>
      </w:r>
      <w:r>
        <w:rPr>
          <w:rStyle w:val="FootnoteReference"/>
          <w:rFonts w:ascii="Times New Roman" w:hAnsi="Times New Roman" w:cs="Times New Roman"/>
          <w:b/>
          <w:noProof/>
          <w:sz w:val="24"/>
          <w:szCs w:val="24"/>
        </w:rPr>
        <w:footnoteReference w:id="18"/>
      </w:r>
      <w:r>
        <w:rPr>
          <w:rFonts w:ascii="Times New Roman" w:hAnsi="Times New Roman" w:cs="Times New Roman"/>
          <w:b/>
          <w:noProof/>
          <w:sz w:val="24"/>
          <w:szCs w:val="24"/>
        </w:rPr>
        <w:t xml:space="preserve"> </w:t>
      </w:r>
      <w:r>
        <w:rPr>
          <w:rFonts w:ascii="Times New Roman" w:hAnsi="Times New Roman" w:cs="Times New Roman"/>
          <w:noProof/>
          <w:sz w:val="24"/>
          <w:szCs w:val="24"/>
        </w:rPr>
        <w:t>through exchange of best practices on the design, implem</w:t>
      </w:r>
      <w:r>
        <w:rPr>
          <w:rFonts w:ascii="Times New Roman" w:hAnsi="Times New Roman" w:cs="Times New Roman"/>
          <w:noProof/>
          <w:sz w:val="24"/>
          <w:szCs w:val="24"/>
        </w:rPr>
        <w:t>entation and evaluation of financial literacy programmes for specific target groups and financial products, taking into account the cross-border dimension.</w:t>
      </w:r>
    </w:p>
    <w:p w:rsidR="005753A0" w:rsidRDefault="00761EEB">
      <w:pPr>
        <w:pBdr>
          <w:top w:val="single" w:sz="4" w:space="1" w:color="auto"/>
          <w:left w:val="single" w:sz="4" w:space="4" w:color="auto"/>
          <w:bottom w:val="single" w:sz="4" w:space="1" w:color="auto"/>
          <w:right w:val="single" w:sz="4" w:space="4" w:color="auto"/>
        </w:pBdr>
        <w:shd w:val="pct10" w:color="auto" w:fill="auto"/>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expert group could contribute to possible CMU-related initiatives for the </w:t>
      </w:r>
      <w:r>
        <w:rPr>
          <w:rFonts w:ascii="Times New Roman" w:hAnsi="Times New Roman" w:cs="Times New Roman"/>
          <w:b/>
          <w:noProof/>
          <w:sz w:val="24"/>
          <w:szCs w:val="24"/>
        </w:rPr>
        <w:t xml:space="preserve">development of </w:t>
      </w:r>
      <w:r>
        <w:rPr>
          <w:rFonts w:ascii="Times New Roman" w:hAnsi="Times New Roman" w:cs="Times New Roman"/>
          <w:b/>
          <w:noProof/>
          <w:sz w:val="24"/>
          <w:szCs w:val="24"/>
        </w:rPr>
        <w:t>innovative solutions to improve SMEs’ knowledge</w:t>
      </w:r>
      <w:r>
        <w:rPr>
          <w:rFonts w:ascii="Times New Roman" w:hAnsi="Times New Roman" w:cs="Times New Roman"/>
          <w:noProof/>
          <w:sz w:val="24"/>
          <w:szCs w:val="24"/>
        </w:rPr>
        <w:t xml:space="preserve"> and support them in accessing capital market sources of finance.</w:t>
      </w:r>
    </w:p>
    <w:p w:rsidR="005753A0" w:rsidRDefault="00761EEB">
      <w:pPr>
        <w:pStyle w:val="Heading2"/>
        <w:spacing w:after="200"/>
        <w:rPr>
          <w:noProof/>
          <w:szCs w:val="24"/>
          <w:lang w:val="en-GB"/>
        </w:rPr>
      </w:pPr>
      <w:r>
        <w:rPr>
          <w:noProof/>
          <w:szCs w:val="24"/>
          <w:lang w:val="en-GB"/>
        </w:rPr>
        <w:t>Other issues</w:t>
      </w:r>
    </w:p>
    <w:p w:rsidR="005753A0" w:rsidRDefault="00761EEB">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Commission notes that some Member States have referred to barriers related to banking, including possible barriers to the move</w:t>
      </w:r>
      <w:r>
        <w:rPr>
          <w:rFonts w:ascii="Times New Roman" w:hAnsi="Times New Roman" w:cs="Times New Roman"/>
          <w:noProof/>
          <w:sz w:val="24"/>
          <w:szCs w:val="24"/>
        </w:rPr>
        <w:t xml:space="preserve">ment of liquidity within cross-border banking groups, which NCAs have imposed on top of existing prudential requirements. Such issues should disappear at the latest by 1 January 2018, with the full introduction of the liquidity coverage ratio at a rate of </w:t>
      </w:r>
      <w:r>
        <w:rPr>
          <w:rFonts w:ascii="Times New Roman" w:hAnsi="Times New Roman" w:cs="Times New Roman"/>
          <w:noProof/>
          <w:sz w:val="24"/>
          <w:szCs w:val="24"/>
        </w:rPr>
        <w:t>100 %, as regularly monitored by the European Banking Authority.</w:t>
      </w:r>
      <w:r>
        <w:rPr>
          <w:rStyle w:val="FootnoteReference"/>
          <w:rFonts w:ascii="Times New Roman" w:hAnsi="Times New Roman" w:cs="Times New Roman"/>
          <w:noProof/>
          <w:sz w:val="24"/>
          <w:szCs w:val="24"/>
        </w:rPr>
        <w:footnoteReference w:id="19"/>
      </w:r>
      <w:r>
        <w:rPr>
          <w:rFonts w:ascii="Times New Roman" w:hAnsi="Times New Roman" w:cs="Times New Roman"/>
          <w:noProof/>
          <w:sz w:val="24"/>
          <w:szCs w:val="24"/>
        </w:rPr>
        <w:t xml:space="preserve"> Some Member States have also mentioned the difficulty that national supervisors have in granting cross-border waivers from liquidity requirements to an institution and its EU subsidiaries, a</w:t>
      </w:r>
      <w:r>
        <w:rPr>
          <w:rFonts w:ascii="Times New Roman" w:hAnsi="Times New Roman" w:cs="Times New Roman"/>
          <w:noProof/>
          <w:sz w:val="24"/>
          <w:szCs w:val="24"/>
        </w:rPr>
        <w:t>nd supervising them as a single liquidity sub-group. This issue is being discussed in other fora.</w:t>
      </w:r>
    </w:p>
    <w:p w:rsidR="005753A0" w:rsidRDefault="00761EEB">
      <w:pPr>
        <w:pStyle w:val="Heading1"/>
        <w:spacing w:before="0" w:after="200"/>
        <w:rPr>
          <w:noProof/>
          <w:szCs w:val="24"/>
        </w:rPr>
      </w:pPr>
      <w:r>
        <w:rPr>
          <w:i/>
          <w:noProof/>
          <w:szCs w:val="24"/>
        </w:rPr>
        <w:t>Ex post</w:t>
      </w:r>
      <w:r>
        <w:rPr>
          <w:noProof/>
          <w:szCs w:val="24"/>
        </w:rPr>
        <w:t xml:space="preserve"> barriers</w:t>
      </w:r>
    </w:p>
    <w:p w:rsidR="005753A0" w:rsidRDefault="00761EEB">
      <w:pPr>
        <w:pStyle w:val="Heading2"/>
        <w:spacing w:after="200"/>
        <w:rPr>
          <w:noProof/>
          <w:szCs w:val="24"/>
          <w:lang w:val="en-GB"/>
        </w:rPr>
      </w:pPr>
      <w:r>
        <w:rPr>
          <w:noProof/>
          <w:szCs w:val="24"/>
          <w:lang w:val="en-GB"/>
        </w:rPr>
        <w:t>Differences in national insolvency regimes</w:t>
      </w:r>
    </w:p>
    <w:p w:rsidR="005753A0" w:rsidRDefault="00761EEB">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The latest CMU Communication</w:t>
      </w:r>
      <w:r>
        <w:rPr>
          <w:rStyle w:val="FootnoteReference"/>
          <w:rFonts w:ascii="Times New Roman" w:hAnsi="Times New Roman" w:cs="Times New Roman"/>
          <w:noProof/>
          <w:sz w:val="24"/>
          <w:szCs w:val="24"/>
        </w:rPr>
        <w:footnoteReference w:id="20"/>
      </w:r>
      <w:r>
        <w:rPr>
          <w:rFonts w:ascii="Times New Roman" w:hAnsi="Times New Roman" w:cs="Times New Roman"/>
          <w:noProof/>
          <w:sz w:val="24"/>
          <w:szCs w:val="24"/>
        </w:rPr>
        <w:t xml:space="preserve"> stressed the negative impact that the differences and inefficiencies in some national insolvency regimes have on cross-border investment and lending. These generate legal uncertainty, additional costs and pose barriers to the efficient restructuring of vi</w:t>
      </w:r>
      <w:r>
        <w:rPr>
          <w:rFonts w:ascii="Times New Roman" w:hAnsi="Times New Roman" w:cs="Times New Roman"/>
          <w:noProof/>
          <w:sz w:val="24"/>
          <w:szCs w:val="24"/>
        </w:rPr>
        <w:t>able companies, including cross-border groups, in the EU.</w:t>
      </w:r>
    </w:p>
    <w:p w:rsidR="005753A0" w:rsidRDefault="00761EEB">
      <w:pPr>
        <w:pBdr>
          <w:top w:val="single" w:sz="4" w:space="1" w:color="auto"/>
          <w:left w:val="single" w:sz="4" w:space="4" w:color="auto"/>
          <w:bottom w:val="single" w:sz="4" w:space="1" w:color="auto"/>
          <w:right w:val="single" w:sz="4" w:space="4" w:color="auto"/>
        </w:pBdr>
        <w:shd w:val="pct10" w:color="auto" w:fill="auto"/>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invites the Member States and the European Parliament to </w:t>
      </w:r>
      <w:r>
        <w:rPr>
          <w:rFonts w:ascii="Times New Roman" w:hAnsi="Times New Roman" w:cs="Times New Roman"/>
          <w:b/>
          <w:noProof/>
          <w:sz w:val="24"/>
          <w:szCs w:val="24"/>
        </w:rPr>
        <w:t>support the recent Commission proposal on restructuring and second chance</w:t>
      </w:r>
      <w:r>
        <w:rPr>
          <w:rStyle w:val="FootnoteReference"/>
          <w:rFonts w:ascii="Times New Roman" w:hAnsi="Times New Roman" w:cs="Times New Roman"/>
          <w:b/>
          <w:noProof/>
          <w:sz w:val="24"/>
          <w:szCs w:val="24"/>
        </w:rPr>
        <w:footnoteReference w:id="21"/>
      </w:r>
      <w:r>
        <w:rPr>
          <w:rFonts w:ascii="Times New Roman" w:hAnsi="Times New Roman" w:cs="Times New Roman"/>
          <w:b/>
          <w:noProof/>
          <w:sz w:val="24"/>
          <w:szCs w:val="24"/>
        </w:rPr>
        <w:t xml:space="preserve"> </w:t>
      </w:r>
      <w:r>
        <w:rPr>
          <w:rFonts w:ascii="Times New Roman" w:hAnsi="Times New Roman" w:cs="Times New Roman"/>
          <w:noProof/>
          <w:sz w:val="24"/>
          <w:szCs w:val="24"/>
        </w:rPr>
        <w:t xml:space="preserve">and to consider its provisions in the light of the </w:t>
      </w:r>
      <w:r>
        <w:rPr>
          <w:rFonts w:ascii="Times New Roman" w:hAnsi="Times New Roman" w:cs="Times New Roman"/>
          <w:noProof/>
          <w:sz w:val="24"/>
          <w:szCs w:val="24"/>
        </w:rPr>
        <w:t>objectives agreed for the deepening of the internal market.</w:t>
      </w:r>
    </w:p>
    <w:p w:rsidR="005753A0" w:rsidRDefault="00761EEB">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In addition, these national disparities impact the banks’ lending, as they face different situations in terms of delays, costs and value recovery. In order to compile a detailed and reliable pictu</w:t>
      </w:r>
      <w:r>
        <w:rPr>
          <w:rFonts w:ascii="Times New Roman" w:hAnsi="Times New Roman" w:cs="Times New Roman"/>
          <w:noProof/>
          <w:sz w:val="24"/>
          <w:szCs w:val="24"/>
        </w:rPr>
        <w:t>re, the Commission has launched an initiative to benchmark national loan enforcement regimes, including insolvency arrangements.</w:t>
      </w:r>
    </w:p>
    <w:p w:rsidR="005753A0" w:rsidRDefault="00761EEB">
      <w:pPr>
        <w:pBdr>
          <w:top w:val="single" w:sz="4" w:space="1" w:color="auto"/>
          <w:left w:val="single" w:sz="4" w:space="4" w:color="auto"/>
          <w:bottom w:val="single" w:sz="4" w:space="1" w:color="auto"/>
          <w:right w:val="single" w:sz="4" w:space="4" w:color="auto"/>
        </w:pBdr>
        <w:shd w:val="pct10" w:color="auto" w:fill="auto"/>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w:t>
      </w:r>
      <w:r>
        <w:rPr>
          <w:rFonts w:ascii="Times New Roman" w:hAnsi="Times New Roman" w:cs="Times New Roman"/>
          <w:b/>
          <w:noProof/>
          <w:sz w:val="24"/>
          <w:szCs w:val="24"/>
        </w:rPr>
        <w:t>benchmarking exercise</w:t>
      </w:r>
      <w:r>
        <w:rPr>
          <w:rFonts w:ascii="Times New Roman" w:hAnsi="Times New Roman" w:cs="Times New Roman"/>
          <w:noProof/>
          <w:sz w:val="24"/>
          <w:szCs w:val="24"/>
        </w:rPr>
        <w:t>, with results expected in summer 2017, will assist Member States seeking to increase the efficiency a</w:t>
      </w:r>
      <w:r>
        <w:rPr>
          <w:rFonts w:ascii="Times New Roman" w:hAnsi="Times New Roman" w:cs="Times New Roman"/>
          <w:noProof/>
          <w:sz w:val="24"/>
          <w:szCs w:val="24"/>
        </w:rPr>
        <w:t>nd transparency of their insolvency and loan recovery regimes.</w:t>
      </w:r>
    </w:p>
    <w:p w:rsidR="005753A0" w:rsidRDefault="00761EEB">
      <w:pPr>
        <w:pStyle w:val="Heading2"/>
        <w:spacing w:after="200"/>
        <w:rPr>
          <w:noProof/>
          <w:szCs w:val="24"/>
          <w:lang w:val="en-GB"/>
        </w:rPr>
      </w:pPr>
      <w:r>
        <w:rPr>
          <w:noProof/>
          <w:szCs w:val="24"/>
          <w:lang w:val="en-GB"/>
        </w:rPr>
        <w:t>Discriminatory and burdensome procedures for withholding tax relief</w:t>
      </w:r>
    </w:p>
    <w:p w:rsidR="005753A0" w:rsidRDefault="00761EEB">
      <w:pPr>
        <w:spacing w:after="240" w:line="240" w:lineRule="auto"/>
        <w:jc w:val="both"/>
        <w:rPr>
          <w:rFonts w:ascii="Times New Roman" w:hAnsi="Times New Roman" w:cs="Times New Roman"/>
          <w:noProof/>
          <w:color w:val="000000"/>
          <w:sz w:val="24"/>
          <w:szCs w:val="24"/>
        </w:rPr>
      </w:pPr>
      <w:r>
        <w:rPr>
          <w:rFonts w:ascii="Times New Roman" w:hAnsi="Times New Roman" w:cs="Times New Roman"/>
          <w:noProof/>
          <w:sz w:val="24"/>
          <w:szCs w:val="24"/>
        </w:rPr>
        <w:t>Capital market investors and Member States have repeatedly identified withholding tax (WHT) relief procedures as a major dete</w:t>
      </w:r>
      <w:r>
        <w:rPr>
          <w:rFonts w:ascii="Times New Roman" w:hAnsi="Times New Roman" w:cs="Times New Roman"/>
          <w:noProof/>
          <w:sz w:val="24"/>
          <w:szCs w:val="24"/>
        </w:rPr>
        <w:t xml:space="preserve">rrent to cross-border investment. As pointed out by the ECOFIN Council of November 2015 in support of CMU initiatives, there is a need for </w:t>
      </w:r>
      <w:r>
        <w:rPr>
          <w:rFonts w:ascii="Times New Roman" w:hAnsi="Times New Roman" w:cs="Times New Roman"/>
          <w:noProof/>
          <w:color w:val="000000"/>
          <w:sz w:val="24"/>
          <w:szCs w:val="24"/>
        </w:rPr>
        <w:t>‘</w:t>
      </w:r>
      <w:r>
        <w:rPr>
          <w:rFonts w:ascii="Times New Roman" w:hAnsi="Times New Roman" w:cs="Times New Roman"/>
          <w:iCs/>
          <w:noProof/>
          <w:color w:val="000000"/>
          <w:sz w:val="24"/>
          <w:szCs w:val="24"/>
        </w:rPr>
        <w:t>pragmatic solutions to longstanding tax obstacles such as double taxation linked to current withholding tax arrangem</w:t>
      </w:r>
      <w:r>
        <w:rPr>
          <w:rFonts w:ascii="Times New Roman" w:hAnsi="Times New Roman" w:cs="Times New Roman"/>
          <w:iCs/>
          <w:noProof/>
          <w:color w:val="000000"/>
          <w:sz w:val="24"/>
          <w:szCs w:val="24"/>
        </w:rPr>
        <w:t>ents</w:t>
      </w:r>
      <w:r>
        <w:rPr>
          <w:rFonts w:ascii="Times New Roman" w:hAnsi="Times New Roman" w:cs="Times New Roman"/>
          <w:noProof/>
          <w:color w:val="000000"/>
          <w:sz w:val="24"/>
          <w:szCs w:val="24"/>
        </w:rPr>
        <w:t>’.</w:t>
      </w:r>
    </w:p>
    <w:p w:rsidR="005753A0" w:rsidRDefault="00761EEB">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Given this political mandate, the expert group discussed the nature of the problem and existing best practices. It took note of the view that a well-functioning CMU needs to tackle this matter, while acknowledging that any steps beyond mapping relev</w:t>
      </w:r>
      <w:r>
        <w:rPr>
          <w:rFonts w:ascii="Times New Roman" w:hAnsi="Times New Roman" w:cs="Times New Roman"/>
          <w:noProof/>
          <w:sz w:val="24"/>
          <w:szCs w:val="24"/>
        </w:rPr>
        <w:t>ant barriers and best practices should be taken in the appropriate tax working groups.</w:t>
      </w:r>
    </w:p>
    <w:p w:rsidR="005753A0" w:rsidRDefault="00761EEB">
      <w:pPr>
        <w:spacing w:after="240" w:line="240" w:lineRule="auto"/>
        <w:jc w:val="both"/>
        <w:rPr>
          <w:rFonts w:ascii="TimesNewRoman" w:eastAsia="Times New Roman" w:hAnsi="TimesNewRoman" w:cs="TimesNewRoman"/>
          <w:noProof/>
          <w:sz w:val="24"/>
          <w:szCs w:val="24"/>
          <w:lang w:eastAsia="en-GB"/>
        </w:rPr>
      </w:pPr>
      <w:r>
        <w:rPr>
          <w:rFonts w:ascii="Times New Roman" w:hAnsi="Times New Roman" w:cs="Times New Roman"/>
          <w:noProof/>
          <w:sz w:val="24"/>
          <w:szCs w:val="24"/>
        </w:rPr>
        <w:t xml:space="preserve">To avoid double taxation of cross-border investment, most bilateral tax treaties provide for WHT refunds. In practice, however, investors face complex, demanding, </w:t>
      </w:r>
      <w:r>
        <w:rPr>
          <w:rFonts w:ascii="Times New Roman" w:hAnsi="Times New Roman" w:cs="Times New Roman"/>
          <w:noProof/>
          <w:sz w:val="24"/>
          <w:szCs w:val="24"/>
        </w:rPr>
        <w:t>resource-intensive and costly procedures.</w:t>
      </w:r>
    </w:p>
    <w:p w:rsidR="005753A0" w:rsidRDefault="00761EEB">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In addition to having to prove their place of residence through complex documentation requirements, investors active in the EU have to complete up to 56 separate national forms. In many Member States, it is not pos</w:t>
      </w:r>
      <w:r>
        <w:rPr>
          <w:rFonts w:ascii="Times New Roman" w:hAnsi="Times New Roman" w:cs="Times New Roman"/>
          <w:noProof/>
          <w:sz w:val="24"/>
          <w:szCs w:val="24"/>
        </w:rPr>
        <w:t>sible to complete the procedure online. Moreover, investors regularly have to process claims through a local agent and national practices prevent them from getting help from their home financial institution.</w:t>
      </w:r>
    </w:p>
    <w:p w:rsidR="005753A0" w:rsidRDefault="00761EEB">
      <w:pPr>
        <w:spacing w:after="240" w:line="240" w:lineRule="auto"/>
        <w:jc w:val="both"/>
        <w:rPr>
          <w:rFonts w:ascii="Times New Roman" w:hAnsi="Times New Roman" w:cs="Times New Roman"/>
          <w:noProof/>
          <w:sz w:val="24"/>
          <w:szCs w:val="24"/>
        </w:rPr>
      </w:pPr>
      <w:r>
        <w:rPr>
          <w:rFonts w:ascii="TimesNewRoman" w:eastAsia="Times New Roman" w:hAnsi="TimesNewRoman" w:cs="TimesNewRoman"/>
          <w:noProof/>
          <w:sz w:val="24"/>
          <w:szCs w:val="24"/>
          <w:lang w:eastAsia="en-GB"/>
        </w:rPr>
        <w:t>As a result, the length of time that several Mem</w:t>
      </w:r>
      <w:r>
        <w:rPr>
          <w:rFonts w:ascii="TimesNewRoman" w:eastAsia="Times New Roman" w:hAnsi="TimesNewRoman" w:cs="TimesNewRoman"/>
          <w:noProof/>
          <w:sz w:val="24"/>
          <w:szCs w:val="24"/>
          <w:lang w:eastAsia="en-GB"/>
        </w:rPr>
        <w:t>ber States take to pay out reclaims can be counted in years, which is unacceptable considering that other Member States manage to provide refunds within a few weeks.</w:t>
      </w:r>
      <w:r>
        <w:rPr>
          <w:rStyle w:val="FootnoteReference"/>
          <w:noProof/>
          <w:szCs w:val="24"/>
        </w:rPr>
        <w:footnoteReference w:id="22"/>
      </w:r>
    </w:p>
    <w:p w:rsidR="005753A0" w:rsidRDefault="00761EEB">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Tackling burdensome WHT refund procedures is all the more urgent as they affect all kinds</w:t>
      </w:r>
      <w:r>
        <w:rPr>
          <w:rFonts w:ascii="Times New Roman" w:hAnsi="Times New Roman" w:cs="Times New Roman"/>
          <w:noProof/>
          <w:sz w:val="24"/>
          <w:szCs w:val="24"/>
        </w:rPr>
        <w:t xml:space="preserve"> of financial instruments (bonds, shares and derivatives) and stakeholders. Excessive compliance costs prevent retail investors from making claims and give rise to substantial administrative expenditure for institutional investors. In January 2016, the ove</w:t>
      </w:r>
      <w:r>
        <w:rPr>
          <w:rFonts w:ascii="Times New Roman" w:hAnsi="Times New Roman" w:cs="Times New Roman"/>
          <w:noProof/>
          <w:sz w:val="24"/>
          <w:szCs w:val="24"/>
        </w:rPr>
        <w:t xml:space="preserve">rall cost of WHT refund procedures was estimated at EUR 8.4 billion per year in foregone tax relief (due to complex compliance procedures and costly expert advice), the costs of reclaim procedures and opportunity costs (delayed refunds mean that the money </w:t>
      </w:r>
      <w:r>
        <w:rPr>
          <w:rFonts w:ascii="Times New Roman" w:hAnsi="Times New Roman" w:cs="Times New Roman"/>
          <w:noProof/>
          <w:sz w:val="24"/>
          <w:szCs w:val="24"/>
        </w:rPr>
        <w:t>cannot be used for other purposes).</w:t>
      </w:r>
      <w:r>
        <w:rPr>
          <w:rStyle w:val="FootnoteReference"/>
          <w:rFonts w:ascii="Times New Roman" w:hAnsi="Times New Roman" w:cs="Times New Roman"/>
          <w:noProof/>
          <w:sz w:val="24"/>
          <w:szCs w:val="24"/>
        </w:rPr>
        <w:footnoteReference w:id="23"/>
      </w:r>
    </w:p>
    <w:p w:rsidR="005753A0" w:rsidRDefault="00761EEB">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In its 2009 Recommendation on withholding tax relief procedures,</w:t>
      </w:r>
      <w:r>
        <w:rPr>
          <w:rStyle w:val="FootnoteReference"/>
          <w:rFonts w:ascii="Times New Roman" w:hAnsi="Times New Roman" w:cs="Times New Roman"/>
          <w:noProof/>
          <w:sz w:val="24"/>
          <w:szCs w:val="24"/>
        </w:rPr>
        <w:footnoteReference w:id="24"/>
      </w:r>
      <w:r>
        <w:rPr>
          <w:rFonts w:ascii="Times New Roman" w:hAnsi="Times New Roman" w:cs="Times New Roman"/>
          <w:noProof/>
          <w:sz w:val="24"/>
          <w:szCs w:val="24"/>
        </w:rPr>
        <w:t xml:space="preserve"> the Commission asked all Member States to implement well-functioning relief</w:t>
      </w:r>
      <w:r>
        <w:rPr>
          <w:rFonts w:ascii="Times New Roman" w:hAnsi="Times New Roman" w:cs="Times New Roman"/>
          <w:noProof/>
          <w:sz w:val="24"/>
          <w:szCs w:val="24"/>
        </w:rPr>
        <w:noBreakHyphen/>
        <w:t>at</w:t>
      </w:r>
      <w:r>
        <w:rPr>
          <w:rFonts w:ascii="Times New Roman" w:hAnsi="Times New Roman" w:cs="Times New Roman"/>
          <w:noProof/>
          <w:sz w:val="24"/>
          <w:szCs w:val="24"/>
        </w:rPr>
        <w:noBreakHyphen/>
        <w:t>source procedures or, where this is not possible, to establish quick and s</w:t>
      </w:r>
      <w:r>
        <w:rPr>
          <w:rFonts w:ascii="Times New Roman" w:hAnsi="Times New Roman" w:cs="Times New Roman"/>
          <w:noProof/>
          <w:sz w:val="24"/>
          <w:szCs w:val="24"/>
        </w:rPr>
        <w:t>tandardised refund procedures.</w:t>
      </w:r>
    </w:p>
    <w:p w:rsidR="005753A0" w:rsidRDefault="00761EEB">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A study accompanying the 2009 Recommendation showed that simplifying WHT relief procedures has positive spill-over effects. Finland and Ireland confirmed that, after implementing relief at source, refund processes worked more</w:t>
      </w:r>
      <w:r>
        <w:rPr>
          <w:rFonts w:ascii="Times New Roman" w:hAnsi="Times New Roman" w:cs="Times New Roman"/>
          <w:noProof/>
          <w:sz w:val="24"/>
          <w:szCs w:val="24"/>
        </w:rPr>
        <w:t xml:space="preserve"> reliably and efficiently, reduced administrative burdens and freed up resources — both for tax administrations and financial intermediaries. Similarly, Germany and the Netherlands</w:t>
      </w:r>
      <w:r>
        <w:rPr>
          <w:rFonts w:ascii="Times New Roman" w:hAnsi="Times New Roman" w:cs="Times New Roman"/>
          <w:b/>
          <w:noProof/>
          <w:sz w:val="24"/>
          <w:szCs w:val="24"/>
        </w:rPr>
        <w:t xml:space="preserve"> </w:t>
      </w:r>
      <w:r>
        <w:rPr>
          <w:rFonts w:ascii="Times New Roman" w:hAnsi="Times New Roman" w:cs="Times New Roman"/>
          <w:noProof/>
          <w:sz w:val="24"/>
          <w:szCs w:val="24"/>
        </w:rPr>
        <w:t>reported that new electronic systems have made their control mechanisms mor</w:t>
      </w:r>
      <w:r>
        <w:rPr>
          <w:rFonts w:ascii="Times New Roman" w:hAnsi="Times New Roman" w:cs="Times New Roman"/>
          <w:noProof/>
          <w:sz w:val="24"/>
          <w:szCs w:val="24"/>
        </w:rPr>
        <w:t>e effective and have cut tax evasion significantly in source countries.</w:t>
      </w:r>
    </w:p>
    <w:p w:rsidR="005753A0" w:rsidRDefault="00761EEB">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While improvements have been made, the general </w:t>
      </w:r>
      <w:r>
        <w:rPr>
          <w:rFonts w:ascii="Times New Roman" w:hAnsi="Times New Roman"/>
          <w:noProof/>
          <w:sz w:val="24"/>
        </w:rPr>
        <w:t>status quo</w:t>
      </w:r>
      <w:r>
        <w:rPr>
          <w:rFonts w:ascii="Times New Roman" w:hAnsi="Times New Roman" w:cs="Times New Roman"/>
          <w:noProof/>
          <w:sz w:val="24"/>
          <w:szCs w:val="24"/>
        </w:rPr>
        <w:t xml:space="preserve"> remains unsatisfactory since solutions are well-known, and have been successfully put in place in some Member States. Based on</w:t>
      </w:r>
      <w:r>
        <w:rPr>
          <w:rFonts w:ascii="Times New Roman" w:hAnsi="Times New Roman" w:cs="Times New Roman"/>
          <w:noProof/>
          <w:sz w:val="24"/>
          <w:szCs w:val="24"/>
        </w:rPr>
        <w:t xml:space="preserve"> the mapping work in the expert group, the figure below proposes a list of nine best practices (in addition to relief at source) and one Member State particularly well placed to share its experience for each of them.</w:t>
      </w:r>
    </w:p>
    <w:p w:rsidR="005753A0" w:rsidRDefault="00761EEB">
      <w:pPr>
        <w:spacing w:line="240" w:lineRule="auto"/>
        <w:jc w:val="both"/>
        <w:rPr>
          <w:rFonts w:ascii="Times New Roman" w:eastAsia="Calibri" w:hAnsi="Times New Roman" w:cs="Times New Roman"/>
          <w:i/>
          <w:noProof/>
        </w:rPr>
      </w:pPr>
      <w:r>
        <w:rPr>
          <w:rFonts w:ascii="Times New Roman" w:eastAsia="Calibri" w:hAnsi="Times New Roman" w:cs="Times New Roman"/>
          <w:i/>
          <w:noProof/>
        </w:rPr>
        <w:t>Quick refund</w:t>
      </w:r>
    </w:p>
    <w:tbl>
      <w:tblPr>
        <w:tblW w:w="8040" w:type="dxa"/>
        <w:tblInd w:w="715" w:type="dxa"/>
        <w:tblLook w:val="04A0" w:firstRow="1" w:lastRow="0" w:firstColumn="1" w:lastColumn="0" w:noHBand="0" w:noVBand="1"/>
      </w:tblPr>
      <w:tblGrid>
        <w:gridCol w:w="4780"/>
        <w:gridCol w:w="3260"/>
      </w:tblGrid>
      <w:tr w:rsidR="005753A0">
        <w:tc>
          <w:tcPr>
            <w:tcW w:w="4780" w:type="dxa"/>
            <w:tcBorders>
              <w:bottom w:val="single" w:sz="4" w:space="0" w:color="auto"/>
            </w:tcBorders>
            <w:shd w:val="clear" w:color="auto" w:fill="DBE5F1" w:themeFill="accent1" w:themeFillTint="33"/>
            <w:vAlign w:val="center"/>
          </w:tcPr>
          <w:p w:rsidR="005753A0" w:rsidRDefault="00761EEB">
            <w:pPr>
              <w:spacing w:after="0" w:line="240" w:lineRule="auto"/>
              <w:jc w:val="both"/>
              <w:rPr>
                <w:rFonts w:ascii="Times New Roman" w:eastAsia="Calibri" w:hAnsi="Times New Roman" w:cs="Times New Roman"/>
                <w:noProof/>
              </w:rPr>
            </w:pPr>
            <w:r>
              <w:rPr>
                <w:rFonts w:ascii="Times New Roman" w:eastAsia="Calibri" w:hAnsi="Times New Roman" w:cs="Times New Roman"/>
                <w:noProof/>
              </w:rPr>
              <w:t>Best practice</w:t>
            </w:r>
          </w:p>
        </w:tc>
        <w:tc>
          <w:tcPr>
            <w:tcW w:w="3260" w:type="dxa"/>
            <w:tcBorders>
              <w:bottom w:val="single" w:sz="4" w:space="0" w:color="auto"/>
            </w:tcBorders>
            <w:shd w:val="clear" w:color="auto" w:fill="DBE5F1" w:themeFill="accent1" w:themeFillTint="33"/>
            <w:vAlign w:val="center"/>
          </w:tcPr>
          <w:p w:rsidR="005753A0" w:rsidRDefault="00761EEB">
            <w:pPr>
              <w:spacing w:after="0" w:line="240" w:lineRule="auto"/>
              <w:jc w:val="both"/>
              <w:rPr>
                <w:rFonts w:ascii="Times New Roman" w:eastAsia="Calibri" w:hAnsi="Times New Roman" w:cs="Times New Roman"/>
                <w:noProof/>
              </w:rPr>
            </w:pPr>
            <w:r>
              <w:rPr>
                <w:rFonts w:ascii="Times New Roman" w:eastAsia="Calibri" w:hAnsi="Times New Roman" w:cs="Times New Roman"/>
                <w:noProof/>
              </w:rPr>
              <w:t>Member State</w:t>
            </w:r>
          </w:p>
        </w:tc>
      </w:tr>
      <w:tr w:rsidR="005753A0">
        <w:tc>
          <w:tcPr>
            <w:tcW w:w="4780" w:type="dxa"/>
            <w:tcBorders>
              <w:top w:val="single" w:sz="4" w:space="0" w:color="auto"/>
              <w:bottom w:val="single" w:sz="4" w:space="0" w:color="auto"/>
            </w:tcBorders>
            <w:vAlign w:val="center"/>
          </w:tcPr>
          <w:p w:rsidR="005753A0" w:rsidRDefault="00761EEB">
            <w:pPr>
              <w:spacing w:after="0" w:line="240" w:lineRule="auto"/>
              <w:jc w:val="both"/>
              <w:rPr>
                <w:rFonts w:ascii="Times New Roman" w:eastAsia="Calibri" w:hAnsi="Times New Roman" w:cs="Times New Roman"/>
                <w:noProof/>
              </w:rPr>
            </w:pPr>
            <w:r>
              <w:rPr>
                <w:rFonts w:ascii="Times New Roman" w:eastAsia="Calibri" w:hAnsi="Times New Roman" w:cs="Times New Roman"/>
                <w:noProof/>
              </w:rPr>
              <w:t>‘Quick refund’ procedure in place</w:t>
            </w:r>
          </w:p>
        </w:tc>
        <w:tc>
          <w:tcPr>
            <w:tcW w:w="3260" w:type="dxa"/>
            <w:tcBorders>
              <w:top w:val="single" w:sz="4" w:space="0" w:color="auto"/>
              <w:bottom w:val="single" w:sz="4" w:space="0" w:color="auto"/>
            </w:tcBorders>
            <w:vAlign w:val="center"/>
          </w:tcPr>
          <w:p w:rsidR="005753A0" w:rsidRDefault="00761EEB">
            <w:pPr>
              <w:spacing w:after="0" w:line="240" w:lineRule="auto"/>
              <w:jc w:val="both"/>
              <w:rPr>
                <w:rFonts w:ascii="Times New Roman" w:eastAsia="Calibri" w:hAnsi="Times New Roman" w:cs="Times New Roman"/>
                <w:noProof/>
              </w:rPr>
            </w:pPr>
            <w:r>
              <w:rPr>
                <w:rFonts w:ascii="Times New Roman" w:eastAsia="Calibri" w:hAnsi="Times New Roman" w:cs="Times New Roman"/>
                <w:noProof/>
              </w:rPr>
              <w:t>Netherlands</w:t>
            </w:r>
          </w:p>
        </w:tc>
      </w:tr>
      <w:tr w:rsidR="005753A0">
        <w:tc>
          <w:tcPr>
            <w:tcW w:w="4780" w:type="dxa"/>
            <w:tcBorders>
              <w:top w:val="single" w:sz="4" w:space="0" w:color="auto"/>
              <w:bottom w:val="single" w:sz="4" w:space="0" w:color="auto"/>
            </w:tcBorders>
            <w:vAlign w:val="center"/>
          </w:tcPr>
          <w:p w:rsidR="005753A0" w:rsidRDefault="00761EEB">
            <w:pPr>
              <w:spacing w:after="0" w:line="240" w:lineRule="auto"/>
              <w:jc w:val="both"/>
              <w:rPr>
                <w:rFonts w:ascii="Times New Roman" w:eastAsia="Calibri" w:hAnsi="Times New Roman" w:cs="Times New Roman"/>
                <w:noProof/>
              </w:rPr>
            </w:pPr>
            <w:r>
              <w:rPr>
                <w:rFonts w:ascii="Times New Roman" w:eastAsia="Calibri" w:hAnsi="Times New Roman" w:cs="Times New Roman"/>
                <w:noProof/>
              </w:rPr>
              <w:t xml:space="preserve">Effectively provide refund in a short period (&lt; 6 months) </w:t>
            </w:r>
          </w:p>
        </w:tc>
        <w:tc>
          <w:tcPr>
            <w:tcW w:w="3260" w:type="dxa"/>
            <w:tcBorders>
              <w:top w:val="single" w:sz="4" w:space="0" w:color="auto"/>
              <w:bottom w:val="single" w:sz="4" w:space="0" w:color="auto"/>
            </w:tcBorders>
            <w:vAlign w:val="center"/>
          </w:tcPr>
          <w:p w:rsidR="005753A0" w:rsidRDefault="00761EEB">
            <w:pPr>
              <w:spacing w:after="0" w:line="240" w:lineRule="auto"/>
              <w:jc w:val="both"/>
              <w:rPr>
                <w:rFonts w:ascii="Times New Roman" w:eastAsia="Calibri" w:hAnsi="Times New Roman" w:cs="Times New Roman"/>
                <w:noProof/>
              </w:rPr>
            </w:pPr>
            <w:r>
              <w:rPr>
                <w:rFonts w:ascii="Times New Roman" w:eastAsia="Calibri" w:hAnsi="Times New Roman" w:cs="Times New Roman"/>
                <w:noProof/>
              </w:rPr>
              <w:t>Slovenia (7-30 days)</w:t>
            </w:r>
          </w:p>
        </w:tc>
      </w:tr>
    </w:tbl>
    <w:p w:rsidR="005753A0" w:rsidRDefault="005753A0">
      <w:pPr>
        <w:spacing w:after="0" w:line="240" w:lineRule="auto"/>
        <w:jc w:val="both"/>
        <w:rPr>
          <w:rFonts w:ascii="Times New Roman" w:eastAsia="Calibri" w:hAnsi="Times New Roman" w:cs="Times New Roman"/>
          <w:i/>
          <w:noProof/>
        </w:rPr>
      </w:pPr>
    </w:p>
    <w:p w:rsidR="005753A0" w:rsidRDefault="00761EEB">
      <w:pPr>
        <w:spacing w:line="240" w:lineRule="auto"/>
        <w:jc w:val="both"/>
        <w:rPr>
          <w:rFonts w:ascii="Times New Roman" w:eastAsia="Calibri" w:hAnsi="Times New Roman" w:cs="Times New Roman"/>
          <w:i/>
          <w:noProof/>
        </w:rPr>
      </w:pPr>
      <w:r>
        <w:rPr>
          <w:rFonts w:ascii="Times New Roman" w:eastAsia="Calibri" w:hAnsi="Times New Roman" w:cs="Times New Roman"/>
          <w:i/>
          <w:noProof/>
        </w:rPr>
        <w:t>Classic reclaim procedure</w:t>
      </w:r>
    </w:p>
    <w:tbl>
      <w:tblPr>
        <w:tblW w:w="8040" w:type="dxa"/>
        <w:tblInd w:w="715" w:type="dxa"/>
        <w:tblLayout w:type="fixed"/>
        <w:tblLook w:val="04A0" w:firstRow="1" w:lastRow="0" w:firstColumn="1" w:lastColumn="0" w:noHBand="0" w:noVBand="1"/>
      </w:tblPr>
      <w:tblGrid>
        <w:gridCol w:w="4780"/>
        <w:gridCol w:w="3260"/>
      </w:tblGrid>
      <w:tr w:rsidR="005753A0">
        <w:tc>
          <w:tcPr>
            <w:tcW w:w="4780" w:type="dxa"/>
            <w:tcBorders>
              <w:bottom w:val="single" w:sz="4" w:space="0" w:color="auto"/>
            </w:tcBorders>
            <w:shd w:val="clear" w:color="auto" w:fill="DBE5F1" w:themeFill="accent1" w:themeFillTint="33"/>
            <w:vAlign w:val="center"/>
          </w:tcPr>
          <w:p w:rsidR="005753A0" w:rsidRDefault="00761EEB">
            <w:pPr>
              <w:spacing w:after="0" w:line="240" w:lineRule="auto"/>
              <w:jc w:val="both"/>
              <w:rPr>
                <w:rFonts w:ascii="Times New Roman" w:eastAsia="Calibri" w:hAnsi="Times New Roman" w:cs="Times New Roman"/>
                <w:noProof/>
              </w:rPr>
            </w:pPr>
            <w:r>
              <w:rPr>
                <w:rFonts w:ascii="Times New Roman" w:eastAsia="Calibri" w:hAnsi="Times New Roman" w:cs="Times New Roman"/>
                <w:noProof/>
              </w:rPr>
              <w:t>Best practice</w:t>
            </w:r>
          </w:p>
        </w:tc>
        <w:tc>
          <w:tcPr>
            <w:tcW w:w="3260" w:type="dxa"/>
            <w:tcBorders>
              <w:bottom w:val="single" w:sz="4" w:space="0" w:color="auto"/>
            </w:tcBorders>
            <w:shd w:val="clear" w:color="auto" w:fill="DBE5F1" w:themeFill="accent1" w:themeFillTint="33"/>
            <w:vAlign w:val="center"/>
          </w:tcPr>
          <w:p w:rsidR="005753A0" w:rsidRDefault="00761EEB">
            <w:pPr>
              <w:spacing w:after="0" w:line="240" w:lineRule="auto"/>
              <w:jc w:val="both"/>
              <w:rPr>
                <w:rFonts w:ascii="Times New Roman" w:eastAsia="Calibri" w:hAnsi="Times New Roman" w:cs="Times New Roman"/>
                <w:noProof/>
              </w:rPr>
            </w:pPr>
            <w:r>
              <w:rPr>
                <w:rFonts w:ascii="Times New Roman" w:eastAsia="Calibri" w:hAnsi="Times New Roman" w:cs="Times New Roman"/>
                <w:noProof/>
              </w:rPr>
              <w:t>Member State</w:t>
            </w:r>
          </w:p>
        </w:tc>
      </w:tr>
      <w:tr w:rsidR="005753A0">
        <w:tc>
          <w:tcPr>
            <w:tcW w:w="4780" w:type="dxa"/>
            <w:tcBorders>
              <w:top w:val="single" w:sz="4" w:space="0" w:color="auto"/>
              <w:bottom w:val="single" w:sz="4" w:space="0" w:color="auto"/>
            </w:tcBorders>
            <w:vAlign w:val="center"/>
          </w:tcPr>
          <w:p w:rsidR="005753A0" w:rsidRDefault="00761EEB">
            <w:pPr>
              <w:spacing w:after="0" w:line="240" w:lineRule="auto"/>
              <w:jc w:val="both"/>
              <w:rPr>
                <w:rFonts w:ascii="Times New Roman" w:eastAsia="Calibri" w:hAnsi="Times New Roman" w:cs="Times New Roman"/>
                <w:noProof/>
              </w:rPr>
            </w:pPr>
            <w:r>
              <w:rPr>
                <w:rFonts w:ascii="Times New Roman" w:eastAsia="Calibri" w:hAnsi="Times New Roman" w:cs="Times New Roman"/>
                <w:noProof/>
              </w:rPr>
              <w:t xml:space="preserve">Simplify documentation requirements (e.g. allow proof other than a </w:t>
            </w:r>
            <w:r>
              <w:rPr>
                <w:rFonts w:ascii="Times New Roman" w:eastAsia="Calibri" w:hAnsi="Times New Roman" w:cs="Times New Roman"/>
                <w:noProof/>
              </w:rPr>
              <w:t>certificate of tax residence, extend the certificate’s validity to more than a year)</w:t>
            </w:r>
          </w:p>
        </w:tc>
        <w:tc>
          <w:tcPr>
            <w:tcW w:w="3260" w:type="dxa"/>
            <w:tcBorders>
              <w:top w:val="single" w:sz="4" w:space="0" w:color="auto"/>
              <w:bottom w:val="single" w:sz="4" w:space="0" w:color="auto"/>
            </w:tcBorders>
            <w:vAlign w:val="center"/>
          </w:tcPr>
          <w:p w:rsidR="005753A0" w:rsidRDefault="00761EEB">
            <w:pPr>
              <w:spacing w:after="0" w:line="240" w:lineRule="auto"/>
              <w:jc w:val="both"/>
              <w:rPr>
                <w:rFonts w:ascii="Times New Roman" w:eastAsia="Calibri" w:hAnsi="Times New Roman" w:cs="Times New Roman"/>
                <w:noProof/>
              </w:rPr>
            </w:pPr>
            <w:r>
              <w:rPr>
                <w:rFonts w:ascii="Times New Roman" w:eastAsia="Calibri" w:hAnsi="Times New Roman" w:cs="Times New Roman"/>
                <w:noProof/>
              </w:rPr>
              <w:t>Sweden (no additional information needed, but audit procedures in place)</w:t>
            </w:r>
          </w:p>
        </w:tc>
      </w:tr>
      <w:tr w:rsidR="005753A0">
        <w:tc>
          <w:tcPr>
            <w:tcW w:w="4780" w:type="dxa"/>
            <w:tcBorders>
              <w:top w:val="single" w:sz="4" w:space="0" w:color="auto"/>
              <w:bottom w:val="single" w:sz="4" w:space="0" w:color="auto"/>
            </w:tcBorders>
            <w:vAlign w:val="center"/>
          </w:tcPr>
          <w:p w:rsidR="005753A0" w:rsidRDefault="00761EEB">
            <w:pPr>
              <w:spacing w:after="0" w:line="240" w:lineRule="auto"/>
              <w:jc w:val="both"/>
              <w:rPr>
                <w:rFonts w:ascii="Times New Roman" w:eastAsia="Calibri" w:hAnsi="Times New Roman" w:cs="Times New Roman"/>
                <w:noProof/>
              </w:rPr>
            </w:pPr>
            <w:r>
              <w:rPr>
                <w:rFonts w:ascii="Times New Roman" w:eastAsia="Calibri" w:hAnsi="Times New Roman" w:cs="Times New Roman"/>
                <w:noProof/>
              </w:rPr>
              <w:t>Set up a single point of contact for handling refund claims</w:t>
            </w:r>
          </w:p>
        </w:tc>
        <w:tc>
          <w:tcPr>
            <w:tcW w:w="3260" w:type="dxa"/>
            <w:tcBorders>
              <w:top w:val="single" w:sz="4" w:space="0" w:color="auto"/>
              <w:bottom w:val="single" w:sz="4" w:space="0" w:color="auto"/>
            </w:tcBorders>
            <w:vAlign w:val="center"/>
          </w:tcPr>
          <w:p w:rsidR="005753A0" w:rsidRDefault="00761EEB">
            <w:pPr>
              <w:spacing w:after="0" w:line="240" w:lineRule="auto"/>
              <w:jc w:val="both"/>
              <w:rPr>
                <w:rFonts w:ascii="Times New Roman" w:eastAsia="Calibri" w:hAnsi="Times New Roman" w:cs="Times New Roman"/>
                <w:noProof/>
              </w:rPr>
            </w:pPr>
            <w:r>
              <w:rPr>
                <w:rFonts w:ascii="Times New Roman" w:eastAsia="Calibri" w:hAnsi="Times New Roman" w:cs="Times New Roman"/>
                <w:noProof/>
              </w:rPr>
              <w:t>UK (for large businesses)</w:t>
            </w:r>
          </w:p>
        </w:tc>
      </w:tr>
      <w:tr w:rsidR="005753A0">
        <w:tc>
          <w:tcPr>
            <w:tcW w:w="4780" w:type="dxa"/>
            <w:tcBorders>
              <w:top w:val="single" w:sz="4" w:space="0" w:color="auto"/>
              <w:bottom w:val="single" w:sz="4" w:space="0" w:color="auto"/>
            </w:tcBorders>
            <w:vAlign w:val="center"/>
          </w:tcPr>
          <w:p w:rsidR="005753A0" w:rsidRDefault="00761EEB">
            <w:pPr>
              <w:spacing w:after="0" w:line="240" w:lineRule="auto"/>
              <w:jc w:val="both"/>
              <w:rPr>
                <w:rFonts w:ascii="Times New Roman" w:eastAsia="Calibri" w:hAnsi="Times New Roman" w:cs="Times New Roman"/>
                <w:noProof/>
              </w:rPr>
            </w:pPr>
            <w:r>
              <w:rPr>
                <w:rFonts w:ascii="Times New Roman" w:eastAsia="Calibri" w:hAnsi="Times New Roman" w:cs="Times New Roman"/>
                <w:noProof/>
              </w:rPr>
              <w:t>Replace cl</w:t>
            </w:r>
            <w:r>
              <w:rPr>
                <w:rFonts w:ascii="Times New Roman" w:eastAsia="Calibri" w:hAnsi="Times New Roman" w:cs="Times New Roman"/>
                <w:noProof/>
              </w:rPr>
              <w:t>aim forms by a single document</w:t>
            </w:r>
          </w:p>
        </w:tc>
        <w:tc>
          <w:tcPr>
            <w:tcW w:w="3260" w:type="dxa"/>
            <w:tcBorders>
              <w:top w:val="single" w:sz="4" w:space="0" w:color="auto"/>
              <w:bottom w:val="single" w:sz="4" w:space="0" w:color="auto"/>
            </w:tcBorders>
            <w:vAlign w:val="center"/>
          </w:tcPr>
          <w:p w:rsidR="005753A0" w:rsidRDefault="00761EEB">
            <w:pPr>
              <w:spacing w:after="0" w:line="240" w:lineRule="auto"/>
              <w:jc w:val="both"/>
              <w:rPr>
                <w:rFonts w:ascii="Times New Roman" w:eastAsia="Calibri" w:hAnsi="Times New Roman" w:cs="Times New Roman"/>
                <w:noProof/>
              </w:rPr>
            </w:pPr>
            <w:r>
              <w:rPr>
                <w:rFonts w:ascii="Times New Roman" w:eastAsia="Calibri" w:hAnsi="Times New Roman" w:cs="Times New Roman"/>
                <w:noProof/>
              </w:rPr>
              <w:t>Cyprus</w:t>
            </w:r>
          </w:p>
        </w:tc>
      </w:tr>
      <w:tr w:rsidR="005753A0">
        <w:tc>
          <w:tcPr>
            <w:tcW w:w="4780" w:type="dxa"/>
            <w:tcBorders>
              <w:top w:val="single" w:sz="4" w:space="0" w:color="auto"/>
              <w:bottom w:val="single" w:sz="4" w:space="0" w:color="auto"/>
            </w:tcBorders>
            <w:vAlign w:val="center"/>
          </w:tcPr>
          <w:p w:rsidR="005753A0" w:rsidRDefault="00761EEB">
            <w:pPr>
              <w:spacing w:after="0" w:line="240" w:lineRule="auto"/>
              <w:jc w:val="both"/>
              <w:rPr>
                <w:rFonts w:ascii="Times New Roman" w:eastAsia="Calibri" w:hAnsi="Times New Roman" w:cs="Times New Roman"/>
                <w:noProof/>
              </w:rPr>
            </w:pPr>
            <w:r>
              <w:rPr>
                <w:rFonts w:ascii="Times New Roman" w:eastAsia="Calibri" w:hAnsi="Times New Roman" w:cs="Times New Roman"/>
                <w:noProof/>
              </w:rPr>
              <w:t>Make claim forms available online</w:t>
            </w:r>
          </w:p>
        </w:tc>
        <w:tc>
          <w:tcPr>
            <w:tcW w:w="3260" w:type="dxa"/>
            <w:tcBorders>
              <w:top w:val="single" w:sz="4" w:space="0" w:color="auto"/>
              <w:bottom w:val="single" w:sz="4" w:space="0" w:color="auto"/>
            </w:tcBorders>
            <w:vAlign w:val="center"/>
          </w:tcPr>
          <w:p w:rsidR="005753A0" w:rsidRDefault="00761EEB">
            <w:pPr>
              <w:spacing w:after="0" w:line="240" w:lineRule="auto"/>
              <w:jc w:val="both"/>
              <w:rPr>
                <w:rFonts w:ascii="Times New Roman" w:eastAsia="Calibri" w:hAnsi="Times New Roman" w:cs="Times New Roman"/>
                <w:noProof/>
              </w:rPr>
            </w:pPr>
            <w:r>
              <w:rPr>
                <w:rFonts w:ascii="Times New Roman" w:eastAsia="Calibri" w:hAnsi="Times New Roman" w:cs="Times New Roman"/>
                <w:noProof/>
              </w:rPr>
              <w:t>Portugal</w:t>
            </w:r>
          </w:p>
        </w:tc>
      </w:tr>
      <w:tr w:rsidR="005753A0">
        <w:tc>
          <w:tcPr>
            <w:tcW w:w="4780" w:type="dxa"/>
            <w:tcBorders>
              <w:top w:val="single" w:sz="4" w:space="0" w:color="auto"/>
              <w:bottom w:val="single" w:sz="4" w:space="0" w:color="auto"/>
            </w:tcBorders>
            <w:vAlign w:val="center"/>
          </w:tcPr>
          <w:p w:rsidR="005753A0" w:rsidRDefault="00761EEB">
            <w:pPr>
              <w:spacing w:after="0" w:line="240" w:lineRule="auto"/>
              <w:jc w:val="both"/>
              <w:rPr>
                <w:rFonts w:ascii="Times New Roman" w:eastAsia="Calibri" w:hAnsi="Times New Roman" w:cs="Times New Roman"/>
                <w:noProof/>
              </w:rPr>
            </w:pPr>
            <w:r>
              <w:rPr>
                <w:rFonts w:ascii="Times New Roman" w:eastAsia="Calibri" w:hAnsi="Times New Roman" w:cs="Times New Roman"/>
                <w:noProof/>
              </w:rPr>
              <w:t>Allow completion of the whole refund process online</w:t>
            </w:r>
          </w:p>
        </w:tc>
        <w:tc>
          <w:tcPr>
            <w:tcW w:w="3260" w:type="dxa"/>
            <w:tcBorders>
              <w:top w:val="single" w:sz="4" w:space="0" w:color="auto"/>
              <w:bottom w:val="single" w:sz="4" w:space="0" w:color="auto"/>
            </w:tcBorders>
            <w:vAlign w:val="center"/>
          </w:tcPr>
          <w:p w:rsidR="005753A0" w:rsidRDefault="00761EEB">
            <w:pPr>
              <w:spacing w:after="0" w:line="240" w:lineRule="auto"/>
              <w:jc w:val="both"/>
              <w:rPr>
                <w:rFonts w:ascii="Times New Roman" w:eastAsia="Calibri" w:hAnsi="Times New Roman" w:cs="Times New Roman"/>
                <w:noProof/>
              </w:rPr>
            </w:pPr>
            <w:r>
              <w:rPr>
                <w:rFonts w:ascii="Times New Roman" w:eastAsia="Calibri" w:hAnsi="Times New Roman" w:cs="Times New Roman"/>
                <w:noProof/>
              </w:rPr>
              <w:t>Finland</w:t>
            </w:r>
          </w:p>
        </w:tc>
      </w:tr>
      <w:tr w:rsidR="005753A0">
        <w:trPr>
          <w:trHeight w:val="251"/>
        </w:trPr>
        <w:tc>
          <w:tcPr>
            <w:tcW w:w="4780" w:type="dxa"/>
            <w:tcBorders>
              <w:top w:val="single" w:sz="4" w:space="0" w:color="auto"/>
              <w:bottom w:val="single" w:sz="4" w:space="0" w:color="auto"/>
            </w:tcBorders>
            <w:vAlign w:val="center"/>
          </w:tcPr>
          <w:p w:rsidR="005753A0" w:rsidRDefault="00761EEB">
            <w:pPr>
              <w:spacing w:after="0" w:line="240" w:lineRule="auto"/>
              <w:jc w:val="both"/>
              <w:rPr>
                <w:rFonts w:ascii="Times New Roman" w:eastAsia="Calibri" w:hAnsi="Times New Roman" w:cs="Times New Roman"/>
                <w:noProof/>
              </w:rPr>
            </w:pPr>
            <w:r>
              <w:rPr>
                <w:rFonts w:ascii="Times New Roman" w:eastAsia="Calibri" w:hAnsi="Times New Roman" w:cs="Times New Roman"/>
                <w:noProof/>
              </w:rPr>
              <w:t>Allow foreign financial institutions to handle the WHT procedure (i.e. no need to have a local agent)</w:t>
            </w:r>
          </w:p>
        </w:tc>
        <w:tc>
          <w:tcPr>
            <w:tcW w:w="3260" w:type="dxa"/>
            <w:tcBorders>
              <w:top w:val="single" w:sz="4" w:space="0" w:color="auto"/>
              <w:bottom w:val="single" w:sz="4" w:space="0" w:color="auto"/>
            </w:tcBorders>
            <w:vAlign w:val="center"/>
          </w:tcPr>
          <w:p w:rsidR="005753A0" w:rsidRDefault="00761EEB">
            <w:pPr>
              <w:spacing w:after="0" w:line="240" w:lineRule="auto"/>
              <w:jc w:val="both"/>
              <w:rPr>
                <w:rFonts w:ascii="Times New Roman" w:eastAsia="Calibri" w:hAnsi="Times New Roman" w:cs="Times New Roman"/>
                <w:noProof/>
              </w:rPr>
            </w:pPr>
            <w:r>
              <w:rPr>
                <w:rFonts w:ascii="Times New Roman" w:eastAsia="Calibri" w:hAnsi="Times New Roman" w:cs="Times New Roman"/>
                <w:noProof/>
              </w:rPr>
              <w:t>Estonia</w:t>
            </w:r>
          </w:p>
        </w:tc>
      </w:tr>
      <w:tr w:rsidR="005753A0">
        <w:trPr>
          <w:trHeight w:val="692"/>
        </w:trPr>
        <w:tc>
          <w:tcPr>
            <w:tcW w:w="4780" w:type="dxa"/>
            <w:tcBorders>
              <w:top w:val="single" w:sz="4" w:space="0" w:color="auto"/>
              <w:bottom w:val="single" w:sz="4" w:space="0" w:color="auto"/>
            </w:tcBorders>
            <w:vAlign w:val="center"/>
          </w:tcPr>
          <w:p w:rsidR="005753A0" w:rsidRDefault="00761EEB">
            <w:pPr>
              <w:spacing w:after="0" w:line="240" w:lineRule="auto"/>
              <w:jc w:val="both"/>
              <w:rPr>
                <w:rFonts w:ascii="Times New Roman" w:eastAsia="Calibri" w:hAnsi="Times New Roman" w:cs="Times New Roman"/>
                <w:noProof/>
              </w:rPr>
            </w:pPr>
            <w:r>
              <w:rPr>
                <w:rFonts w:ascii="Times New Roman" w:eastAsia="Calibri" w:hAnsi="Times New Roman" w:cs="Times New Roman"/>
                <w:noProof/>
              </w:rPr>
              <w:t>Allow foreign financial institutions to claim relief on behalf of their clients</w:t>
            </w:r>
          </w:p>
        </w:tc>
        <w:tc>
          <w:tcPr>
            <w:tcW w:w="3260" w:type="dxa"/>
            <w:tcBorders>
              <w:top w:val="single" w:sz="4" w:space="0" w:color="auto"/>
              <w:bottom w:val="single" w:sz="4" w:space="0" w:color="auto"/>
            </w:tcBorders>
            <w:vAlign w:val="center"/>
          </w:tcPr>
          <w:p w:rsidR="005753A0" w:rsidRDefault="00761EEB">
            <w:pPr>
              <w:spacing w:after="0" w:line="240" w:lineRule="auto"/>
              <w:jc w:val="both"/>
              <w:rPr>
                <w:rFonts w:ascii="Times New Roman" w:eastAsia="Calibri" w:hAnsi="Times New Roman" w:cs="Times New Roman"/>
                <w:noProof/>
              </w:rPr>
            </w:pPr>
            <w:r>
              <w:rPr>
                <w:rFonts w:ascii="Times New Roman" w:eastAsia="Calibri" w:hAnsi="Times New Roman" w:cs="Times New Roman"/>
                <w:noProof/>
              </w:rPr>
              <w:t>Lithuania</w:t>
            </w:r>
          </w:p>
        </w:tc>
      </w:tr>
    </w:tbl>
    <w:p w:rsidR="005753A0" w:rsidRDefault="005753A0">
      <w:pPr>
        <w:spacing w:after="0" w:line="240" w:lineRule="auto"/>
        <w:jc w:val="both"/>
        <w:outlineLvl w:val="0"/>
        <w:rPr>
          <w:rFonts w:ascii="Times New Roman" w:eastAsia="Calibri" w:hAnsi="Times New Roman" w:cs="Times New Roman"/>
          <w:noProof/>
          <w:sz w:val="24"/>
        </w:rPr>
      </w:pPr>
    </w:p>
    <w:p w:rsidR="005753A0" w:rsidRDefault="00761EEB">
      <w:pPr>
        <w:pBdr>
          <w:top w:val="single" w:sz="4" w:space="1" w:color="auto"/>
          <w:left w:val="single" w:sz="4" w:space="4" w:color="auto"/>
          <w:bottom w:val="single" w:sz="4" w:space="1" w:color="auto"/>
          <w:right w:val="single" w:sz="4" w:space="4" w:color="auto"/>
        </w:pBdr>
        <w:shd w:val="pct10" w:color="auto" w:fill="auto"/>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invites the Member States' tax experts to </w:t>
      </w:r>
      <w:r>
        <w:rPr>
          <w:rFonts w:ascii="Times New Roman" w:hAnsi="Times New Roman" w:cs="Times New Roman"/>
          <w:b/>
          <w:noProof/>
          <w:sz w:val="24"/>
          <w:szCs w:val="24"/>
        </w:rPr>
        <w:t>assess and</w:t>
      </w:r>
      <w:r>
        <w:rPr>
          <w:rFonts w:ascii="Times New Roman" w:hAnsi="Times New Roman" w:cs="Times New Roman"/>
          <w:noProof/>
          <w:sz w:val="24"/>
          <w:szCs w:val="24"/>
        </w:rPr>
        <w:t xml:space="preserve"> </w:t>
      </w:r>
      <w:r>
        <w:rPr>
          <w:rFonts w:ascii="Times New Roman" w:hAnsi="Times New Roman" w:cs="Times New Roman"/>
          <w:b/>
          <w:noProof/>
          <w:sz w:val="24"/>
          <w:szCs w:val="24"/>
        </w:rPr>
        <w:t>confirm, where appropriate, the relevance of the nine WHT best practices that were identified in</w:t>
      </w:r>
      <w:r>
        <w:rPr>
          <w:rFonts w:ascii="Times New Roman" w:hAnsi="Times New Roman" w:cs="Times New Roman"/>
          <w:b/>
          <w:noProof/>
          <w:sz w:val="24"/>
          <w:szCs w:val="24"/>
        </w:rPr>
        <w:t xml:space="preserve"> a joint roadmap</w:t>
      </w:r>
      <w:r>
        <w:rPr>
          <w:rFonts w:ascii="Times New Roman" w:hAnsi="Times New Roman" w:cs="Times New Roman"/>
          <w:noProof/>
          <w:sz w:val="24"/>
          <w:szCs w:val="24"/>
        </w:rPr>
        <w:t>. Each Member State would then be expected to make commitments on which best practices it wants to implement by 2019. Individual progress could be monitored in the form of a scoreboard to be discussed with the Member States.</w:t>
      </w:r>
    </w:p>
    <w:p w:rsidR="005753A0" w:rsidRDefault="00761EEB">
      <w:pPr>
        <w:pBdr>
          <w:top w:val="single" w:sz="4" w:space="1" w:color="auto"/>
          <w:left w:val="single" w:sz="4" w:space="4" w:color="auto"/>
          <w:bottom w:val="single" w:sz="4" w:space="1" w:color="auto"/>
          <w:right w:val="single" w:sz="4" w:space="4" w:color="auto"/>
        </w:pBdr>
        <w:shd w:val="pct10" w:color="auto" w:fill="auto"/>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w:t>
      </w:r>
      <w:r>
        <w:rPr>
          <w:rFonts w:ascii="Times New Roman" w:hAnsi="Times New Roman" w:cs="Times New Roman"/>
          <w:noProof/>
          <w:sz w:val="24"/>
          <w:szCs w:val="24"/>
        </w:rPr>
        <w:t xml:space="preserve">proposes that this </w:t>
      </w:r>
      <w:r>
        <w:rPr>
          <w:rFonts w:ascii="Times New Roman" w:hAnsi="Times New Roman" w:cs="Times New Roman"/>
          <w:b/>
          <w:noProof/>
          <w:sz w:val="24"/>
          <w:szCs w:val="24"/>
        </w:rPr>
        <w:t xml:space="preserve">work be taken forward by relevant tax working groups, </w:t>
      </w:r>
      <w:r>
        <w:rPr>
          <w:rFonts w:ascii="Times New Roman" w:hAnsi="Times New Roman" w:cs="Times New Roman"/>
          <w:noProof/>
          <w:sz w:val="24"/>
          <w:szCs w:val="24"/>
        </w:rPr>
        <w:t>while the expert group would be regularly informed of progress and play a supporting role in view of the importance of the issue for CMU.</w:t>
      </w:r>
    </w:p>
    <w:p w:rsidR="005753A0" w:rsidRDefault="00761EEB">
      <w:pPr>
        <w:pBdr>
          <w:top w:val="single" w:sz="4" w:space="1" w:color="auto"/>
          <w:left w:val="single" w:sz="4" w:space="4" w:color="auto"/>
          <w:bottom w:val="single" w:sz="4" w:space="1" w:color="auto"/>
          <w:right w:val="single" w:sz="4" w:space="4" w:color="auto"/>
        </w:pBdr>
        <w:shd w:val="pct10" w:color="auto" w:fill="auto"/>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Commission will also work with national t</w:t>
      </w:r>
      <w:r>
        <w:rPr>
          <w:rFonts w:ascii="Times New Roman" w:hAnsi="Times New Roman" w:cs="Times New Roman"/>
          <w:noProof/>
          <w:sz w:val="24"/>
          <w:szCs w:val="24"/>
        </w:rPr>
        <w:t xml:space="preserve">ax experts on a </w:t>
      </w:r>
      <w:r>
        <w:rPr>
          <w:rFonts w:ascii="Times New Roman" w:hAnsi="Times New Roman" w:cs="Times New Roman"/>
          <w:b/>
          <w:noProof/>
          <w:sz w:val="24"/>
          <w:szCs w:val="24"/>
        </w:rPr>
        <w:t>code of conduct on WHT relief principles</w:t>
      </w:r>
      <w:r>
        <w:rPr>
          <w:rFonts w:ascii="Times New Roman" w:hAnsi="Times New Roman" w:cs="Times New Roman"/>
          <w:noProof/>
          <w:sz w:val="24"/>
          <w:szCs w:val="24"/>
        </w:rPr>
        <w:t>. In line with the CMU action plan</w:t>
      </w:r>
      <w:r>
        <w:rPr>
          <w:rStyle w:val="FootnoteReference"/>
          <w:rFonts w:ascii="Times New Roman" w:hAnsi="Times New Roman" w:cs="Times New Roman"/>
          <w:noProof/>
          <w:sz w:val="24"/>
          <w:szCs w:val="24"/>
        </w:rPr>
        <w:footnoteReference w:id="25"/>
      </w:r>
      <w:r>
        <w:rPr>
          <w:rFonts w:ascii="Times New Roman" w:hAnsi="Times New Roman" w:cs="Times New Roman"/>
          <w:noProof/>
          <w:sz w:val="24"/>
          <w:szCs w:val="24"/>
        </w:rPr>
        <w:t xml:space="preserve"> and the recent Communication</w:t>
      </w:r>
      <w:r>
        <w:rPr>
          <w:rStyle w:val="FootnoteReference"/>
          <w:rFonts w:ascii="Times New Roman" w:hAnsi="Times New Roman" w:cs="Times New Roman"/>
          <w:noProof/>
          <w:sz w:val="24"/>
          <w:szCs w:val="24"/>
        </w:rPr>
        <w:footnoteReference w:id="26"/>
      </w:r>
      <w:r>
        <w:rPr>
          <w:rFonts w:ascii="Times New Roman" w:hAnsi="Times New Roman" w:cs="Times New Roman"/>
          <w:noProof/>
          <w:sz w:val="24"/>
          <w:szCs w:val="24"/>
        </w:rPr>
        <w:t xml:space="preserve"> the best practices identified by the expert group will be the basis to draft a </w:t>
      </w:r>
      <w:r>
        <w:rPr>
          <w:rFonts w:ascii="Times New Roman" w:hAnsi="Times New Roman" w:cs="Times New Roman"/>
          <w:b/>
          <w:noProof/>
          <w:sz w:val="24"/>
          <w:szCs w:val="24"/>
        </w:rPr>
        <w:t>code of conduct on more efficient WHT relief/refund pri</w:t>
      </w:r>
      <w:r>
        <w:rPr>
          <w:rFonts w:ascii="Times New Roman" w:hAnsi="Times New Roman" w:cs="Times New Roman"/>
          <w:b/>
          <w:noProof/>
          <w:sz w:val="24"/>
          <w:szCs w:val="24"/>
        </w:rPr>
        <w:t>nciples</w:t>
      </w:r>
      <w:r>
        <w:rPr>
          <w:rFonts w:ascii="Times New Roman" w:hAnsi="Times New Roman" w:cs="Times New Roman"/>
          <w:noProof/>
          <w:sz w:val="24"/>
          <w:szCs w:val="24"/>
        </w:rPr>
        <w:t>.</w:t>
      </w:r>
    </w:p>
    <w:p w:rsidR="005753A0" w:rsidRDefault="00761EEB">
      <w:pPr>
        <w:pBdr>
          <w:top w:val="single" w:sz="4" w:space="1" w:color="auto"/>
          <w:left w:val="single" w:sz="4" w:space="4" w:color="auto"/>
          <w:bottom w:val="single" w:sz="4" w:space="1" w:color="auto"/>
          <w:right w:val="single" w:sz="4" w:space="4" w:color="auto"/>
        </w:pBdr>
        <w:shd w:val="pct10" w:color="auto" w:fill="auto"/>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expert group will play a supporting role and be regularly informed of any relevant progress.</w:t>
      </w:r>
    </w:p>
    <w:p w:rsidR="005753A0" w:rsidRDefault="00761EEB">
      <w:pPr>
        <w:pStyle w:val="Heading1"/>
        <w:spacing w:before="0" w:after="200"/>
        <w:rPr>
          <w:noProof/>
          <w:szCs w:val="24"/>
        </w:rPr>
      </w:pPr>
      <w:r>
        <w:rPr>
          <w:noProof/>
          <w:szCs w:val="24"/>
        </w:rPr>
        <w:t>Conclusion and summary of proposed actions</w:t>
      </w:r>
    </w:p>
    <w:p w:rsidR="005753A0" w:rsidRDefault="00761EEB">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This collaborative process with the Member States has focused on barriers that are in areas of national com</w:t>
      </w:r>
      <w:r>
        <w:rPr>
          <w:rFonts w:ascii="Times New Roman" w:hAnsi="Times New Roman" w:cs="Times New Roman"/>
          <w:noProof/>
          <w:sz w:val="24"/>
          <w:szCs w:val="24"/>
        </w:rPr>
        <w:t>petence, which can be addressed by voluntary action and on which Member States are willing to work together. The barriers assessed were decided on the basis of their nature with a view to ensuring that cumulative actions at national level can trigger posit</w:t>
      </w:r>
      <w:r>
        <w:rPr>
          <w:rFonts w:ascii="Times New Roman" w:hAnsi="Times New Roman" w:cs="Times New Roman"/>
          <w:noProof/>
          <w:sz w:val="24"/>
          <w:szCs w:val="24"/>
        </w:rPr>
        <w:t xml:space="preserve">ive effects on cross-border investment. </w:t>
      </w:r>
    </w:p>
    <w:p w:rsidR="005753A0" w:rsidRDefault="00761EEB">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While these barriers individually impact cross-border investment to a lesser or greater extent the assessment carried out so far was not underpinned by an economic assessment of the impact of each the barriers ident</w:t>
      </w:r>
      <w:r>
        <w:rPr>
          <w:rFonts w:ascii="Times New Roman" w:hAnsi="Times New Roman" w:cs="Times New Roman"/>
          <w:noProof/>
          <w:sz w:val="24"/>
          <w:szCs w:val="24"/>
        </w:rPr>
        <w:t>ified at EU or national level.</w:t>
      </w:r>
    </w:p>
    <w:p w:rsidR="005753A0" w:rsidRDefault="00761EEB">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Based on how often they were mentioned in replies to consultations and by the Member States in the expert group, the barriers can be divided as follows, from the least (x) to the most often reported (xxx).</w:t>
      </w:r>
    </w:p>
    <w:tbl>
      <w:tblPr>
        <w:tblStyle w:val="TableGrid"/>
        <w:tblW w:w="0" w:type="auto"/>
        <w:jc w:val="center"/>
        <w:tblLook w:val="04A0" w:firstRow="1" w:lastRow="0" w:firstColumn="1" w:lastColumn="0" w:noHBand="0" w:noVBand="1"/>
      </w:tblPr>
      <w:tblGrid>
        <w:gridCol w:w="3714"/>
        <w:gridCol w:w="1858"/>
        <w:gridCol w:w="1858"/>
        <w:gridCol w:w="1858"/>
      </w:tblGrid>
      <w:tr w:rsidR="005753A0">
        <w:trPr>
          <w:jc w:val="center"/>
        </w:trPr>
        <w:tc>
          <w:tcPr>
            <w:tcW w:w="3714" w:type="dxa"/>
          </w:tcPr>
          <w:p w:rsidR="005753A0" w:rsidRDefault="00761EEB">
            <w:pPr>
              <w:jc w:val="center"/>
              <w:rPr>
                <w:rFonts w:ascii="Times New Roman" w:hAnsi="Times New Roman" w:cs="Times New Roman"/>
                <w:b/>
                <w:noProof/>
                <w:sz w:val="24"/>
                <w:szCs w:val="24"/>
              </w:rPr>
            </w:pPr>
            <w:r>
              <w:rPr>
                <w:rFonts w:ascii="Times New Roman" w:hAnsi="Times New Roman" w:cs="Times New Roman"/>
                <w:b/>
                <w:noProof/>
                <w:sz w:val="24"/>
                <w:szCs w:val="24"/>
              </w:rPr>
              <w:t>Gravity of the barr</w:t>
            </w:r>
            <w:r>
              <w:rPr>
                <w:rFonts w:ascii="Times New Roman" w:hAnsi="Times New Roman" w:cs="Times New Roman"/>
                <w:b/>
                <w:noProof/>
                <w:sz w:val="24"/>
                <w:szCs w:val="24"/>
              </w:rPr>
              <w:t>iers (based on reporting incidence)</w:t>
            </w:r>
          </w:p>
        </w:tc>
        <w:tc>
          <w:tcPr>
            <w:tcW w:w="1858" w:type="dxa"/>
          </w:tcPr>
          <w:p w:rsidR="005753A0" w:rsidRDefault="00761EEB">
            <w:pPr>
              <w:jc w:val="center"/>
              <w:rPr>
                <w:rFonts w:ascii="Times New Roman" w:hAnsi="Times New Roman" w:cs="Times New Roman"/>
                <w:b/>
                <w:noProof/>
                <w:sz w:val="24"/>
                <w:szCs w:val="24"/>
              </w:rPr>
            </w:pPr>
            <w:r>
              <w:rPr>
                <w:rFonts w:ascii="Times New Roman" w:hAnsi="Times New Roman" w:cs="Times New Roman"/>
                <w:b/>
                <w:noProof/>
                <w:sz w:val="24"/>
                <w:szCs w:val="24"/>
              </w:rPr>
              <w:t>x</w:t>
            </w:r>
          </w:p>
        </w:tc>
        <w:tc>
          <w:tcPr>
            <w:tcW w:w="1858" w:type="dxa"/>
          </w:tcPr>
          <w:p w:rsidR="005753A0" w:rsidRDefault="00761EEB">
            <w:pPr>
              <w:jc w:val="center"/>
              <w:rPr>
                <w:rFonts w:ascii="Times New Roman" w:hAnsi="Times New Roman" w:cs="Times New Roman"/>
                <w:b/>
                <w:noProof/>
                <w:sz w:val="24"/>
                <w:szCs w:val="24"/>
              </w:rPr>
            </w:pPr>
            <w:r>
              <w:rPr>
                <w:rFonts w:ascii="Times New Roman" w:hAnsi="Times New Roman" w:cs="Times New Roman"/>
                <w:b/>
                <w:noProof/>
                <w:sz w:val="24"/>
                <w:szCs w:val="24"/>
              </w:rPr>
              <w:t>xx</w:t>
            </w:r>
          </w:p>
        </w:tc>
        <w:tc>
          <w:tcPr>
            <w:tcW w:w="1858" w:type="dxa"/>
          </w:tcPr>
          <w:p w:rsidR="005753A0" w:rsidRDefault="00761EEB">
            <w:pPr>
              <w:jc w:val="center"/>
              <w:rPr>
                <w:rFonts w:ascii="Times New Roman" w:hAnsi="Times New Roman" w:cs="Times New Roman"/>
                <w:b/>
                <w:noProof/>
                <w:sz w:val="24"/>
                <w:szCs w:val="24"/>
              </w:rPr>
            </w:pPr>
            <w:r>
              <w:rPr>
                <w:rFonts w:ascii="Times New Roman" w:hAnsi="Times New Roman" w:cs="Times New Roman"/>
                <w:b/>
                <w:noProof/>
                <w:sz w:val="24"/>
                <w:szCs w:val="24"/>
              </w:rPr>
              <w:t>xxx</w:t>
            </w:r>
          </w:p>
        </w:tc>
      </w:tr>
      <w:tr w:rsidR="005753A0">
        <w:trPr>
          <w:jc w:val="center"/>
        </w:trPr>
        <w:tc>
          <w:tcPr>
            <w:tcW w:w="3714" w:type="dxa"/>
          </w:tcPr>
          <w:p w:rsidR="005753A0" w:rsidRDefault="00761EEB">
            <w:pPr>
              <w:jc w:val="both"/>
              <w:rPr>
                <w:rFonts w:ascii="Times New Roman" w:hAnsi="Times New Roman" w:cs="Times New Roman"/>
                <w:noProof/>
                <w:sz w:val="24"/>
                <w:szCs w:val="24"/>
              </w:rPr>
            </w:pPr>
            <w:r>
              <w:rPr>
                <w:rFonts w:ascii="Times New Roman" w:hAnsi="Times New Roman" w:cs="Times New Roman"/>
                <w:noProof/>
                <w:sz w:val="24"/>
                <w:szCs w:val="24"/>
              </w:rPr>
              <w:t>Marketing requirements</w:t>
            </w:r>
          </w:p>
        </w:tc>
        <w:tc>
          <w:tcPr>
            <w:tcW w:w="1858" w:type="dxa"/>
          </w:tcPr>
          <w:p w:rsidR="005753A0" w:rsidRDefault="005753A0">
            <w:pPr>
              <w:jc w:val="center"/>
              <w:rPr>
                <w:rFonts w:ascii="Times New Roman" w:hAnsi="Times New Roman" w:cs="Times New Roman"/>
                <w:noProof/>
                <w:sz w:val="24"/>
                <w:szCs w:val="24"/>
              </w:rPr>
            </w:pPr>
          </w:p>
        </w:tc>
        <w:tc>
          <w:tcPr>
            <w:tcW w:w="1858" w:type="dxa"/>
          </w:tcPr>
          <w:p w:rsidR="005753A0" w:rsidRDefault="005753A0">
            <w:pPr>
              <w:jc w:val="center"/>
              <w:rPr>
                <w:rFonts w:ascii="Times New Roman" w:hAnsi="Times New Roman" w:cs="Times New Roman"/>
                <w:noProof/>
                <w:sz w:val="24"/>
                <w:szCs w:val="24"/>
              </w:rPr>
            </w:pPr>
          </w:p>
        </w:tc>
        <w:tc>
          <w:tcPr>
            <w:tcW w:w="1858" w:type="dxa"/>
          </w:tcPr>
          <w:p w:rsidR="005753A0" w:rsidRDefault="00761EEB">
            <w:pPr>
              <w:jc w:val="center"/>
              <w:rPr>
                <w:rFonts w:ascii="Times New Roman" w:hAnsi="Times New Roman" w:cs="Times New Roman"/>
                <w:noProof/>
                <w:sz w:val="24"/>
                <w:szCs w:val="24"/>
              </w:rPr>
            </w:pPr>
            <w:r>
              <w:rPr>
                <w:rFonts w:ascii="Times New Roman" w:hAnsi="Times New Roman" w:cs="Times New Roman"/>
                <w:noProof/>
                <w:sz w:val="24"/>
                <w:szCs w:val="24"/>
              </w:rPr>
              <w:t>xxx</w:t>
            </w:r>
          </w:p>
        </w:tc>
      </w:tr>
      <w:tr w:rsidR="005753A0">
        <w:trPr>
          <w:jc w:val="center"/>
        </w:trPr>
        <w:tc>
          <w:tcPr>
            <w:tcW w:w="3714" w:type="dxa"/>
          </w:tcPr>
          <w:p w:rsidR="005753A0" w:rsidRDefault="00761EEB">
            <w:pPr>
              <w:jc w:val="both"/>
              <w:rPr>
                <w:rFonts w:ascii="Times New Roman" w:hAnsi="Times New Roman" w:cs="Times New Roman"/>
                <w:noProof/>
                <w:sz w:val="24"/>
                <w:szCs w:val="24"/>
              </w:rPr>
            </w:pPr>
            <w:r>
              <w:rPr>
                <w:rFonts w:ascii="Times New Roman" w:hAnsi="Times New Roman" w:cs="Times New Roman"/>
                <w:noProof/>
                <w:sz w:val="24"/>
                <w:szCs w:val="24"/>
              </w:rPr>
              <w:t>Administrative arrangements</w:t>
            </w:r>
          </w:p>
        </w:tc>
        <w:tc>
          <w:tcPr>
            <w:tcW w:w="1858" w:type="dxa"/>
          </w:tcPr>
          <w:p w:rsidR="005753A0" w:rsidRDefault="005753A0">
            <w:pPr>
              <w:jc w:val="center"/>
              <w:rPr>
                <w:rFonts w:ascii="Times New Roman" w:hAnsi="Times New Roman" w:cs="Times New Roman"/>
                <w:noProof/>
                <w:sz w:val="24"/>
                <w:szCs w:val="24"/>
              </w:rPr>
            </w:pPr>
          </w:p>
        </w:tc>
        <w:tc>
          <w:tcPr>
            <w:tcW w:w="1858" w:type="dxa"/>
          </w:tcPr>
          <w:p w:rsidR="005753A0" w:rsidRDefault="00761EEB">
            <w:pPr>
              <w:jc w:val="center"/>
              <w:rPr>
                <w:rFonts w:ascii="Times New Roman" w:hAnsi="Times New Roman" w:cs="Times New Roman"/>
                <w:noProof/>
                <w:sz w:val="24"/>
                <w:szCs w:val="24"/>
              </w:rPr>
            </w:pPr>
            <w:r>
              <w:rPr>
                <w:rFonts w:ascii="Times New Roman" w:hAnsi="Times New Roman" w:cs="Times New Roman"/>
                <w:noProof/>
                <w:sz w:val="24"/>
                <w:szCs w:val="24"/>
              </w:rPr>
              <w:t>xx</w:t>
            </w:r>
          </w:p>
        </w:tc>
        <w:tc>
          <w:tcPr>
            <w:tcW w:w="1858" w:type="dxa"/>
          </w:tcPr>
          <w:p w:rsidR="005753A0" w:rsidRDefault="005753A0">
            <w:pPr>
              <w:jc w:val="center"/>
              <w:rPr>
                <w:rFonts w:ascii="Times New Roman" w:hAnsi="Times New Roman" w:cs="Times New Roman"/>
                <w:noProof/>
                <w:sz w:val="24"/>
                <w:szCs w:val="24"/>
              </w:rPr>
            </w:pPr>
          </w:p>
        </w:tc>
      </w:tr>
      <w:tr w:rsidR="005753A0">
        <w:trPr>
          <w:jc w:val="center"/>
        </w:trPr>
        <w:tc>
          <w:tcPr>
            <w:tcW w:w="3714" w:type="dxa"/>
          </w:tcPr>
          <w:p w:rsidR="005753A0" w:rsidRDefault="00761EEB">
            <w:pPr>
              <w:jc w:val="both"/>
              <w:rPr>
                <w:rFonts w:ascii="Times New Roman" w:hAnsi="Times New Roman" w:cs="Times New Roman"/>
                <w:noProof/>
                <w:sz w:val="24"/>
                <w:szCs w:val="24"/>
              </w:rPr>
            </w:pPr>
            <w:r>
              <w:rPr>
                <w:rFonts w:ascii="Times New Roman" w:hAnsi="Times New Roman" w:cs="Times New Roman"/>
                <w:noProof/>
                <w:sz w:val="24"/>
                <w:szCs w:val="24"/>
              </w:rPr>
              <w:t>Regulatory fees for cross-border marketing</w:t>
            </w:r>
          </w:p>
        </w:tc>
        <w:tc>
          <w:tcPr>
            <w:tcW w:w="1858" w:type="dxa"/>
          </w:tcPr>
          <w:p w:rsidR="005753A0" w:rsidRDefault="00761EEB">
            <w:pPr>
              <w:jc w:val="center"/>
              <w:rPr>
                <w:rFonts w:ascii="Times New Roman" w:hAnsi="Times New Roman" w:cs="Times New Roman"/>
                <w:noProof/>
                <w:sz w:val="24"/>
                <w:szCs w:val="24"/>
              </w:rPr>
            </w:pPr>
            <w:r>
              <w:rPr>
                <w:rFonts w:ascii="Times New Roman" w:hAnsi="Times New Roman" w:cs="Times New Roman"/>
                <w:noProof/>
                <w:sz w:val="24"/>
                <w:szCs w:val="24"/>
              </w:rPr>
              <w:t>x</w:t>
            </w:r>
          </w:p>
        </w:tc>
        <w:tc>
          <w:tcPr>
            <w:tcW w:w="1858" w:type="dxa"/>
          </w:tcPr>
          <w:p w:rsidR="005753A0" w:rsidRDefault="005753A0">
            <w:pPr>
              <w:jc w:val="center"/>
              <w:rPr>
                <w:rFonts w:ascii="Times New Roman" w:hAnsi="Times New Roman" w:cs="Times New Roman"/>
                <w:noProof/>
                <w:sz w:val="24"/>
                <w:szCs w:val="24"/>
              </w:rPr>
            </w:pPr>
          </w:p>
        </w:tc>
        <w:tc>
          <w:tcPr>
            <w:tcW w:w="1858" w:type="dxa"/>
          </w:tcPr>
          <w:p w:rsidR="005753A0" w:rsidRDefault="005753A0">
            <w:pPr>
              <w:jc w:val="center"/>
              <w:rPr>
                <w:rFonts w:ascii="Times New Roman" w:hAnsi="Times New Roman" w:cs="Times New Roman"/>
                <w:noProof/>
                <w:sz w:val="24"/>
                <w:szCs w:val="24"/>
              </w:rPr>
            </w:pPr>
          </w:p>
        </w:tc>
      </w:tr>
      <w:tr w:rsidR="005753A0">
        <w:trPr>
          <w:jc w:val="center"/>
        </w:trPr>
        <w:tc>
          <w:tcPr>
            <w:tcW w:w="3714" w:type="dxa"/>
          </w:tcPr>
          <w:p w:rsidR="005753A0" w:rsidRDefault="00761EEB">
            <w:pPr>
              <w:jc w:val="both"/>
              <w:rPr>
                <w:rFonts w:ascii="Times New Roman" w:hAnsi="Times New Roman" w:cs="Times New Roman"/>
                <w:noProof/>
                <w:sz w:val="24"/>
                <w:szCs w:val="24"/>
              </w:rPr>
            </w:pPr>
            <w:r>
              <w:rPr>
                <w:rFonts w:ascii="Times New Roman" w:hAnsi="Times New Roman" w:cs="Times New Roman"/>
                <w:noProof/>
                <w:sz w:val="24"/>
                <w:szCs w:val="24"/>
              </w:rPr>
              <w:t>Different approaches to crowdfunding</w:t>
            </w:r>
          </w:p>
        </w:tc>
        <w:tc>
          <w:tcPr>
            <w:tcW w:w="1858" w:type="dxa"/>
          </w:tcPr>
          <w:p w:rsidR="005753A0" w:rsidRDefault="005753A0">
            <w:pPr>
              <w:jc w:val="center"/>
              <w:rPr>
                <w:rFonts w:ascii="Times New Roman" w:hAnsi="Times New Roman" w:cs="Times New Roman"/>
                <w:noProof/>
                <w:sz w:val="24"/>
                <w:szCs w:val="24"/>
              </w:rPr>
            </w:pPr>
          </w:p>
        </w:tc>
        <w:tc>
          <w:tcPr>
            <w:tcW w:w="1858" w:type="dxa"/>
          </w:tcPr>
          <w:p w:rsidR="005753A0" w:rsidRDefault="00761EEB">
            <w:pPr>
              <w:jc w:val="center"/>
              <w:rPr>
                <w:rFonts w:ascii="Times New Roman" w:hAnsi="Times New Roman" w:cs="Times New Roman"/>
                <w:noProof/>
                <w:sz w:val="24"/>
                <w:szCs w:val="24"/>
              </w:rPr>
            </w:pPr>
            <w:r>
              <w:rPr>
                <w:rFonts w:ascii="Times New Roman" w:hAnsi="Times New Roman" w:cs="Times New Roman"/>
                <w:noProof/>
                <w:sz w:val="24"/>
                <w:szCs w:val="24"/>
              </w:rPr>
              <w:t>xx</w:t>
            </w:r>
          </w:p>
        </w:tc>
        <w:tc>
          <w:tcPr>
            <w:tcW w:w="1858" w:type="dxa"/>
          </w:tcPr>
          <w:p w:rsidR="005753A0" w:rsidRDefault="005753A0">
            <w:pPr>
              <w:jc w:val="center"/>
              <w:rPr>
                <w:rFonts w:ascii="Times New Roman" w:hAnsi="Times New Roman" w:cs="Times New Roman"/>
                <w:noProof/>
                <w:sz w:val="24"/>
                <w:szCs w:val="24"/>
              </w:rPr>
            </w:pPr>
          </w:p>
        </w:tc>
      </w:tr>
      <w:tr w:rsidR="005753A0">
        <w:trPr>
          <w:jc w:val="center"/>
        </w:trPr>
        <w:tc>
          <w:tcPr>
            <w:tcW w:w="3714" w:type="dxa"/>
          </w:tcPr>
          <w:p w:rsidR="005753A0" w:rsidRDefault="00761EEB">
            <w:pPr>
              <w:jc w:val="both"/>
              <w:rPr>
                <w:rFonts w:ascii="Times New Roman" w:hAnsi="Times New Roman" w:cs="Times New Roman"/>
                <w:noProof/>
                <w:sz w:val="24"/>
                <w:szCs w:val="24"/>
              </w:rPr>
            </w:pPr>
            <w:r>
              <w:rPr>
                <w:rFonts w:ascii="Times New Roman" w:hAnsi="Times New Roman" w:cs="Times New Roman"/>
                <w:noProof/>
                <w:sz w:val="24"/>
                <w:szCs w:val="24"/>
              </w:rPr>
              <w:t>Residence requirements</w:t>
            </w:r>
          </w:p>
        </w:tc>
        <w:tc>
          <w:tcPr>
            <w:tcW w:w="1858" w:type="dxa"/>
          </w:tcPr>
          <w:p w:rsidR="005753A0" w:rsidRDefault="005753A0">
            <w:pPr>
              <w:jc w:val="center"/>
              <w:rPr>
                <w:rFonts w:ascii="Times New Roman" w:hAnsi="Times New Roman" w:cs="Times New Roman"/>
                <w:noProof/>
                <w:sz w:val="24"/>
                <w:szCs w:val="24"/>
              </w:rPr>
            </w:pPr>
          </w:p>
        </w:tc>
        <w:tc>
          <w:tcPr>
            <w:tcW w:w="1858" w:type="dxa"/>
          </w:tcPr>
          <w:p w:rsidR="005753A0" w:rsidRDefault="005753A0">
            <w:pPr>
              <w:jc w:val="center"/>
              <w:rPr>
                <w:rFonts w:ascii="Times New Roman" w:hAnsi="Times New Roman" w:cs="Times New Roman"/>
                <w:noProof/>
                <w:sz w:val="24"/>
                <w:szCs w:val="24"/>
              </w:rPr>
            </w:pPr>
          </w:p>
        </w:tc>
        <w:tc>
          <w:tcPr>
            <w:tcW w:w="1858" w:type="dxa"/>
          </w:tcPr>
          <w:p w:rsidR="005753A0" w:rsidRDefault="00761EEB">
            <w:pPr>
              <w:jc w:val="center"/>
              <w:rPr>
                <w:rFonts w:ascii="Times New Roman" w:hAnsi="Times New Roman" w:cs="Times New Roman"/>
                <w:noProof/>
                <w:sz w:val="24"/>
                <w:szCs w:val="24"/>
              </w:rPr>
            </w:pPr>
            <w:r>
              <w:rPr>
                <w:rFonts w:ascii="Times New Roman" w:hAnsi="Times New Roman" w:cs="Times New Roman"/>
                <w:noProof/>
                <w:sz w:val="24"/>
                <w:szCs w:val="24"/>
              </w:rPr>
              <w:t>xxx</w:t>
            </w:r>
          </w:p>
        </w:tc>
      </w:tr>
      <w:tr w:rsidR="005753A0">
        <w:trPr>
          <w:jc w:val="center"/>
        </w:trPr>
        <w:tc>
          <w:tcPr>
            <w:tcW w:w="3714" w:type="dxa"/>
          </w:tcPr>
          <w:p w:rsidR="005753A0" w:rsidRDefault="00761EEB">
            <w:pPr>
              <w:jc w:val="both"/>
              <w:rPr>
                <w:rFonts w:ascii="Times New Roman" w:hAnsi="Times New Roman" w:cs="Times New Roman"/>
                <w:noProof/>
                <w:sz w:val="24"/>
                <w:szCs w:val="24"/>
              </w:rPr>
            </w:pPr>
            <w:r>
              <w:rPr>
                <w:rFonts w:ascii="Times New Roman" w:hAnsi="Times New Roman" w:cs="Times New Roman"/>
                <w:noProof/>
                <w:sz w:val="24"/>
                <w:szCs w:val="24"/>
              </w:rPr>
              <w:t xml:space="preserve">Insufficient financial </w:t>
            </w:r>
            <w:r>
              <w:rPr>
                <w:rFonts w:ascii="Times New Roman" w:hAnsi="Times New Roman" w:cs="Times New Roman"/>
                <w:noProof/>
                <w:sz w:val="24"/>
                <w:szCs w:val="24"/>
              </w:rPr>
              <w:t>literacy</w:t>
            </w:r>
          </w:p>
        </w:tc>
        <w:tc>
          <w:tcPr>
            <w:tcW w:w="1858" w:type="dxa"/>
          </w:tcPr>
          <w:p w:rsidR="005753A0" w:rsidRDefault="005753A0">
            <w:pPr>
              <w:jc w:val="center"/>
              <w:rPr>
                <w:rFonts w:ascii="Times New Roman" w:hAnsi="Times New Roman" w:cs="Times New Roman"/>
                <w:noProof/>
                <w:sz w:val="24"/>
                <w:szCs w:val="24"/>
              </w:rPr>
            </w:pPr>
          </w:p>
        </w:tc>
        <w:tc>
          <w:tcPr>
            <w:tcW w:w="1858" w:type="dxa"/>
          </w:tcPr>
          <w:p w:rsidR="005753A0" w:rsidRDefault="00761EEB">
            <w:pPr>
              <w:jc w:val="center"/>
              <w:rPr>
                <w:rFonts w:ascii="Times New Roman" w:hAnsi="Times New Roman" w:cs="Times New Roman"/>
                <w:noProof/>
                <w:sz w:val="24"/>
                <w:szCs w:val="24"/>
              </w:rPr>
            </w:pPr>
            <w:r>
              <w:rPr>
                <w:rFonts w:ascii="Times New Roman" w:hAnsi="Times New Roman" w:cs="Times New Roman"/>
                <w:noProof/>
                <w:sz w:val="24"/>
                <w:szCs w:val="24"/>
              </w:rPr>
              <w:t>xx</w:t>
            </w:r>
          </w:p>
        </w:tc>
        <w:tc>
          <w:tcPr>
            <w:tcW w:w="1858" w:type="dxa"/>
          </w:tcPr>
          <w:p w:rsidR="005753A0" w:rsidRDefault="005753A0">
            <w:pPr>
              <w:jc w:val="center"/>
              <w:rPr>
                <w:rFonts w:ascii="Times New Roman" w:hAnsi="Times New Roman" w:cs="Times New Roman"/>
                <w:noProof/>
                <w:sz w:val="24"/>
                <w:szCs w:val="24"/>
              </w:rPr>
            </w:pPr>
          </w:p>
        </w:tc>
      </w:tr>
      <w:tr w:rsidR="005753A0">
        <w:trPr>
          <w:jc w:val="center"/>
        </w:trPr>
        <w:tc>
          <w:tcPr>
            <w:tcW w:w="3714" w:type="dxa"/>
          </w:tcPr>
          <w:p w:rsidR="005753A0" w:rsidRDefault="00761EEB">
            <w:pPr>
              <w:jc w:val="both"/>
              <w:rPr>
                <w:rFonts w:ascii="Times New Roman" w:hAnsi="Times New Roman" w:cs="Times New Roman"/>
                <w:noProof/>
                <w:sz w:val="24"/>
                <w:szCs w:val="24"/>
              </w:rPr>
            </w:pPr>
            <w:r>
              <w:rPr>
                <w:rFonts w:ascii="Times New Roman" w:hAnsi="Times New Roman" w:cs="Times New Roman"/>
                <w:noProof/>
                <w:sz w:val="24"/>
                <w:szCs w:val="24"/>
              </w:rPr>
              <w:t>Differences in insolvency regimes</w:t>
            </w:r>
          </w:p>
        </w:tc>
        <w:tc>
          <w:tcPr>
            <w:tcW w:w="1858" w:type="dxa"/>
          </w:tcPr>
          <w:p w:rsidR="005753A0" w:rsidRDefault="005753A0">
            <w:pPr>
              <w:jc w:val="center"/>
              <w:rPr>
                <w:rFonts w:ascii="Times New Roman" w:hAnsi="Times New Roman" w:cs="Times New Roman"/>
                <w:noProof/>
                <w:sz w:val="24"/>
                <w:szCs w:val="24"/>
              </w:rPr>
            </w:pPr>
          </w:p>
        </w:tc>
        <w:tc>
          <w:tcPr>
            <w:tcW w:w="1858" w:type="dxa"/>
          </w:tcPr>
          <w:p w:rsidR="005753A0" w:rsidRDefault="005753A0">
            <w:pPr>
              <w:jc w:val="center"/>
              <w:rPr>
                <w:rFonts w:ascii="Times New Roman" w:hAnsi="Times New Roman" w:cs="Times New Roman"/>
                <w:noProof/>
                <w:sz w:val="24"/>
                <w:szCs w:val="24"/>
              </w:rPr>
            </w:pPr>
          </w:p>
        </w:tc>
        <w:tc>
          <w:tcPr>
            <w:tcW w:w="1858" w:type="dxa"/>
          </w:tcPr>
          <w:p w:rsidR="005753A0" w:rsidRDefault="00761EEB">
            <w:pPr>
              <w:jc w:val="center"/>
              <w:rPr>
                <w:rFonts w:ascii="Times New Roman" w:hAnsi="Times New Roman" w:cs="Times New Roman"/>
                <w:noProof/>
                <w:sz w:val="24"/>
                <w:szCs w:val="24"/>
              </w:rPr>
            </w:pPr>
            <w:r>
              <w:rPr>
                <w:rFonts w:ascii="Times New Roman" w:hAnsi="Times New Roman" w:cs="Times New Roman"/>
                <w:noProof/>
                <w:sz w:val="24"/>
                <w:szCs w:val="24"/>
              </w:rPr>
              <w:t>xxx</w:t>
            </w:r>
          </w:p>
        </w:tc>
      </w:tr>
      <w:tr w:rsidR="005753A0">
        <w:trPr>
          <w:jc w:val="center"/>
        </w:trPr>
        <w:tc>
          <w:tcPr>
            <w:tcW w:w="3714" w:type="dxa"/>
          </w:tcPr>
          <w:p w:rsidR="005753A0" w:rsidRDefault="00761EEB">
            <w:pPr>
              <w:jc w:val="both"/>
              <w:rPr>
                <w:rFonts w:ascii="Times New Roman" w:hAnsi="Times New Roman" w:cs="Times New Roman"/>
                <w:noProof/>
                <w:sz w:val="24"/>
                <w:szCs w:val="24"/>
              </w:rPr>
            </w:pPr>
            <w:r>
              <w:rPr>
                <w:rFonts w:ascii="Times New Roman" w:hAnsi="Times New Roman" w:cs="Times New Roman"/>
                <w:noProof/>
                <w:sz w:val="24"/>
                <w:szCs w:val="24"/>
              </w:rPr>
              <w:t>WHT relief procedures</w:t>
            </w:r>
          </w:p>
        </w:tc>
        <w:tc>
          <w:tcPr>
            <w:tcW w:w="1858" w:type="dxa"/>
          </w:tcPr>
          <w:p w:rsidR="005753A0" w:rsidRDefault="005753A0">
            <w:pPr>
              <w:jc w:val="center"/>
              <w:rPr>
                <w:rFonts w:ascii="Times New Roman" w:hAnsi="Times New Roman" w:cs="Times New Roman"/>
                <w:noProof/>
                <w:sz w:val="24"/>
                <w:szCs w:val="24"/>
              </w:rPr>
            </w:pPr>
          </w:p>
        </w:tc>
        <w:tc>
          <w:tcPr>
            <w:tcW w:w="1858" w:type="dxa"/>
          </w:tcPr>
          <w:p w:rsidR="005753A0" w:rsidRDefault="005753A0">
            <w:pPr>
              <w:jc w:val="center"/>
              <w:rPr>
                <w:rFonts w:ascii="Times New Roman" w:hAnsi="Times New Roman" w:cs="Times New Roman"/>
                <w:noProof/>
                <w:sz w:val="24"/>
                <w:szCs w:val="24"/>
              </w:rPr>
            </w:pPr>
          </w:p>
        </w:tc>
        <w:tc>
          <w:tcPr>
            <w:tcW w:w="1858" w:type="dxa"/>
          </w:tcPr>
          <w:p w:rsidR="005753A0" w:rsidRDefault="00761EEB">
            <w:pPr>
              <w:jc w:val="center"/>
              <w:rPr>
                <w:rFonts w:ascii="Times New Roman" w:hAnsi="Times New Roman" w:cs="Times New Roman"/>
                <w:noProof/>
                <w:sz w:val="24"/>
                <w:szCs w:val="24"/>
              </w:rPr>
            </w:pPr>
            <w:r>
              <w:rPr>
                <w:rFonts w:ascii="Times New Roman" w:hAnsi="Times New Roman" w:cs="Times New Roman"/>
                <w:noProof/>
                <w:sz w:val="24"/>
                <w:szCs w:val="24"/>
              </w:rPr>
              <w:t>xxx</w:t>
            </w:r>
          </w:p>
        </w:tc>
      </w:tr>
    </w:tbl>
    <w:p w:rsidR="005753A0" w:rsidRDefault="005753A0">
      <w:pPr>
        <w:spacing w:line="240" w:lineRule="auto"/>
        <w:jc w:val="both"/>
        <w:rPr>
          <w:rFonts w:ascii="Times New Roman" w:hAnsi="Times New Roman" w:cs="Times New Roman"/>
          <w:noProof/>
          <w:sz w:val="24"/>
          <w:szCs w:val="24"/>
        </w:rPr>
      </w:pPr>
    </w:p>
    <w:p w:rsidR="005753A0" w:rsidRDefault="00761EEB">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view of its commitment to accelerate reforms to create a CMU, the Commission invites Member States to discuss and agree on the actions below, which should become a </w:t>
      </w:r>
      <w:r>
        <w:rPr>
          <w:rFonts w:ascii="Times New Roman" w:hAnsi="Times New Roman" w:cs="Times New Roman"/>
          <w:noProof/>
          <w:sz w:val="24"/>
          <w:szCs w:val="24"/>
        </w:rPr>
        <w:t>joint (Commission/Member States) roadmap on national barriers to capital flows.</w:t>
      </w:r>
    </w:p>
    <w:p w:rsidR="005753A0" w:rsidRDefault="00761EEB">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This process does not prevent the Commission from considering possible legislative proposals or other tools for addressing the barriers identified.</w:t>
      </w:r>
    </w:p>
    <w:p w:rsidR="005753A0" w:rsidRDefault="00761EEB">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In the context of the CMU, t</w:t>
      </w:r>
      <w:r>
        <w:rPr>
          <w:rFonts w:ascii="Times New Roman" w:hAnsi="Times New Roman" w:cs="Times New Roman"/>
          <w:noProof/>
          <w:sz w:val="24"/>
          <w:szCs w:val="24"/>
        </w:rPr>
        <w:t>he Commission intends to continue consulting all categories of interested parties, including industry and institutional stakeholders (such as the European Investment Bank and the European Investment Fund) to gather as many informed views as possible on the</w:t>
      </w:r>
      <w:r>
        <w:rPr>
          <w:rFonts w:ascii="Times New Roman" w:hAnsi="Times New Roman" w:cs="Times New Roman"/>
          <w:noProof/>
          <w:sz w:val="24"/>
          <w:szCs w:val="24"/>
        </w:rPr>
        <w:t xml:space="preserve"> existing barriers and possible solutions. The CMU mid-term review will also provide input in this regard.</w:t>
      </w:r>
    </w:p>
    <w:p w:rsidR="005753A0" w:rsidRDefault="00761EEB">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Commission, in cooperation with Member States, shall assess the impact of the actions agreed in the Roadmap on cross-border investment, in the co</w:t>
      </w:r>
      <w:r>
        <w:rPr>
          <w:rFonts w:ascii="Times New Roman" w:hAnsi="Times New Roman" w:cs="Times New Roman"/>
          <w:noProof/>
          <w:sz w:val="24"/>
          <w:szCs w:val="24"/>
        </w:rPr>
        <w:t>ntext of the progress towards the accomplishment of the CMU. The outcome of this assessment shall be taken into account when evaluating the need for further action. The Commission does not see the list of actions proposed below as exhaustive, and invites M</w:t>
      </w:r>
      <w:r>
        <w:rPr>
          <w:rFonts w:ascii="Times New Roman" w:hAnsi="Times New Roman" w:cs="Times New Roman"/>
          <w:noProof/>
          <w:sz w:val="24"/>
          <w:szCs w:val="24"/>
        </w:rPr>
        <w:t>ember States in the expert group to identify other barriers in CMU-relevant areas. Possible topics include national reporting requirements imposed on top of existing EU legislation; barriers to the online distribution of investment funds; barriers faced by</w:t>
      </w:r>
      <w:r>
        <w:rPr>
          <w:rFonts w:ascii="Times New Roman" w:hAnsi="Times New Roman" w:cs="Times New Roman"/>
          <w:noProof/>
          <w:sz w:val="24"/>
          <w:szCs w:val="24"/>
        </w:rPr>
        <w:t xml:space="preserve"> smaller institutional investors which are not eligible for a MiFID passport; or barriers related to the distribution of retail financial products.</w:t>
      </w:r>
    </w:p>
    <w:p w:rsidR="005753A0" w:rsidRDefault="00761EEB">
      <w:pPr>
        <w:spacing w:line="240" w:lineRule="auto"/>
        <w:jc w:val="center"/>
        <w:rPr>
          <w:rFonts w:ascii="Times New Roman" w:hAnsi="Times New Roman" w:cs="Times New Roman"/>
          <w:b/>
          <w:noProof/>
          <w:sz w:val="24"/>
          <w:szCs w:val="24"/>
        </w:rPr>
      </w:pPr>
      <w:r>
        <w:rPr>
          <w:rFonts w:ascii="Times New Roman" w:hAnsi="Times New Roman" w:cs="Times New Roman"/>
          <w:noProof/>
          <w:sz w:val="24"/>
          <w:szCs w:val="24"/>
        </w:rPr>
        <w:br w:type="page"/>
      </w:r>
      <w:r>
        <w:rPr>
          <w:rFonts w:ascii="Times New Roman" w:hAnsi="Times New Roman" w:cs="Times New Roman"/>
          <w:b/>
          <w:noProof/>
          <w:sz w:val="24"/>
          <w:szCs w:val="24"/>
        </w:rPr>
        <w:t>Commission Roadmap of proposed actions</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4390"/>
        <w:gridCol w:w="2323"/>
        <w:gridCol w:w="1082"/>
      </w:tblGrid>
      <w:tr w:rsidR="005753A0">
        <w:tc>
          <w:tcPr>
            <w:tcW w:w="0" w:type="auto"/>
            <w:shd w:val="clear" w:color="auto" w:fill="DBE5F1" w:themeFill="accent1" w:themeFillTint="33"/>
            <w:vAlign w:val="center"/>
          </w:tcPr>
          <w:p w:rsidR="005753A0" w:rsidRDefault="00761EEB">
            <w:pPr>
              <w:spacing w:after="0" w:line="240" w:lineRule="auto"/>
              <w:jc w:val="both"/>
              <w:rPr>
                <w:rFonts w:ascii="Times New Roman" w:eastAsia="Calibri" w:hAnsi="Times New Roman" w:cs="Times New Roman"/>
                <w:noProof/>
              </w:rPr>
            </w:pPr>
            <w:r>
              <w:rPr>
                <w:rFonts w:ascii="Times New Roman" w:eastAsia="Calibri" w:hAnsi="Times New Roman" w:cs="Times New Roman"/>
                <w:noProof/>
              </w:rPr>
              <w:t>Topic</w:t>
            </w:r>
          </w:p>
        </w:tc>
        <w:tc>
          <w:tcPr>
            <w:tcW w:w="0" w:type="auto"/>
            <w:shd w:val="clear" w:color="auto" w:fill="DBE5F1" w:themeFill="accent1" w:themeFillTint="33"/>
            <w:vAlign w:val="center"/>
          </w:tcPr>
          <w:p w:rsidR="005753A0" w:rsidRDefault="00761EEB">
            <w:pPr>
              <w:spacing w:after="0" w:line="240" w:lineRule="auto"/>
              <w:jc w:val="both"/>
              <w:rPr>
                <w:rFonts w:ascii="Times New Roman" w:eastAsia="Calibri" w:hAnsi="Times New Roman" w:cs="Times New Roman"/>
                <w:noProof/>
              </w:rPr>
            </w:pPr>
            <w:r>
              <w:rPr>
                <w:rFonts w:ascii="Times New Roman" w:eastAsia="Calibri" w:hAnsi="Times New Roman" w:cs="Times New Roman"/>
                <w:noProof/>
              </w:rPr>
              <w:t>Action</w:t>
            </w:r>
          </w:p>
        </w:tc>
        <w:tc>
          <w:tcPr>
            <w:tcW w:w="0" w:type="auto"/>
            <w:shd w:val="clear" w:color="auto" w:fill="DBE5F1" w:themeFill="accent1" w:themeFillTint="33"/>
            <w:vAlign w:val="center"/>
          </w:tcPr>
          <w:p w:rsidR="005753A0" w:rsidRDefault="00761EEB">
            <w:pPr>
              <w:spacing w:after="0" w:line="240" w:lineRule="auto"/>
              <w:jc w:val="both"/>
              <w:rPr>
                <w:rFonts w:ascii="Times New Roman" w:eastAsia="Calibri" w:hAnsi="Times New Roman" w:cs="Times New Roman"/>
                <w:noProof/>
              </w:rPr>
            </w:pPr>
            <w:r>
              <w:rPr>
                <w:rFonts w:ascii="Times New Roman" w:eastAsia="Calibri" w:hAnsi="Times New Roman" w:cs="Times New Roman"/>
                <w:noProof/>
              </w:rPr>
              <w:t>Actor</w:t>
            </w:r>
          </w:p>
        </w:tc>
        <w:tc>
          <w:tcPr>
            <w:tcW w:w="0" w:type="auto"/>
            <w:shd w:val="clear" w:color="auto" w:fill="DBE5F1" w:themeFill="accent1" w:themeFillTint="33"/>
            <w:vAlign w:val="center"/>
          </w:tcPr>
          <w:p w:rsidR="005753A0" w:rsidRDefault="00761EEB">
            <w:pPr>
              <w:spacing w:after="0" w:line="240" w:lineRule="auto"/>
              <w:jc w:val="both"/>
              <w:rPr>
                <w:rFonts w:ascii="Times New Roman" w:eastAsia="Calibri" w:hAnsi="Times New Roman" w:cs="Times New Roman"/>
                <w:noProof/>
              </w:rPr>
            </w:pPr>
            <w:r>
              <w:rPr>
                <w:rFonts w:ascii="Times New Roman" w:eastAsia="Calibri" w:hAnsi="Times New Roman" w:cs="Times New Roman"/>
                <w:noProof/>
              </w:rPr>
              <w:t>Possible timing</w:t>
            </w:r>
          </w:p>
        </w:tc>
      </w:tr>
      <w:tr w:rsidR="005753A0">
        <w:trPr>
          <w:trHeight w:val="758"/>
        </w:trPr>
        <w:tc>
          <w:tcPr>
            <w:tcW w:w="0" w:type="auto"/>
            <w:vMerge w:val="restart"/>
            <w:vAlign w:val="center"/>
          </w:tcPr>
          <w:p w:rsidR="005753A0" w:rsidRDefault="00761EEB">
            <w:pPr>
              <w:spacing w:after="0" w:line="240" w:lineRule="auto"/>
              <w:jc w:val="both"/>
              <w:rPr>
                <w:rFonts w:ascii="Times New Roman" w:eastAsia="Calibri" w:hAnsi="Times New Roman" w:cs="Times New Roman"/>
                <w:noProof/>
              </w:rPr>
            </w:pPr>
            <w:r>
              <w:rPr>
                <w:rFonts w:ascii="Times New Roman" w:eastAsia="Calibri" w:hAnsi="Times New Roman" w:cs="Times New Roman"/>
                <w:noProof/>
              </w:rPr>
              <w:t>Investment funds</w:t>
            </w:r>
          </w:p>
        </w:tc>
        <w:tc>
          <w:tcPr>
            <w:tcW w:w="0" w:type="auto"/>
            <w:vAlign w:val="center"/>
          </w:tcPr>
          <w:p w:rsidR="005753A0" w:rsidRDefault="00761EEB">
            <w:pPr>
              <w:rPr>
                <w:rFonts w:ascii="Times New Roman" w:eastAsia="Calibri" w:hAnsi="Times New Roman" w:cs="Times New Roman"/>
                <w:noProof/>
              </w:rPr>
            </w:pPr>
            <w:r>
              <w:rPr>
                <w:rFonts w:ascii="Times New Roman" w:eastAsia="Calibri" w:hAnsi="Times New Roman" w:cs="Times New Roman"/>
                <w:noProof/>
              </w:rPr>
              <w:t>Continue review</w:t>
            </w:r>
            <w:r>
              <w:rPr>
                <w:rFonts w:ascii="Times New Roman" w:eastAsia="Calibri" w:hAnsi="Times New Roman" w:cs="Times New Roman"/>
                <w:noProof/>
              </w:rPr>
              <w:t>ing national rules, in view of promoting common understanding and regulatory convergence of pre-marketing and reverse solicitation</w:t>
            </w:r>
          </w:p>
        </w:tc>
        <w:tc>
          <w:tcPr>
            <w:tcW w:w="0" w:type="auto"/>
            <w:vAlign w:val="center"/>
          </w:tcPr>
          <w:p w:rsidR="005753A0" w:rsidRDefault="00761EEB">
            <w:pPr>
              <w:spacing w:after="0" w:line="240" w:lineRule="auto"/>
              <w:jc w:val="both"/>
              <w:rPr>
                <w:rFonts w:ascii="Times New Roman" w:eastAsia="Calibri" w:hAnsi="Times New Roman" w:cs="Times New Roman"/>
                <w:noProof/>
              </w:rPr>
            </w:pPr>
            <w:r>
              <w:rPr>
                <w:rFonts w:ascii="Times New Roman" w:eastAsia="Calibri" w:hAnsi="Times New Roman" w:cs="Times New Roman"/>
                <w:noProof/>
              </w:rPr>
              <w:t>Member States (MS) and ESMA</w:t>
            </w:r>
          </w:p>
        </w:tc>
        <w:tc>
          <w:tcPr>
            <w:tcW w:w="0" w:type="auto"/>
            <w:vAlign w:val="center"/>
          </w:tcPr>
          <w:p w:rsidR="005753A0" w:rsidRDefault="00761EEB">
            <w:pPr>
              <w:spacing w:after="0" w:line="240" w:lineRule="auto"/>
              <w:jc w:val="both"/>
              <w:rPr>
                <w:rFonts w:ascii="Times New Roman" w:eastAsia="Calibri" w:hAnsi="Times New Roman" w:cs="Times New Roman"/>
                <w:noProof/>
              </w:rPr>
            </w:pPr>
            <w:r>
              <w:rPr>
                <w:rFonts w:ascii="Times New Roman" w:eastAsia="Calibri" w:hAnsi="Times New Roman" w:cs="Times New Roman"/>
                <w:noProof/>
              </w:rPr>
              <w:t>Q4 2017</w:t>
            </w:r>
          </w:p>
        </w:tc>
      </w:tr>
      <w:tr w:rsidR="005753A0">
        <w:trPr>
          <w:trHeight w:val="1272"/>
        </w:trPr>
        <w:tc>
          <w:tcPr>
            <w:tcW w:w="0" w:type="auto"/>
            <w:vMerge/>
            <w:vAlign w:val="center"/>
          </w:tcPr>
          <w:p w:rsidR="005753A0" w:rsidRDefault="005753A0">
            <w:pPr>
              <w:spacing w:after="0" w:line="240" w:lineRule="auto"/>
              <w:jc w:val="both"/>
              <w:rPr>
                <w:rFonts w:ascii="Times New Roman" w:eastAsia="Calibri" w:hAnsi="Times New Roman" w:cs="Times New Roman"/>
                <w:noProof/>
              </w:rPr>
            </w:pPr>
          </w:p>
        </w:tc>
        <w:tc>
          <w:tcPr>
            <w:tcW w:w="0" w:type="auto"/>
            <w:vAlign w:val="center"/>
          </w:tcPr>
          <w:p w:rsidR="005753A0" w:rsidRDefault="00761EEB">
            <w:pPr>
              <w:spacing w:after="0" w:line="240" w:lineRule="auto"/>
              <w:jc w:val="both"/>
              <w:rPr>
                <w:rFonts w:ascii="Times New Roman" w:eastAsia="Calibri" w:hAnsi="Times New Roman" w:cs="Times New Roman"/>
                <w:noProof/>
              </w:rPr>
            </w:pPr>
            <w:r>
              <w:rPr>
                <w:rFonts w:ascii="Times New Roman" w:eastAsia="Calibri" w:hAnsi="Times New Roman" w:cs="Times New Roman"/>
                <w:noProof/>
              </w:rPr>
              <w:t xml:space="preserve">Further map administrative arrangements </w:t>
            </w:r>
          </w:p>
        </w:tc>
        <w:tc>
          <w:tcPr>
            <w:tcW w:w="0" w:type="auto"/>
            <w:vAlign w:val="center"/>
          </w:tcPr>
          <w:p w:rsidR="005753A0" w:rsidRDefault="00761EEB">
            <w:pPr>
              <w:spacing w:after="0" w:line="240" w:lineRule="auto"/>
              <w:jc w:val="both"/>
              <w:rPr>
                <w:rFonts w:ascii="Times New Roman" w:eastAsia="Calibri" w:hAnsi="Times New Roman" w:cs="Times New Roman"/>
                <w:noProof/>
              </w:rPr>
            </w:pPr>
            <w:r>
              <w:rPr>
                <w:rFonts w:ascii="Times New Roman" w:eastAsia="Calibri" w:hAnsi="Times New Roman" w:cs="Times New Roman"/>
                <w:noProof/>
              </w:rPr>
              <w:t xml:space="preserve">Expert group (EG) </w:t>
            </w:r>
          </w:p>
        </w:tc>
        <w:tc>
          <w:tcPr>
            <w:tcW w:w="0" w:type="auto"/>
            <w:vAlign w:val="center"/>
          </w:tcPr>
          <w:p w:rsidR="005753A0" w:rsidRDefault="00761EEB">
            <w:pPr>
              <w:spacing w:after="0" w:line="240" w:lineRule="auto"/>
              <w:jc w:val="both"/>
              <w:rPr>
                <w:rFonts w:ascii="Times New Roman" w:eastAsia="Calibri" w:hAnsi="Times New Roman" w:cs="Times New Roman"/>
                <w:noProof/>
              </w:rPr>
            </w:pPr>
            <w:r>
              <w:rPr>
                <w:rFonts w:ascii="Times New Roman" w:eastAsia="Calibri" w:hAnsi="Times New Roman" w:cs="Times New Roman"/>
                <w:noProof/>
              </w:rPr>
              <w:t>Q4 2017</w:t>
            </w:r>
          </w:p>
        </w:tc>
      </w:tr>
      <w:tr w:rsidR="005753A0">
        <w:tc>
          <w:tcPr>
            <w:tcW w:w="0" w:type="auto"/>
            <w:vMerge/>
            <w:vAlign w:val="center"/>
          </w:tcPr>
          <w:p w:rsidR="005753A0" w:rsidRDefault="005753A0">
            <w:pPr>
              <w:spacing w:after="0" w:line="240" w:lineRule="auto"/>
              <w:jc w:val="both"/>
              <w:rPr>
                <w:rFonts w:ascii="Times New Roman" w:eastAsia="Calibri" w:hAnsi="Times New Roman" w:cs="Times New Roman"/>
                <w:noProof/>
              </w:rPr>
            </w:pPr>
          </w:p>
        </w:tc>
        <w:tc>
          <w:tcPr>
            <w:tcW w:w="0" w:type="auto"/>
            <w:vAlign w:val="center"/>
          </w:tcPr>
          <w:p w:rsidR="005753A0" w:rsidRDefault="00761EEB">
            <w:pPr>
              <w:spacing w:after="0" w:line="240" w:lineRule="auto"/>
              <w:jc w:val="both"/>
              <w:rPr>
                <w:rFonts w:ascii="Times New Roman" w:eastAsia="Calibri" w:hAnsi="Times New Roman" w:cs="Times New Roman"/>
                <w:noProof/>
              </w:rPr>
            </w:pPr>
            <w:r>
              <w:rPr>
                <w:rFonts w:ascii="Times New Roman" w:eastAsia="Calibri" w:hAnsi="Times New Roman" w:cs="Times New Roman"/>
                <w:noProof/>
              </w:rPr>
              <w:t xml:space="preserve">Ensure that all </w:t>
            </w:r>
            <w:r>
              <w:rPr>
                <w:rFonts w:ascii="Times New Roman" w:eastAsia="Calibri" w:hAnsi="Times New Roman" w:cs="Times New Roman"/>
                <w:noProof/>
              </w:rPr>
              <w:t>fund notification-related fees are published in a comprehensive and user-friendly manner on a single website</w:t>
            </w:r>
          </w:p>
        </w:tc>
        <w:tc>
          <w:tcPr>
            <w:tcW w:w="0" w:type="auto"/>
            <w:vAlign w:val="center"/>
          </w:tcPr>
          <w:p w:rsidR="005753A0" w:rsidRDefault="00761EEB">
            <w:pPr>
              <w:spacing w:after="0" w:line="240" w:lineRule="auto"/>
              <w:jc w:val="both"/>
              <w:rPr>
                <w:rFonts w:ascii="Times New Roman" w:eastAsia="Calibri" w:hAnsi="Times New Roman" w:cs="Times New Roman"/>
                <w:noProof/>
              </w:rPr>
            </w:pPr>
            <w:r>
              <w:rPr>
                <w:rFonts w:ascii="Times New Roman" w:eastAsia="Calibri" w:hAnsi="Times New Roman" w:cs="Times New Roman"/>
                <w:noProof/>
              </w:rPr>
              <w:t>MS</w:t>
            </w:r>
          </w:p>
        </w:tc>
        <w:tc>
          <w:tcPr>
            <w:tcW w:w="0" w:type="auto"/>
            <w:vAlign w:val="center"/>
          </w:tcPr>
          <w:p w:rsidR="005753A0" w:rsidRDefault="00761EEB">
            <w:pPr>
              <w:spacing w:after="0" w:line="240" w:lineRule="auto"/>
              <w:jc w:val="both"/>
              <w:rPr>
                <w:rFonts w:ascii="Times New Roman" w:eastAsia="Calibri" w:hAnsi="Times New Roman" w:cs="Times New Roman"/>
                <w:noProof/>
              </w:rPr>
            </w:pPr>
            <w:r>
              <w:rPr>
                <w:rFonts w:ascii="Times New Roman" w:eastAsia="Calibri" w:hAnsi="Times New Roman" w:cs="Times New Roman"/>
                <w:noProof/>
              </w:rPr>
              <w:t>Q4 2017</w:t>
            </w:r>
          </w:p>
        </w:tc>
      </w:tr>
      <w:tr w:rsidR="005753A0">
        <w:tc>
          <w:tcPr>
            <w:tcW w:w="0" w:type="auto"/>
            <w:vMerge/>
            <w:vAlign w:val="center"/>
          </w:tcPr>
          <w:p w:rsidR="005753A0" w:rsidRDefault="005753A0">
            <w:pPr>
              <w:spacing w:after="0" w:line="240" w:lineRule="auto"/>
              <w:jc w:val="both"/>
              <w:rPr>
                <w:rFonts w:ascii="Times New Roman" w:eastAsia="Calibri" w:hAnsi="Times New Roman" w:cs="Times New Roman"/>
                <w:noProof/>
              </w:rPr>
            </w:pPr>
          </w:p>
        </w:tc>
        <w:tc>
          <w:tcPr>
            <w:tcW w:w="0" w:type="auto"/>
            <w:vAlign w:val="center"/>
          </w:tcPr>
          <w:p w:rsidR="005753A0" w:rsidRDefault="00761EEB">
            <w:pPr>
              <w:spacing w:after="0" w:line="240" w:lineRule="auto"/>
              <w:jc w:val="both"/>
              <w:rPr>
                <w:rFonts w:ascii="Times New Roman" w:eastAsia="Calibri" w:hAnsi="Times New Roman" w:cs="Times New Roman"/>
                <w:noProof/>
              </w:rPr>
            </w:pPr>
            <w:r>
              <w:rPr>
                <w:rFonts w:ascii="Times New Roman" w:eastAsia="Calibri" w:hAnsi="Times New Roman" w:cs="Times New Roman"/>
                <w:noProof/>
              </w:rPr>
              <w:t>Consider setting up a single public domain for fee</w:t>
            </w:r>
            <w:r>
              <w:rPr>
                <w:rFonts w:ascii="Times New Roman" w:eastAsia="Calibri" w:hAnsi="Times New Roman" w:cs="Times New Roman"/>
                <w:noProof/>
              </w:rPr>
              <w:noBreakHyphen/>
              <w:t>related information, in the form of a comparative website or a central repository</w:t>
            </w:r>
          </w:p>
        </w:tc>
        <w:tc>
          <w:tcPr>
            <w:tcW w:w="0" w:type="auto"/>
            <w:vAlign w:val="center"/>
          </w:tcPr>
          <w:p w:rsidR="005753A0" w:rsidRDefault="00761EEB">
            <w:pPr>
              <w:spacing w:after="0" w:line="240" w:lineRule="auto"/>
              <w:jc w:val="both"/>
              <w:rPr>
                <w:rFonts w:ascii="Times New Roman" w:eastAsia="Calibri" w:hAnsi="Times New Roman" w:cs="Times New Roman"/>
                <w:noProof/>
              </w:rPr>
            </w:pPr>
            <w:r>
              <w:rPr>
                <w:rFonts w:ascii="Times New Roman" w:eastAsia="Calibri" w:hAnsi="Times New Roman" w:cs="Times New Roman"/>
                <w:noProof/>
              </w:rPr>
              <w:t>EG with ESMA</w:t>
            </w:r>
          </w:p>
        </w:tc>
        <w:tc>
          <w:tcPr>
            <w:tcW w:w="0" w:type="auto"/>
            <w:vAlign w:val="center"/>
          </w:tcPr>
          <w:p w:rsidR="005753A0" w:rsidRDefault="00761EEB">
            <w:pPr>
              <w:spacing w:after="0" w:line="240" w:lineRule="auto"/>
              <w:jc w:val="both"/>
              <w:rPr>
                <w:rFonts w:ascii="Times New Roman" w:eastAsia="Calibri" w:hAnsi="Times New Roman" w:cs="Times New Roman"/>
                <w:noProof/>
              </w:rPr>
            </w:pPr>
            <w:r>
              <w:rPr>
                <w:rFonts w:ascii="Times New Roman" w:eastAsia="Calibri" w:hAnsi="Times New Roman" w:cs="Times New Roman"/>
                <w:noProof/>
              </w:rPr>
              <w:t>Q4 2017</w:t>
            </w:r>
          </w:p>
        </w:tc>
      </w:tr>
      <w:tr w:rsidR="005753A0">
        <w:trPr>
          <w:trHeight w:val="1396"/>
        </w:trPr>
        <w:tc>
          <w:tcPr>
            <w:tcW w:w="0" w:type="auto"/>
            <w:vAlign w:val="center"/>
          </w:tcPr>
          <w:p w:rsidR="005753A0" w:rsidRDefault="00761EEB">
            <w:pPr>
              <w:spacing w:after="0" w:line="240" w:lineRule="auto"/>
              <w:jc w:val="both"/>
              <w:rPr>
                <w:rFonts w:ascii="Times New Roman" w:eastAsia="Calibri" w:hAnsi="Times New Roman" w:cs="Times New Roman"/>
                <w:noProof/>
              </w:rPr>
            </w:pPr>
            <w:r>
              <w:rPr>
                <w:rFonts w:ascii="Times New Roman" w:eastAsia="Calibri" w:hAnsi="Times New Roman" w:cs="Times New Roman"/>
                <w:noProof/>
              </w:rPr>
              <w:t>Pension funds</w:t>
            </w:r>
          </w:p>
        </w:tc>
        <w:tc>
          <w:tcPr>
            <w:tcW w:w="0" w:type="auto"/>
            <w:vAlign w:val="center"/>
          </w:tcPr>
          <w:p w:rsidR="005753A0" w:rsidRDefault="00761EEB">
            <w:pPr>
              <w:spacing w:after="0" w:line="240" w:lineRule="auto"/>
              <w:jc w:val="both"/>
              <w:rPr>
                <w:rFonts w:ascii="Times New Roman" w:eastAsia="Calibri" w:hAnsi="Times New Roman" w:cs="Times New Roman"/>
                <w:noProof/>
              </w:rPr>
            </w:pPr>
            <w:r>
              <w:rPr>
                <w:rFonts w:ascii="Times New Roman" w:eastAsia="Calibri" w:hAnsi="Times New Roman" w:cs="Times New Roman"/>
                <w:noProof/>
              </w:rPr>
              <w:t xml:space="preserve">Identify the drivers in cross-border investment, promote best practices in the MS and raise awareness of new opportunities under the Investment Plan for Europe, involving </w:t>
            </w:r>
            <w:r>
              <w:rPr>
                <w:rFonts w:ascii="Times New Roman" w:hAnsi="Times New Roman"/>
                <w:noProof/>
              </w:rPr>
              <w:t>national promotional banks</w:t>
            </w:r>
          </w:p>
        </w:tc>
        <w:tc>
          <w:tcPr>
            <w:tcW w:w="0" w:type="auto"/>
            <w:vAlign w:val="center"/>
          </w:tcPr>
          <w:p w:rsidR="005753A0" w:rsidRDefault="00761EEB">
            <w:pPr>
              <w:spacing w:after="0" w:line="240" w:lineRule="auto"/>
              <w:jc w:val="both"/>
              <w:rPr>
                <w:rFonts w:ascii="Times New Roman" w:eastAsia="Calibri" w:hAnsi="Times New Roman" w:cs="Times New Roman"/>
                <w:noProof/>
              </w:rPr>
            </w:pPr>
            <w:r>
              <w:rPr>
                <w:rFonts w:ascii="Times New Roman" w:eastAsia="Calibri" w:hAnsi="Times New Roman" w:cs="Times New Roman"/>
                <w:noProof/>
              </w:rPr>
              <w:t>Sub-group of intereste</w:t>
            </w:r>
            <w:r>
              <w:rPr>
                <w:rFonts w:ascii="Times New Roman" w:eastAsia="Calibri" w:hAnsi="Times New Roman" w:cs="Times New Roman"/>
                <w:noProof/>
              </w:rPr>
              <w:t>d MS, with the participation of the pension fund industry</w:t>
            </w:r>
          </w:p>
        </w:tc>
        <w:tc>
          <w:tcPr>
            <w:tcW w:w="0" w:type="auto"/>
            <w:vAlign w:val="center"/>
          </w:tcPr>
          <w:p w:rsidR="005753A0" w:rsidRDefault="00761EEB">
            <w:pPr>
              <w:spacing w:after="0" w:line="240" w:lineRule="auto"/>
              <w:jc w:val="both"/>
              <w:rPr>
                <w:rFonts w:ascii="Times New Roman" w:eastAsia="Calibri" w:hAnsi="Times New Roman" w:cs="Times New Roman"/>
                <w:noProof/>
              </w:rPr>
            </w:pPr>
            <w:r>
              <w:rPr>
                <w:rFonts w:ascii="Times New Roman" w:eastAsia="Calibri" w:hAnsi="Times New Roman" w:cs="Times New Roman"/>
                <w:noProof/>
              </w:rPr>
              <w:t>Q3 2017</w:t>
            </w:r>
          </w:p>
        </w:tc>
      </w:tr>
      <w:tr w:rsidR="005753A0">
        <w:tc>
          <w:tcPr>
            <w:tcW w:w="0" w:type="auto"/>
            <w:vAlign w:val="center"/>
          </w:tcPr>
          <w:p w:rsidR="005753A0" w:rsidRDefault="00761EEB">
            <w:pPr>
              <w:spacing w:after="0" w:line="240" w:lineRule="auto"/>
              <w:jc w:val="both"/>
              <w:rPr>
                <w:rFonts w:ascii="Times New Roman" w:eastAsia="Calibri" w:hAnsi="Times New Roman" w:cs="Times New Roman"/>
                <w:noProof/>
              </w:rPr>
            </w:pPr>
            <w:r>
              <w:rPr>
                <w:rFonts w:ascii="Times New Roman" w:eastAsia="Calibri" w:hAnsi="Times New Roman" w:cs="Times New Roman"/>
                <w:noProof/>
              </w:rPr>
              <w:t>Residence requirements</w:t>
            </w:r>
          </w:p>
        </w:tc>
        <w:tc>
          <w:tcPr>
            <w:tcW w:w="0" w:type="auto"/>
            <w:vAlign w:val="center"/>
          </w:tcPr>
          <w:p w:rsidR="005753A0" w:rsidRDefault="00761EEB">
            <w:pPr>
              <w:spacing w:after="0" w:line="240" w:lineRule="auto"/>
              <w:jc w:val="both"/>
              <w:rPr>
                <w:rFonts w:ascii="Times New Roman" w:eastAsia="Calibri" w:hAnsi="Times New Roman" w:cs="Times New Roman"/>
                <w:noProof/>
              </w:rPr>
            </w:pPr>
            <w:r>
              <w:rPr>
                <w:rFonts w:ascii="Times New Roman" w:eastAsia="Calibri" w:hAnsi="Times New Roman" w:cs="Times New Roman"/>
                <w:noProof/>
              </w:rPr>
              <w:t>Remove residence requirements from legislation and administrative practices in respect of managers residing in the EU, where unjustified and disproportionate</w:t>
            </w:r>
          </w:p>
        </w:tc>
        <w:tc>
          <w:tcPr>
            <w:tcW w:w="0" w:type="auto"/>
            <w:vAlign w:val="center"/>
          </w:tcPr>
          <w:p w:rsidR="005753A0" w:rsidRDefault="00761EEB">
            <w:pPr>
              <w:spacing w:after="0" w:line="240" w:lineRule="auto"/>
              <w:jc w:val="both"/>
              <w:rPr>
                <w:rFonts w:ascii="Times New Roman" w:eastAsia="Calibri" w:hAnsi="Times New Roman" w:cs="Times New Roman"/>
                <w:noProof/>
              </w:rPr>
            </w:pPr>
            <w:r>
              <w:rPr>
                <w:rFonts w:ascii="Times New Roman" w:eastAsia="Calibri" w:hAnsi="Times New Roman" w:cs="Times New Roman"/>
                <w:noProof/>
              </w:rPr>
              <w:t xml:space="preserve">MS </w:t>
            </w:r>
          </w:p>
        </w:tc>
        <w:tc>
          <w:tcPr>
            <w:tcW w:w="0" w:type="auto"/>
            <w:vAlign w:val="center"/>
          </w:tcPr>
          <w:p w:rsidR="005753A0" w:rsidRDefault="00761EEB">
            <w:pPr>
              <w:spacing w:after="0" w:line="240" w:lineRule="auto"/>
              <w:jc w:val="both"/>
              <w:rPr>
                <w:rFonts w:ascii="Times New Roman" w:eastAsia="Calibri" w:hAnsi="Times New Roman" w:cs="Times New Roman"/>
                <w:noProof/>
              </w:rPr>
            </w:pPr>
            <w:r>
              <w:rPr>
                <w:rFonts w:ascii="Times New Roman" w:eastAsia="Calibri" w:hAnsi="Times New Roman" w:cs="Times New Roman"/>
                <w:noProof/>
              </w:rPr>
              <w:t>Q4 2017</w:t>
            </w:r>
          </w:p>
        </w:tc>
      </w:tr>
      <w:tr w:rsidR="005753A0">
        <w:trPr>
          <w:trHeight w:val="769"/>
        </w:trPr>
        <w:tc>
          <w:tcPr>
            <w:tcW w:w="0" w:type="auto"/>
            <w:vMerge w:val="restart"/>
            <w:vAlign w:val="center"/>
          </w:tcPr>
          <w:p w:rsidR="005753A0" w:rsidRDefault="00761EEB">
            <w:pPr>
              <w:spacing w:after="0" w:line="240" w:lineRule="auto"/>
              <w:jc w:val="both"/>
              <w:rPr>
                <w:rFonts w:ascii="Times New Roman" w:eastAsia="Calibri" w:hAnsi="Times New Roman" w:cs="Times New Roman"/>
                <w:noProof/>
              </w:rPr>
            </w:pPr>
            <w:r>
              <w:rPr>
                <w:rFonts w:ascii="Times New Roman" w:eastAsia="Calibri" w:hAnsi="Times New Roman" w:cs="Times New Roman"/>
                <w:noProof/>
              </w:rPr>
              <w:t>Financial literacy</w:t>
            </w:r>
          </w:p>
        </w:tc>
        <w:tc>
          <w:tcPr>
            <w:tcW w:w="0" w:type="auto"/>
            <w:vAlign w:val="center"/>
          </w:tcPr>
          <w:p w:rsidR="005753A0" w:rsidRDefault="00761EEB">
            <w:pPr>
              <w:spacing w:line="240" w:lineRule="auto"/>
              <w:jc w:val="both"/>
              <w:rPr>
                <w:rFonts w:ascii="Times New Roman" w:eastAsia="Calibri" w:hAnsi="Times New Roman" w:cs="Times New Roman"/>
                <w:noProof/>
              </w:rPr>
            </w:pPr>
            <w:r>
              <w:rPr>
                <w:rFonts w:ascii="Times New Roman" w:eastAsia="Calibri" w:hAnsi="Times New Roman" w:cs="Times New Roman"/>
                <w:noProof/>
              </w:rPr>
              <w:t>Start exchanging best practices on financial literacy programmes, taking into account the cross-border dimension</w:t>
            </w:r>
          </w:p>
        </w:tc>
        <w:tc>
          <w:tcPr>
            <w:tcW w:w="0" w:type="auto"/>
            <w:vAlign w:val="center"/>
          </w:tcPr>
          <w:p w:rsidR="005753A0" w:rsidRDefault="00761EEB">
            <w:pPr>
              <w:spacing w:after="0" w:line="240" w:lineRule="auto"/>
              <w:jc w:val="both"/>
              <w:rPr>
                <w:rFonts w:ascii="Times New Roman" w:eastAsia="Calibri" w:hAnsi="Times New Roman" w:cs="Times New Roman"/>
                <w:noProof/>
              </w:rPr>
            </w:pPr>
            <w:r>
              <w:rPr>
                <w:rFonts w:ascii="Times New Roman" w:eastAsia="Calibri" w:hAnsi="Times New Roman" w:cs="Times New Roman"/>
                <w:noProof/>
              </w:rPr>
              <w:t>Sub-group of interested MS chaired by Croatia</w:t>
            </w:r>
          </w:p>
        </w:tc>
        <w:tc>
          <w:tcPr>
            <w:tcW w:w="0" w:type="auto"/>
            <w:vAlign w:val="center"/>
          </w:tcPr>
          <w:p w:rsidR="005753A0" w:rsidRDefault="00761EEB">
            <w:pPr>
              <w:spacing w:after="0" w:line="240" w:lineRule="auto"/>
              <w:jc w:val="both"/>
              <w:rPr>
                <w:rFonts w:ascii="Times New Roman" w:eastAsia="Calibri" w:hAnsi="Times New Roman" w:cs="Times New Roman"/>
                <w:noProof/>
              </w:rPr>
            </w:pPr>
            <w:r>
              <w:rPr>
                <w:rFonts w:ascii="Times New Roman" w:eastAsia="Calibri" w:hAnsi="Times New Roman" w:cs="Times New Roman"/>
                <w:noProof/>
              </w:rPr>
              <w:t>Q2 2017</w:t>
            </w:r>
          </w:p>
        </w:tc>
      </w:tr>
      <w:tr w:rsidR="005753A0">
        <w:trPr>
          <w:trHeight w:val="1127"/>
        </w:trPr>
        <w:tc>
          <w:tcPr>
            <w:tcW w:w="0" w:type="auto"/>
            <w:vMerge/>
            <w:vAlign w:val="center"/>
          </w:tcPr>
          <w:p w:rsidR="005753A0" w:rsidRDefault="005753A0">
            <w:pPr>
              <w:spacing w:after="0" w:line="240" w:lineRule="auto"/>
              <w:jc w:val="both"/>
              <w:rPr>
                <w:rFonts w:ascii="Times New Roman" w:eastAsia="Calibri" w:hAnsi="Times New Roman" w:cs="Times New Roman"/>
                <w:noProof/>
              </w:rPr>
            </w:pPr>
          </w:p>
        </w:tc>
        <w:tc>
          <w:tcPr>
            <w:tcW w:w="0" w:type="auto"/>
            <w:vAlign w:val="center"/>
          </w:tcPr>
          <w:p w:rsidR="005753A0" w:rsidRDefault="00761EEB">
            <w:pPr>
              <w:spacing w:line="240" w:lineRule="auto"/>
              <w:jc w:val="both"/>
              <w:rPr>
                <w:rFonts w:ascii="Times New Roman" w:eastAsia="Calibri" w:hAnsi="Times New Roman" w:cs="Times New Roman"/>
                <w:noProof/>
              </w:rPr>
            </w:pPr>
            <w:r>
              <w:rPr>
                <w:rFonts w:ascii="Times New Roman" w:eastAsia="Calibri" w:hAnsi="Times New Roman" w:cs="Times New Roman"/>
                <w:noProof/>
              </w:rPr>
              <w:t xml:space="preserve">Contribute to possible CMU initiatives for the development </w:t>
            </w:r>
            <w:r>
              <w:rPr>
                <w:rFonts w:ascii="Times New Roman" w:eastAsia="Calibri" w:hAnsi="Times New Roman" w:cs="Times New Roman"/>
                <w:noProof/>
              </w:rPr>
              <w:t>of innovative solutions to increase SME knowledge and support them in accessing alternative sources of finance</w:t>
            </w:r>
          </w:p>
        </w:tc>
        <w:tc>
          <w:tcPr>
            <w:tcW w:w="0" w:type="auto"/>
            <w:vAlign w:val="center"/>
          </w:tcPr>
          <w:p w:rsidR="005753A0" w:rsidRDefault="00761EEB">
            <w:pPr>
              <w:spacing w:after="0" w:line="240" w:lineRule="auto"/>
              <w:jc w:val="both"/>
              <w:rPr>
                <w:rFonts w:ascii="Times New Roman" w:eastAsia="Calibri" w:hAnsi="Times New Roman" w:cs="Times New Roman"/>
                <w:noProof/>
              </w:rPr>
            </w:pPr>
            <w:r>
              <w:rPr>
                <w:rFonts w:ascii="Times New Roman" w:eastAsia="Calibri" w:hAnsi="Times New Roman" w:cs="Times New Roman"/>
                <w:noProof/>
              </w:rPr>
              <w:t>EG</w:t>
            </w:r>
          </w:p>
        </w:tc>
        <w:tc>
          <w:tcPr>
            <w:tcW w:w="0" w:type="auto"/>
            <w:vAlign w:val="center"/>
          </w:tcPr>
          <w:p w:rsidR="005753A0" w:rsidRDefault="00761EEB">
            <w:pPr>
              <w:spacing w:after="0" w:line="240" w:lineRule="auto"/>
              <w:jc w:val="both"/>
              <w:rPr>
                <w:rFonts w:ascii="Times New Roman" w:eastAsia="Calibri" w:hAnsi="Times New Roman" w:cs="Times New Roman"/>
                <w:noProof/>
              </w:rPr>
            </w:pPr>
            <w:r>
              <w:rPr>
                <w:rFonts w:ascii="Times New Roman" w:eastAsia="Calibri" w:hAnsi="Times New Roman" w:cs="Times New Roman"/>
                <w:noProof/>
              </w:rPr>
              <w:t>2018</w:t>
            </w:r>
          </w:p>
        </w:tc>
      </w:tr>
      <w:tr w:rsidR="005753A0">
        <w:trPr>
          <w:trHeight w:val="761"/>
        </w:trPr>
        <w:tc>
          <w:tcPr>
            <w:tcW w:w="0" w:type="auto"/>
            <w:vMerge w:val="restart"/>
            <w:vAlign w:val="center"/>
          </w:tcPr>
          <w:p w:rsidR="005753A0" w:rsidRDefault="00761EEB">
            <w:pPr>
              <w:spacing w:after="0" w:line="240" w:lineRule="auto"/>
              <w:jc w:val="both"/>
              <w:rPr>
                <w:rFonts w:ascii="Times New Roman" w:eastAsia="Calibri" w:hAnsi="Times New Roman" w:cs="Times New Roman"/>
                <w:noProof/>
              </w:rPr>
            </w:pPr>
            <w:r>
              <w:rPr>
                <w:rFonts w:ascii="Times New Roman" w:eastAsia="Calibri" w:hAnsi="Times New Roman" w:cs="Times New Roman"/>
                <w:noProof/>
              </w:rPr>
              <w:t>WHT</w:t>
            </w:r>
          </w:p>
        </w:tc>
        <w:tc>
          <w:tcPr>
            <w:tcW w:w="0" w:type="auto"/>
            <w:vAlign w:val="center"/>
          </w:tcPr>
          <w:p w:rsidR="005753A0" w:rsidRDefault="00761EEB">
            <w:pPr>
              <w:spacing w:line="240" w:lineRule="auto"/>
              <w:jc w:val="both"/>
              <w:rPr>
                <w:rFonts w:ascii="Times New Roman" w:eastAsia="Calibri" w:hAnsi="Times New Roman" w:cs="Times New Roman"/>
                <w:noProof/>
              </w:rPr>
            </w:pPr>
            <w:r>
              <w:rPr>
                <w:rFonts w:ascii="Times New Roman" w:eastAsia="Calibri" w:hAnsi="Times New Roman" w:cs="Times New Roman"/>
                <w:noProof/>
              </w:rPr>
              <w:t xml:space="preserve">Assess and confirm where appropriate the relevance of the nine WHT best practices identified and agree on a list that could be </w:t>
            </w:r>
            <w:r>
              <w:rPr>
                <w:rFonts w:ascii="Times New Roman" w:eastAsia="Calibri" w:hAnsi="Times New Roman" w:cs="Times New Roman"/>
                <w:noProof/>
              </w:rPr>
              <w:t>reflected in a scoreboard</w:t>
            </w:r>
          </w:p>
        </w:tc>
        <w:tc>
          <w:tcPr>
            <w:tcW w:w="0" w:type="auto"/>
            <w:vAlign w:val="center"/>
          </w:tcPr>
          <w:p w:rsidR="005753A0" w:rsidRDefault="00761EEB">
            <w:pPr>
              <w:spacing w:after="0" w:line="240" w:lineRule="auto"/>
              <w:jc w:val="both"/>
              <w:rPr>
                <w:rFonts w:ascii="Times New Roman" w:eastAsia="Calibri" w:hAnsi="Times New Roman" w:cs="Times New Roman"/>
                <w:noProof/>
              </w:rPr>
            </w:pPr>
            <w:r>
              <w:rPr>
                <w:rFonts w:ascii="Times New Roman" w:eastAsia="Calibri" w:hAnsi="Times New Roman" w:cs="Times New Roman"/>
                <w:noProof/>
              </w:rPr>
              <w:t>MS tax experts</w:t>
            </w:r>
          </w:p>
        </w:tc>
        <w:tc>
          <w:tcPr>
            <w:tcW w:w="0" w:type="auto"/>
            <w:vAlign w:val="center"/>
          </w:tcPr>
          <w:p w:rsidR="005753A0" w:rsidRDefault="00761EEB">
            <w:pPr>
              <w:spacing w:after="0" w:line="240" w:lineRule="auto"/>
              <w:jc w:val="both"/>
              <w:rPr>
                <w:rFonts w:ascii="Times New Roman" w:eastAsia="Calibri" w:hAnsi="Times New Roman" w:cs="Times New Roman"/>
                <w:noProof/>
              </w:rPr>
            </w:pPr>
            <w:r>
              <w:rPr>
                <w:rFonts w:ascii="Times New Roman" w:eastAsia="Calibri" w:hAnsi="Times New Roman" w:cs="Times New Roman"/>
                <w:noProof/>
              </w:rPr>
              <w:t>Q2 2017</w:t>
            </w:r>
          </w:p>
        </w:tc>
      </w:tr>
      <w:tr w:rsidR="005753A0">
        <w:trPr>
          <w:trHeight w:val="1099"/>
        </w:trPr>
        <w:tc>
          <w:tcPr>
            <w:tcW w:w="0" w:type="auto"/>
            <w:vMerge/>
            <w:vAlign w:val="center"/>
          </w:tcPr>
          <w:p w:rsidR="005753A0" w:rsidRDefault="005753A0">
            <w:pPr>
              <w:spacing w:after="0" w:line="240" w:lineRule="auto"/>
              <w:jc w:val="both"/>
              <w:rPr>
                <w:rFonts w:ascii="Times New Roman" w:eastAsia="Calibri" w:hAnsi="Times New Roman" w:cs="Times New Roman"/>
                <w:noProof/>
              </w:rPr>
            </w:pPr>
          </w:p>
        </w:tc>
        <w:tc>
          <w:tcPr>
            <w:tcW w:w="0" w:type="auto"/>
            <w:vAlign w:val="center"/>
          </w:tcPr>
          <w:p w:rsidR="005753A0" w:rsidRDefault="00761EEB">
            <w:pPr>
              <w:spacing w:line="240" w:lineRule="auto"/>
              <w:jc w:val="both"/>
              <w:rPr>
                <w:rFonts w:ascii="Times New Roman" w:eastAsia="Calibri" w:hAnsi="Times New Roman" w:cs="Times New Roman"/>
                <w:noProof/>
              </w:rPr>
            </w:pPr>
            <w:r>
              <w:rPr>
                <w:rFonts w:ascii="Times New Roman" w:eastAsia="Calibri" w:hAnsi="Times New Roman" w:cs="Times New Roman"/>
                <w:noProof/>
              </w:rPr>
              <w:t>Discuss the way forward in a tax working group, with a view to each MS committing to a list of best practices to improve the status quo by 2019</w:t>
            </w:r>
          </w:p>
        </w:tc>
        <w:tc>
          <w:tcPr>
            <w:tcW w:w="0" w:type="auto"/>
            <w:vAlign w:val="center"/>
          </w:tcPr>
          <w:p w:rsidR="005753A0" w:rsidRDefault="00761EEB">
            <w:pPr>
              <w:spacing w:after="0" w:line="240" w:lineRule="auto"/>
              <w:jc w:val="both"/>
              <w:rPr>
                <w:rFonts w:ascii="Times New Roman" w:eastAsia="Calibri" w:hAnsi="Times New Roman" w:cs="Times New Roman"/>
                <w:noProof/>
              </w:rPr>
            </w:pPr>
            <w:r>
              <w:rPr>
                <w:rFonts w:ascii="Times New Roman" w:eastAsia="Calibri" w:hAnsi="Times New Roman" w:cs="Times New Roman"/>
                <w:noProof/>
              </w:rPr>
              <w:t>MS tax experts</w:t>
            </w:r>
          </w:p>
        </w:tc>
        <w:tc>
          <w:tcPr>
            <w:tcW w:w="0" w:type="auto"/>
            <w:vAlign w:val="center"/>
          </w:tcPr>
          <w:p w:rsidR="005753A0" w:rsidRDefault="00761EEB">
            <w:pPr>
              <w:spacing w:after="0" w:line="240" w:lineRule="auto"/>
              <w:jc w:val="both"/>
              <w:rPr>
                <w:rFonts w:ascii="Times New Roman" w:eastAsia="Calibri" w:hAnsi="Times New Roman" w:cs="Times New Roman"/>
                <w:noProof/>
              </w:rPr>
            </w:pPr>
            <w:r>
              <w:rPr>
                <w:rFonts w:ascii="Times New Roman" w:eastAsia="Calibri" w:hAnsi="Times New Roman" w:cs="Times New Roman"/>
                <w:noProof/>
              </w:rPr>
              <w:t>Q3 2017</w:t>
            </w:r>
          </w:p>
        </w:tc>
      </w:tr>
      <w:tr w:rsidR="005753A0">
        <w:trPr>
          <w:trHeight w:val="690"/>
        </w:trPr>
        <w:tc>
          <w:tcPr>
            <w:tcW w:w="0" w:type="auto"/>
            <w:vMerge/>
            <w:vAlign w:val="center"/>
          </w:tcPr>
          <w:p w:rsidR="005753A0" w:rsidRDefault="005753A0">
            <w:pPr>
              <w:spacing w:after="0" w:line="240" w:lineRule="auto"/>
              <w:jc w:val="both"/>
              <w:rPr>
                <w:rFonts w:ascii="Times New Roman" w:eastAsia="Calibri" w:hAnsi="Times New Roman" w:cs="Times New Roman"/>
                <w:noProof/>
              </w:rPr>
            </w:pPr>
          </w:p>
        </w:tc>
        <w:tc>
          <w:tcPr>
            <w:tcW w:w="0" w:type="auto"/>
            <w:vAlign w:val="center"/>
          </w:tcPr>
          <w:p w:rsidR="005753A0" w:rsidRDefault="00761EEB">
            <w:pPr>
              <w:spacing w:line="240" w:lineRule="auto"/>
              <w:jc w:val="both"/>
              <w:rPr>
                <w:noProof/>
              </w:rPr>
            </w:pPr>
            <w:r>
              <w:rPr>
                <w:rFonts w:ascii="Times New Roman" w:eastAsia="Calibri" w:hAnsi="Times New Roman" w:cs="Times New Roman"/>
                <w:noProof/>
              </w:rPr>
              <w:t xml:space="preserve">Work with national tax experts on a </w:t>
            </w:r>
            <w:r>
              <w:rPr>
                <w:rFonts w:ascii="Times New Roman" w:eastAsia="Calibri" w:hAnsi="Times New Roman" w:cs="Times New Roman"/>
                <w:noProof/>
              </w:rPr>
              <w:t>code of conduct on WHT relief principles</w:t>
            </w:r>
          </w:p>
        </w:tc>
        <w:tc>
          <w:tcPr>
            <w:tcW w:w="0" w:type="auto"/>
            <w:vAlign w:val="center"/>
          </w:tcPr>
          <w:p w:rsidR="005753A0" w:rsidRDefault="00761EEB">
            <w:pPr>
              <w:spacing w:after="0" w:line="240" w:lineRule="auto"/>
              <w:jc w:val="both"/>
              <w:rPr>
                <w:rFonts w:ascii="Times New Roman" w:eastAsia="Calibri" w:hAnsi="Times New Roman" w:cs="Times New Roman"/>
                <w:noProof/>
              </w:rPr>
            </w:pPr>
            <w:r>
              <w:rPr>
                <w:rFonts w:ascii="Times New Roman" w:eastAsia="Calibri" w:hAnsi="Times New Roman" w:cs="Times New Roman"/>
                <w:noProof/>
              </w:rPr>
              <w:t>MS tax experts</w:t>
            </w:r>
          </w:p>
        </w:tc>
        <w:tc>
          <w:tcPr>
            <w:tcW w:w="0" w:type="auto"/>
            <w:vAlign w:val="center"/>
          </w:tcPr>
          <w:p w:rsidR="005753A0" w:rsidRDefault="00761EEB">
            <w:pPr>
              <w:spacing w:after="0" w:line="240" w:lineRule="auto"/>
              <w:jc w:val="both"/>
              <w:rPr>
                <w:rFonts w:ascii="Times New Roman" w:eastAsia="Calibri" w:hAnsi="Times New Roman" w:cs="Times New Roman"/>
                <w:noProof/>
              </w:rPr>
            </w:pPr>
            <w:r>
              <w:rPr>
                <w:rFonts w:ascii="Times New Roman" w:eastAsia="Calibri" w:hAnsi="Times New Roman" w:cs="Times New Roman"/>
                <w:noProof/>
              </w:rPr>
              <w:t>Q4 2017</w:t>
            </w:r>
          </w:p>
        </w:tc>
      </w:tr>
    </w:tbl>
    <w:p w:rsidR="005753A0" w:rsidRDefault="005753A0">
      <w:pPr>
        <w:rPr>
          <w:noProof/>
        </w:rPr>
      </w:pPr>
    </w:p>
    <w:p w:rsidR="005753A0" w:rsidRDefault="005753A0">
      <w:pPr>
        <w:rPr>
          <w:noProof/>
        </w:rPr>
      </w:pPr>
    </w:p>
    <w:sectPr w:rsidR="005753A0">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53A0" w:rsidRDefault="00761EEB">
      <w:pPr>
        <w:spacing w:after="0" w:line="240" w:lineRule="auto"/>
      </w:pPr>
      <w:r>
        <w:separator/>
      </w:r>
    </w:p>
  </w:endnote>
  <w:endnote w:type="continuationSeparator" w:id="0">
    <w:p w:rsidR="005753A0" w:rsidRDefault="00761E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TimesNewRoman">
    <w:altName w:val="Times New Roman"/>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3A0" w:rsidRDefault="005753A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3A0" w:rsidRDefault="00761EEB">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3A0" w:rsidRDefault="005753A0">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3A0" w:rsidRDefault="005753A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8708172"/>
      <w:docPartObj>
        <w:docPartGallery w:val="Page Numbers (Bottom of Page)"/>
        <w:docPartUnique/>
      </w:docPartObj>
    </w:sdtPr>
    <w:sdtEndPr>
      <w:rPr>
        <w:rFonts w:ascii="Times New Roman" w:hAnsi="Times New Roman" w:cs="Times New Roman"/>
        <w:sz w:val="20"/>
        <w:szCs w:val="20"/>
      </w:rPr>
    </w:sdtEndPr>
    <w:sdtContent>
      <w:p w:rsidR="005753A0" w:rsidRDefault="00761EEB">
        <w:pPr>
          <w:pStyle w:val="Footer"/>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2</w:t>
        </w:r>
        <w:r>
          <w:rPr>
            <w:rFonts w:ascii="Times New Roman" w:hAnsi="Times New Roman" w:cs="Times New Roman"/>
            <w:sz w:val="20"/>
            <w:szCs w:val="20"/>
          </w:rPr>
          <w:fldChar w:fldCharType="end"/>
        </w:r>
      </w:p>
    </w:sdtContent>
  </w:sdt>
  <w:p w:rsidR="005753A0" w:rsidRDefault="005753A0">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3A0" w:rsidRDefault="005753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53A0" w:rsidRDefault="00761EEB">
      <w:pPr>
        <w:spacing w:after="0" w:line="240" w:lineRule="auto"/>
      </w:pPr>
      <w:r>
        <w:separator/>
      </w:r>
    </w:p>
  </w:footnote>
  <w:footnote w:type="continuationSeparator" w:id="0">
    <w:p w:rsidR="005753A0" w:rsidRDefault="00761EEB">
      <w:pPr>
        <w:spacing w:after="0" w:line="240" w:lineRule="auto"/>
      </w:pPr>
      <w:r>
        <w:continuationSeparator/>
      </w:r>
    </w:p>
  </w:footnote>
  <w:footnote w:id="1">
    <w:p w:rsidR="005753A0" w:rsidRDefault="00761EEB">
      <w:pPr>
        <w:pStyle w:val="FootnoteText"/>
        <w:spacing w:after="120"/>
        <w:ind w:left="284" w:hanging="284"/>
      </w:pPr>
      <w:r>
        <w:rPr>
          <w:rStyle w:val="FootnoteReference"/>
        </w:rPr>
        <w:footnoteRef/>
      </w:r>
      <w:r>
        <w:rPr>
          <w:lang w:val="en-GB"/>
        </w:rPr>
        <w:tab/>
      </w:r>
      <w:r>
        <w:t xml:space="preserve">The SRSS was established in July 2015 to provide technical support to Member States, upon their request, in pursuing growth-enhancing structural </w:t>
      </w:r>
      <w:r>
        <w:t xml:space="preserve">reforms. The Commission has proposed a Structural Reform Support Programme (SRSP) in order to strengthen the overall capacity of Member States to prepare and implement institutional, structural and administrative reforms. This includes providing technical </w:t>
      </w:r>
      <w:r>
        <w:t>assistance to Member States in the area of capital markets development.</w:t>
      </w:r>
    </w:p>
  </w:footnote>
  <w:footnote w:id="2">
    <w:p w:rsidR="005753A0" w:rsidRDefault="00761EEB">
      <w:pPr>
        <w:pStyle w:val="FootnoteText"/>
        <w:spacing w:after="120"/>
        <w:ind w:left="284" w:hanging="284"/>
        <w:rPr>
          <w:lang w:val="en-GB"/>
        </w:rPr>
      </w:pPr>
      <w:r>
        <w:rPr>
          <w:vertAlign w:val="superscript"/>
          <w:lang w:val="en-GB"/>
        </w:rPr>
        <w:footnoteRef/>
      </w:r>
      <w:r>
        <w:rPr>
          <w:lang w:val="en-GB"/>
        </w:rPr>
        <w:tab/>
        <w:t xml:space="preserve">In particular, the </w:t>
      </w:r>
      <w:r>
        <w:rPr>
          <w:color w:val="000000" w:themeColor="text1"/>
          <w:lang w:val="en-GB"/>
        </w:rPr>
        <w:t xml:space="preserve">CMU Green Paper consultation </w:t>
      </w:r>
      <w:r>
        <w:rPr>
          <w:lang w:val="en-GB"/>
        </w:rPr>
        <w:t>(</w:t>
      </w:r>
      <w:hyperlink r:id="rId1" w:history="1">
        <w:r>
          <w:rPr>
            <w:rStyle w:val="Hyperlink"/>
            <w:lang w:val="en-GB"/>
          </w:rPr>
          <w:t>http://ec.europa.eu/finance/consult</w:t>
        </w:r>
        <w:r>
          <w:rPr>
            <w:rStyle w:val="Hyperlink"/>
            <w:lang w:val="en-GB"/>
          </w:rPr>
          <w:t>ations/2015/capital-markets-union/index_en.htm</w:t>
        </w:r>
      </w:hyperlink>
      <w:r>
        <w:rPr>
          <w:lang w:val="en-GB"/>
        </w:rPr>
        <w:t>), the consultation on the call for evidence (</w:t>
      </w:r>
      <w:hyperlink r:id="rId2" w:history="1">
        <w:r>
          <w:rPr>
            <w:rStyle w:val="Hyperlink"/>
          </w:rPr>
          <w:t>http://ec.europa.eu/finance/consultations/2015/fin</w:t>
        </w:r>
        <w:r>
          <w:rPr>
            <w:rStyle w:val="Hyperlink"/>
          </w:rPr>
          <w:t>ancial-regulatory-framework-review/index_en.htm</w:t>
        </w:r>
      </w:hyperlink>
      <w:r>
        <w:rPr>
          <w:lang w:val="en-GB"/>
        </w:rPr>
        <w:t>) and the consultation on the cross-border distribution of investment funds (</w:t>
      </w:r>
      <w:hyperlink r:id="rId3" w:history="1">
        <w:r>
          <w:rPr>
            <w:rStyle w:val="Hyperlink"/>
          </w:rPr>
          <w:t>http://ec.europa.eu/finan</w:t>
        </w:r>
        <w:r>
          <w:rPr>
            <w:rStyle w:val="Hyperlink"/>
          </w:rPr>
          <w:t>ce/consultations/2016/cross-borders-investment-funds/index_en.htm</w:t>
        </w:r>
      </w:hyperlink>
      <w:r>
        <w:rPr>
          <w:lang w:val="en-GB"/>
        </w:rPr>
        <w:t>).</w:t>
      </w:r>
    </w:p>
  </w:footnote>
  <w:footnote w:id="3">
    <w:p w:rsidR="005753A0" w:rsidRDefault="00761EEB">
      <w:pPr>
        <w:pStyle w:val="FootnoteText"/>
        <w:spacing w:after="120"/>
        <w:ind w:left="284" w:hanging="284"/>
        <w:rPr>
          <w:lang w:val="en-GB"/>
        </w:rPr>
      </w:pPr>
      <w:r>
        <w:rPr>
          <w:rStyle w:val="FootnoteReference"/>
          <w:lang w:val="en-GB"/>
        </w:rPr>
        <w:footnoteRef/>
      </w:r>
      <w:r>
        <w:rPr>
          <w:lang w:val="en-GB"/>
        </w:rPr>
        <w:tab/>
        <w:t>Directive 2011/61/EU of the European Parliament and of the Council of 8 June 2011 on Alternative Investment Fund Managers and amending Directives 2003/41/EC and 2009/65/EC and Regulation</w:t>
      </w:r>
      <w:r>
        <w:rPr>
          <w:lang w:val="en-GB"/>
        </w:rPr>
        <w:t xml:space="preserve">s (EC) No 1060/2009 and (EU) No 1095/2010, </w:t>
      </w:r>
      <w:r>
        <w:rPr>
          <w:rStyle w:val="st"/>
          <w:lang w:val="en-GB"/>
        </w:rPr>
        <w:t>OJ L 171,</w:t>
      </w:r>
      <w:r>
        <w:rPr>
          <w:lang w:val="en-GB"/>
        </w:rPr>
        <w:t xml:space="preserve"> </w:t>
      </w:r>
      <w:r>
        <w:rPr>
          <w:rStyle w:val="st"/>
          <w:lang w:val="en-GB"/>
        </w:rPr>
        <w:t>1.7.2011, p. 1.</w:t>
      </w:r>
    </w:p>
  </w:footnote>
  <w:footnote w:id="4">
    <w:p w:rsidR="005753A0" w:rsidRDefault="00761EEB">
      <w:pPr>
        <w:pStyle w:val="FootnoteText"/>
        <w:spacing w:after="120"/>
        <w:ind w:left="284" w:hanging="284"/>
        <w:rPr>
          <w:lang w:val="en-GB"/>
        </w:rPr>
      </w:pPr>
      <w:r>
        <w:rPr>
          <w:rStyle w:val="FootnoteReference"/>
          <w:lang w:val="en-GB"/>
        </w:rPr>
        <w:footnoteRef/>
      </w:r>
      <w:r>
        <w:rPr>
          <w:lang w:val="en-GB"/>
        </w:rPr>
        <w:tab/>
        <w:t>Directive 2009/65/EC of the European Parliament and of the Council of 13 July 2009 on the coordination of laws, regulations and administrative provisions relating to undertakings for co</w:t>
      </w:r>
      <w:r>
        <w:rPr>
          <w:lang w:val="en-GB"/>
        </w:rPr>
        <w:t>llective investment in transferable securities (UCITS), OJ L 302, 17.11.2009, p. 32.</w:t>
      </w:r>
    </w:p>
  </w:footnote>
  <w:footnote w:id="5">
    <w:p w:rsidR="005753A0" w:rsidRDefault="00761EEB">
      <w:pPr>
        <w:pStyle w:val="FootnoteText"/>
        <w:spacing w:after="120"/>
        <w:ind w:left="284" w:hanging="284"/>
        <w:rPr>
          <w:lang w:val="en-GB"/>
        </w:rPr>
      </w:pPr>
      <w:r>
        <w:rPr>
          <w:rStyle w:val="FootnoteReference"/>
          <w:lang w:val="en-GB"/>
        </w:rPr>
        <w:footnoteRef/>
      </w:r>
      <w:r>
        <w:rPr>
          <w:lang w:val="en-GB"/>
        </w:rPr>
        <w:tab/>
        <w:t>The public consultation ended on 9 October 2016 (</w:t>
      </w:r>
      <w:hyperlink r:id="rId4" w:history="1">
        <w:r>
          <w:rPr>
            <w:rStyle w:val="Hyperlink"/>
            <w:lang w:val="en-GB"/>
          </w:rPr>
          <w:t>http://ec.europa.eu/finance/consultations/2016/cross-borders-investment-funds/index_en.htm</w:t>
        </w:r>
      </w:hyperlink>
      <w:r>
        <w:t>).</w:t>
      </w:r>
    </w:p>
  </w:footnote>
  <w:footnote w:id="6">
    <w:p w:rsidR="005753A0" w:rsidRDefault="00761EEB">
      <w:pPr>
        <w:pStyle w:val="FootnoteText"/>
        <w:spacing w:after="120"/>
        <w:ind w:left="284" w:hanging="284"/>
        <w:rPr>
          <w:lang w:val="en-GB"/>
        </w:rPr>
      </w:pPr>
      <w:r>
        <w:rPr>
          <w:rStyle w:val="FootnoteReference"/>
          <w:lang w:val="en-GB"/>
        </w:rPr>
        <w:footnoteRef/>
      </w:r>
      <w:r>
        <w:rPr>
          <w:lang w:val="en-GB"/>
        </w:rPr>
        <w:tab/>
        <w:t>Reverse solicitation is a practice largely confined, but not strictly limited, to AIFs and professional investors in particular.</w:t>
      </w:r>
    </w:p>
  </w:footnote>
  <w:footnote w:id="7">
    <w:p w:rsidR="005753A0" w:rsidRDefault="00761EEB">
      <w:pPr>
        <w:pStyle w:val="FootnoteText"/>
        <w:spacing w:after="120"/>
        <w:ind w:left="284" w:hanging="284"/>
        <w:rPr>
          <w:lang w:val="en-GB"/>
        </w:rPr>
      </w:pPr>
      <w:r>
        <w:rPr>
          <w:rStyle w:val="FootnoteReference"/>
          <w:lang w:val="en-GB"/>
        </w:rPr>
        <w:footnoteRef/>
      </w:r>
      <w:bookmarkStart w:id="3" w:name="maincontentSec1"/>
      <w:bookmarkStart w:id="4" w:name="160714"/>
      <w:bookmarkEnd w:id="3"/>
      <w:bookmarkEnd w:id="4"/>
      <w:r>
        <w:rPr>
          <w:lang w:val="en-GB"/>
        </w:rPr>
        <w:tab/>
        <w:t xml:space="preserve">Proposal for a Regulation </w:t>
      </w:r>
      <w:r>
        <w:rPr>
          <w:lang w:val="en-GB"/>
        </w:rPr>
        <w:t>amending Regulation (EU) No 345/2013 on European venture capital funds (EuVECA) and Regulation (EU) No 346/2013 on European social entrepreneurship funds (EuSEF).</w:t>
      </w:r>
    </w:p>
  </w:footnote>
  <w:footnote w:id="8">
    <w:p w:rsidR="005753A0" w:rsidRDefault="00761EEB">
      <w:pPr>
        <w:pStyle w:val="FootnoteText"/>
        <w:spacing w:after="120"/>
        <w:ind w:left="284" w:hanging="284"/>
        <w:rPr>
          <w:lang w:val="en-GB"/>
        </w:rPr>
      </w:pPr>
      <w:r>
        <w:rPr>
          <w:rStyle w:val="FootnoteReference"/>
          <w:lang w:val="en-GB"/>
        </w:rPr>
        <w:footnoteRef/>
      </w:r>
      <w:r>
        <w:rPr>
          <w:lang w:val="en-GB"/>
        </w:rPr>
        <w:tab/>
        <w:t>In line with Article 18 of the Directive 2003/41/EC (IORP) and Article 132 of the Directive</w:t>
      </w:r>
      <w:r>
        <w:rPr>
          <w:lang w:val="en-GB"/>
        </w:rPr>
        <w:t xml:space="preserve"> 2009/138/EC (Solvency II).</w:t>
      </w:r>
    </w:p>
  </w:footnote>
  <w:footnote w:id="9">
    <w:p w:rsidR="005753A0" w:rsidRDefault="00761EEB">
      <w:pPr>
        <w:spacing w:after="120" w:line="240" w:lineRule="auto"/>
        <w:ind w:left="284" w:hanging="284"/>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ab/>
      </w:r>
      <w:r>
        <w:rPr>
          <w:rFonts w:ascii="Times New Roman" w:eastAsia="Times New Roman" w:hAnsi="Times New Roman" w:cs="Times New Roman"/>
          <w:sz w:val="20"/>
          <w:szCs w:val="20"/>
        </w:rPr>
        <w:t>The Commission launched a study to identify potential discriminatory tax treatment of cross-border investments by pension funds and life insurance companies.</w:t>
      </w:r>
    </w:p>
  </w:footnote>
  <w:footnote w:id="10">
    <w:p w:rsidR="005753A0" w:rsidRDefault="00761EEB">
      <w:pPr>
        <w:pStyle w:val="FootnoteText"/>
        <w:spacing w:after="120"/>
        <w:ind w:left="284" w:hanging="284"/>
        <w:rPr>
          <w:lang w:val="en-GB"/>
        </w:rPr>
      </w:pPr>
      <w:r>
        <w:rPr>
          <w:rStyle w:val="FootnoteReference"/>
        </w:rPr>
        <w:footnoteRef/>
      </w:r>
      <w:r>
        <w:rPr>
          <w:lang w:val="en-GB"/>
        </w:rPr>
        <w:tab/>
      </w:r>
      <w:hyperlink r:id="rId5" w:history="1">
        <w:r>
          <w:rPr>
            <w:rStyle w:val="Hyperlink"/>
            <w:lang w:val="en-GB"/>
          </w:rPr>
          <w:t>http://cipartners.dk/</w:t>
        </w:r>
      </w:hyperlink>
    </w:p>
  </w:footnote>
  <w:footnote w:id="11">
    <w:p w:rsidR="005753A0" w:rsidRDefault="00761EEB">
      <w:pPr>
        <w:pStyle w:val="FootnoteText"/>
        <w:spacing w:after="120"/>
        <w:ind w:left="284" w:hanging="284"/>
        <w:rPr>
          <w:lang w:val="en-GB"/>
        </w:rPr>
      </w:pPr>
      <w:r>
        <w:rPr>
          <w:rStyle w:val="FootnoteReference"/>
          <w:lang w:val="en-GB"/>
        </w:rPr>
        <w:footnoteRef/>
      </w:r>
      <w:r>
        <w:rPr>
          <w:lang w:val="en-GB"/>
        </w:rPr>
        <w:tab/>
        <w:t xml:space="preserve">For </w:t>
      </w:r>
      <w:r>
        <w:rPr>
          <w:lang w:val="en-GB"/>
        </w:rPr>
        <w:t xml:space="preserve">example, the European Investment Fund — national promotional institutions’ Equity Platform; </w:t>
      </w:r>
      <w:hyperlink r:id="rId6" w:history="1">
        <w:r>
          <w:rPr>
            <w:rStyle w:val="Hyperlink"/>
            <w:lang w:val="en-GB"/>
          </w:rPr>
          <w:t>http://www.eif.org/what_we_do/equity/NPI/index.htm</w:t>
        </w:r>
      </w:hyperlink>
    </w:p>
  </w:footnote>
  <w:footnote w:id="12">
    <w:p w:rsidR="005753A0" w:rsidRDefault="00761EEB">
      <w:pPr>
        <w:pStyle w:val="FootnoteText"/>
        <w:spacing w:after="120"/>
        <w:ind w:left="284" w:hanging="284"/>
      </w:pPr>
      <w:r>
        <w:rPr>
          <w:rStyle w:val="FootnoteReference"/>
          <w:lang w:val="en-GB"/>
        </w:rPr>
        <w:footnoteRef/>
      </w:r>
      <w:r>
        <w:rPr>
          <w:lang w:val="en-GB"/>
        </w:rPr>
        <w:tab/>
        <w:t xml:space="preserve">Strengthening European investments for jobs </w:t>
      </w:r>
      <w:r>
        <w:rPr>
          <w:lang w:val="en-GB"/>
        </w:rPr>
        <w:t>and growth: Towards a second phase of the European Fund for Strategic Investments and a new European External Investment Plan, COM(2016) 581 final, (</w:t>
      </w:r>
      <w:hyperlink r:id="rId7" w:history="1">
        <w:r>
          <w:rPr>
            <w:rStyle w:val="Hyperlink"/>
          </w:rPr>
          <w:t>http://eu</w:t>
        </w:r>
        <w:r>
          <w:rPr>
            <w:rStyle w:val="Hyperlink"/>
          </w:rPr>
          <w:t>r-lex.europa.eu/legal-content/EN/TXT/HTML/?uri=CELEX:52016DC0581&amp;from=en</w:t>
        </w:r>
      </w:hyperlink>
      <w:r>
        <w:t xml:space="preserve">). </w:t>
      </w:r>
    </w:p>
    <w:p w:rsidR="005753A0" w:rsidRDefault="00761EEB">
      <w:pPr>
        <w:pStyle w:val="FootnoteText"/>
        <w:spacing w:after="120"/>
        <w:ind w:left="284" w:hanging="284"/>
        <w:rPr>
          <w:lang w:val="en-GB"/>
        </w:rPr>
      </w:pPr>
      <w:r>
        <w:rPr>
          <w:lang w:val="en-GB"/>
        </w:rPr>
        <w:br/>
      </w:r>
    </w:p>
  </w:footnote>
  <w:footnote w:id="13">
    <w:p w:rsidR="005753A0" w:rsidRDefault="00761EEB">
      <w:pPr>
        <w:pStyle w:val="Default"/>
        <w:ind w:left="284" w:hanging="284"/>
        <w:jc w:val="both"/>
      </w:pPr>
      <w:r>
        <w:rPr>
          <w:rStyle w:val="FootnoteReference"/>
          <w:sz w:val="20"/>
          <w:szCs w:val="20"/>
        </w:rPr>
        <w:footnoteRef/>
      </w:r>
      <w:r>
        <w:rPr>
          <w:sz w:val="20"/>
          <w:szCs w:val="20"/>
        </w:rPr>
        <w:tab/>
      </w:r>
      <w:r>
        <w:rPr>
          <w:i/>
          <w:sz w:val="20"/>
          <w:szCs w:val="20"/>
        </w:rPr>
        <w:t>Crowdfunding in the EU capital markets union</w:t>
      </w:r>
      <w:r>
        <w:rPr>
          <w:sz w:val="20"/>
          <w:szCs w:val="20"/>
        </w:rPr>
        <w:t xml:space="preserve"> (SWD(2016) 154 final); </w:t>
      </w:r>
      <w:r>
        <w:t>(</w:t>
      </w:r>
      <w:hyperlink r:id="rId8" w:history="1">
        <w:r>
          <w:rPr>
            <w:rStyle w:val="Hyperlink"/>
            <w:rFonts w:eastAsia="Times New Roman"/>
            <w:sz w:val="20"/>
            <w:szCs w:val="20"/>
          </w:rPr>
          <w:t>http:/</w:t>
        </w:r>
        <w:r>
          <w:rPr>
            <w:rStyle w:val="Hyperlink"/>
            <w:rFonts w:eastAsia="Times New Roman"/>
            <w:sz w:val="20"/>
            <w:szCs w:val="20"/>
          </w:rPr>
          <w:t>/ec.europa.eu/transparency/regdoc/rep/10102/2016/EN/10102-2016-154-EN-F1-1.PDF</w:t>
        </w:r>
      </w:hyperlink>
      <w:r>
        <w:t>).</w:t>
      </w:r>
    </w:p>
    <w:p w:rsidR="005753A0" w:rsidRDefault="00761EEB">
      <w:pPr>
        <w:spacing w:after="120" w:line="240" w:lineRule="auto"/>
        <w:ind w:left="284"/>
        <w:jc w:val="both"/>
        <w:rPr>
          <w:rFonts w:ascii="Times New Roman" w:hAnsi="Times New Roman" w:cs="Times New Roman"/>
          <w:sz w:val="20"/>
          <w:szCs w:val="20"/>
        </w:rPr>
      </w:pPr>
      <w:r>
        <w:rPr>
          <w:rFonts w:ascii="Times New Roman" w:hAnsi="Times New Roman" w:cs="Times New Roman"/>
          <w:sz w:val="20"/>
          <w:szCs w:val="20"/>
        </w:rPr>
        <w:t xml:space="preserve">With the aim of improving SMEs' financial literacy on crowdfunding in its different forms, the Commission has developed an EU guide available at </w:t>
      </w:r>
      <w:hyperlink r:id="rId9" w:history="1">
        <w:r>
          <w:rPr>
            <w:rFonts w:ascii="Times New Roman" w:hAnsi="Times New Roman" w:cs="Times New Roman"/>
            <w:sz w:val="20"/>
            <w:szCs w:val="20"/>
          </w:rPr>
          <w:t>https://ec.europa.eu/growth/tools-databases/crowdfunding-guide_en</w:t>
        </w:r>
      </w:hyperlink>
      <w:r>
        <w:rPr>
          <w:rFonts w:ascii="Times New Roman" w:hAnsi="Times New Roman" w:cs="Times New Roman"/>
          <w:sz w:val="20"/>
          <w:szCs w:val="20"/>
        </w:rPr>
        <w:t xml:space="preserve">  </w:t>
      </w:r>
    </w:p>
  </w:footnote>
  <w:footnote w:id="14">
    <w:p w:rsidR="005753A0" w:rsidRDefault="00761EEB">
      <w:pPr>
        <w:pStyle w:val="FootnoteText"/>
        <w:spacing w:after="120"/>
        <w:ind w:left="284" w:hanging="284"/>
        <w:rPr>
          <w:lang w:val="en-GB"/>
        </w:rPr>
      </w:pPr>
      <w:r>
        <w:rPr>
          <w:rStyle w:val="FootnoteReference"/>
          <w:lang w:val="en-GB"/>
        </w:rPr>
        <w:footnoteRef/>
      </w:r>
      <w:r>
        <w:rPr>
          <w:lang w:val="en-GB"/>
        </w:rPr>
        <w:tab/>
        <w:t>For example, </w:t>
      </w:r>
      <w:r>
        <w:rPr>
          <w:i/>
          <w:lang w:val="en-GB"/>
        </w:rPr>
        <w:t>The European alternative finance benchmarking report</w:t>
      </w:r>
      <w:r>
        <w:rPr>
          <w:lang w:val="en-GB"/>
        </w:rPr>
        <w:t>, University of Cambridge, 2015; (</w:t>
      </w:r>
      <w:hyperlink r:id="rId10" w:history="1">
        <w:r>
          <w:rPr>
            <w:rStyle w:val="Hyperlink"/>
            <w:lang w:val="en-GB"/>
          </w:rPr>
          <w:t>http://www.jbs.cam.ac.uk/fileadmin/user_upload/research/centres/alternative-finance/downloads/20</w:t>
        </w:r>
        <w:r>
          <w:rPr>
            <w:rStyle w:val="Hyperlink"/>
            <w:lang w:val="en-GB"/>
          </w:rPr>
          <w:t>15-uk-alternative-finance-benchmarking-report.pdf</w:t>
        </w:r>
      </w:hyperlink>
      <w:r>
        <w:rPr>
          <w:lang w:val="en-GB"/>
        </w:rPr>
        <w:t xml:space="preserve">). </w:t>
      </w:r>
    </w:p>
  </w:footnote>
  <w:footnote w:id="15">
    <w:p w:rsidR="005753A0" w:rsidRDefault="00761EEB">
      <w:pPr>
        <w:pStyle w:val="FootnoteText"/>
        <w:spacing w:after="120"/>
        <w:ind w:left="284" w:hanging="284"/>
        <w:rPr>
          <w:lang w:val="en-GB"/>
        </w:rPr>
      </w:pPr>
      <w:r>
        <w:rPr>
          <w:rStyle w:val="FootnoteReference"/>
          <w:lang w:val="en-GB"/>
        </w:rPr>
        <w:footnoteRef/>
      </w:r>
      <w:r>
        <w:rPr>
          <w:lang w:val="en-GB"/>
        </w:rPr>
        <w:tab/>
        <w:t xml:space="preserve">See </w:t>
      </w:r>
      <w:r>
        <w:rPr>
          <w:i/>
          <w:lang w:val="en-GB"/>
        </w:rPr>
        <w:t>Financial education in Europe: trends and recent developments</w:t>
      </w:r>
      <w:r>
        <w:rPr>
          <w:lang w:val="en-GB"/>
        </w:rPr>
        <w:t xml:space="preserve">, OECD Publishing (2016), Paris, </w:t>
      </w:r>
      <w:r>
        <w:rPr>
          <w:lang w:val="en-GB"/>
        </w:rPr>
        <w:br/>
        <w:t>(</w:t>
      </w:r>
      <w:hyperlink r:id="rId11" w:history="1">
        <w:r>
          <w:rPr>
            <w:rStyle w:val="Hyperlink"/>
            <w:lang w:val="en-GB"/>
          </w:rPr>
          <w:t>http://dx.doi.org/10.1787/9789264254855-en</w:t>
        </w:r>
      </w:hyperlink>
      <w:r>
        <w:t>).</w:t>
      </w:r>
    </w:p>
  </w:footnote>
  <w:footnote w:id="16">
    <w:p w:rsidR="005753A0" w:rsidRDefault="00761EEB">
      <w:pPr>
        <w:pStyle w:val="FootnoteText"/>
        <w:spacing w:after="120"/>
        <w:ind w:left="284" w:hanging="284"/>
        <w:rPr>
          <w:lang w:val="en-GB"/>
        </w:rPr>
      </w:pPr>
      <w:r>
        <w:rPr>
          <w:rStyle w:val="FootnoteReference"/>
          <w:lang w:val="en-GB"/>
        </w:rPr>
        <w:footnoteRef/>
      </w:r>
      <w:r>
        <w:rPr>
          <w:lang w:val="en-GB"/>
        </w:rPr>
        <w:tab/>
        <w:t xml:space="preserve">See the 2014-2020 Programme for the </w:t>
      </w:r>
      <w:hyperlink r:id="rId12" w:history="1">
        <w:r>
          <w:rPr>
            <w:rStyle w:val="Hyperlink"/>
            <w:lang w:val="en-GB"/>
          </w:rPr>
          <w:t>Competitiveness of Enterprises and SMEs (COSME)</w:t>
        </w:r>
      </w:hyperlink>
      <w:r>
        <w:rPr>
          <w:rStyle w:val="Hyperlink"/>
          <w:lang w:val="en-GB"/>
        </w:rPr>
        <w:t>.</w:t>
      </w:r>
    </w:p>
  </w:footnote>
  <w:footnote w:id="17">
    <w:p w:rsidR="005753A0" w:rsidRDefault="00761EEB">
      <w:pPr>
        <w:pStyle w:val="FootnoteText"/>
        <w:spacing w:after="120"/>
        <w:ind w:left="284" w:hanging="284"/>
        <w:rPr>
          <w:lang w:val="en-GB"/>
        </w:rPr>
      </w:pPr>
      <w:r>
        <w:rPr>
          <w:rStyle w:val="FootnoteReference"/>
          <w:lang w:val="en-GB"/>
        </w:rPr>
        <w:footnoteRef/>
      </w:r>
      <w:r>
        <w:rPr>
          <w:lang w:val="en-GB"/>
        </w:rPr>
        <w:tab/>
        <w:t xml:space="preserve">Eurobarometer (2012), </w:t>
      </w:r>
      <w:hyperlink r:id="rId13" w:history="1">
        <w:r>
          <w:rPr>
            <w:rStyle w:val="Hyperlink"/>
            <w:lang w:val="en-GB"/>
          </w:rPr>
          <w:t>http://ec.europa.eu/internal_market/finservices-retail/docs/policy/eb_special_373-report_en.pdf</w:t>
        </w:r>
      </w:hyperlink>
      <w:r>
        <w:rPr>
          <w:lang w:val="en-GB"/>
        </w:rPr>
        <w:t xml:space="preserve"> </w:t>
      </w:r>
    </w:p>
  </w:footnote>
  <w:footnote w:id="18">
    <w:p w:rsidR="005753A0" w:rsidRDefault="00761EEB">
      <w:pPr>
        <w:pStyle w:val="FootnoteText"/>
        <w:spacing w:after="120"/>
        <w:ind w:left="284" w:hanging="284"/>
        <w:rPr>
          <w:lang w:val="en-GB"/>
        </w:rPr>
      </w:pPr>
      <w:r>
        <w:rPr>
          <w:rStyle w:val="FootnoteReference"/>
        </w:rPr>
        <w:footnoteRef/>
      </w:r>
      <w:r>
        <w:rPr>
          <w:lang w:val="en-GB"/>
        </w:rPr>
        <w:tab/>
        <w:t>This work will be done in a sub-group of Member States led by Croatia.</w:t>
      </w:r>
    </w:p>
  </w:footnote>
  <w:footnote w:id="19">
    <w:p w:rsidR="005753A0" w:rsidRDefault="00761EEB">
      <w:pPr>
        <w:autoSpaceDE w:val="0"/>
        <w:autoSpaceDN w:val="0"/>
        <w:adjustRightInd w:val="0"/>
        <w:spacing w:after="120" w:line="240" w:lineRule="auto"/>
        <w:ind w:left="284" w:hanging="284"/>
      </w:pPr>
      <w:r>
        <w:rPr>
          <w:rStyle w:val="FootnoteReference"/>
          <w:rFonts w:ascii="Times New Roman" w:hAnsi="Times New Roman" w:cs="Times New Roman"/>
          <w:sz w:val="20"/>
          <w:szCs w:val="20"/>
        </w:rPr>
        <w:footnoteRef/>
      </w:r>
      <w:r>
        <w:tab/>
      </w:r>
      <w:r>
        <w:rPr>
          <w:rFonts w:ascii="Times New Roman" w:hAnsi="Times New Roman" w:cs="Times New Roman"/>
          <w:color w:val="000000" w:themeColor="text1"/>
          <w:sz w:val="20"/>
          <w:szCs w:val="20"/>
        </w:rPr>
        <w:t xml:space="preserve">Article 412(5) of Regulation (EU) 575/2013 </w:t>
      </w:r>
      <w:r>
        <w:rPr>
          <w:rFonts w:ascii="Times New Roman" w:hAnsi="Times New Roman" w:cs="Times New Roman"/>
          <w:bCs/>
          <w:color w:val="000000" w:themeColor="text1"/>
          <w:sz w:val="20"/>
          <w:szCs w:val="20"/>
        </w:rPr>
        <w:t xml:space="preserve">on </w:t>
      </w:r>
      <w:r>
        <w:rPr>
          <w:rFonts w:ascii="Times New Roman" w:hAnsi="Times New Roman" w:cs="Times New Roman"/>
          <w:bCs/>
          <w:sz w:val="20"/>
          <w:szCs w:val="20"/>
        </w:rPr>
        <w:t>prudential</w:t>
      </w:r>
      <w:r>
        <w:rPr>
          <w:rFonts w:ascii="Times New Roman" w:hAnsi="Times New Roman" w:cs="Times New Roman"/>
          <w:bCs/>
          <w:sz w:val="20"/>
          <w:szCs w:val="20"/>
        </w:rPr>
        <w:t xml:space="preserve"> requirements for credit institutions and investment firms and amending Regulation (EU) No 648/2012</w:t>
      </w:r>
      <w:r>
        <w:rPr>
          <w:rFonts w:ascii="Times New Roman" w:hAnsi="Times New Roman" w:cs="Times New Roman"/>
          <w:color w:val="1F497D"/>
          <w:sz w:val="20"/>
          <w:szCs w:val="20"/>
        </w:rPr>
        <w:t xml:space="preserve"> </w:t>
      </w:r>
      <w:r>
        <w:rPr>
          <w:rFonts w:ascii="Times New Roman" w:hAnsi="Times New Roman" w:cs="Times New Roman"/>
          <w:bCs/>
          <w:sz w:val="20"/>
          <w:szCs w:val="20"/>
        </w:rPr>
        <w:t>(CRR).</w:t>
      </w:r>
    </w:p>
  </w:footnote>
  <w:footnote w:id="20">
    <w:p w:rsidR="005753A0" w:rsidRDefault="00761EEB">
      <w:pPr>
        <w:pStyle w:val="FootnoteText"/>
        <w:spacing w:after="120"/>
        <w:ind w:left="284" w:hanging="284"/>
        <w:rPr>
          <w:lang w:val="en-GB"/>
        </w:rPr>
      </w:pPr>
      <w:r>
        <w:rPr>
          <w:rStyle w:val="FootnoteReference"/>
          <w:lang w:val="en-GB"/>
        </w:rPr>
        <w:footnoteRef/>
      </w:r>
      <w:r>
        <w:rPr>
          <w:lang w:val="en-GB"/>
        </w:rPr>
        <w:tab/>
        <w:t xml:space="preserve">See Commission Communication of 14 September 2016: </w:t>
      </w:r>
      <w:r>
        <w:rPr>
          <w:i/>
          <w:lang w:val="en-GB"/>
        </w:rPr>
        <w:t xml:space="preserve">Capital Markets Union — accelerating reform </w:t>
      </w:r>
      <w:r>
        <w:rPr>
          <w:lang w:val="en-GB"/>
        </w:rPr>
        <w:t>(</w:t>
      </w:r>
      <w:hyperlink r:id="rId14" w:history="1">
        <w:r>
          <w:rPr>
            <w:rStyle w:val="Hyperlink"/>
            <w:lang w:val="en-GB"/>
          </w:rPr>
          <w:t>http://ec.europa.eu/finance/capital-markets-union/docs/20160913-cmu-accelerating-reform_en.pdf</w:t>
        </w:r>
      </w:hyperlink>
      <w:r>
        <w:rPr>
          <w:lang w:val="en-GB"/>
        </w:rPr>
        <w:t>).</w:t>
      </w:r>
    </w:p>
  </w:footnote>
  <w:footnote w:id="21">
    <w:p w:rsidR="005753A0" w:rsidRDefault="00761EEB">
      <w:pPr>
        <w:pStyle w:val="FootnoteText"/>
        <w:spacing w:after="120"/>
        <w:ind w:left="284" w:hanging="284"/>
        <w:rPr>
          <w:lang w:val="en-GB"/>
        </w:rPr>
      </w:pPr>
      <w:r>
        <w:rPr>
          <w:rStyle w:val="FootnoteReference"/>
        </w:rPr>
        <w:footnoteRef/>
      </w:r>
      <w:r>
        <w:rPr>
          <w:lang w:val="en-GB"/>
        </w:rPr>
        <w:tab/>
      </w:r>
      <w:r>
        <w:rPr>
          <w:rStyle w:val="FootnoteTextChar"/>
          <w:rFonts w:eastAsiaTheme="minorHAnsi"/>
          <w:lang w:val="en-GB"/>
        </w:rPr>
        <w:t>On 22 November 2016 the Commission presented a proposal for a Directive on preventive restructuri</w:t>
      </w:r>
      <w:r>
        <w:rPr>
          <w:rStyle w:val="FootnoteTextChar"/>
          <w:rFonts w:eastAsiaTheme="minorHAnsi"/>
          <w:lang w:val="en-GB"/>
        </w:rPr>
        <w:t xml:space="preserve">ng frameworks, second chance and measures to increase the efficiency of restructuring, insolvency and discharge procedures and amending Directive 2012/30/EU (COM(2016) 723). </w:t>
      </w:r>
    </w:p>
  </w:footnote>
  <w:footnote w:id="22">
    <w:p w:rsidR="005753A0" w:rsidRDefault="00761EEB">
      <w:pPr>
        <w:spacing w:after="120"/>
        <w:ind w:left="284" w:hanging="284"/>
        <w:jc w:val="both"/>
      </w:pPr>
      <w:r>
        <w:rPr>
          <w:rStyle w:val="FootnoteReference"/>
          <w:rFonts w:ascii="Times New Roman" w:hAnsi="Times New Roman" w:cs="Times New Roman"/>
          <w:sz w:val="20"/>
          <w:szCs w:val="20"/>
        </w:rPr>
        <w:footnoteRef/>
      </w:r>
      <w:r>
        <w:rPr>
          <w:rStyle w:val="FootnoteReference"/>
          <w:rFonts w:ascii="Times New Roman" w:hAnsi="Times New Roman" w:cs="Times New Roman"/>
          <w:sz w:val="20"/>
          <w:szCs w:val="20"/>
        </w:rPr>
        <w:t xml:space="preserve"> </w:t>
      </w:r>
      <w:r>
        <w:rPr>
          <w:rFonts w:ascii="Times New Roman" w:hAnsi="Times New Roman" w:cs="Times New Roman"/>
          <w:color w:val="000000" w:themeColor="text1"/>
          <w:sz w:val="20"/>
          <w:szCs w:val="20"/>
        </w:rPr>
        <w:tab/>
        <w:t xml:space="preserve">"Workable solutions for efficient and simplified fiscal compliance procedures </w:t>
      </w:r>
      <w:r>
        <w:rPr>
          <w:rFonts w:ascii="Times New Roman" w:hAnsi="Times New Roman" w:cs="Times New Roman"/>
          <w:color w:val="000000" w:themeColor="text1"/>
          <w:sz w:val="20"/>
          <w:szCs w:val="20"/>
        </w:rPr>
        <w:t>related to post-trading within the EU" Report by the Tax Barriers Business Advisory Group</w:t>
      </w:r>
      <w:r>
        <w:rPr>
          <w:rFonts w:ascii="Times New Roman" w:hAnsi="Times New Roman" w:cs="Times New Roman"/>
          <w:sz w:val="20"/>
          <w:szCs w:val="20"/>
        </w:rPr>
        <w:t>, 2013</w:t>
      </w:r>
      <w:r>
        <w:t xml:space="preserve"> (</w:t>
      </w:r>
      <w:hyperlink r:id="rId15" w:history="1">
        <w:r>
          <w:rPr>
            <w:rStyle w:val="Hyperlink"/>
            <w:rFonts w:ascii="Times New Roman" w:hAnsi="Times New Roman" w:cs="Times New Roman"/>
            <w:sz w:val="20"/>
            <w:szCs w:val="20"/>
          </w:rPr>
          <w:t>http://ec.europa.eu/info/publications/report-tax-barr</w:t>
        </w:r>
        <w:r>
          <w:rPr>
            <w:rStyle w:val="Hyperlink"/>
            <w:rFonts w:ascii="Times New Roman" w:hAnsi="Times New Roman" w:cs="Times New Roman"/>
            <w:sz w:val="20"/>
            <w:szCs w:val="20"/>
          </w:rPr>
          <w:t>iers-business-advisory-group-tbag_en</w:t>
        </w:r>
      </w:hyperlink>
      <w:r>
        <w:t>)</w:t>
      </w:r>
      <w:r>
        <w:rPr>
          <w:rFonts w:ascii="Times New Roman" w:hAnsi="Times New Roman" w:cs="Times New Roman"/>
          <w:sz w:val="20"/>
          <w:szCs w:val="20"/>
        </w:rPr>
        <w:t xml:space="preserve"> </w:t>
      </w:r>
    </w:p>
  </w:footnote>
  <w:footnote w:id="23">
    <w:p w:rsidR="005753A0" w:rsidRDefault="00761EEB">
      <w:pPr>
        <w:pStyle w:val="FootnoteText"/>
        <w:spacing w:after="120"/>
        <w:ind w:left="284" w:hanging="284"/>
        <w:rPr>
          <w:lang w:val="en-GB"/>
        </w:rPr>
      </w:pPr>
      <w:r>
        <w:rPr>
          <w:rStyle w:val="FootnoteReference"/>
          <w:lang w:val="en-GB"/>
        </w:rPr>
        <w:footnoteRef/>
      </w:r>
      <w:r>
        <w:rPr>
          <w:lang w:val="en-GB"/>
        </w:rPr>
        <w:t xml:space="preserve"> </w:t>
      </w:r>
      <w:r>
        <w:rPr>
          <w:lang w:val="en-GB"/>
        </w:rPr>
        <w:tab/>
        <w:t>Source: European Commission's Joint Research Centre.</w:t>
      </w:r>
    </w:p>
  </w:footnote>
  <w:footnote w:id="24">
    <w:p w:rsidR="005753A0" w:rsidRDefault="00761EEB">
      <w:pPr>
        <w:pStyle w:val="FootnoteText"/>
        <w:spacing w:after="120"/>
        <w:ind w:left="284" w:hanging="284"/>
        <w:rPr>
          <w:lang w:val="en-GB"/>
        </w:rPr>
      </w:pPr>
      <w:r>
        <w:rPr>
          <w:rStyle w:val="FootnoteReference"/>
          <w:lang w:val="en-GB"/>
        </w:rPr>
        <w:footnoteRef/>
      </w:r>
      <w:r>
        <w:rPr>
          <w:lang w:val="en-GB"/>
        </w:rPr>
        <w:t xml:space="preserve"> </w:t>
      </w:r>
      <w:r>
        <w:rPr>
          <w:lang w:val="en-GB"/>
        </w:rPr>
        <w:tab/>
        <w:t xml:space="preserve">See Commission Recommendation of 19 October 2009: </w:t>
      </w:r>
      <w:r>
        <w:rPr>
          <w:i/>
          <w:lang w:val="en-GB"/>
        </w:rPr>
        <w:t xml:space="preserve">On withholding tax relief procedures </w:t>
      </w:r>
      <w:r>
        <w:rPr>
          <w:lang w:val="en-GB"/>
        </w:rPr>
        <w:tab/>
        <w:t>(</w:t>
      </w:r>
      <w:hyperlink r:id="rId16" w:history="1">
        <w:r>
          <w:rPr>
            <w:rStyle w:val="Hyperlink"/>
            <w:lang w:val="en-GB"/>
          </w:rPr>
          <w:t>http://eur-lex.europa.eu/legal-content/EN/TXT/?uri=CELEX%3A32009H0784</w:t>
        </w:r>
      </w:hyperlink>
      <w:r>
        <w:rPr>
          <w:lang w:val="en-GB"/>
        </w:rPr>
        <w:t>).</w:t>
      </w:r>
    </w:p>
  </w:footnote>
  <w:footnote w:id="25">
    <w:p w:rsidR="005753A0" w:rsidRDefault="00761EEB">
      <w:pPr>
        <w:pStyle w:val="FootnoteText"/>
        <w:spacing w:after="120"/>
        <w:ind w:left="284" w:hanging="284"/>
        <w:rPr>
          <w:lang w:val="en-GB"/>
        </w:rPr>
      </w:pPr>
      <w:r>
        <w:rPr>
          <w:rStyle w:val="FootnoteReference"/>
          <w:lang w:val="en-GB"/>
        </w:rPr>
        <w:footnoteRef/>
      </w:r>
      <w:r>
        <w:rPr>
          <w:lang w:val="en-GB"/>
        </w:rPr>
        <w:tab/>
        <w:t>See Commission Action Plan of 30 September 2015: Building a Capital Markets Union (</w:t>
      </w:r>
      <w:hyperlink r:id="rId17" w:history="1">
        <w:r>
          <w:rPr>
            <w:rStyle w:val="Hyperlink"/>
            <w:lang w:val="en-GB"/>
          </w:rPr>
          <w:t>http://ec.europa.eu/finance/capital-markets-union/docs/building-cmu-action-plan_en.pdf</w:t>
        </w:r>
      </w:hyperlink>
      <w:r>
        <w:rPr>
          <w:lang w:val="en-GB"/>
        </w:rPr>
        <w:t xml:space="preserve">). </w:t>
      </w:r>
    </w:p>
  </w:footnote>
  <w:footnote w:id="26">
    <w:p w:rsidR="005753A0" w:rsidRDefault="00761EEB">
      <w:pPr>
        <w:pStyle w:val="FootnoteText"/>
        <w:spacing w:after="120"/>
        <w:ind w:left="284" w:hanging="284"/>
        <w:rPr>
          <w:lang w:val="en-GB"/>
        </w:rPr>
      </w:pPr>
      <w:r>
        <w:rPr>
          <w:rStyle w:val="FootnoteReference"/>
          <w:lang w:val="en-GB"/>
        </w:rPr>
        <w:footnoteRef/>
      </w:r>
      <w:r>
        <w:rPr>
          <w:lang w:val="en-GB"/>
        </w:rPr>
        <w:tab/>
        <w:t xml:space="preserve">See Commission Communication of 14 September 2016: </w:t>
      </w:r>
      <w:r>
        <w:rPr>
          <w:i/>
          <w:lang w:val="en-GB"/>
        </w:rPr>
        <w:t xml:space="preserve">Capital Markets Union — accelerating reform </w:t>
      </w:r>
      <w:r>
        <w:rPr>
          <w:lang w:val="en-GB"/>
        </w:rPr>
        <w:t>(</w:t>
      </w:r>
      <w:hyperlink r:id="rId18" w:history="1">
        <w:r>
          <w:rPr>
            <w:rStyle w:val="Hyperlink"/>
            <w:lang w:val="en-GB"/>
          </w:rPr>
          <w:t>http://ec.europa.eu/finance/capital-markets-union/docs/20160913-cmu-accelerating-reform_en.pdf</w:t>
        </w:r>
      </w:hyperlink>
      <w:r>
        <w:rPr>
          <w:lang w:val="en-GB"/>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3A0" w:rsidRDefault="005753A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3A0" w:rsidRDefault="005753A0">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3A0" w:rsidRDefault="005753A0">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3A0" w:rsidRDefault="005753A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3A0" w:rsidRDefault="005753A0">
    <w:pPr>
      <w:pStyle w:val="Header"/>
      <w:jc w:val="right"/>
      <w:rPr>
        <w:b/>
        <w:i/>
        <w:lang w:val="fr-B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3A0" w:rsidRDefault="005753A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7178D0"/>
    <w:multiLevelType w:val="hybridMultilevel"/>
    <w:tmpl w:val="2A0215D6"/>
    <w:lvl w:ilvl="0" w:tplc="3DF2C38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A432656"/>
    <w:multiLevelType w:val="multilevel"/>
    <w:tmpl w:val="5658D510"/>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600"/>
        </w:tabs>
        <w:ind w:left="600" w:hanging="600"/>
      </w:pPr>
      <w:rPr>
        <w:lang w:val="en-GB"/>
      </w:rPr>
    </w:lvl>
    <w:lvl w:ilvl="2">
      <w:start w:val="1"/>
      <w:numFmt w:val="decimal"/>
      <w:pStyle w:val="Heading3"/>
      <w:lvlText w:val="%1.%2.%3."/>
      <w:lvlJc w:val="left"/>
      <w:pPr>
        <w:tabs>
          <w:tab w:val="num" w:pos="1920"/>
        </w:tabs>
        <w:ind w:left="1920" w:hanging="840"/>
      </w:pPr>
    </w:lvl>
    <w:lvl w:ilvl="3">
      <w:start w:val="1"/>
      <w:numFmt w:val="decimal"/>
      <w:pStyle w:val="Heading4"/>
      <w:lvlText w:val="%1.%2.%3.%4."/>
      <w:lvlJc w:val="left"/>
      <w:pPr>
        <w:tabs>
          <w:tab w:val="num" w:pos="2804"/>
        </w:tabs>
        <w:ind w:left="2804"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92F7A340E8944F31B4671D8CBBDC5B8B"/>
    <w:docVar w:name="LW_CROSSREFERENCE" w:val="&lt;UNUSED&gt;"/>
    <w:docVar w:name="LW_DocType" w:val="NORMAL"/>
    <w:docVar w:name="LW_EMISSION" w:val="24.3.2017"/>
    <w:docVar w:name="LW_EMISSION_ISODATE" w:val="2017-03-24"/>
    <w:docVar w:name="LW_EMISSION_LOCATION" w:val="BRX"/>
    <w:docVar w:name="LW_EMISSION_PREFIX" w:val="Brussels, "/>
    <w:docVar w:name="LW_EMISSION_SUFFIX" w:val=" "/>
    <w:docVar w:name="LW_ID_DOCTYPE_NONLW" w:val="CP-005"/>
    <w:docVar w:name="LW_LANGUE" w:val="EN"/>
    <w:docVar w:name="LW_MARKING" w:val="&lt;UNUSED&g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7) 147"/>
    <w:docVar w:name="LW_REF.INTERNE" w:val="&lt;UNUSED&gt;"/>
    <w:docVar w:name="LW_SOUS.TITRE.OBJ.CP" w:val="&lt;UNUSED&gt;"/>
    <w:docVar w:name="LW_SUPERTITRE" w:val="&lt;UNUSED&gt;"/>
    <w:docVar w:name="LW_TITRE.OBJ.CP" w:val="Accelerating the capital markets union: addressing national barriers to capital flows"/>
    <w:docVar w:name="LW_TYPE.DOC.CP" w:val="REPORT FROM THE COMMISSION TO THE COUNCIL AND THE EUROPEAN PARLIAMENT"/>
  </w:docVars>
  <w:rsids>
    <w:rsidRoot w:val="005753A0"/>
    <w:rsid w:val="005753A0"/>
    <w:rsid w:val="00761E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numPr>
        <w:numId w:val="1"/>
      </w:numPr>
      <w:spacing w:before="240" w:after="240" w:line="240" w:lineRule="auto"/>
      <w:jc w:val="both"/>
      <w:outlineLvl w:val="0"/>
    </w:pPr>
    <w:rPr>
      <w:rFonts w:ascii="Times New Roman" w:eastAsia="Times New Roman" w:hAnsi="Times New Roman" w:cs="Times New Roman"/>
      <w:b/>
      <w:smallCaps/>
      <w:sz w:val="24"/>
      <w:szCs w:val="20"/>
    </w:rPr>
  </w:style>
  <w:style w:type="paragraph" w:styleId="Heading2">
    <w:name w:val="heading 2"/>
    <w:basedOn w:val="Normal"/>
    <w:next w:val="Normal"/>
    <w:link w:val="Heading2Char"/>
    <w:qFormat/>
    <w:pPr>
      <w:keepNext/>
      <w:numPr>
        <w:ilvl w:val="1"/>
        <w:numId w:val="1"/>
      </w:numPr>
      <w:spacing w:after="240" w:line="240" w:lineRule="auto"/>
      <w:jc w:val="both"/>
      <w:outlineLvl w:val="1"/>
    </w:pPr>
    <w:rPr>
      <w:rFonts w:ascii="Times New Roman" w:eastAsia="Times New Roman" w:hAnsi="Times New Roman" w:cs="Times New Roman"/>
      <w:b/>
      <w:sz w:val="24"/>
      <w:szCs w:val="20"/>
      <w:lang w:val="x-none"/>
    </w:rPr>
  </w:style>
  <w:style w:type="paragraph" w:styleId="Heading3">
    <w:name w:val="heading 3"/>
    <w:basedOn w:val="Normal"/>
    <w:next w:val="Normal"/>
    <w:link w:val="Heading3Char"/>
    <w:qFormat/>
    <w:pPr>
      <w:keepNext/>
      <w:numPr>
        <w:ilvl w:val="2"/>
        <w:numId w:val="1"/>
      </w:numPr>
      <w:spacing w:after="240" w:line="240" w:lineRule="auto"/>
      <w:jc w:val="both"/>
      <w:outlineLvl w:val="2"/>
    </w:pPr>
    <w:rPr>
      <w:rFonts w:ascii="Times New Roman" w:eastAsia="Times New Roman" w:hAnsi="Times New Roman" w:cs="Times New Roman"/>
      <w:i/>
      <w:sz w:val="24"/>
      <w:szCs w:val="20"/>
    </w:rPr>
  </w:style>
  <w:style w:type="paragraph" w:styleId="Heading4">
    <w:name w:val="heading 4"/>
    <w:basedOn w:val="Normal"/>
    <w:next w:val="Normal"/>
    <w:link w:val="Heading4Char"/>
    <w:qFormat/>
    <w:pPr>
      <w:keepNext/>
      <w:numPr>
        <w:ilvl w:val="3"/>
        <w:numId w:val="1"/>
      </w:numPr>
      <w:spacing w:after="240" w:line="240" w:lineRule="auto"/>
      <w:jc w:val="both"/>
      <w:outlineLvl w:val="3"/>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rPr>
  </w:style>
  <w:style w:type="character" w:customStyle="1" w:styleId="Heading2Char">
    <w:name w:val="Heading 2 Char"/>
    <w:basedOn w:val="DefaultParagraphFont"/>
    <w:link w:val="Heading2"/>
    <w:rPr>
      <w:rFonts w:ascii="Times New Roman" w:eastAsia="Times New Roman" w:hAnsi="Times New Roman" w:cs="Times New Roman"/>
      <w:b/>
      <w:sz w:val="24"/>
      <w:szCs w:val="20"/>
      <w:lang w:val="x-none"/>
    </w:rPr>
  </w:style>
  <w:style w:type="character" w:customStyle="1" w:styleId="Heading3Char">
    <w:name w:val="Heading 3 Char"/>
    <w:basedOn w:val="DefaultParagraphFont"/>
    <w:link w:val="Heading3"/>
    <w:rPr>
      <w:rFonts w:ascii="Times New Roman" w:eastAsia="Times New Roman" w:hAnsi="Times New Roman" w:cs="Times New Roman"/>
      <w:i/>
      <w:sz w:val="24"/>
      <w:szCs w:val="20"/>
    </w:rPr>
  </w:style>
  <w:style w:type="character" w:customStyle="1" w:styleId="Heading4Char">
    <w:name w:val="Heading 4 Char"/>
    <w:basedOn w:val="DefaultParagraphFont"/>
    <w:link w:val="Heading4"/>
    <w:rPr>
      <w:rFonts w:ascii="Times New Roman" w:eastAsia="Times New Roman" w:hAnsi="Times New Roman" w:cs="Times New Roman"/>
      <w:sz w:val="24"/>
      <w:szCs w:val="20"/>
    </w:rPr>
  </w:style>
  <w:style w:type="paragraph" w:styleId="ListParagraph">
    <w:name w:val="List Paragraph"/>
    <w:basedOn w:val="Normal"/>
    <w:uiPriority w:val="34"/>
    <w:qFormat/>
    <w:pPr>
      <w:ind w:left="720"/>
      <w:contextualSpacing/>
    </w:pPr>
  </w:style>
  <w:style w:type="paragraph" w:styleId="FootnoteText">
    <w:name w:val="footnote text"/>
    <w:aliases w:val="Fodnotetekst Tegn Tegn Tegn Tegn Tegn Tegn Tegn Char Char,Fodnotetekst Tegn Tegn Tegn Tegn Tegn Tegn Tegn Char Char Char Char,Fodnotetekst Tegn Tegn Tegn Tegn Tegn Tegn Tegn,fn,Fodnotetekst Tegn Tegn Tegn Tegn Tegn Tegn Tegn Tegn Tegn Tegn"/>
    <w:basedOn w:val="Normal"/>
    <w:link w:val="FootnoteTextChar"/>
    <w:uiPriority w:val="99"/>
    <w:pPr>
      <w:spacing w:after="240" w:line="240" w:lineRule="auto"/>
      <w:ind w:left="357" w:hanging="357"/>
      <w:jc w:val="both"/>
    </w:pPr>
    <w:rPr>
      <w:rFonts w:ascii="Times New Roman" w:eastAsia="Times New Roman" w:hAnsi="Times New Roman" w:cs="Times New Roman"/>
      <w:sz w:val="20"/>
      <w:szCs w:val="20"/>
      <w:lang w:val="x-none"/>
    </w:rPr>
  </w:style>
  <w:style w:type="character" w:customStyle="1" w:styleId="FootnoteTextChar">
    <w:name w:val="Footnote Text Char"/>
    <w:aliases w:val="Fodnotetekst Tegn Tegn Tegn Tegn Tegn Tegn Tegn Char Char Char,Fodnotetekst Tegn Tegn Tegn Tegn Tegn Tegn Tegn Char Char Char Char Char,Fodnotetekst Tegn Tegn Tegn Tegn Tegn Tegn Tegn Char,fn Char"/>
    <w:basedOn w:val="DefaultParagraphFont"/>
    <w:link w:val="FootnoteText"/>
    <w:uiPriority w:val="99"/>
    <w:rPr>
      <w:rFonts w:ascii="Times New Roman" w:eastAsia="Times New Roman" w:hAnsi="Times New Roman" w:cs="Times New Roman"/>
      <w:sz w:val="20"/>
      <w:szCs w:val="20"/>
      <w:lang w:val="x-none"/>
    </w:rPr>
  </w:style>
  <w:style w:type="character" w:styleId="FootnoteReference">
    <w:name w:val="footnote reference"/>
    <w:aliases w:val="Footnote Reference Number,Footnote Reference_LVL6,Footnote Reference_LVL61,Footnote Reference_LVL62,Footnote Reference_LVL63,Footnote Reference_LVL64,SUPERS,Footnote Reference Superscript,BVI fnr,Footnote symbol,Footnote sign,fr"/>
    <w:uiPriority w:val="99"/>
    <w:rPr>
      <w:vertAlign w:val="superscript"/>
    </w:rPr>
  </w:style>
  <w:style w:type="character" w:styleId="Hyperlink">
    <w:name w:val="Hyperlink"/>
    <w:uiPriority w:val="99"/>
    <w:unhideWhenUsed/>
    <w:rPr>
      <w:color w:val="0000FF"/>
      <w:u w:val="single"/>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szCs w:val="24"/>
    </w:rPr>
  </w:style>
  <w:style w:type="character" w:customStyle="1" w:styleId="FooterCoverPageChar">
    <w:name w:val="Footer Cover Page Char"/>
    <w:basedOn w:val="DefaultParagraphFont"/>
    <w:link w:val="FooterCoverPage"/>
    <w:rPr>
      <w:rFonts w:ascii="Times New Roman" w:hAnsi="Times New Roman" w:cs="Times New Roman"/>
      <w:sz w:val="24"/>
      <w:szCs w:val="24"/>
    </w:rPr>
  </w:style>
  <w:style w:type="character" w:customStyle="1" w:styleId="st">
    <w:name w:val="st"/>
    <w:basedOn w:val="DefaultParagraphFont"/>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Times New Roman" w:hAnsi="Times New Roman" w:cs="Times New Roman"/>
      <w:sz w:val="24"/>
      <w:szCs w:val="24"/>
    </w:rPr>
  </w:style>
  <w:style w:type="character" w:customStyle="1" w:styleId="HeaderCoverPageChar">
    <w:name w:val="Header Cover Page Char"/>
    <w:basedOn w:val="Heading1Char"/>
    <w:link w:val="HeaderCoverPage"/>
    <w:rPr>
      <w:rFonts w:ascii="Times New Roman" w:eastAsia="Times New Roman" w:hAnsi="Times New Roman" w:cs="Times New Roman"/>
      <w:b w:val="0"/>
      <w:smallCaps w:val="0"/>
      <w:sz w:val="24"/>
      <w:szCs w:val="24"/>
    </w:rPr>
  </w:style>
  <w:style w:type="paragraph" w:styleId="PlainText">
    <w:name w:val="Plain Text"/>
    <w:basedOn w:val="Normal"/>
    <w:link w:val="PlainTextChar"/>
    <w:uiPriority w:val="99"/>
    <w:unhideWhenUsed/>
    <w:pPr>
      <w:spacing w:after="0" w:line="240" w:lineRule="auto"/>
    </w:pPr>
    <w:rPr>
      <w:rFonts w:ascii="Calibri" w:hAnsi="Calibri"/>
      <w:szCs w:val="21"/>
    </w:rPr>
  </w:style>
  <w:style w:type="character" w:customStyle="1" w:styleId="PlainTextChar">
    <w:name w:val="Plain Text Char"/>
    <w:basedOn w:val="DefaultParagraphFont"/>
    <w:link w:val="PlainText"/>
    <w:uiPriority w:val="99"/>
    <w:rPr>
      <w:rFonts w:ascii="Calibri" w:hAnsi="Calibri"/>
      <w:szCs w:val="21"/>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Marker">
    <w:name w:val="Marker"/>
    <w:basedOn w:val="DefaultParagraphFont"/>
    <w:rPr>
      <w:color w:val="0000FF"/>
      <w:shd w:val="clear" w:color="auto" w:fill="auto"/>
    </w:rPr>
  </w:style>
  <w:style w:type="character" w:styleId="FollowedHyperlink">
    <w:name w:val="FollowedHyperlink"/>
    <w:basedOn w:val="DefaultParagraphFont"/>
    <w:uiPriority w:val="99"/>
    <w:semiHidden/>
    <w:unhideWhenUsed/>
    <w:rPr>
      <w:color w:val="800080" w:themeColor="followed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numPr>
        <w:numId w:val="1"/>
      </w:numPr>
      <w:spacing w:before="240" w:after="240" w:line="240" w:lineRule="auto"/>
      <w:jc w:val="both"/>
      <w:outlineLvl w:val="0"/>
    </w:pPr>
    <w:rPr>
      <w:rFonts w:ascii="Times New Roman" w:eastAsia="Times New Roman" w:hAnsi="Times New Roman" w:cs="Times New Roman"/>
      <w:b/>
      <w:smallCaps/>
      <w:sz w:val="24"/>
      <w:szCs w:val="20"/>
    </w:rPr>
  </w:style>
  <w:style w:type="paragraph" w:styleId="Heading2">
    <w:name w:val="heading 2"/>
    <w:basedOn w:val="Normal"/>
    <w:next w:val="Normal"/>
    <w:link w:val="Heading2Char"/>
    <w:qFormat/>
    <w:pPr>
      <w:keepNext/>
      <w:numPr>
        <w:ilvl w:val="1"/>
        <w:numId w:val="1"/>
      </w:numPr>
      <w:spacing w:after="240" w:line="240" w:lineRule="auto"/>
      <w:jc w:val="both"/>
      <w:outlineLvl w:val="1"/>
    </w:pPr>
    <w:rPr>
      <w:rFonts w:ascii="Times New Roman" w:eastAsia="Times New Roman" w:hAnsi="Times New Roman" w:cs="Times New Roman"/>
      <w:b/>
      <w:sz w:val="24"/>
      <w:szCs w:val="20"/>
      <w:lang w:val="x-none"/>
    </w:rPr>
  </w:style>
  <w:style w:type="paragraph" w:styleId="Heading3">
    <w:name w:val="heading 3"/>
    <w:basedOn w:val="Normal"/>
    <w:next w:val="Normal"/>
    <w:link w:val="Heading3Char"/>
    <w:qFormat/>
    <w:pPr>
      <w:keepNext/>
      <w:numPr>
        <w:ilvl w:val="2"/>
        <w:numId w:val="1"/>
      </w:numPr>
      <w:spacing w:after="240" w:line="240" w:lineRule="auto"/>
      <w:jc w:val="both"/>
      <w:outlineLvl w:val="2"/>
    </w:pPr>
    <w:rPr>
      <w:rFonts w:ascii="Times New Roman" w:eastAsia="Times New Roman" w:hAnsi="Times New Roman" w:cs="Times New Roman"/>
      <w:i/>
      <w:sz w:val="24"/>
      <w:szCs w:val="20"/>
    </w:rPr>
  </w:style>
  <w:style w:type="paragraph" w:styleId="Heading4">
    <w:name w:val="heading 4"/>
    <w:basedOn w:val="Normal"/>
    <w:next w:val="Normal"/>
    <w:link w:val="Heading4Char"/>
    <w:qFormat/>
    <w:pPr>
      <w:keepNext/>
      <w:numPr>
        <w:ilvl w:val="3"/>
        <w:numId w:val="1"/>
      </w:numPr>
      <w:spacing w:after="240" w:line="240" w:lineRule="auto"/>
      <w:jc w:val="both"/>
      <w:outlineLvl w:val="3"/>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rPr>
  </w:style>
  <w:style w:type="character" w:customStyle="1" w:styleId="Heading2Char">
    <w:name w:val="Heading 2 Char"/>
    <w:basedOn w:val="DefaultParagraphFont"/>
    <w:link w:val="Heading2"/>
    <w:rPr>
      <w:rFonts w:ascii="Times New Roman" w:eastAsia="Times New Roman" w:hAnsi="Times New Roman" w:cs="Times New Roman"/>
      <w:b/>
      <w:sz w:val="24"/>
      <w:szCs w:val="20"/>
      <w:lang w:val="x-none"/>
    </w:rPr>
  </w:style>
  <w:style w:type="character" w:customStyle="1" w:styleId="Heading3Char">
    <w:name w:val="Heading 3 Char"/>
    <w:basedOn w:val="DefaultParagraphFont"/>
    <w:link w:val="Heading3"/>
    <w:rPr>
      <w:rFonts w:ascii="Times New Roman" w:eastAsia="Times New Roman" w:hAnsi="Times New Roman" w:cs="Times New Roman"/>
      <w:i/>
      <w:sz w:val="24"/>
      <w:szCs w:val="20"/>
    </w:rPr>
  </w:style>
  <w:style w:type="character" w:customStyle="1" w:styleId="Heading4Char">
    <w:name w:val="Heading 4 Char"/>
    <w:basedOn w:val="DefaultParagraphFont"/>
    <w:link w:val="Heading4"/>
    <w:rPr>
      <w:rFonts w:ascii="Times New Roman" w:eastAsia="Times New Roman" w:hAnsi="Times New Roman" w:cs="Times New Roman"/>
      <w:sz w:val="24"/>
      <w:szCs w:val="20"/>
    </w:rPr>
  </w:style>
  <w:style w:type="paragraph" w:styleId="ListParagraph">
    <w:name w:val="List Paragraph"/>
    <w:basedOn w:val="Normal"/>
    <w:uiPriority w:val="34"/>
    <w:qFormat/>
    <w:pPr>
      <w:ind w:left="720"/>
      <w:contextualSpacing/>
    </w:pPr>
  </w:style>
  <w:style w:type="paragraph" w:styleId="FootnoteText">
    <w:name w:val="footnote text"/>
    <w:aliases w:val="Fodnotetekst Tegn Tegn Tegn Tegn Tegn Tegn Tegn Char Char,Fodnotetekst Tegn Tegn Tegn Tegn Tegn Tegn Tegn Char Char Char Char,Fodnotetekst Tegn Tegn Tegn Tegn Tegn Tegn Tegn,fn,Fodnotetekst Tegn Tegn Tegn Tegn Tegn Tegn Tegn Tegn Tegn Tegn"/>
    <w:basedOn w:val="Normal"/>
    <w:link w:val="FootnoteTextChar"/>
    <w:uiPriority w:val="99"/>
    <w:pPr>
      <w:spacing w:after="240" w:line="240" w:lineRule="auto"/>
      <w:ind w:left="357" w:hanging="357"/>
      <w:jc w:val="both"/>
    </w:pPr>
    <w:rPr>
      <w:rFonts w:ascii="Times New Roman" w:eastAsia="Times New Roman" w:hAnsi="Times New Roman" w:cs="Times New Roman"/>
      <w:sz w:val="20"/>
      <w:szCs w:val="20"/>
      <w:lang w:val="x-none"/>
    </w:rPr>
  </w:style>
  <w:style w:type="character" w:customStyle="1" w:styleId="FootnoteTextChar">
    <w:name w:val="Footnote Text Char"/>
    <w:aliases w:val="Fodnotetekst Tegn Tegn Tegn Tegn Tegn Tegn Tegn Char Char Char,Fodnotetekst Tegn Tegn Tegn Tegn Tegn Tegn Tegn Char Char Char Char Char,Fodnotetekst Tegn Tegn Tegn Tegn Tegn Tegn Tegn Char,fn Char"/>
    <w:basedOn w:val="DefaultParagraphFont"/>
    <w:link w:val="FootnoteText"/>
    <w:uiPriority w:val="99"/>
    <w:rPr>
      <w:rFonts w:ascii="Times New Roman" w:eastAsia="Times New Roman" w:hAnsi="Times New Roman" w:cs="Times New Roman"/>
      <w:sz w:val="20"/>
      <w:szCs w:val="20"/>
      <w:lang w:val="x-none"/>
    </w:rPr>
  </w:style>
  <w:style w:type="character" w:styleId="FootnoteReference">
    <w:name w:val="footnote reference"/>
    <w:aliases w:val="Footnote Reference Number,Footnote Reference_LVL6,Footnote Reference_LVL61,Footnote Reference_LVL62,Footnote Reference_LVL63,Footnote Reference_LVL64,SUPERS,Footnote Reference Superscript,BVI fnr,Footnote symbol,Footnote sign,fr"/>
    <w:uiPriority w:val="99"/>
    <w:rPr>
      <w:vertAlign w:val="superscript"/>
    </w:rPr>
  </w:style>
  <w:style w:type="character" w:styleId="Hyperlink">
    <w:name w:val="Hyperlink"/>
    <w:uiPriority w:val="99"/>
    <w:unhideWhenUsed/>
    <w:rPr>
      <w:color w:val="0000FF"/>
      <w:u w:val="single"/>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szCs w:val="24"/>
    </w:rPr>
  </w:style>
  <w:style w:type="character" w:customStyle="1" w:styleId="FooterCoverPageChar">
    <w:name w:val="Footer Cover Page Char"/>
    <w:basedOn w:val="DefaultParagraphFont"/>
    <w:link w:val="FooterCoverPage"/>
    <w:rPr>
      <w:rFonts w:ascii="Times New Roman" w:hAnsi="Times New Roman" w:cs="Times New Roman"/>
      <w:sz w:val="24"/>
      <w:szCs w:val="24"/>
    </w:rPr>
  </w:style>
  <w:style w:type="character" w:customStyle="1" w:styleId="st">
    <w:name w:val="st"/>
    <w:basedOn w:val="DefaultParagraphFont"/>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Times New Roman" w:hAnsi="Times New Roman" w:cs="Times New Roman"/>
      <w:sz w:val="24"/>
      <w:szCs w:val="24"/>
    </w:rPr>
  </w:style>
  <w:style w:type="character" w:customStyle="1" w:styleId="HeaderCoverPageChar">
    <w:name w:val="Header Cover Page Char"/>
    <w:basedOn w:val="Heading1Char"/>
    <w:link w:val="HeaderCoverPage"/>
    <w:rPr>
      <w:rFonts w:ascii="Times New Roman" w:eastAsia="Times New Roman" w:hAnsi="Times New Roman" w:cs="Times New Roman"/>
      <w:b w:val="0"/>
      <w:smallCaps w:val="0"/>
      <w:sz w:val="24"/>
      <w:szCs w:val="24"/>
    </w:rPr>
  </w:style>
  <w:style w:type="paragraph" w:styleId="PlainText">
    <w:name w:val="Plain Text"/>
    <w:basedOn w:val="Normal"/>
    <w:link w:val="PlainTextChar"/>
    <w:uiPriority w:val="99"/>
    <w:unhideWhenUsed/>
    <w:pPr>
      <w:spacing w:after="0" w:line="240" w:lineRule="auto"/>
    </w:pPr>
    <w:rPr>
      <w:rFonts w:ascii="Calibri" w:hAnsi="Calibri"/>
      <w:szCs w:val="21"/>
    </w:rPr>
  </w:style>
  <w:style w:type="character" w:customStyle="1" w:styleId="PlainTextChar">
    <w:name w:val="Plain Text Char"/>
    <w:basedOn w:val="DefaultParagraphFont"/>
    <w:link w:val="PlainText"/>
    <w:uiPriority w:val="99"/>
    <w:rPr>
      <w:rFonts w:ascii="Calibri" w:hAnsi="Calibri"/>
      <w:szCs w:val="21"/>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Marker">
    <w:name w:val="Marker"/>
    <w:basedOn w:val="DefaultParagraphFont"/>
    <w:rPr>
      <w:color w:val="0000FF"/>
      <w:shd w:val="clear" w:color="auto" w:fill="auto"/>
    </w:rPr>
  </w:style>
  <w:style w:type="character" w:styleId="FollowedHyperlink">
    <w:name w:val="FollowedHyperlink"/>
    <w:basedOn w:val="DefaultParagraphFont"/>
    <w:uiPriority w:val="99"/>
    <w:semiHidden/>
    <w:unhideWhenUsed/>
    <w:rPr>
      <w:color w:val="800080" w:themeColor="followed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442562">
      <w:bodyDiv w:val="1"/>
      <w:marLeft w:val="0"/>
      <w:marRight w:val="0"/>
      <w:marTop w:val="0"/>
      <w:marBottom w:val="0"/>
      <w:divBdr>
        <w:top w:val="none" w:sz="0" w:space="0" w:color="auto"/>
        <w:left w:val="none" w:sz="0" w:space="0" w:color="auto"/>
        <w:bottom w:val="none" w:sz="0" w:space="0" w:color="auto"/>
        <w:right w:val="none" w:sz="0" w:space="0" w:color="auto"/>
      </w:divBdr>
    </w:div>
    <w:div w:id="1487278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ec.europa.eu/transparency/regdoc/rep/10102/2016/EN/10102-2016-154-EN-F1-1.PDF" TargetMode="External"/><Relationship Id="rId13" Type="http://schemas.openxmlformats.org/officeDocument/2006/relationships/hyperlink" Target="http://ec.europa.eu/internal_market/finservices-retail/docs/policy/eb_special_373-report_en.pdf" TargetMode="External"/><Relationship Id="rId18" Type="http://schemas.openxmlformats.org/officeDocument/2006/relationships/hyperlink" Target="http://ec.europa.eu/finance/capital-markets-union/docs/20160913-cmu-accelerating-reform_en.pdf" TargetMode="External"/><Relationship Id="rId3" Type="http://schemas.openxmlformats.org/officeDocument/2006/relationships/hyperlink" Target="http://ec.europa.eu/finance/consultations/2016/cross-borders-investment-funds/index_en.htm" TargetMode="External"/><Relationship Id="rId7" Type="http://schemas.openxmlformats.org/officeDocument/2006/relationships/hyperlink" Target="http://eur-lex.europa.eu/legal-content/EN/TXT/HTML/?uri=CELEX:52016DC0581&amp;from=en" TargetMode="External"/><Relationship Id="rId12" Type="http://schemas.openxmlformats.org/officeDocument/2006/relationships/hyperlink" Target="https://ec.europa.eu/growth/smes/cosme_en" TargetMode="External"/><Relationship Id="rId17" Type="http://schemas.openxmlformats.org/officeDocument/2006/relationships/hyperlink" Target="http://ec.europa.eu/finance/capital-markets-union/docs/building-cmu-action-plan_en.pdf" TargetMode="External"/><Relationship Id="rId2" Type="http://schemas.openxmlformats.org/officeDocument/2006/relationships/hyperlink" Target="http://ec.europa.eu/finance/consultations/2015/financial-regulatory-framework-review/index_en.htm" TargetMode="External"/><Relationship Id="rId16" Type="http://schemas.openxmlformats.org/officeDocument/2006/relationships/hyperlink" Target="http://eur-lex.europa.eu/legal-content/EN/TXT/?uri=CELEX%3A32009H0784" TargetMode="External"/><Relationship Id="rId1" Type="http://schemas.openxmlformats.org/officeDocument/2006/relationships/hyperlink" Target="http://ec.europa.eu/finance/consultations/2015/capital-markets-union/index_en.htm" TargetMode="External"/><Relationship Id="rId6" Type="http://schemas.openxmlformats.org/officeDocument/2006/relationships/hyperlink" Target="http://www.eif.org/what_we_do/equity/NPI/index.htm" TargetMode="External"/><Relationship Id="rId11" Type="http://schemas.openxmlformats.org/officeDocument/2006/relationships/hyperlink" Target="http://dx.doi.org/10.1787/9789264254855-en" TargetMode="External"/><Relationship Id="rId5" Type="http://schemas.openxmlformats.org/officeDocument/2006/relationships/hyperlink" Target="http://cipartners.dk/" TargetMode="External"/><Relationship Id="rId15" Type="http://schemas.openxmlformats.org/officeDocument/2006/relationships/hyperlink" Target="http://ec.europa.eu/info/publications/report-tax-barriers-business-advisory-group-tbag_en" TargetMode="External"/><Relationship Id="rId10" Type="http://schemas.openxmlformats.org/officeDocument/2006/relationships/hyperlink" Target="http://www.jbs.cam.ac.uk/fileadmin/user_upload/research/centres/alternative-finance/downloads/2015-uk-alternative-finance-benchmarking-report.pdf" TargetMode="External"/><Relationship Id="rId4" Type="http://schemas.openxmlformats.org/officeDocument/2006/relationships/hyperlink" Target="http://ec.europa.eu/finance/consultations/2016/cross-borders-investment-funds/index_en.htm" TargetMode="External"/><Relationship Id="rId9" Type="http://schemas.openxmlformats.org/officeDocument/2006/relationships/hyperlink" Target="https://ec.europa.eu/growth/tools-databases/crowdfunding-guide_en" TargetMode="External"/><Relationship Id="rId14" Type="http://schemas.openxmlformats.org/officeDocument/2006/relationships/hyperlink" Target="http://ec.europa.eu/finance/capital-markets-union/docs/20160913-cmu-accelerating-reform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EE1F71-6DE9-4C85-98BD-1ADC474C5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5086</Words>
  <Characters>27520</Characters>
  <Application>Microsoft Office Word</Application>
  <DocSecurity>0</DocSecurity>
  <Lines>1528</Lines>
  <Paragraphs>494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JANSEN Colette (SG)</cp:lastModifiedBy>
  <cp:revision>17</cp:revision>
  <cp:lastPrinted>2017-03-17T16:51:00Z</cp:lastPrinted>
  <dcterms:created xsi:type="dcterms:W3CDTF">2017-03-17T08:51:00Z</dcterms:created>
  <dcterms:modified xsi:type="dcterms:W3CDTF">2017-03-17T16:54:00Z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