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87" w:rsidRDefault="00F02762" w:rsidP="00EA40DD">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46EBF8A99994777ABE915489A118997" style="width:450.75pt;height:293.25pt">
            <v:imagedata r:id="rId9" o:title=""/>
          </v:shape>
        </w:pict>
      </w:r>
    </w:p>
    <w:bookmarkEnd w:id="0"/>
    <w:p w:rsidR="00C908DD" w:rsidRPr="00C908DD" w:rsidRDefault="00C908DD" w:rsidP="00C908DD">
      <w:pPr>
        <w:pStyle w:val="Pagedecouverture"/>
        <w:sectPr w:rsidR="00C908DD" w:rsidRPr="00C908DD" w:rsidSect="00EA40D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236F87" w:rsidRPr="00236F87" w:rsidRDefault="00236F87" w:rsidP="00236F87">
      <w:pPr>
        <w:numPr>
          <w:ilvl w:val="0"/>
          <w:numId w:val="1"/>
        </w:numPr>
        <w:spacing w:after="240" w:line="360" w:lineRule="auto"/>
        <w:contextualSpacing/>
        <w:jc w:val="both"/>
        <w:rPr>
          <w:rFonts w:ascii="Times New Roman" w:hAnsi="Times New Roman" w:cs="Times New Roman"/>
          <w:b/>
          <w:sz w:val="24"/>
          <w:szCs w:val="24"/>
        </w:rPr>
      </w:pPr>
      <w:r w:rsidRPr="00236F87">
        <w:rPr>
          <w:rFonts w:ascii="Times New Roman" w:hAnsi="Times New Roman" w:cs="Times New Roman"/>
          <w:b/>
          <w:sz w:val="24"/>
          <w:szCs w:val="24"/>
        </w:rPr>
        <w:lastRenderedPageBreak/>
        <w:t>INTRODUCTION</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Additionality is a principle of the European Union's cohesion policy aiming to ensure that the Structural Funds</w:t>
      </w:r>
      <w:r w:rsidRPr="00236F87">
        <w:rPr>
          <w:rFonts w:ascii="Times New Roman" w:hAnsi="Times New Roman" w:cs="Times New Roman"/>
          <w:sz w:val="24"/>
          <w:szCs w:val="24"/>
          <w:vertAlign w:val="superscript"/>
        </w:rPr>
        <w:footnoteReference w:id="1"/>
      </w:r>
      <w:r w:rsidRPr="00236F87">
        <w:rPr>
          <w:rFonts w:ascii="Times New Roman" w:hAnsi="Times New Roman" w:cs="Times New Roman"/>
          <w:sz w:val="24"/>
          <w:szCs w:val="24"/>
        </w:rPr>
        <w:t xml:space="preserve"> complement but do not replace equivalent public expenditure of a Member State.</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Article 15 of Council Regulation (EC) N</w:t>
      </w:r>
      <w:r w:rsidR="002579A2">
        <w:rPr>
          <w:rFonts w:ascii="Times New Roman" w:hAnsi="Times New Roman" w:cs="Times New Roman"/>
          <w:sz w:val="24"/>
          <w:szCs w:val="24"/>
        </w:rPr>
        <w:t>o </w:t>
      </w:r>
      <w:r w:rsidRPr="00236F87">
        <w:rPr>
          <w:rFonts w:ascii="Times New Roman" w:hAnsi="Times New Roman" w:cs="Times New Roman"/>
          <w:sz w:val="24"/>
          <w:szCs w:val="24"/>
        </w:rPr>
        <w:t>1083/2006 specifies that the Commission should verify additionality in the Convergence objective in cooperation with each concerned Member State by the end of 2016 and should publish the results of this exercise. Although, under the regulations, Croatia has an additional year for this verification process, the Croatian authorities decided to submit all documentation one year early.</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This report therefore closes the verification of additionality for the 2007-2013 programming period, after the ex-ante and the mid-term verifications carried out in 2007 and 2011-2012 respectively.</w:t>
      </w:r>
    </w:p>
    <w:p w:rsidR="00236F87" w:rsidRPr="00236F87" w:rsidRDefault="00236F87" w:rsidP="00236F87">
      <w:pPr>
        <w:spacing w:after="240" w:line="240" w:lineRule="auto"/>
        <w:jc w:val="both"/>
        <w:rPr>
          <w:rFonts w:ascii="Times New Roman" w:hAnsi="Times New Roman" w:cs="Times New Roman"/>
          <w:b/>
          <w:sz w:val="24"/>
          <w:szCs w:val="24"/>
        </w:rPr>
      </w:pPr>
      <w:r w:rsidRPr="00236F87">
        <w:rPr>
          <w:rFonts w:ascii="Times New Roman" w:hAnsi="Times New Roman" w:cs="Times New Roman"/>
          <w:sz w:val="24"/>
          <w:szCs w:val="24"/>
        </w:rPr>
        <w:t>Additionality is considered to be respected if the average structural expenditure</w:t>
      </w:r>
      <w:r w:rsidRPr="00236F87">
        <w:rPr>
          <w:rFonts w:ascii="Times New Roman" w:hAnsi="Times New Roman" w:cs="Times New Roman"/>
          <w:sz w:val="24"/>
          <w:szCs w:val="24"/>
          <w:vertAlign w:val="superscript"/>
        </w:rPr>
        <w:footnoteReference w:id="2"/>
      </w:r>
      <w:r w:rsidRPr="00236F87">
        <w:rPr>
          <w:rFonts w:ascii="Times New Roman" w:hAnsi="Times New Roman" w:cs="Times New Roman"/>
          <w:sz w:val="24"/>
          <w:szCs w:val="24"/>
        </w:rPr>
        <w:t xml:space="preserve"> by the Member State over the period 2007-2013 was, in real terms</w:t>
      </w:r>
      <w:r w:rsidRPr="00236F87">
        <w:rPr>
          <w:rFonts w:ascii="Times New Roman" w:hAnsi="Times New Roman" w:cs="Times New Roman"/>
          <w:sz w:val="24"/>
          <w:szCs w:val="24"/>
          <w:vertAlign w:val="superscript"/>
        </w:rPr>
        <w:footnoteReference w:id="3"/>
      </w:r>
      <w:r w:rsidRPr="00236F87">
        <w:rPr>
          <w:rFonts w:ascii="Times New Roman" w:hAnsi="Times New Roman" w:cs="Times New Roman"/>
          <w:sz w:val="24"/>
          <w:szCs w:val="24"/>
        </w:rPr>
        <w:t>, at least equal to the level determined at the beginning of the period, or the level revised at the mid-term verification in 2011 and 2012 ('the baseline') to take account of the significant changes in the economic situation</w:t>
      </w:r>
      <w:r w:rsidRPr="00236F87">
        <w:rPr>
          <w:rFonts w:ascii="Times New Roman" w:hAnsi="Times New Roman" w:cs="Times New Roman"/>
          <w:b/>
          <w:sz w:val="24"/>
          <w:szCs w:val="24"/>
          <w:vertAlign w:val="superscript"/>
        </w:rPr>
        <w:footnoteReference w:id="4"/>
      </w:r>
      <w:r w:rsidRPr="00236F87">
        <w:rPr>
          <w:rFonts w:ascii="Times New Roman" w:hAnsi="Times New Roman" w:cs="Times New Roman"/>
          <w:b/>
          <w:sz w:val="24"/>
          <w:szCs w:val="24"/>
        </w:rPr>
        <w:t>.</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This report summarises the results of the ex-post verification carried out in 2016 for the whole programming period 2007-2013</w:t>
      </w:r>
      <w:r w:rsidRPr="00236F87">
        <w:rPr>
          <w:rFonts w:ascii="Times New Roman" w:hAnsi="Times New Roman" w:cs="Times New Roman"/>
          <w:sz w:val="24"/>
          <w:szCs w:val="24"/>
          <w:vertAlign w:val="superscript"/>
        </w:rPr>
        <w:footnoteReference w:id="5"/>
      </w:r>
      <w:r w:rsidRPr="00236F87">
        <w:rPr>
          <w:rFonts w:ascii="Times New Roman" w:hAnsi="Times New Roman" w:cs="Times New Roman"/>
          <w:sz w:val="24"/>
          <w:szCs w:val="24"/>
        </w:rPr>
        <w:t>. Compliance with additionality in this period has been probably the most challenging until now; it refers to the years of the worst economic downturn that the EU has witnessed in several decades. The significant decline of the economic activity which started in 2008 had a profound impact on public finances in Member States and gave rise to stringent fiscal consolidation plans aimed principally at ensuring the sustainability of public finances. The result was a significant decline of public investment</w:t>
      </w:r>
      <w:r w:rsidRPr="00236F87">
        <w:rPr>
          <w:rFonts w:ascii="Times New Roman" w:hAnsi="Times New Roman" w:cs="Times New Roman"/>
          <w:sz w:val="24"/>
          <w:szCs w:val="24"/>
          <w:vertAlign w:val="superscript"/>
        </w:rPr>
        <w:footnoteReference w:id="6"/>
      </w:r>
      <w:r w:rsidR="00FD6B2D">
        <w:rPr>
          <w:rFonts w:ascii="Times New Roman" w:hAnsi="Times New Roman" w:cs="Times New Roman"/>
          <w:sz w:val="24"/>
          <w:szCs w:val="24"/>
        </w:rPr>
        <w:t>.</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The ex-post verification has led to three main findings:</w:t>
      </w:r>
    </w:p>
    <w:p w:rsidR="00236F87" w:rsidRPr="00236F87" w:rsidRDefault="00236F87" w:rsidP="00236F87">
      <w:pPr>
        <w:spacing w:after="240" w:line="240" w:lineRule="auto"/>
        <w:jc w:val="both"/>
        <w:rPr>
          <w:rFonts w:ascii="Times New Roman" w:hAnsi="Times New Roman" w:cs="Times New Roman"/>
          <w:sz w:val="24"/>
          <w:szCs w:val="24"/>
        </w:rPr>
      </w:pP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lastRenderedPageBreak/>
        <w:t xml:space="preserve">First, the aggregate level of structural spending by Member States in the convergence regions in 2007-2013 (EUR 94.4 billion on annual average 2007-2013) was some EUR 1.2 billion lower than the level set ex-ante (EUR 95.6 billion) and EUR 13 billion higher than the aggregate level set at the mid-term (EUR 81.4 billion), notwithstanding some significant differences across Member States. Overall, the highest gaps are concentrated in the Member States most hit by the economic downturn and the crisis of public finances. </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 xml:space="preserve">Second, all Member States except Greece complied with their additionality baselines for 2007-2013, either those originally set at the ex-ante verification in the respective National Strategic Reference Frameworks (NSRF) or those revised at the mid-term verification. Six Member States are below the baseline set at the ex-ante verification but above the final baseline (Czech Republic, Germany, Italy, Lithuania, Hungary and Portugal), as a result of the downward revision decided at the mid-term verification. </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Third, the ex-post verification confirmed the shortcomings of the method for verifying additionality, already identified at the mid-term verification. The volume of the information to be submitted is a significant burden for Member States and presents verification difficulties for the Commission because of problems of comparability between the various methods used by Member States to verify additionality and the official statistics available in the EU. These are some of the reasons why the verification of additionality for the 2014-2020 period has been substantially simplified and aligned with the economic governance of the EU. Additionality, albeit revised, remains a key element of the architecture of cohesion policy for the 2014-2020 period to encourage growth-enhancing investments.</w:t>
      </w:r>
    </w:p>
    <w:p w:rsidR="00236F87" w:rsidRPr="00236F87" w:rsidRDefault="00236F87" w:rsidP="00236F87">
      <w:pPr>
        <w:numPr>
          <w:ilvl w:val="0"/>
          <w:numId w:val="1"/>
        </w:numPr>
        <w:spacing w:after="240" w:line="360" w:lineRule="auto"/>
        <w:contextualSpacing/>
        <w:jc w:val="both"/>
        <w:rPr>
          <w:rFonts w:ascii="Times New Roman" w:hAnsi="Times New Roman" w:cs="Times New Roman"/>
          <w:b/>
          <w:sz w:val="24"/>
          <w:szCs w:val="24"/>
        </w:rPr>
      </w:pPr>
      <w:r w:rsidRPr="00236F87">
        <w:rPr>
          <w:rFonts w:ascii="Times New Roman" w:hAnsi="Times New Roman" w:cs="Times New Roman"/>
          <w:b/>
          <w:sz w:val="24"/>
          <w:szCs w:val="24"/>
        </w:rPr>
        <w:t>THE ECONOMIC CONTEXT IN THE 2007-2013 PROGRAMMING PERIOD</w:t>
      </w:r>
    </w:p>
    <w:p w:rsidR="00236F87" w:rsidRPr="00236F87" w:rsidRDefault="00236F87" w:rsidP="00236F87">
      <w:pPr>
        <w:spacing w:after="240" w:line="240" w:lineRule="auto"/>
        <w:jc w:val="both"/>
        <w:rPr>
          <w:rFonts w:ascii="Times New Roman" w:eastAsiaTheme="majorEastAsia" w:hAnsi="Times New Roman" w:cs="Times New Roman"/>
          <w:sz w:val="24"/>
          <w:szCs w:val="20"/>
        </w:rPr>
      </w:pPr>
      <w:r w:rsidRPr="00236F87">
        <w:rPr>
          <w:rFonts w:ascii="Times New Roman" w:eastAsiaTheme="majorEastAsia" w:hAnsi="Times New Roman" w:cs="Times New Roman"/>
          <w:sz w:val="24"/>
          <w:szCs w:val="20"/>
        </w:rPr>
        <w:t>The implementation of cohesion policy in 2007-2013 took place in the most difficult economic context since EU cohesion policy was introduced. Real GDP in 2013 in the EU was still lower than in 2007 due to the major impact of the economic downturn which started in 2008 and intensified later. Annual GDP</w:t>
      </w:r>
      <w:r w:rsidR="00821E8A">
        <w:rPr>
          <w:rStyle w:val="FootnoteReference"/>
          <w:rFonts w:ascii="Times New Roman" w:eastAsiaTheme="majorEastAsia" w:hAnsi="Times New Roman" w:cs="Times New Roman"/>
          <w:sz w:val="24"/>
          <w:szCs w:val="20"/>
        </w:rPr>
        <w:footnoteReference w:id="7"/>
      </w:r>
      <w:r w:rsidRPr="00236F87">
        <w:rPr>
          <w:rFonts w:ascii="Times New Roman" w:eastAsiaTheme="majorEastAsia" w:hAnsi="Times New Roman" w:cs="Times New Roman"/>
          <w:sz w:val="24"/>
          <w:szCs w:val="20"/>
        </w:rPr>
        <w:t xml:space="preserve"> growth was negative in 2009 (-4.</w:t>
      </w:r>
      <w:r w:rsidR="00036182">
        <w:rPr>
          <w:rFonts w:ascii="Times New Roman" w:eastAsiaTheme="majorEastAsia" w:hAnsi="Times New Roman" w:cs="Times New Roman"/>
          <w:sz w:val="24"/>
          <w:szCs w:val="20"/>
        </w:rPr>
        <w:t>4</w:t>
      </w:r>
      <w:r w:rsidRPr="00236F87">
        <w:rPr>
          <w:rFonts w:ascii="Times New Roman" w:eastAsiaTheme="majorEastAsia" w:hAnsi="Times New Roman" w:cs="Times New Roman"/>
          <w:sz w:val="24"/>
          <w:szCs w:val="20"/>
        </w:rPr>
        <w:t>%) and 2012 (-0.</w:t>
      </w:r>
      <w:r w:rsidR="00036182">
        <w:rPr>
          <w:rFonts w:ascii="Times New Roman" w:eastAsiaTheme="majorEastAsia" w:hAnsi="Times New Roman" w:cs="Times New Roman"/>
          <w:sz w:val="24"/>
          <w:szCs w:val="20"/>
        </w:rPr>
        <w:t>5</w:t>
      </w:r>
      <w:r w:rsidRPr="00236F87">
        <w:rPr>
          <w:rFonts w:ascii="Times New Roman" w:eastAsiaTheme="majorEastAsia" w:hAnsi="Times New Roman" w:cs="Times New Roman"/>
          <w:sz w:val="24"/>
          <w:szCs w:val="20"/>
        </w:rPr>
        <w:t>%) and close to stagnation in 2008 (0.4%) and 2013 (0.</w:t>
      </w:r>
      <w:r w:rsidR="00F65A78">
        <w:rPr>
          <w:rFonts w:ascii="Times New Roman" w:eastAsiaTheme="majorEastAsia" w:hAnsi="Times New Roman" w:cs="Times New Roman"/>
          <w:sz w:val="24"/>
          <w:szCs w:val="20"/>
        </w:rPr>
        <w:t>2</w:t>
      </w:r>
      <w:r w:rsidRPr="00236F87">
        <w:rPr>
          <w:rFonts w:ascii="Times New Roman" w:eastAsiaTheme="majorEastAsia" w:hAnsi="Times New Roman" w:cs="Times New Roman"/>
          <w:sz w:val="24"/>
          <w:szCs w:val="20"/>
        </w:rPr>
        <w:t>%). The average annual GDP growth expected for the EU-27 in the period 2007-2009</w:t>
      </w:r>
      <w:r w:rsidRPr="00236F87">
        <w:rPr>
          <w:rFonts w:ascii="Times New Roman" w:eastAsiaTheme="majorEastAsia" w:hAnsi="Times New Roman" w:cs="Times New Roman"/>
          <w:sz w:val="24"/>
          <w:szCs w:val="20"/>
          <w:vertAlign w:val="superscript"/>
        </w:rPr>
        <w:footnoteReference w:id="8"/>
      </w:r>
      <w:r w:rsidRPr="00236F87">
        <w:rPr>
          <w:rFonts w:ascii="Times New Roman" w:eastAsiaTheme="majorEastAsia" w:hAnsi="Times New Roman" w:cs="Times New Roman"/>
          <w:sz w:val="24"/>
          <w:szCs w:val="20"/>
        </w:rPr>
        <w:t xml:space="preserve"> at the time of deciding the baselines was 2.6%, which compares to an observed rate of -0.3%. </w:t>
      </w:r>
    </w:p>
    <w:p w:rsidR="00236F87" w:rsidRPr="00236F87" w:rsidRDefault="00236F87" w:rsidP="00236F87">
      <w:pPr>
        <w:spacing w:after="240" w:line="240" w:lineRule="auto"/>
        <w:jc w:val="both"/>
        <w:rPr>
          <w:rFonts w:ascii="Times New Roman" w:eastAsiaTheme="majorEastAsia" w:hAnsi="Times New Roman" w:cs="Times New Roman"/>
          <w:sz w:val="24"/>
          <w:szCs w:val="20"/>
        </w:rPr>
      </w:pPr>
      <w:r w:rsidRPr="009256B8">
        <w:rPr>
          <w:rFonts w:ascii="Times New Roman" w:eastAsiaTheme="majorEastAsia" w:hAnsi="Times New Roman" w:cs="Times New Roman"/>
          <w:sz w:val="24"/>
          <w:szCs w:val="20"/>
        </w:rPr>
        <w:t xml:space="preserve">The economic downturn led to a sharp deterioration of the labour market. The </w:t>
      </w:r>
      <w:r w:rsidR="007F2F57" w:rsidRPr="000565F9">
        <w:rPr>
          <w:rFonts w:ascii="Times New Roman" w:eastAsiaTheme="majorEastAsia" w:hAnsi="Times New Roman" w:cs="Times New Roman"/>
          <w:sz w:val="24"/>
          <w:szCs w:val="20"/>
        </w:rPr>
        <w:t>harmonized</w:t>
      </w:r>
      <w:r w:rsidR="007F2F57" w:rsidRPr="009256B8">
        <w:rPr>
          <w:rFonts w:ascii="Times New Roman" w:eastAsiaTheme="majorEastAsia" w:hAnsi="Times New Roman" w:cs="Times New Roman"/>
          <w:sz w:val="24"/>
          <w:szCs w:val="20"/>
        </w:rPr>
        <w:t xml:space="preserve"> </w:t>
      </w:r>
      <w:r w:rsidRPr="009256B8">
        <w:rPr>
          <w:rFonts w:ascii="Times New Roman" w:eastAsiaTheme="majorEastAsia" w:hAnsi="Times New Roman" w:cs="Times New Roman"/>
          <w:sz w:val="24"/>
          <w:szCs w:val="20"/>
        </w:rPr>
        <w:t>unemployment rate in the EU</w:t>
      </w:r>
      <w:r w:rsidR="007F2F57" w:rsidRPr="000565F9">
        <w:rPr>
          <w:rFonts w:ascii="Times New Roman" w:eastAsiaTheme="majorEastAsia" w:hAnsi="Times New Roman" w:cs="Times New Roman"/>
          <w:sz w:val="24"/>
          <w:szCs w:val="20"/>
        </w:rPr>
        <w:t>28</w:t>
      </w:r>
      <w:r w:rsidRPr="009256B8">
        <w:rPr>
          <w:rFonts w:ascii="Times New Roman" w:eastAsiaTheme="majorEastAsia" w:hAnsi="Times New Roman" w:cs="Times New Roman"/>
          <w:sz w:val="24"/>
          <w:szCs w:val="20"/>
        </w:rPr>
        <w:t xml:space="preserve"> witnessed a steady increase from 7% in 2008 to 10.</w:t>
      </w:r>
      <w:r w:rsidR="007F2F57" w:rsidRPr="000565F9">
        <w:rPr>
          <w:rFonts w:ascii="Times New Roman" w:eastAsiaTheme="majorEastAsia" w:hAnsi="Times New Roman" w:cs="Times New Roman"/>
          <w:sz w:val="24"/>
          <w:szCs w:val="20"/>
        </w:rPr>
        <w:t>9</w:t>
      </w:r>
      <w:r w:rsidRPr="009256B8">
        <w:rPr>
          <w:rFonts w:ascii="Times New Roman" w:eastAsiaTheme="majorEastAsia" w:hAnsi="Times New Roman" w:cs="Times New Roman"/>
          <w:sz w:val="24"/>
          <w:szCs w:val="20"/>
        </w:rPr>
        <w:t>% in 2013. The impact on the labour market was particularly serious in the Member States most hit by a contraction of economic activity. For instance, the unemployment rate increased from 7.8%</w:t>
      </w:r>
      <w:r w:rsidR="007F2F57" w:rsidRPr="000565F9">
        <w:rPr>
          <w:rFonts w:ascii="Times New Roman" w:eastAsiaTheme="majorEastAsia" w:hAnsi="Times New Roman" w:cs="Times New Roman"/>
          <w:sz w:val="24"/>
          <w:szCs w:val="20"/>
        </w:rPr>
        <w:t xml:space="preserve"> in 2008</w:t>
      </w:r>
      <w:r w:rsidRPr="009256B8">
        <w:rPr>
          <w:rFonts w:ascii="Times New Roman" w:eastAsiaTheme="majorEastAsia" w:hAnsi="Times New Roman" w:cs="Times New Roman"/>
          <w:sz w:val="24"/>
          <w:szCs w:val="20"/>
        </w:rPr>
        <w:t xml:space="preserve"> to 27.5%</w:t>
      </w:r>
      <w:r w:rsidR="007F2F57" w:rsidRPr="000565F9">
        <w:rPr>
          <w:rFonts w:ascii="Times New Roman" w:eastAsiaTheme="majorEastAsia" w:hAnsi="Times New Roman" w:cs="Times New Roman"/>
          <w:sz w:val="24"/>
          <w:szCs w:val="20"/>
        </w:rPr>
        <w:t xml:space="preserve"> in 2013</w:t>
      </w:r>
      <w:r w:rsidRPr="009256B8">
        <w:rPr>
          <w:rFonts w:ascii="Times New Roman" w:eastAsiaTheme="majorEastAsia" w:hAnsi="Times New Roman" w:cs="Times New Roman"/>
          <w:sz w:val="24"/>
          <w:szCs w:val="20"/>
        </w:rPr>
        <w:t xml:space="preserve"> in Greece and from 8.2%</w:t>
      </w:r>
      <w:r w:rsidR="007F2F57" w:rsidRPr="000565F9">
        <w:rPr>
          <w:rFonts w:ascii="Times New Roman" w:eastAsiaTheme="majorEastAsia" w:hAnsi="Times New Roman" w:cs="Times New Roman"/>
          <w:sz w:val="24"/>
          <w:szCs w:val="20"/>
        </w:rPr>
        <w:t xml:space="preserve"> in 2007</w:t>
      </w:r>
      <w:r w:rsidRPr="009256B8">
        <w:rPr>
          <w:rFonts w:ascii="Times New Roman" w:eastAsiaTheme="majorEastAsia" w:hAnsi="Times New Roman" w:cs="Times New Roman"/>
          <w:sz w:val="24"/>
          <w:szCs w:val="20"/>
        </w:rPr>
        <w:t xml:space="preserve"> to 26.1%</w:t>
      </w:r>
      <w:r w:rsidR="007F2F57" w:rsidRPr="000565F9">
        <w:rPr>
          <w:rFonts w:ascii="Times New Roman" w:eastAsiaTheme="majorEastAsia" w:hAnsi="Times New Roman" w:cs="Times New Roman"/>
          <w:sz w:val="24"/>
          <w:szCs w:val="20"/>
        </w:rPr>
        <w:t xml:space="preserve"> in 2013</w:t>
      </w:r>
      <w:r w:rsidRPr="009256B8">
        <w:rPr>
          <w:rFonts w:ascii="Times New Roman" w:eastAsiaTheme="majorEastAsia" w:hAnsi="Times New Roman" w:cs="Times New Roman"/>
          <w:sz w:val="24"/>
          <w:szCs w:val="20"/>
        </w:rPr>
        <w:t xml:space="preserve"> in Spain. There was also a significant deterioration of social conditions in the EU as a whole and in some Member States in particular. The share of people at-risk-of-poverty and social exclusion increased from 23.7% in 2008 to 24.5% in 2013 with some Member States exceeding significantly the EU average at the end of the programming period (e.g. 48% in Bulgaria, 41.9% in Romania or 35.7% in Greece.</w:t>
      </w:r>
    </w:p>
    <w:p w:rsidR="00236F87" w:rsidRPr="00236F87" w:rsidRDefault="00236F87" w:rsidP="00236F87">
      <w:pPr>
        <w:spacing w:after="240" w:line="240" w:lineRule="auto"/>
        <w:jc w:val="both"/>
        <w:rPr>
          <w:rFonts w:ascii="Times New Roman" w:eastAsiaTheme="majorEastAsia" w:hAnsi="Times New Roman" w:cs="Times New Roman"/>
          <w:sz w:val="24"/>
          <w:szCs w:val="20"/>
        </w:rPr>
      </w:pPr>
      <w:r w:rsidRPr="00236F87">
        <w:rPr>
          <w:rFonts w:ascii="Times New Roman" w:eastAsiaTheme="majorEastAsia" w:hAnsi="Times New Roman" w:cs="Times New Roman"/>
          <w:sz w:val="24"/>
          <w:szCs w:val="20"/>
        </w:rPr>
        <w:t xml:space="preserve">The contraction of economic activity and the deterioration of the labour market and social conditions gave rise to increasing pressure on public expenditure. It rose sharply in </w:t>
      </w:r>
      <w:r w:rsidRPr="00236F87">
        <w:rPr>
          <w:rFonts w:ascii="Times New Roman" w:eastAsiaTheme="majorEastAsia" w:hAnsi="Times New Roman" w:cs="Times New Roman"/>
          <w:sz w:val="24"/>
          <w:szCs w:val="20"/>
        </w:rPr>
        <w:lastRenderedPageBreak/>
        <w:t xml:space="preserve">2008 and 2009 up to an </w:t>
      </w:r>
      <w:r w:rsidR="00ED21F9">
        <w:rPr>
          <w:rFonts w:ascii="Times New Roman" w:eastAsiaTheme="majorEastAsia" w:hAnsi="Times New Roman" w:cs="Times New Roman"/>
          <w:sz w:val="24"/>
          <w:szCs w:val="20"/>
        </w:rPr>
        <w:t xml:space="preserve">EU </w:t>
      </w:r>
      <w:r w:rsidRPr="00236F87">
        <w:rPr>
          <w:rFonts w:ascii="Times New Roman" w:eastAsiaTheme="majorEastAsia" w:hAnsi="Times New Roman" w:cs="Times New Roman"/>
          <w:sz w:val="24"/>
          <w:szCs w:val="20"/>
        </w:rPr>
        <w:t xml:space="preserve">average </w:t>
      </w:r>
      <w:r w:rsidR="00ED21F9">
        <w:rPr>
          <w:rFonts w:ascii="Times New Roman" w:eastAsiaTheme="majorEastAsia" w:hAnsi="Times New Roman" w:cs="Times New Roman"/>
          <w:sz w:val="24"/>
          <w:szCs w:val="20"/>
        </w:rPr>
        <w:t xml:space="preserve">general government total </w:t>
      </w:r>
      <w:r w:rsidRPr="00236F87">
        <w:rPr>
          <w:rFonts w:ascii="Times New Roman" w:eastAsiaTheme="majorEastAsia" w:hAnsi="Times New Roman" w:cs="Times New Roman"/>
          <w:sz w:val="24"/>
          <w:szCs w:val="20"/>
        </w:rPr>
        <w:t>expenditure-to-GDP ratio of over 50% of GDP in the EU, the highest since 1995. This was mostly the effect of automatic stabilisers, which explain also why government revenues did not increase at all</w:t>
      </w:r>
      <w:r w:rsidR="00BA43CD">
        <w:rPr>
          <w:rFonts w:ascii="Times New Roman" w:eastAsiaTheme="majorEastAsia" w:hAnsi="Times New Roman" w:cs="Times New Roman"/>
          <w:sz w:val="24"/>
          <w:szCs w:val="20"/>
        </w:rPr>
        <w:t>; actually</w:t>
      </w:r>
      <w:r w:rsidR="00ED21F9">
        <w:rPr>
          <w:rFonts w:ascii="Times New Roman" w:eastAsiaTheme="majorEastAsia" w:hAnsi="Times New Roman" w:cs="Times New Roman"/>
          <w:sz w:val="24"/>
          <w:szCs w:val="20"/>
        </w:rPr>
        <w:t>, the main source of government revenue (taxes and social contributions) decreased in absolute terms.</w:t>
      </w:r>
      <w:r w:rsidR="00ED21F9">
        <w:rPr>
          <w:rStyle w:val="FootnoteReference"/>
          <w:rFonts w:ascii="Times New Roman" w:eastAsiaTheme="majorEastAsia" w:hAnsi="Times New Roman" w:cs="Times New Roman"/>
          <w:sz w:val="24"/>
          <w:szCs w:val="20"/>
        </w:rPr>
        <w:footnoteReference w:id="9"/>
      </w:r>
      <w:r w:rsidRPr="00236F87">
        <w:rPr>
          <w:rFonts w:ascii="Times New Roman" w:eastAsiaTheme="majorEastAsia" w:hAnsi="Times New Roman" w:cs="Times New Roman"/>
          <w:sz w:val="24"/>
          <w:szCs w:val="20"/>
        </w:rPr>
        <w:t xml:space="preserve"> </w:t>
      </w:r>
      <w:r w:rsidRPr="00236F87">
        <w:rPr>
          <w:rFonts w:ascii="Times New Roman" w:eastAsia="Times New Roman" w:hAnsi="Times New Roman" w:cs="Times New Roman"/>
          <w:sz w:val="24"/>
          <w:szCs w:val="20"/>
        </w:rPr>
        <w:t xml:space="preserve">Automatic stabilisers are usually defined as those elements of fiscal policy which reduce tax burdens and increase public spending without discretionary government action. They provide, for instance, income replacement immediately when unemployment starts to rise. </w:t>
      </w:r>
      <w:r w:rsidRPr="00236F87">
        <w:rPr>
          <w:rFonts w:ascii="Times New Roman" w:eastAsiaTheme="majorEastAsia" w:hAnsi="Times New Roman" w:cs="Times New Roman"/>
          <w:sz w:val="24"/>
          <w:szCs w:val="20"/>
        </w:rPr>
        <w:t xml:space="preserve">The increase in the government spending-to-GDP ratio is actually mostly reflected in social protection expenditure, which was from 2009 onwards around 2.5 percentage points of GDP higher on average than pre-crisis levels. The increase in social protection expenditure was </w:t>
      </w:r>
      <w:r w:rsidR="00BA43CD">
        <w:rPr>
          <w:rFonts w:ascii="Times New Roman" w:eastAsiaTheme="majorEastAsia" w:hAnsi="Times New Roman" w:cs="Times New Roman"/>
          <w:sz w:val="24"/>
          <w:szCs w:val="20"/>
        </w:rPr>
        <w:t xml:space="preserve">even higher </w:t>
      </w:r>
      <w:r w:rsidRPr="00236F87">
        <w:rPr>
          <w:rFonts w:ascii="Times New Roman" w:eastAsiaTheme="majorEastAsia" w:hAnsi="Times New Roman" w:cs="Times New Roman"/>
          <w:sz w:val="24"/>
          <w:szCs w:val="20"/>
        </w:rPr>
        <w:t xml:space="preserve">in </w:t>
      </w:r>
      <w:r w:rsidR="00BA43CD">
        <w:rPr>
          <w:rFonts w:ascii="Times New Roman" w:eastAsiaTheme="majorEastAsia" w:hAnsi="Times New Roman" w:cs="Times New Roman"/>
          <w:sz w:val="24"/>
          <w:szCs w:val="20"/>
        </w:rPr>
        <w:t xml:space="preserve">some </w:t>
      </w:r>
      <w:r w:rsidRPr="00236F87">
        <w:rPr>
          <w:rFonts w:ascii="Times New Roman" w:eastAsiaTheme="majorEastAsia" w:hAnsi="Times New Roman" w:cs="Times New Roman"/>
          <w:sz w:val="24"/>
          <w:szCs w:val="20"/>
        </w:rPr>
        <w:t xml:space="preserve">Member States most hit by the contraction of GDP. The increasing burden of Government debt interest was also significant in these countries, over 2 percentage points of GDP compared to pre-crisis levels in some of them. </w:t>
      </w:r>
    </w:p>
    <w:p w:rsidR="00236F87" w:rsidRPr="00236F87" w:rsidRDefault="00236F87" w:rsidP="00236F87">
      <w:pPr>
        <w:spacing w:after="240" w:line="240" w:lineRule="auto"/>
        <w:jc w:val="both"/>
        <w:rPr>
          <w:rFonts w:ascii="Times New Roman" w:eastAsiaTheme="majorEastAsia" w:hAnsi="Times New Roman" w:cs="Times New Roman"/>
          <w:sz w:val="24"/>
          <w:szCs w:val="20"/>
        </w:rPr>
      </w:pPr>
      <w:r w:rsidRPr="00236F87">
        <w:rPr>
          <w:rFonts w:ascii="Times New Roman" w:eastAsiaTheme="majorEastAsia" w:hAnsi="Times New Roman" w:cs="Times New Roman"/>
          <w:sz w:val="24"/>
          <w:szCs w:val="20"/>
        </w:rPr>
        <w:t xml:space="preserve">The result of the mounting pressure on government expenditure and the stagnation of government revenue was a sharp increase in the deficit-to-GDP ratio in most Member States. It peaked at an EU average of -6.6% in 2009 from -0.9% in 2007 and was still above -3% </w:t>
      </w:r>
      <w:r w:rsidR="00E4132C">
        <w:rPr>
          <w:rFonts w:ascii="Times New Roman" w:eastAsiaTheme="majorEastAsia" w:hAnsi="Times New Roman" w:cs="Times New Roman"/>
          <w:sz w:val="24"/>
          <w:szCs w:val="20"/>
        </w:rPr>
        <w:t xml:space="preserve">(-3.3% of GDP) </w:t>
      </w:r>
      <w:r w:rsidRPr="00236F87">
        <w:rPr>
          <w:rFonts w:ascii="Times New Roman" w:eastAsiaTheme="majorEastAsia" w:hAnsi="Times New Roman" w:cs="Times New Roman"/>
          <w:sz w:val="24"/>
          <w:szCs w:val="20"/>
        </w:rPr>
        <w:t xml:space="preserve">in 2013. More than 20 Member States were under the Excessive Deficit Procedure, the corrective arm of the Stability and Growth Pact, in 2010. </w:t>
      </w:r>
      <w:r w:rsidR="00EA1EEA">
        <w:rPr>
          <w:rFonts w:ascii="Times New Roman" w:eastAsiaTheme="majorEastAsia" w:hAnsi="Times New Roman" w:cs="Times New Roman"/>
          <w:sz w:val="24"/>
          <w:szCs w:val="20"/>
        </w:rPr>
        <w:t>General government gross debt</w:t>
      </w:r>
      <w:r w:rsidRPr="00236F87">
        <w:rPr>
          <w:rFonts w:ascii="Times New Roman" w:eastAsiaTheme="majorEastAsia" w:hAnsi="Times New Roman" w:cs="Times New Roman"/>
          <w:sz w:val="24"/>
          <w:szCs w:val="20"/>
        </w:rPr>
        <w:t xml:space="preserve"> increased from </w:t>
      </w:r>
      <w:r w:rsidR="00E4132C">
        <w:rPr>
          <w:rFonts w:ascii="Times New Roman" w:eastAsiaTheme="majorEastAsia" w:hAnsi="Times New Roman" w:cs="Times New Roman"/>
          <w:sz w:val="24"/>
          <w:szCs w:val="20"/>
        </w:rPr>
        <w:t>57.6</w:t>
      </w:r>
      <w:r w:rsidRPr="00236F87">
        <w:rPr>
          <w:rFonts w:ascii="Times New Roman" w:eastAsiaTheme="majorEastAsia" w:hAnsi="Times New Roman" w:cs="Times New Roman"/>
          <w:sz w:val="24"/>
          <w:szCs w:val="20"/>
        </w:rPr>
        <w:t xml:space="preserve">% in 2007 to </w:t>
      </w:r>
      <w:r w:rsidR="00E4132C">
        <w:rPr>
          <w:rFonts w:ascii="Times New Roman" w:eastAsiaTheme="majorEastAsia" w:hAnsi="Times New Roman" w:cs="Times New Roman"/>
          <w:sz w:val="24"/>
          <w:szCs w:val="20"/>
        </w:rPr>
        <w:t>85.7</w:t>
      </w:r>
      <w:r w:rsidRPr="00236F87">
        <w:rPr>
          <w:rFonts w:ascii="Times New Roman" w:eastAsiaTheme="majorEastAsia" w:hAnsi="Times New Roman" w:cs="Times New Roman"/>
          <w:sz w:val="24"/>
          <w:szCs w:val="20"/>
        </w:rPr>
        <w:t>% of GDP in 2013 in the EU. These trends raised some concerns about the sustainability of public finances for some countries, which translated in some cases into external financial assistance from European and international institutions conditional on the implementation of economic adjustment programmes.</w:t>
      </w:r>
    </w:p>
    <w:p w:rsidR="00236F87" w:rsidRPr="00236F87" w:rsidRDefault="00236F87" w:rsidP="00236F87">
      <w:pPr>
        <w:spacing w:after="240" w:line="240" w:lineRule="auto"/>
        <w:jc w:val="both"/>
        <w:rPr>
          <w:rFonts w:ascii="Times New Roman" w:eastAsiaTheme="majorEastAsia" w:hAnsi="Times New Roman" w:cs="Times New Roman"/>
          <w:b/>
          <w:sz w:val="20"/>
          <w:szCs w:val="20"/>
        </w:rPr>
      </w:pPr>
      <w:r w:rsidRPr="00236F87">
        <w:rPr>
          <w:rFonts w:ascii="Times New Roman" w:eastAsiaTheme="majorEastAsia" w:hAnsi="Times New Roman" w:cs="Times New Roman"/>
          <w:b/>
          <w:sz w:val="20"/>
          <w:szCs w:val="20"/>
        </w:rPr>
        <w:t>Figure 1: Public expenditure and public investment and Government deficit and debt</w:t>
      </w:r>
    </w:p>
    <w:p w:rsidR="00236F87" w:rsidRPr="00236F87" w:rsidRDefault="00236F87" w:rsidP="00236F87">
      <w:pPr>
        <w:spacing w:after="240" w:line="240" w:lineRule="auto"/>
        <w:jc w:val="both"/>
        <w:rPr>
          <w:rFonts w:ascii="Times New Roman" w:eastAsiaTheme="majorEastAsia" w:hAnsi="Times New Roman" w:cs="Times New Roman"/>
          <w:sz w:val="24"/>
          <w:szCs w:val="20"/>
        </w:rPr>
      </w:pPr>
      <w:r w:rsidRPr="00236F87">
        <w:rPr>
          <w:rFonts w:ascii="Times New Roman" w:eastAsiaTheme="majorEastAsia" w:hAnsi="Times New Roman" w:cs="Times New Roman"/>
          <w:noProof/>
          <w:sz w:val="24"/>
          <w:szCs w:val="20"/>
          <w:lang w:eastAsia="en-GB"/>
        </w:rPr>
        <w:drawing>
          <wp:inline distT="0" distB="0" distL="0" distR="0" wp14:anchorId="75AA9E26" wp14:editId="2D820221">
            <wp:extent cx="5162551" cy="2743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6F87" w:rsidRPr="00236F87" w:rsidRDefault="00236F87" w:rsidP="00236F87">
      <w:pPr>
        <w:spacing w:after="0" w:line="240" w:lineRule="auto"/>
        <w:jc w:val="both"/>
        <w:rPr>
          <w:rFonts w:ascii="Times New Roman" w:eastAsiaTheme="majorEastAsia" w:hAnsi="Times New Roman" w:cs="Times New Roman"/>
          <w:sz w:val="24"/>
          <w:szCs w:val="20"/>
        </w:rPr>
      </w:pPr>
      <w:r w:rsidRPr="00236F87">
        <w:rPr>
          <w:rFonts w:ascii="Times New Roman" w:eastAsiaTheme="majorEastAsia" w:hAnsi="Times New Roman" w:cs="Times New Roman"/>
          <w:sz w:val="24"/>
          <w:szCs w:val="20"/>
        </w:rPr>
        <w:t xml:space="preserve">The increase of public expenditure-to-GDP did not imply higher public investment in the EU over the whole programming period. On the contrary, public investment dropped significantly in the Member States most hit by the contraction of economic activity and the crisis of public finances. These are, in general, the Member States with the highest departures from the initial baseline (Figure 2, X axis). Public investment was by far the expenditure item suffering from the highest contraction even after the economic recovery </w:t>
      </w:r>
      <w:r w:rsidRPr="00236F87">
        <w:rPr>
          <w:rFonts w:ascii="Times New Roman" w:eastAsiaTheme="majorEastAsia" w:hAnsi="Times New Roman" w:cs="Times New Roman"/>
          <w:sz w:val="24"/>
          <w:szCs w:val="20"/>
        </w:rPr>
        <w:lastRenderedPageBreak/>
        <w:t>packages decided both at European and national levels to counter the adverse impact of the fall of GDP and employment during the first years of the crisis. This fact explains why some Member States comply with additionality without reducing the baseline at the time of the mid-term verification and despite a significant decline in public investment during the second part of the programming period.</w:t>
      </w:r>
    </w:p>
    <w:p w:rsidR="00236F87" w:rsidRPr="00236F87" w:rsidRDefault="00236F87" w:rsidP="00236F87">
      <w:pPr>
        <w:keepNext/>
        <w:keepLines/>
        <w:spacing w:before="240" w:after="0"/>
        <w:jc w:val="both"/>
        <w:outlineLvl w:val="0"/>
        <w:rPr>
          <w:rFonts w:ascii="Times New Roman" w:eastAsiaTheme="majorEastAsia" w:hAnsi="Times New Roman" w:cs="Times New Roman"/>
          <w:b/>
          <w:bCs/>
          <w:sz w:val="20"/>
          <w:szCs w:val="20"/>
        </w:rPr>
      </w:pPr>
      <w:r w:rsidRPr="00236F87">
        <w:rPr>
          <w:rFonts w:ascii="Times New Roman" w:eastAsiaTheme="majorEastAsia" w:hAnsi="Times New Roman" w:cs="Times New Roman"/>
          <w:b/>
          <w:bCs/>
          <w:sz w:val="20"/>
          <w:szCs w:val="20"/>
        </w:rPr>
        <w:t>Figure 2: Difference between ex-ante baseline and ex-post structural expenditure (X axis) and average GDP growth 2007-2013 (Y axis)</w:t>
      </w:r>
    </w:p>
    <w:p w:rsidR="00236F87" w:rsidRPr="00236F87" w:rsidRDefault="00236F87" w:rsidP="00236F87">
      <w:pPr>
        <w:keepNext/>
        <w:keepLines/>
        <w:spacing w:before="480" w:after="0"/>
        <w:outlineLvl w:val="0"/>
        <w:rPr>
          <w:rFonts w:ascii="Times New Roman" w:eastAsiaTheme="majorEastAsia" w:hAnsi="Times New Roman" w:cs="Times New Roman"/>
          <w:b/>
          <w:bCs/>
          <w:sz w:val="28"/>
          <w:szCs w:val="28"/>
        </w:rPr>
      </w:pPr>
      <w:r w:rsidRPr="00236F87">
        <w:rPr>
          <w:rFonts w:ascii="Times New Roman" w:eastAsia="Times New Roman" w:hAnsi="Times New Roman" w:cs="Times New Roman"/>
          <w:noProof/>
          <w:sz w:val="24"/>
          <w:szCs w:val="20"/>
          <w:lang w:eastAsia="en-GB"/>
        </w:rPr>
        <w:drawing>
          <wp:inline distT="0" distB="0" distL="0" distR="0" wp14:anchorId="6F987C3C" wp14:editId="47E2F83E">
            <wp:extent cx="5495925" cy="32480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6F87" w:rsidRPr="00236F87" w:rsidRDefault="00236F87" w:rsidP="00236F87">
      <w:pPr>
        <w:keepNext/>
        <w:keepLines/>
        <w:spacing w:before="240" w:after="360"/>
        <w:outlineLvl w:val="0"/>
        <w:rPr>
          <w:rFonts w:ascii="Times New Roman" w:eastAsiaTheme="majorEastAsia" w:hAnsi="Times New Roman" w:cs="Times New Roman"/>
          <w:bCs/>
          <w:sz w:val="16"/>
          <w:szCs w:val="16"/>
        </w:rPr>
      </w:pPr>
      <w:r w:rsidRPr="00236F87">
        <w:rPr>
          <w:rFonts w:ascii="Times New Roman" w:eastAsiaTheme="majorEastAsia" w:hAnsi="Times New Roman" w:cs="Times New Roman"/>
          <w:bCs/>
          <w:sz w:val="16"/>
          <w:szCs w:val="16"/>
        </w:rPr>
        <w:t>Source: Eurostat and Commission calculations</w:t>
      </w:r>
    </w:p>
    <w:p w:rsidR="00236F87" w:rsidRPr="00236F87" w:rsidRDefault="00236F87" w:rsidP="00236F87">
      <w:pPr>
        <w:spacing w:after="0" w:line="240" w:lineRule="auto"/>
        <w:rPr>
          <w:rFonts w:ascii="Times New Roman" w:hAnsi="Times New Roman" w:cs="Times New Roman"/>
          <w:b/>
          <w:sz w:val="24"/>
          <w:szCs w:val="24"/>
        </w:rPr>
      </w:pPr>
      <w:r w:rsidRPr="00236F87">
        <w:rPr>
          <w:rFonts w:ascii="Times New Roman" w:hAnsi="Times New Roman" w:cs="Times New Roman"/>
          <w:b/>
          <w:sz w:val="24"/>
          <w:szCs w:val="24"/>
        </w:rPr>
        <w:br w:type="page"/>
      </w:r>
    </w:p>
    <w:p w:rsidR="00236F87" w:rsidRPr="00236F87" w:rsidRDefault="00236F87" w:rsidP="00236F87">
      <w:pPr>
        <w:numPr>
          <w:ilvl w:val="0"/>
          <w:numId w:val="1"/>
        </w:numPr>
        <w:spacing w:after="240" w:line="360" w:lineRule="auto"/>
        <w:contextualSpacing/>
        <w:jc w:val="both"/>
        <w:rPr>
          <w:rFonts w:ascii="Times New Roman" w:hAnsi="Times New Roman" w:cs="Times New Roman"/>
          <w:b/>
          <w:sz w:val="24"/>
          <w:szCs w:val="24"/>
        </w:rPr>
      </w:pPr>
      <w:r w:rsidRPr="00236F87">
        <w:rPr>
          <w:rFonts w:ascii="Times New Roman" w:hAnsi="Times New Roman" w:cs="Times New Roman"/>
          <w:b/>
          <w:sz w:val="24"/>
          <w:szCs w:val="24"/>
        </w:rPr>
        <w:lastRenderedPageBreak/>
        <w:t>THE PROCESS OF EX-POST VERIFICATION FOR THE 2007-2013 PERIOD</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The 21 Member States concerned by the verification of additionality (those with at least one Convergence region in the 2007-2013period) had to submit the necessary information and corresponding tables with final data by 31 January 2016. This was done, although some Member States submitted the information late, in some cases by several months.</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Once submitted by the Member States, the Commission checked the consistency of that information with public investment trends observed in the Classification of the Functions of Governments</w:t>
      </w:r>
      <w:r w:rsidRPr="00236F87">
        <w:rPr>
          <w:rFonts w:ascii="Times New Roman" w:hAnsi="Times New Roman" w:cs="Times New Roman"/>
          <w:sz w:val="24"/>
          <w:szCs w:val="24"/>
          <w:vertAlign w:val="superscript"/>
        </w:rPr>
        <w:footnoteReference w:id="10"/>
      </w:r>
      <w:r w:rsidRPr="00236F87">
        <w:rPr>
          <w:rFonts w:ascii="Times New Roman" w:hAnsi="Times New Roman" w:cs="Times New Roman"/>
          <w:sz w:val="24"/>
          <w:szCs w:val="24"/>
        </w:rPr>
        <w:t xml:space="preserve"> (COFOG), which is provided by Eurostat in accordance with the </w:t>
      </w:r>
      <w:r w:rsidR="00953C76">
        <w:rPr>
          <w:rFonts w:ascii="Times New Roman" w:hAnsi="Times New Roman" w:cs="Times New Roman"/>
          <w:sz w:val="24"/>
          <w:szCs w:val="24"/>
        </w:rPr>
        <w:t>European s</w:t>
      </w:r>
      <w:r w:rsidRPr="00236F87">
        <w:rPr>
          <w:rFonts w:ascii="Times New Roman" w:hAnsi="Times New Roman" w:cs="Times New Roman"/>
          <w:sz w:val="24"/>
          <w:szCs w:val="24"/>
        </w:rPr>
        <w:t>ystem of accounts</w:t>
      </w:r>
      <w:r w:rsidR="00953C76">
        <w:rPr>
          <w:rFonts w:ascii="Times New Roman" w:hAnsi="Times New Roman" w:cs="Times New Roman"/>
          <w:sz w:val="24"/>
          <w:szCs w:val="24"/>
        </w:rPr>
        <w:t xml:space="preserve"> (ESA 2010)</w:t>
      </w:r>
      <w:r w:rsidRPr="00236F87">
        <w:rPr>
          <w:rFonts w:ascii="Times New Roman" w:hAnsi="Times New Roman" w:cs="Times New Roman"/>
          <w:sz w:val="24"/>
          <w:szCs w:val="24"/>
        </w:rPr>
        <w:t xml:space="preserve">. In some cases, the Commission also used publicly available information on national expenditure or specifically requested additional information from national authorities in various bilateral exchanges. For example, the Commission required national authorities to provide further clarification regarding data and methodologies used to calculate spending in specific categories of expenditure or to provide additional information regarding structural expenditure by region or in </w:t>
      </w:r>
      <w:r w:rsidR="00BA43CD" w:rsidRPr="00236F87">
        <w:rPr>
          <w:rFonts w:ascii="Times New Roman" w:hAnsi="Times New Roman" w:cs="Times New Roman"/>
          <w:sz w:val="24"/>
          <w:szCs w:val="24"/>
        </w:rPr>
        <w:t>public</w:t>
      </w:r>
      <w:r w:rsidR="00BA43CD">
        <w:rPr>
          <w:rFonts w:ascii="Times New Roman" w:hAnsi="Times New Roman" w:cs="Times New Roman"/>
          <w:sz w:val="24"/>
          <w:szCs w:val="24"/>
        </w:rPr>
        <w:t xml:space="preserve"> corporations</w:t>
      </w:r>
      <w:r w:rsidRPr="00236F87">
        <w:rPr>
          <w:rFonts w:ascii="Times New Roman" w:hAnsi="Times New Roman" w:cs="Times New Roman"/>
          <w:sz w:val="24"/>
          <w:szCs w:val="24"/>
        </w:rPr>
        <w:t xml:space="preserve">. This process enabled the resolution of most discrepancies and led in several cases to an amendment of the level of expenditure initially proposed to the Commission (e.g. for Bulgaria, Spain, Latvia, Hungary, and Poland). </w:t>
      </w:r>
    </w:p>
    <w:p w:rsidR="00236F87" w:rsidRPr="00236F87" w:rsidRDefault="00236F87" w:rsidP="00236F87">
      <w:pPr>
        <w:spacing w:after="240" w:line="240" w:lineRule="auto"/>
        <w:jc w:val="both"/>
        <w:rPr>
          <w:rFonts w:ascii="Times New Roman" w:hAnsi="Times New Roman" w:cs="Times New Roman"/>
          <w:sz w:val="24"/>
          <w:szCs w:val="24"/>
        </w:rPr>
      </w:pPr>
      <w:r w:rsidRPr="00BA43CD">
        <w:rPr>
          <w:rFonts w:ascii="Times New Roman" w:hAnsi="Times New Roman" w:cs="Times New Roman"/>
          <w:sz w:val="24"/>
          <w:szCs w:val="24"/>
        </w:rPr>
        <w:t xml:space="preserve">From a methodological point of view, determining the structural spending by a Member State has been a difficult task, as was already found at the mid-term stage of verification. From the side of Member States, it entailed collecting and aggregating 'ad hoc' data on public investment by thematic area and by the various levels of government, including the isolation of expenditure in some regions when just some part of the country was eligible to the Convergence objective. The methodology proposed by Member States was often used just for the purpose of verifying additionality. From the Commission side, the major obstacle was the comparability between the </w:t>
      </w:r>
      <w:r w:rsidR="00A41CE1" w:rsidRPr="00BA43CD">
        <w:rPr>
          <w:rFonts w:ascii="Times New Roman" w:hAnsi="Times New Roman" w:cs="Times New Roman"/>
          <w:sz w:val="24"/>
          <w:szCs w:val="24"/>
        </w:rPr>
        <w:t xml:space="preserve">non-harmonised </w:t>
      </w:r>
      <w:r w:rsidRPr="00BA43CD">
        <w:rPr>
          <w:rFonts w:ascii="Times New Roman" w:hAnsi="Times New Roman" w:cs="Times New Roman"/>
          <w:sz w:val="24"/>
          <w:szCs w:val="24"/>
        </w:rPr>
        <w:t xml:space="preserve">data provided by Member States and those available in official European statistics, </w:t>
      </w:r>
      <w:r w:rsidR="00A41CE1" w:rsidRPr="00BA43CD">
        <w:rPr>
          <w:rFonts w:ascii="Times New Roman" w:hAnsi="Times New Roman" w:cs="Times New Roman"/>
          <w:sz w:val="24"/>
          <w:szCs w:val="24"/>
        </w:rPr>
        <w:t>for which no regional distinction has been foreseen for general government data</w:t>
      </w:r>
      <w:r w:rsidRPr="00BA43CD">
        <w:rPr>
          <w:rFonts w:ascii="Times New Roman" w:hAnsi="Times New Roman" w:cs="Times New Roman"/>
          <w:sz w:val="24"/>
          <w:szCs w:val="24"/>
        </w:rPr>
        <w:t xml:space="preserve">. The verification of expenditure by public </w:t>
      </w:r>
      <w:r w:rsidR="00A41CE1" w:rsidRPr="00BA43CD">
        <w:rPr>
          <w:rFonts w:ascii="Times New Roman" w:hAnsi="Times New Roman" w:cs="Times New Roman"/>
          <w:sz w:val="24"/>
          <w:szCs w:val="24"/>
        </w:rPr>
        <w:t xml:space="preserve">corporations </w:t>
      </w:r>
      <w:r w:rsidRPr="00BA43CD">
        <w:rPr>
          <w:rFonts w:ascii="Times New Roman" w:hAnsi="Times New Roman" w:cs="Times New Roman"/>
          <w:sz w:val="24"/>
          <w:szCs w:val="24"/>
        </w:rPr>
        <w:t xml:space="preserve">was also problematic </w:t>
      </w:r>
      <w:r w:rsidR="00A41CE1" w:rsidRPr="00BA43CD">
        <w:rPr>
          <w:rFonts w:ascii="Times New Roman" w:hAnsi="Times New Roman" w:cs="Times New Roman"/>
          <w:sz w:val="24"/>
          <w:szCs w:val="24"/>
        </w:rPr>
        <w:t>as it is not captured in a harmonised way</w:t>
      </w:r>
      <w:r w:rsidRPr="00BA43CD">
        <w:rPr>
          <w:rFonts w:ascii="Times New Roman" w:hAnsi="Times New Roman" w:cs="Times New Roman"/>
          <w:sz w:val="24"/>
          <w:szCs w:val="24"/>
        </w:rPr>
        <w:t>. In those cases, the Commission asked the Member States to provide public reports certified by internal or external audits.</w:t>
      </w:r>
    </w:p>
    <w:p w:rsid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Another problem encountered in some Member States (e.g. Poland) was the changes by the Member State in the methodology used to identify the expenditure relevant for additionality. The improvements introduced in the systems to better capture the relevant spending do not enable the full comparability of the relevant spending across various programming periods.</w:t>
      </w:r>
    </w:p>
    <w:p w:rsidR="00796CE9" w:rsidRPr="00236F87" w:rsidRDefault="00796CE9" w:rsidP="00236F8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the </w:t>
      </w:r>
      <w:r w:rsidRPr="00110C34">
        <w:rPr>
          <w:rFonts w:ascii="Times New Roman" w:hAnsi="Times New Roman" w:cs="Times New Roman"/>
          <w:sz w:val="24"/>
          <w:szCs w:val="24"/>
        </w:rPr>
        <w:t>differences in methodologies for calculating structural expe</w:t>
      </w:r>
      <w:r>
        <w:rPr>
          <w:rFonts w:ascii="Times New Roman" w:hAnsi="Times New Roman" w:cs="Times New Roman"/>
          <w:sz w:val="24"/>
          <w:szCs w:val="24"/>
        </w:rPr>
        <w:t>nditure across Member States make their comparability difficult and</w:t>
      </w:r>
      <w:r w:rsidRPr="00110C34">
        <w:rPr>
          <w:rFonts w:ascii="Times New Roman" w:hAnsi="Times New Roman" w:cs="Times New Roman"/>
          <w:sz w:val="24"/>
          <w:szCs w:val="24"/>
        </w:rPr>
        <w:t xml:space="preserve"> may introduce some significant bias in the assessment</w:t>
      </w:r>
      <w:r>
        <w:rPr>
          <w:rFonts w:ascii="Times New Roman" w:hAnsi="Times New Roman" w:cs="Times New Roman"/>
          <w:sz w:val="24"/>
          <w:szCs w:val="24"/>
        </w:rPr>
        <w:t xml:space="preserve"> by the Commission</w:t>
      </w:r>
      <w:r w:rsidRPr="00110C34">
        <w:rPr>
          <w:rFonts w:ascii="Times New Roman" w:hAnsi="Times New Roman" w:cs="Times New Roman"/>
          <w:sz w:val="24"/>
          <w:szCs w:val="24"/>
        </w:rPr>
        <w:t>. Th</w:t>
      </w:r>
      <w:r>
        <w:rPr>
          <w:rFonts w:ascii="Times New Roman" w:hAnsi="Times New Roman" w:cs="Times New Roman"/>
          <w:sz w:val="24"/>
          <w:szCs w:val="24"/>
        </w:rPr>
        <w:t>e way Member States record and classify expenditure for the purpose of additionality varies considerably from one to another.</w:t>
      </w:r>
    </w:p>
    <w:p w:rsid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 xml:space="preserve">The various exchanges between the Commission and the Member States allowed providing significant assurance on the reliability and consistency of the information provided for the verification of additionality. Once the level of actual expenditure and the </w:t>
      </w:r>
      <w:r w:rsidRPr="00236F87">
        <w:rPr>
          <w:rFonts w:ascii="Times New Roman" w:hAnsi="Times New Roman" w:cs="Times New Roman"/>
          <w:sz w:val="24"/>
          <w:szCs w:val="24"/>
        </w:rPr>
        <w:lastRenderedPageBreak/>
        <w:t>methodology used was agreed between the national authorities and the Commission, the Commission communicated the result by letter to the Member States concerned.</w:t>
      </w:r>
    </w:p>
    <w:p w:rsidR="00236F87" w:rsidRPr="00236F87" w:rsidRDefault="00236F87" w:rsidP="00236F87">
      <w:pPr>
        <w:numPr>
          <w:ilvl w:val="0"/>
          <w:numId w:val="1"/>
        </w:numPr>
        <w:spacing w:after="240" w:line="360" w:lineRule="auto"/>
        <w:contextualSpacing/>
        <w:jc w:val="both"/>
        <w:rPr>
          <w:rFonts w:ascii="Times New Roman" w:hAnsi="Times New Roman" w:cs="Times New Roman"/>
          <w:b/>
          <w:sz w:val="24"/>
          <w:szCs w:val="24"/>
        </w:rPr>
      </w:pPr>
      <w:r w:rsidRPr="00236F87">
        <w:rPr>
          <w:rFonts w:ascii="Times New Roman" w:hAnsi="Times New Roman" w:cs="Times New Roman"/>
          <w:b/>
          <w:sz w:val="24"/>
          <w:szCs w:val="24"/>
        </w:rPr>
        <w:t>STRUCTURAL SPENDING IN CONVERGENCE REGIONS IN 2007-2013</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The results of the ex-post verification are summarised in Table 1, which compares the ex-post level of average annual structural expenditure in 2007-2013 with the baseline agreed ex-ante or the one revised at the mid-term verification. The average annual structural spending (EUR 94.4 billion), expressed in 2006 prices, was on average some 1% lower than initially estimated (EUR 95.6 billion) but some 16% higher than the aggregate sum of the baselines as revised at the mid-term verification (EUR 81.4 billion). This positive difference is mostly due to structural spending by Member States</w:t>
      </w:r>
      <w:r w:rsidR="002E73C7">
        <w:rPr>
          <w:rFonts w:ascii="Times New Roman" w:hAnsi="Times New Roman" w:cs="Times New Roman"/>
          <w:sz w:val="24"/>
          <w:szCs w:val="24"/>
        </w:rPr>
        <w:t>,</w:t>
      </w:r>
      <w:r w:rsidRPr="00236F87">
        <w:rPr>
          <w:rFonts w:ascii="Times New Roman" w:hAnsi="Times New Roman" w:cs="Times New Roman"/>
          <w:sz w:val="24"/>
          <w:szCs w:val="24"/>
        </w:rPr>
        <w:t xml:space="preserve"> whose baseline was not revised at the mid-term verification, suggesting that the reduction of the baselines in ten Member States was both balanced and realistic. </w:t>
      </w:r>
    </w:p>
    <w:p w:rsidR="00236F87" w:rsidRPr="00236F87" w:rsidRDefault="00236F87" w:rsidP="00236F87">
      <w:pPr>
        <w:spacing w:after="240" w:line="240" w:lineRule="auto"/>
        <w:jc w:val="both"/>
        <w:rPr>
          <w:rFonts w:ascii="Times New Roman" w:hAnsi="Times New Roman" w:cs="Times New Roman"/>
          <w:b/>
          <w:sz w:val="20"/>
          <w:szCs w:val="20"/>
        </w:rPr>
      </w:pPr>
      <w:r w:rsidRPr="00236F87">
        <w:rPr>
          <w:rFonts w:ascii="Times New Roman" w:hAnsi="Times New Roman" w:cs="Times New Roman"/>
          <w:b/>
          <w:sz w:val="20"/>
          <w:szCs w:val="20"/>
        </w:rPr>
        <w:t>Table 1: Reference levels and actual structural spending</w:t>
      </w:r>
      <w:r w:rsidR="00BA43CD">
        <w:rPr>
          <w:rStyle w:val="FootnoteReference"/>
          <w:rFonts w:ascii="Times New Roman" w:hAnsi="Times New Roman" w:cs="Times New Roman"/>
          <w:b/>
          <w:sz w:val="20"/>
          <w:szCs w:val="20"/>
        </w:rPr>
        <w:footnoteReference w:id="11"/>
      </w:r>
    </w:p>
    <w:p w:rsidR="00236F87" w:rsidRPr="00236F87" w:rsidRDefault="00236F87" w:rsidP="00236F87">
      <w:pPr>
        <w:spacing w:line="360" w:lineRule="auto"/>
        <w:jc w:val="both"/>
        <w:rPr>
          <w:rFonts w:ascii="Times New Roman" w:hAnsi="Times New Roman" w:cs="Times New Roman"/>
          <w:sz w:val="24"/>
          <w:szCs w:val="24"/>
        </w:rPr>
      </w:pPr>
      <w:r w:rsidRPr="00236F87">
        <w:rPr>
          <w:rFonts w:ascii="Times New Roman" w:hAnsi="Times New Roman" w:cs="Times New Roman"/>
          <w:noProof/>
          <w:sz w:val="24"/>
          <w:szCs w:val="24"/>
          <w:lang w:eastAsia="en-GB"/>
        </w:rPr>
        <w:drawing>
          <wp:inline distT="0" distB="0" distL="0" distR="0" wp14:anchorId="695A3252" wp14:editId="44495EC9">
            <wp:extent cx="5543550" cy="4057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7053" cy="4060214"/>
                    </a:xfrm>
                    <a:prstGeom prst="rect">
                      <a:avLst/>
                    </a:prstGeom>
                    <a:noFill/>
                    <a:ln>
                      <a:noFill/>
                    </a:ln>
                  </pic:spPr>
                </pic:pic>
              </a:graphicData>
            </a:graphic>
          </wp:inline>
        </w:drawing>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 xml:space="preserve">There are however significant differences across Member States when comparing the ex-ante and ex-post baselines. For example, the actual structural spending for 2007-2013 was 35% lower than the ex-ante baseline in Greece. The variation is over 25% in Italy and between 10% and 20% in Hungary, Lithuania and Portugal. In contrast, the actual structural spending for 2007-2013 was significantly higher than the initial baseline in some Member States, with amounts as high as 97% in Slovakia, 80% in Malta or more than 50% in Poland. There is a significant correlation between structural spending and the impact of the economic downturn in the Member State. Lower spending than expected is mostly concentrated in the Member States most hit by the crisis. Spain is the </w:t>
      </w:r>
      <w:r w:rsidRPr="00236F87">
        <w:rPr>
          <w:rFonts w:ascii="Times New Roman" w:hAnsi="Times New Roman" w:cs="Times New Roman"/>
          <w:sz w:val="24"/>
          <w:szCs w:val="24"/>
        </w:rPr>
        <w:lastRenderedPageBreak/>
        <w:t xml:space="preserve">main exception to this, because of the high levels of spending up to 2010, including two economic recovery packages adopted to counter the effects of the economic downturn. </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Structural spending by Member States tended to decline in the second half of the programming period. The highest levels of structural expenditure are actually observed in the first three years of the period (until 2009); they start to decline in 2010 and then significantly so as from 2011 with the downturn of economic activity and the mounting pressure on public finances. For this reason, some Member States asked the Commission to lower their baselines at the mid-term verification of additionality, as envisaged in the legal framework, with a view to bringing them more in line with the significant change in the economic situation. The Commission decided finally to reduce the baseline for ten Member States</w:t>
      </w:r>
      <w:r w:rsidRPr="00236F87">
        <w:rPr>
          <w:rFonts w:ascii="Times New Roman" w:hAnsi="Times New Roman" w:cs="Times New Roman"/>
          <w:sz w:val="24"/>
          <w:szCs w:val="24"/>
          <w:vertAlign w:val="superscript"/>
        </w:rPr>
        <w:footnoteReference w:id="12"/>
      </w:r>
      <w:r w:rsidRPr="00236F87">
        <w:rPr>
          <w:rFonts w:ascii="Times New Roman" w:hAnsi="Times New Roman" w:cs="Times New Roman"/>
          <w:sz w:val="24"/>
          <w:szCs w:val="24"/>
        </w:rPr>
        <w:t xml:space="preserve">. The baselines were reduced by at least 20% in five Member States (Greece, Italy, Latvia, Lithuania and Portugal) and by at least 10% in other four (the Czech Republic, Germany, Hungary and the United Kingdom). </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The structural expenditure relevant for additionality includes the co-financing by national governments within the European cohesion policy framework. Out of the EUR 94.4 billion of average structural spending per year, some EUR 9.7 billion corresponds to the national co-financing of projects carried out in the framework of cohesion policy. The highest shares are found in Portugal and Poland, where the national co-financing accounts for some 25% of the total structural spending financed by the Member State. As regards EU funding, the total spending by the ERDF and the ESF has been some EUR 21.4 billion, which accounts for around 18% of the total structural spending when considering both EU and national financial sources (EUR 117 billion). This share is over 40% in countries like Lithuania or Portugal. The average share of the ERDF and the ESF tended to increase over the last years of the programming period because of the decline of structural spending by Member States.</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The structural spending executed in the whole programming period amounts to EUR 819 billion when including both national funding and the Structural Funds. This sum accounts for around 4.2 % of GDP of convergence regions and some 2% of the total public expenditure of the 21 Member States concerned by additionality in the same period.</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 xml:space="preserve">When comparing results with the previous programming period (2000-2006 or 2004-2006), structural spending increased by 2% despite the impact of the economic downturn. This is mainly due to the growth in structural spending in the Member States which joined the European Union in 2004 or afterwards (30% increase in all of them except in Czech Republic, Lithuania and Hungary in which structural spending decreased). Structural spending also fell in Germany, Greece, Italy and Portugal as a result of the effect of the economic downturn and some exceptional expenditure of the period 2000-2006 (e.g. the 2004 Olympic Games in Greece and the </w:t>
      </w:r>
      <w:r w:rsidR="002E73C7">
        <w:rPr>
          <w:rFonts w:ascii="Times New Roman" w:hAnsi="Times New Roman" w:cs="Times New Roman"/>
          <w:sz w:val="24"/>
          <w:szCs w:val="24"/>
        </w:rPr>
        <w:t>expenditure</w:t>
      </w:r>
      <w:r w:rsidR="002E73C7" w:rsidRPr="00236F87">
        <w:rPr>
          <w:rFonts w:ascii="Times New Roman" w:hAnsi="Times New Roman" w:cs="Times New Roman"/>
          <w:sz w:val="24"/>
          <w:szCs w:val="24"/>
        </w:rPr>
        <w:t xml:space="preserve"> </w:t>
      </w:r>
      <w:r w:rsidRPr="00236F87">
        <w:rPr>
          <w:rFonts w:ascii="Times New Roman" w:hAnsi="Times New Roman" w:cs="Times New Roman"/>
          <w:sz w:val="24"/>
          <w:szCs w:val="24"/>
        </w:rPr>
        <w:t>related to reunification in Germany).</w:t>
      </w:r>
    </w:p>
    <w:p w:rsidR="00236F87" w:rsidRPr="00236F87" w:rsidRDefault="00236F87" w:rsidP="00236F87">
      <w:pPr>
        <w:numPr>
          <w:ilvl w:val="0"/>
          <w:numId w:val="1"/>
        </w:numPr>
        <w:spacing w:after="240" w:line="360" w:lineRule="auto"/>
        <w:contextualSpacing/>
        <w:jc w:val="both"/>
        <w:rPr>
          <w:rFonts w:ascii="Times New Roman" w:hAnsi="Times New Roman" w:cs="Times New Roman"/>
          <w:b/>
          <w:sz w:val="24"/>
          <w:szCs w:val="24"/>
        </w:rPr>
      </w:pPr>
      <w:r w:rsidRPr="00236F87">
        <w:rPr>
          <w:rFonts w:ascii="Times New Roman" w:hAnsi="Times New Roman" w:cs="Times New Roman"/>
          <w:b/>
          <w:sz w:val="24"/>
          <w:szCs w:val="24"/>
        </w:rPr>
        <w:t>CONCLUSIONS</w:t>
      </w:r>
    </w:p>
    <w:p w:rsidR="00236F87" w:rsidRPr="00236F87" w:rsidRDefault="00236F87" w:rsidP="00C908DD">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 xml:space="preserve">The 2007-2013 programming period was characterised by a strong deterioration of the economic context and social conditions. GDP growth was below expectations and both the unemployment rate and the share of people-at-risk of poverty and social exclusion increased significantly in some Member States. Compliance with additionality was challenging in that context because of the increasing pressure on social expenditure, </w:t>
      </w:r>
      <w:r w:rsidRPr="00236F87">
        <w:rPr>
          <w:rFonts w:ascii="Times New Roman" w:hAnsi="Times New Roman" w:cs="Times New Roman"/>
          <w:sz w:val="24"/>
          <w:szCs w:val="24"/>
        </w:rPr>
        <w:lastRenderedPageBreak/>
        <w:t>notably in the Member States most hit by the downturn, and because of the fiscal consolidation measures taken to ensure sustainability of public finances. These are some of the main reasons explaining why some Member States proposed a reduction of the baseline initially set in the NSRF at the ex-ante verification.</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 xml:space="preserve">In general, compliance with additionality is mostly explained by the higher levels of expenditure undertaken during the three first years of the programming period, either because it was before the start of the financial crisis in 2008 or because of the exceptional expenditure made under the economic recovery packages adopted to counter the adverse effects of the sudden economic downturn. Structural spending then declined significantly in most Member States during the second half of the programming period. This is fully in line with the trends for public investment observed in the data released by </w:t>
      </w:r>
      <w:r w:rsidR="00397794" w:rsidRPr="00236F87">
        <w:rPr>
          <w:rFonts w:ascii="Times New Roman" w:hAnsi="Times New Roman" w:cs="Times New Roman"/>
          <w:sz w:val="24"/>
          <w:szCs w:val="24"/>
        </w:rPr>
        <w:t xml:space="preserve">Eurostat. </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rPr>
        <w:t>A</w:t>
      </w:r>
      <w:r w:rsidRPr="00236F87">
        <w:rPr>
          <w:rFonts w:ascii="Times New Roman" w:hAnsi="Times New Roman" w:cs="Times New Roman"/>
          <w:sz w:val="24"/>
          <w:szCs w:val="24"/>
        </w:rPr>
        <w:t>ll Member States complied with additionality except Greece. Six Member States complied with additionality because of the downward revision of the baseline at the mid-term verification in 2010. In the rest, structural spending was above the level set at the ex-ante verification.</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The legal framework provides that the Commission may make a financial correction in case of non-compliance with additionality by cancelling all or part of the Structural Funds contribution to the Member State concerned</w:t>
      </w:r>
      <w:r w:rsidRPr="00236F87">
        <w:rPr>
          <w:rFonts w:ascii="Times New Roman" w:hAnsi="Times New Roman" w:cs="Times New Roman"/>
          <w:sz w:val="24"/>
          <w:szCs w:val="24"/>
          <w:vertAlign w:val="superscript"/>
        </w:rPr>
        <w:footnoteReference w:id="13"/>
      </w:r>
      <w:r w:rsidRPr="00236F87">
        <w:rPr>
          <w:rFonts w:ascii="Times New Roman" w:hAnsi="Times New Roman" w:cs="Times New Roman"/>
          <w:sz w:val="24"/>
          <w:szCs w:val="24"/>
        </w:rPr>
        <w:t xml:space="preserve">. </w:t>
      </w:r>
    </w:p>
    <w:p w:rsidR="00236F87" w:rsidRPr="00236F87" w:rsidRDefault="00236F87" w:rsidP="00236F87">
      <w:pPr>
        <w:spacing w:after="240" w:line="240" w:lineRule="auto"/>
        <w:jc w:val="both"/>
        <w:rPr>
          <w:rFonts w:ascii="Times New Roman" w:hAnsi="Times New Roman" w:cs="Times New Roman"/>
          <w:sz w:val="24"/>
          <w:szCs w:val="24"/>
        </w:rPr>
      </w:pPr>
      <w:r w:rsidRPr="00236F87">
        <w:rPr>
          <w:rFonts w:ascii="Times New Roman" w:hAnsi="Times New Roman" w:cs="Times New Roman"/>
          <w:sz w:val="24"/>
          <w:szCs w:val="24"/>
        </w:rPr>
        <w:t xml:space="preserve">Non-compliance with additionality in Greece is due to the strong and unexpected deterioration of the economic context, with real GDP falling by more than 25% between 2007 and 2013, and not to deliberate economic policy decisions of the Greek governments. Greece has been under external financial assistance since 2010 and subject to </w:t>
      </w:r>
      <w:r w:rsidR="007D330E">
        <w:rPr>
          <w:rFonts w:ascii="Times New Roman" w:hAnsi="Times New Roman" w:cs="Times New Roman"/>
          <w:sz w:val="24"/>
          <w:szCs w:val="24"/>
        </w:rPr>
        <w:t xml:space="preserve">three successive </w:t>
      </w:r>
      <w:r w:rsidRPr="00236F87">
        <w:rPr>
          <w:rFonts w:ascii="Times New Roman" w:hAnsi="Times New Roman" w:cs="Times New Roman"/>
          <w:sz w:val="24"/>
          <w:szCs w:val="24"/>
        </w:rPr>
        <w:t xml:space="preserve">economic adjustment programmes, which </w:t>
      </w:r>
      <w:r w:rsidR="007D330E">
        <w:rPr>
          <w:rFonts w:ascii="Times New Roman" w:hAnsi="Times New Roman" w:cs="Times New Roman"/>
          <w:sz w:val="24"/>
          <w:szCs w:val="24"/>
        </w:rPr>
        <w:t xml:space="preserve">in redressing the overall economic situation in Greece has to </w:t>
      </w:r>
      <w:r w:rsidRPr="00236F87">
        <w:rPr>
          <w:rFonts w:ascii="Times New Roman" w:hAnsi="Times New Roman" w:cs="Times New Roman"/>
          <w:sz w:val="24"/>
          <w:szCs w:val="24"/>
        </w:rPr>
        <w:t>include measures related to the reduction of public investment</w:t>
      </w:r>
      <w:r w:rsidR="007D330E">
        <w:rPr>
          <w:rFonts w:ascii="Times New Roman" w:hAnsi="Times New Roman" w:cs="Times New Roman"/>
          <w:sz w:val="24"/>
          <w:szCs w:val="24"/>
        </w:rPr>
        <w:t xml:space="preserve"> with a negative impact in its ability to comply with additionality</w:t>
      </w:r>
      <w:r w:rsidRPr="00236F87">
        <w:rPr>
          <w:rFonts w:ascii="Times New Roman" w:hAnsi="Times New Roman" w:cs="Times New Roman"/>
          <w:sz w:val="24"/>
          <w:szCs w:val="24"/>
        </w:rPr>
        <w:t>. The quarterly reviews of the</w:t>
      </w:r>
      <w:r w:rsidR="007D330E">
        <w:rPr>
          <w:rFonts w:ascii="Times New Roman" w:hAnsi="Times New Roman" w:cs="Times New Roman"/>
          <w:sz w:val="24"/>
          <w:szCs w:val="24"/>
        </w:rPr>
        <w:t xml:space="preserve"> economic adjustment</w:t>
      </w:r>
      <w:r w:rsidRPr="00236F87">
        <w:rPr>
          <w:rFonts w:ascii="Times New Roman" w:hAnsi="Times New Roman" w:cs="Times New Roman"/>
          <w:sz w:val="24"/>
          <w:szCs w:val="24"/>
        </w:rPr>
        <w:t xml:space="preserve"> programmes have been considered positive by the Commission. In these circumstances, </w:t>
      </w:r>
      <w:r w:rsidR="007D330E">
        <w:rPr>
          <w:rFonts w:ascii="Times New Roman" w:hAnsi="Times New Roman" w:cs="Times New Roman"/>
          <w:sz w:val="24"/>
          <w:szCs w:val="24"/>
        </w:rPr>
        <w:t xml:space="preserve">imposing </w:t>
      </w:r>
      <w:r w:rsidRPr="00236F87">
        <w:rPr>
          <w:rFonts w:ascii="Times New Roman" w:hAnsi="Times New Roman" w:cs="Times New Roman"/>
          <w:sz w:val="24"/>
          <w:szCs w:val="24"/>
        </w:rPr>
        <w:t xml:space="preserve">a financial correction is not appropriate. </w:t>
      </w:r>
    </w:p>
    <w:p w:rsidR="00236F87" w:rsidRPr="00236F87" w:rsidRDefault="00236F87" w:rsidP="00236F87">
      <w:pPr>
        <w:spacing w:after="240" w:line="240" w:lineRule="auto"/>
        <w:jc w:val="both"/>
        <w:rPr>
          <w:rFonts w:ascii="Times New Roman" w:hAnsi="Times New Roman" w:cs="Times New Roman"/>
          <w:sz w:val="24"/>
          <w:szCs w:val="24"/>
        </w:rPr>
      </w:pPr>
      <w:r w:rsidRPr="00BA43CD">
        <w:rPr>
          <w:rFonts w:ascii="Times New Roman" w:hAnsi="Times New Roman" w:cs="Times New Roman"/>
          <w:sz w:val="24"/>
          <w:szCs w:val="24"/>
        </w:rPr>
        <w:t xml:space="preserve">The process of ex-post verification of additionality for 2007-2013 has been confronted with the weaknesses that led to the substantial reform of the methodology for the period 2014-2020. The verification exercise required considerable resources from both for Member States and the Commission. The consistency between the </w:t>
      </w:r>
      <w:r w:rsidR="002E73C7" w:rsidRPr="00BA43CD">
        <w:rPr>
          <w:rFonts w:ascii="Times New Roman" w:hAnsi="Times New Roman" w:cs="Times New Roman"/>
          <w:sz w:val="24"/>
          <w:szCs w:val="24"/>
        </w:rPr>
        <w:t xml:space="preserve">non-harmonised </w:t>
      </w:r>
      <w:r w:rsidRPr="00BA43CD">
        <w:rPr>
          <w:rFonts w:ascii="Times New Roman" w:hAnsi="Times New Roman" w:cs="Times New Roman"/>
          <w:sz w:val="24"/>
          <w:szCs w:val="24"/>
        </w:rPr>
        <w:t>data submitted by Member States and those available under the COFOG classification of expenditure has not been easy to ensure, not least because there is no alignment with EU economic governance</w:t>
      </w:r>
      <w:r w:rsidR="002E73C7" w:rsidRPr="00BA43CD">
        <w:rPr>
          <w:rFonts w:ascii="Times New Roman" w:hAnsi="Times New Roman" w:cs="Times New Roman"/>
          <w:sz w:val="24"/>
          <w:szCs w:val="24"/>
        </w:rPr>
        <w:t xml:space="preserve"> of the former</w:t>
      </w:r>
      <w:r w:rsidRPr="00BA43CD">
        <w:rPr>
          <w:rFonts w:ascii="Times New Roman" w:hAnsi="Times New Roman" w:cs="Times New Roman"/>
          <w:sz w:val="24"/>
          <w:szCs w:val="24"/>
        </w:rPr>
        <w:t>. The changes made by some Member States in their methodology, albeit positive because they tend to capture better the expenditure relevant for additionality, have been an element of difficulty when comparing expenditure across programming periods.</w:t>
      </w:r>
    </w:p>
    <w:p w:rsidR="00236F87" w:rsidRPr="00EA40DD" w:rsidRDefault="00236F87" w:rsidP="00236F87">
      <w:pPr>
        <w:spacing w:after="240" w:line="240" w:lineRule="auto"/>
        <w:jc w:val="both"/>
        <w:rPr>
          <w:rFonts w:ascii="Times New Roman" w:eastAsia="Times New Roman" w:hAnsi="Times New Roman" w:cs="Times New Roman"/>
          <w:sz w:val="24"/>
          <w:szCs w:val="20"/>
        </w:rPr>
      </w:pPr>
      <w:r w:rsidRPr="00236F87">
        <w:rPr>
          <w:rFonts w:ascii="Times New Roman" w:hAnsi="Times New Roman" w:cs="Times New Roman"/>
          <w:sz w:val="24"/>
          <w:szCs w:val="24"/>
        </w:rPr>
        <w:t>This report closes the verification of additionality for the 2007-2013 programming period.</w:t>
      </w:r>
    </w:p>
    <w:sectPr w:rsidR="00236F87" w:rsidRPr="00EA40DD" w:rsidSect="00CD4B05">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C9" w:rsidRDefault="003C69C9" w:rsidP="00236F87">
      <w:pPr>
        <w:spacing w:after="0" w:line="240" w:lineRule="auto"/>
      </w:pPr>
      <w:r>
        <w:separator/>
      </w:r>
    </w:p>
  </w:endnote>
  <w:endnote w:type="continuationSeparator" w:id="0">
    <w:p w:rsidR="003C69C9" w:rsidRDefault="003C69C9" w:rsidP="0023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47" w:rsidRDefault="00F93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DD" w:rsidRPr="00EA40DD" w:rsidRDefault="00EA40DD" w:rsidP="00EA40DD">
    <w:pPr>
      <w:pStyle w:val="FooterCoverPage"/>
      <w:numPr>
        <w:ilvl w:val="0"/>
        <w:numId w:val="0"/>
      </w:numPr>
      <w:rPr>
        <w:rFonts w:ascii="Arial" w:hAnsi="Arial" w:cs="Arial"/>
        <w:b/>
        <w:sz w:val="48"/>
      </w:rPr>
    </w:pPr>
    <w:r w:rsidRPr="00EA40DD">
      <w:rPr>
        <w:rFonts w:ascii="Arial" w:hAnsi="Arial" w:cs="Arial"/>
        <w:b/>
        <w:sz w:val="48"/>
      </w:rPr>
      <w:t>EN</w:t>
    </w:r>
    <w:r w:rsidRPr="00EA40DD">
      <w:rPr>
        <w:rFonts w:ascii="Arial" w:hAnsi="Arial" w:cs="Arial"/>
        <w:b/>
        <w:sz w:val="48"/>
      </w:rPr>
      <w:tab/>
    </w:r>
    <w:r w:rsidRPr="00EA40DD">
      <w:rPr>
        <w:rFonts w:ascii="Arial" w:hAnsi="Arial" w:cs="Arial"/>
        <w:b/>
        <w:sz w:val="48"/>
      </w:rPr>
      <w:tab/>
    </w:r>
    <w:r w:rsidR="00F02762">
      <w:fldChar w:fldCharType="begin"/>
    </w:r>
    <w:r w:rsidR="00F02762">
      <w:instrText xml:space="preserve"> DOCVARIABLE "LW_Confidence" \* MERGEFORMAT </w:instrText>
    </w:r>
    <w:r w:rsidR="00F02762">
      <w:fldChar w:fldCharType="separate"/>
    </w:r>
    <w:r>
      <w:t xml:space="preserve"> </w:t>
    </w:r>
    <w:r w:rsidR="00F02762">
      <w:fldChar w:fldCharType="end"/>
    </w:r>
    <w:r w:rsidRPr="00EA40DD">
      <w:tab/>
    </w:r>
    <w:r w:rsidRPr="00EA40D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47" w:rsidRDefault="00F937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87" w:rsidRDefault="00236F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996332816"/>
      <w:docPartObj>
        <w:docPartGallery w:val="Page Numbers (Bottom of Page)"/>
        <w:docPartUnique/>
      </w:docPartObj>
    </w:sdtPr>
    <w:sdtEndPr/>
    <w:sdtContent>
      <w:sdt>
        <w:sdtPr>
          <w:rPr>
            <w:rFonts w:ascii="Times New Roman" w:hAnsi="Times New Roman"/>
            <w:sz w:val="18"/>
            <w:szCs w:val="18"/>
          </w:rPr>
          <w:id w:val="-2144184509"/>
          <w:docPartObj>
            <w:docPartGallery w:val="Page Numbers (Top of Page)"/>
            <w:docPartUnique/>
          </w:docPartObj>
        </w:sdtPr>
        <w:sdtEndPr/>
        <w:sdtContent>
          <w:p w:rsidR="00236F87" w:rsidRPr="004E0289" w:rsidRDefault="00236F87" w:rsidP="005C5A76">
            <w:pPr>
              <w:pStyle w:val="Footer"/>
              <w:jc w:val="center"/>
              <w:rPr>
                <w:rFonts w:ascii="Times New Roman" w:hAnsi="Times New Roman"/>
                <w:sz w:val="18"/>
                <w:szCs w:val="18"/>
              </w:rPr>
            </w:pPr>
            <w:r w:rsidRPr="004E0289">
              <w:rPr>
                <w:rFonts w:ascii="Times New Roman" w:hAnsi="Times New Roman"/>
                <w:bCs/>
                <w:sz w:val="18"/>
                <w:szCs w:val="18"/>
              </w:rPr>
              <w:fldChar w:fldCharType="begin"/>
            </w:r>
            <w:r w:rsidRPr="004E0289">
              <w:rPr>
                <w:rFonts w:ascii="Times New Roman" w:hAnsi="Times New Roman"/>
                <w:bCs/>
                <w:sz w:val="18"/>
                <w:szCs w:val="18"/>
              </w:rPr>
              <w:instrText xml:space="preserve"> PAGE </w:instrText>
            </w:r>
            <w:r w:rsidRPr="004E0289">
              <w:rPr>
                <w:rFonts w:ascii="Times New Roman" w:hAnsi="Times New Roman"/>
                <w:bCs/>
                <w:sz w:val="18"/>
                <w:szCs w:val="18"/>
              </w:rPr>
              <w:fldChar w:fldCharType="separate"/>
            </w:r>
            <w:r w:rsidR="00F02762">
              <w:rPr>
                <w:rFonts w:ascii="Times New Roman" w:hAnsi="Times New Roman"/>
                <w:bCs/>
                <w:noProof/>
                <w:sz w:val="18"/>
                <w:szCs w:val="18"/>
              </w:rPr>
              <w:t>4</w:t>
            </w:r>
            <w:r w:rsidRPr="004E0289">
              <w:rPr>
                <w:rFonts w:ascii="Times New Roman" w:hAnsi="Times New Roman"/>
                <w:bCs/>
                <w:sz w:val="18"/>
                <w:szCs w:val="18"/>
              </w:rPr>
              <w:fldChar w:fldCharType="end"/>
            </w:r>
            <w:r w:rsidR="00627B2E">
              <w:rPr>
                <w:rFonts w:ascii="Times New Roman" w:hAnsi="Times New Roman"/>
                <w:sz w:val="18"/>
                <w:szCs w:val="18"/>
              </w:rPr>
              <w:t xml:space="preserve"> </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747007965"/>
      <w:docPartObj>
        <w:docPartGallery w:val="Page Numbers (Top of Page)"/>
        <w:docPartUnique/>
      </w:docPartObj>
    </w:sdtPr>
    <w:sdtEndPr/>
    <w:sdtContent>
      <w:p w:rsidR="000C39A5" w:rsidRDefault="000C39A5" w:rsidP="000C39A5">
        <w:pPr>
          <w:pStyle w:val="Footer"/>
          <w:jc w:val="center"/>
          <w:rPr>
            <w:rFonts w:ascii="Times New Roman" w:hAnsi="Times New Roman"/>
            <w:sz w:val="18"/>
            <w:szCs w:val="18"/>
          </w:rPr>
        </w:pPr>
        <w:r w:rsidRPr="004E0289">
          <w:rPr>
            <w:rFonts w:ascii="Times New Roman" w:hAnsi="Times New Roman"/>
            <w:bCs/>
            <w:sz w:val="18"/>
            <w:szCs w:val="18"/>
          </w:rPr>
          <w:fldChar w:fldCharType="begin"/>
        </w:r>
        <w:r w:rsidRPr="004E0289">
          <w:rPr>
            <w:rFonts w:ascii="Times New Roman" w:hAnsi="Times New Roman"/>
            <w:bCs/>
            <w:sz w:val="18"/>
            <w:szCs w:val="18"/>
          </w:rPr>
          <w:instrText xml:space="preserve"> PAGE </w:instrText>
        </w:r>
        <w:r w:rsidRPr="004E0289">
          <w:rPr>
            <w:rFonts w:ascii="Times New Roman" w:hAnsi="Times New Roman"/>
            <w:bCs/>
            <w:sz w:val="18"/>
            <w:szCs w:val="18"/>
          </w:rPr>
          <w:fldChar w:fldCharType="separate"/>
        </w:r>
        <w:r w:rsidR="00F02762">
          <w:rPr>
            <w:rFonts w:ascii="Times New Roman" w:hAnsi="Times New Roman"/>
            <w:bCs/>
            <w:noProof/>
            <w:sz w:val="18"/>
            <w:szCs w:val="18"/>
          </w:rPr>
          <w:t>2</w:t>
        </w:r>
        <w:r w:rsidRPr="004E0289">
          <w:rPr>
            <w:rFonts w:ascii="Times New Roman" w:hAnsi="Times New Roman"/>
            <w:bCs/>
            <w:sz w:val="18"/>
            <w:szCs w:val="18"/>
          </w:rPr>
          <w:fldChar w:fldCharType="end"/>
        </w:r>
        <w:r w:rsidR="00627B2E">
          <w:rPr>
            <w:rFonts w:ascii="Times New Roman" w:hAnsi="Times New Roman"/>
            <w:sz w:val="18"/>
            <w:szCs w:val="18"/>
          </w:rPr>
          <w:t xml:space="preserve"> </w:t>
        </w:r>
      </w:p>
    </w:sdtContent>
  </w:sdt>
  <w:p w:rsidR="00236F87" w:rsidRPr="00C908DD" w:rsidRDefault="00236F87" w:rsidP="00C90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C9" w:rsidRDefault="003C69C9" w:rsidP="00236F87">
      <w:pPr>
        <w:spacing w:after="0" w:line="240" w:lineRule="auto"/>
      </w:pPr>
      <w:r>
        <w:separator/>
      </w:r>
    </w:p>
  </w:footnote>
  <w:footnote w:type="continuationSeparator" w:id="0">
    <w:p w:rsidR="003C69C9" w:rsidRDefault="003C69C9" w:rsidP="00236F87">
      <w:pPr>
        <w:spacing w:after="0" w:line="240" w:lineRule="auto"/>
      </w:pPr>
      <w:r>
        <w:continuationSeparator/>
      </w:r>
    </w:p>
  </w:footnote>
  <w:footnote w:id="1">
    <w:p w:rsidR="00236F87" w:rsidRPr="004E0289" w:rsidRDefault="00236F87" w:rsidP="004E0289">
      <w:pPr>
        <w:pStyle w:val="FootnoteText"/>
        <w:tabs>
          <w:tab w:val="left" w:pos="284"/>
        </w:tabs>
        <w:spacing w:after="120"/>
        <w:ind w:left="284" w:hanging="284"/>
        <w:jc w:val="both"/>
        <w:rPr>
          <w:rFonts w:ascii="Times New Roman" w:hAnsi="Times New Roman" w:cs="Times New Roman"/>
          <w:lang w:val="en-US"/>
        </w:rPr>
      </w:pPr>
      <w:r w:rsidRPr="004E0289">
        <w:rPr>
          <w:rStyle w:val="FootnoteReference"/>
          <w:rFonts w:ascii="Times New Roman" w:hAnsi="Times New Roman" w:cs="Times New Roman"/>
        </w:rPr>
        <w:footnoteRef/>
      </w:r>
      <w:r w:rsidRPr="004E0289">
        <w:rPr>
          <w:rFonts w:ascii="Times New Roman" w:hAnsi="Times New Roman" w:cs="Times New Roman"/>
        </w:rPr>
        <w:tab/>
        <w:t xml:space="preserve">Additionality only concerns the European Regional Development Fund (ERDF) and the European Social Fund (ESF). </w:t>
      </w:r>
      <w:r w:rsidRPr="004E0289">
        <w:rPr>
          <w:rFonts w:ascii="Times New Roman" w:hAnsi="Times New Roman" w:cs="Times New Roman"/>
          <w:lang w:val="en-US"/>
        </w:rPr>
        <w:t>The Cohesion Fund is not considered.</w:t>
      </w:r>
    </w:p>
  </w:footnote>
  <w:footnote w:id="2">
    <w:p w:rsidR="00236F87" w:rsidRPr="004E0289" w:rsidRDefault="00236F87" w:rsidP="004E0289">
      <w:pPr>
        <w:pStyle w:val="FootnoteText"/>
        <w:spacing w:after="120"/>
        <w:ind w:left="284" w:hanging="284"/>
        <w:jc w:val="both"/>
        <w:rPr>
          <w:rFonts w:ascii="Times New Roman" w:hAnsi="Times New Roman" w:cs="Times New Roman"/>
        </w:rPr>
      </w:pPr>
      <w:r w:rsidRPr="004E0289">
        <w:rPr>
          <w:rStyle w:val="FootnoteReference"/>
          <w:rFonts w:ascii="Times New Roman" w:hAnsi="Times New Roman" w:cs="Times New Roman"/>
        </w:rPr>
        <w:footnoteRef/>
      </w:r>
      <w:r w:rsidRPr="004E0289">
        <w:rPr>
          <w:rFonts w:ascii="Times New Roman" w:hAnsi="Times New Roman" w:cs="Times New Roman"/>
        </w:rPr>
        <w:t xml:space="preserve"> </w:t>
      </w:r>
      <w:r w:rsidRPr="004E0289">
        <w:rPr>
          <w:rFonts w:ascii="Times New Roman" w:hAnsi="Times New Roman" w:cs="Times New Roman"/>
        </w:rPr>
        <w:tab/>
        <w:t xml:space="preserve">As referred in the Working Document N° 3 of the Commission of December 2006, </w:t>
      </w:r>
      <w:r w:rsidRPr="004E0289">
        <w:rPr>
          <w:rFonts w:ascii="Times New Roman" w:hAnsi="Times New Roman" w:cs="Times New Roman"/>
          <w:i/>
        </w:rPr>
        <w:t>'the eligible national public expenditure covers all public or equivalent structural spending originating from the budget of the State, regional or local authorities which could benefit from Structural Fund aid even if only part of this expenditure is in fact co-financed by the Structural Funds</w:t>
      </w:r>
      <w:r w:rsidRPr="004E0289">
        <w:rPr>
          <w:rFonts w:ascii="Times New Roman" w:hAnsi="Times New Roman" w:cs="Times New Roman"/>
        </w:rPr>
        <w:t xml:space="preserve">'. </w:t>
      </w:r>
    </w:p>
  </w:footnote>
  <w:footnote w:id="3">
    <w:p w:rsidR="00236F87" w:rsidRPr="004E0289" w:rsidRDefault="00236F87" w:rsidP="004E0289">
      <w:pPr>
        <w:pStyle w:val="FootnoteText"/>
        <w:spacing w:after="120"/>
        <w:ind w:left="284" w:hanging="284"/>
        <w:jc w:val="both"/>
        <w:rPr>
          <w:rFonts w:ascii="Times New Roman" w:hAnsi="Times New Roman" w:cs="Times New Roman"/>
        </w:rPr>
      </w:pPr>
      <w:r w:rsidRPr="004E0289">
        <w:rPr>
          <w:rStyle w:val="FootnoteReference"/>
          <w:rFonts w:ascii="Times New Roman" w:hAnsi="Times New Roman" w:cs="Times New Roman"/>
        </w:rPr>
        <w:footnoteRef/>
      </w:r>
      <w:r w:rsidRPr="004E0289">
        <w:rPr>
          <w:rFonts w:ascii="Times New Roman" w:hAnsi="Times New Roman" w:cs="Times New Roman"/>
        </w:rPr>
        <w:tab/>
        <w:t>Expressed in 2006 prices.</w:t>
      </w:r>
    </w:p>
  </w:footnote>
  <w:footnote w:id="4">
    <w:p w:rsidR="00236F87" w:rsidRPr="004E0289" w:rsidRDefault="00236F87" w:rsidP="004E0289">
      <w:pPr>
        <w:pStyle w:val="FootnoteText"/>
        <w:spacing w:after="120"/>
        <w:ind w:left="284" w:hanging="284"/>
        <w:jc w:val="both"/>
        <w:rPr>
          <w:rFonts w:ascii="Times New Roman" w:hAnsi="Times New Roman" w:cs="Times New Roman"/>
        </w:rPr>
      </w:pPr>
      <w:r w:rsidRPr="004E0289">
        <w:rPr>
          <w:rStyle w:val="FootnoteReference"/>
          <w:rFonts w:ascii="Times New Roman" w:hAnsi="Times New Roman" w:cs="Times New Roman"/>
        </w:rPr>
        <w:footnoteRef/>
      </w:r>
      <w:r w:rsidRPr="004E0289">
        <w:rPr>
          <w:rFonts w:ascii="Times New Roman" w:hAnsi="Times New Roman" w:cs="Times New Roman"/>
        </w:rPr>
        <w:tab/>
        <w:t>Article 15 specifies that ‘</w:t>
      </w:r>
      <w:r w:rsidRPr="004E0289">
        <w:rPr>
          <w:rFonts w:ascii="Times New Roman" w:hAnsi="Times New Roman" w:cs="Times New Roman"/>
          <w:i/>
        </w:rPr>
        <w:t>the Commission, in consultation with the Member State, may decide to modify the required level of structural expenditure if the economic situation in the Member State concerned has significantly changed from the one existing at the moment of the determination of the level of public or equivalent structural expenditure</w:t>
      </w:r>
      <w:r w:rsidRPr="004E0289">
        <w:rPr>
          <w:rFonts w:ascii="Times New Roman" w:hAnsi="Times New Roman" w:cs="Times New Roman"/>
        </w:rPr>
        <w:t xml:space="preserve"> [decided at the ex-ante verification]’</w:t>
      </w:r>
    </w:p>
  </w:footnote>
  <w:footnote w:id="5">
    <w:p w:rsidR="00236F87" w:rsidRPr="004E0289" w:rsidRDefault="00236F87" w:rsidP="004E0289">
      <w:pPr>
        <w:pStyle w:val="FootnoteText"/>
        <w:spacing w:after="120"/>
        <w:ind w:left="284" w:hanging="284"/>
        <w:jc w:val="both"/>
        <w:rPr>
          <w:rFonts w:ascii="Times New Roman" w:hAnsi="Times New Roman" w:cs="Times New Roman"/>
        </w:rPr>
      </w:pPr>
      <w:r w:rsidRPr="004E0289">
        <w:rPr>
          <w:rStyle w:val="FootnoteReference"/>
          <w:rFonts w:ascii="Times New Roman" w:hAnsi="Times New Roman" w:cs="Times New Roman"/>
        </w:rPr>
        <w:footnoteRef/>
      </w:r>
      <w:r w:rsidRPr="004E0289">
        <w:rPr>
          <w:rFonts w:ascii="Times New Roman" w:hAnsi="Times New Roman" w:cs="Times New Roman"/>
        </w:rPr>
        <w:tab/>
        <w:t>Article 15 also specifies that ‘</w:t>
      </w:r>
      <w:r w:rsidRPr="004E0289">
        <w:rPr>
          <w:rFonts w:ascii="Times New Roman" w:hAnsi="Times New Roman" w:cs="Times New Roman"/>
          <w:i/>
        </w:rPr>
        <w:t>the Commission shall publish the results by Member State of the verification of additionality, including the methodology and sources of information, after the conclusion of each of the three stages of verification</w:t>
      </w:r>
      <w:r w:rsidRPr="004E0289">
        <w:rPr>
          <w:rFonts w:ascii="Times New Roman" w:hAnsi="Times New Roman" w:cs="Times New Roman"/>
        </w:rPr>
        <w:t>’.</w:t>
      </w:r>
    </w:p>
  </w:footnote>
  <w:footnote w:id="6">
    <w:p w:rsidR="00236F87" w:rsidRPr="004E0289" w:rsidRDefault="00236F87" w:rsidP="004E0289">
      <w:pPr>
        <w:pStyle w:val="FootnoteText"/>
        <w:ind w:left="284" w:hanging="284"/>
        <w:jc w:val="both"/>
        <w:rPr>
          <w:rFonts w:ascii="Times New Roman" w:hAnsi="Times New Roman" w:cs="Times New Roman"/>
        </w:rPr>
      </w:pPr>
      <w:r w:rsidRPr="004E0289">
        <w:rPr>
          <w:rStyle w:val="FootnoteReference"/>
          <w:rFonts w:ascii="Times New Roman" w:hAnsi="Times New Roman" w:cs="Times New Roman"/>
        </w:rPr>
        <w:footnoteRef/>
      </w:r>
      <w:r w:rsidRPr="004E0289">
        <w:rPr>
          <w:rFonts w:ascii="Times New Roman" w:hAnsi="Times New Roman" w:cs="Times New Roman"/>
        </w:rPr>
        <w:t xml:space="preserve"> </w:t>
      </w:r>
      <w:r w:rsidRPr="004E0289">
        <w:rPr>
          <w:rFonts w:ascii="Times New Roman" w:hAnsi="Times New Roman" w:cs="Times New Roman"/>
        </w:rPr>
        <w:tab/>
        <w:t xml:space="preserve">Public investment is the </w:t>
      </w:r>
      <w:r w:rsidR="00ED21F9">
        <w:rPr>
          <w:rFonts w:ascii="Times New Roman" w:hAnsi="Times New Roman" w:cs="Times New Roman"/>
        </w:rPr>
        <w:t>g</w:t>
      </w:r>
      <w:r w:rsidR="00ED21F9" w:rsidRPr="004E0289">
        <w:rPr>
          <w:rFonts w:ascii="Times New Roman" w:hAnsi="Times New Roman" w:cs="Times New Roman"/>
        </w:rPr>
        <w:t xml:space="preserve">ross </w:t>
      </w:r>
      <w:r w:rsidR="00ED21F9">
        <w:rPr>
          <w:rFonts w:ascii="Times New Roman" w:hAnsi="Times New Roman" w:cs="Times New Roman"/>
        </w:rPr>
        <w:t>f</w:t>
      </w:r>
      <w:r w:rsidR="00ED21F9" w:rsidRPr="004E0289">
        <w:rPr>
          <w:rFonts w:ascii="Times New Roman" w:hAnsi="Times New Roman" w:cs="Times New Roman"/>
        </w:rPr>
        <w:t xml:space="preserve">ixed </w:t>
      </w:r>
      <w:r w:rsidR="00ED21F9">
        <w:rPr>
          <w:rFonts w:ascii="Times New Roman" w:hAnsi="Times New Roman" w:cs="Times New Roman"/>
        </w:rPr>
        <w:t>c</w:t>
      </w:r>
      <w:r w:rsidR="00ED21F9" w:rsidRPr="004E0289">
        <w:rPr>
          <w:rFonts w:ascii="Times New Roman" w:hAnsi="Times New Roman" w:cs="Times New Roman"/>
        </w:rPr>
        <w:t xml:space="preserve">apital </w:t>
      </w:r>
      <w:r w:rsidR="00ED21F9">
        <w:rPr>
          <w:rFonts w:ascii="Times New Roman" w:hAnsi="Times New Roman" w:cs="Times New Roman"/>
        </w:rPr>
        <w:t>f</w:t>
      </w:r>
      <w:r w:rsidR="00ED21F9" w:rsidRPr="004E0289">
        <w:rPr>
          <w:rFonts w:ascii="Times New Roman" w:hAnsi="Times New Roman" w:cs="Times New Roman"/>
        </w:rPr>
        <w:t xml:space="preserve">ormation </w:t>
      </w:r>
      <w:r w:rsidRPr="004E0289">
        <w:rPr>
          <w:rFonts w:ascii="Times New Roman" w:hAnsi="Times New Roman" w:cs="Times New Roman"/>
        </w:rPr>
        <w:t xml:space="preserve">of the </w:t>
      </w:r>
      <w:r w:rsidR="00ED21F9">
        <w:rPr>
          <w:rFonts w:ascii="Times New Roman" w:hAnsi="Times New Roman" w:cs="Times New Roman"/>
        </w:rPr>
        <w:t>g</w:t>
      </w:r>
      <w:r w:rsidR="00ED21F9" w:rsidRPr="004E0289">
        <w:rPr>
          <w:rFonts w:ascii="Times New Roman" w:hAnsi="Times New Roman" w:cs="Times New Roman"/>
        </w:rPr>
        <w:t xml:space="preserve">eneral </w:t>
      </w:r>
      <w:r w:rsidR="00ED21F9">
        <w:rPr>
          <w:rFonts w:ascii="Times New Roman" w:hAnsi="Times New Roman" w:cs="Times New Roman"/>
        </w:rPr>
        <w:t>g</w:t>
      </w:r>
      <w:r w:rsidR="00ED21F9" w:rsidRPr="004E0289">
        <w:rPr>
          <w:rFonts w:ascii="Times New Roman" w:hAnsi="Times New Roman" w:cs="Times New Roman"/>
        </w:rPr>
        <w:t xml:space="preserve">overnment </w:t>
      </w:r>
      <w:r w:rsidRPr="004E0289">
        <w:rPr>
          <w:rFonts w:ascii="Times New Roman" w:hAnsi="Times New Roman" w:cs="Times New Roman"/>
        </w:rPr>
        <w:t>(P</w:t>
      </w:r>
      <w:r w:rsidR="00ED21F9">
        <w:rPr>
          <w:rFonts w:ascii="Times New Roman" w:hAnsi="Times New Roman" w:cs="Times New Roman"/>
        </w:rPr>
        <w:t>.</w:t>
      </w:r>
      <w:r w:rsidR="00ED21F9" w:rsidRPr="004E0289">
        <w:rPr>
          <w:rFonts w:ascii="Times New Roman" w:hAnsi="Times New Roman" w:cs="Times New Roman"/>
        </w:rPr>
        <w:t>51</w:t>
      </w:r>
      <w:r w:rsidR="00ED21F9">
        <w:rPr>
          <w:rFonts w:ascii="Times New Roman" w:hAnsi="Times New Roman" w:cs="Times New Roman"/>
        </w:rPr>
        <w:t>g</w:t>
      </w:r>
      <w:r w:rsidR="00ED21F9" w:rsidRPr="004E0289">
        <w:rPr>
          <w:rFonts w:ascii="Times New Roman" w:hAnsi="Times New Roman" w:cs="Times New Roman"/>
        </w:rPr>
        <w:t xml:space="preserve"> </w:t>
      </w:r>
      <w:r w:rsidRPr="004E0289">
        <w:rPr>
          <w:rFonts w:ascii="Times New Roman" w:hAnsi="Times New Roman" w:cs="Times New Roman"/>
        </w:rPr>
        <w:t>in the European System of Accounts 2010).</w:t>
      </w:r>
    </w:p>
  </w:footnote>
  <w:footnote w:id="7">
    <w:p w:rsidR="00821E8A" w:rsidRDefault="00821E8A" w:rsidP="00C908DD">
      <w:pPr>
        <w:pStyle w:val="FootnoteText"/>
        <w:tabs>
          <w:tab w:val="left" w:pos="284"/>
        </w:tabs>
        <w:ind w:left="284" w:hanging="284"/>
      </w:pPr>
      <w:r>
        <w:rPr>
          <w:rStyle w:val="FootnoteReference"/>
        </w:rPr>
        <w:footnoteRef/>
      </w:r>
      <w:r w:rsidR="00C908DD">
        <w:rPr>
          <w:rFonts w:ascii="Times New Roman" w:hAnsi="Times New Roman" w:cs="Times New Roman"/>
        </w:rPr>
        <w:tab/>
      </w:r>
      <w:r w:rsidRPr="000565F9">
        <w:rPr>
          <w:rFonts w:ascii="Times New Roman" w:hAnsi="Times New Roman" w:cs="Times New Roman"/>
        </w:rPr>
        <w:t>Source: Eurostat, extraction dat</w:t>
      </w:r>
      <w:r w:rsidR="00DF0FF7">
        <w:rPr>
          <w:rFonts w:ascii="Times New Roman" w:hAnsi="Times New Roman" w:cs="Times New Roman"/>
        </w:rPr>
        <w:t>e</w:t>
      </w:r>
      <w:r w:rsidRPr="000565F9">
        <w:rPr>
          <w:rFonts w:ascii="Times New Roman" w:hAnsi="Times New Roman" w:cs="Times New Roman"/>
        </w:rPr>
        <w:t xml:space="preserve"> 31</w:t>
      </w:r>
      <w:r w:rsidRPr="000565F9">
        <w:rPr>
          <w:rFonts w:ascii="Times New Roman" w:hAnsi="Times New Roman" w:cs="Times New Roman"/>
          <w:vertAlign w:val="superscript"/>
        </w:rPr>
        <w:t>st</w:t>
      </w:r>
      <w:r w:rsidRPr="000565F9">
        <w:rPr>
          <w:rFonts w:ascii="Times New Roman" w:hAnsi="Times New Roman" w:cs="Times New Roman"/>
        </w:rPr>
        <w:t xml:space="preserve"> January 2017</w:t>
      </w:r>
      <w:r>
        <w:rPr>
          <w:rFonts w:ascii="Times New Roman" w:hAnsi="Times New Roman" w:cs="Times New Roman"/>
        </w:rPr>
        <w:t>.</w:t>
      </w:r>
    </w:p>
  </w:footnote>
  <w:footnote w:id="8">
    <w:p w:rsidR="00236F87" w:rsidRPr="004E0289" w:rsidRDefault="00236F87" w:rsidP="004E0289">
      <w:pPr>
        <w:pStyle w:val="FootnoteText"/>
        <w:spacing w:after="120"/>
        <w:ind w:left="284" w:hanging="284"/>
        <w:rPr>
          <w:rFonts w:ascii="Times New Roman" w:hAnsi="Times New Roman" w:cs="Times New Roman"/>
          <w:lang w:val="en-US"/>
        </w:rPr>
      </w:pPr>
      <w:r w:rsidRPr="004E0289">
        <w:rPr>
          <w:rStyle w:val="FootnoteReference"/>
          <w:rFonts w:ascii="Times New Roman" w:hAnsi="Times New Roman" w:cs="Times New Roman"/>
        </w:rPr>
        <w:footnoteRef/>
      </w:r>
      <w:r w:rsidRPr="004E0289">
        <w:rPr>
          <w:rFonts w:ascii="Times New Roman" w:hAnsi="Times New Roman" w:cs="Times New Roman"/>
          <w:lang w:val="en-US"/>
        </w:rPr>
        <w:tab/>
        <w:t>Autumn Economic Forecasts of the European Commission, 2007.</w:t>
      </w:r>
    </w:p>
  </w:footnote>
  <w:footnote w:id="9">
    <w:p w:rsidR="00ED21F9" w:rsidRPr="00C908DD" w:rsidRDefault="00ED21F9" w:rsidP="00C908DD">
      <w:pPr>
        <w:pStyle w:val="FootnoteText"/>
        <w:tabs>
          <w:tab w:val="left" w:pos="284"/>
        </w:tabs>
        <w:ind w:left="284" w:hanging="284"/>
        <w:rPr>
          <w:rFonts w:ascii="Times New Roman" w:hAnsi="Times New Roman" w:cs="Times New Roman"/>
        </w:rPr>
      </w:pPr>
      <w:r w:rsidRPr="00C908DD">
        <w:rPr>
          <w:rStyle w:val="FootnoteReference"/>
          <w:rFonts w:ascii="Times New Roman" w:hAnsi="Times New Roman" w:cs="Times New Roman"/>
        </w:rPr>
        <w:footnoteRef/>
      </w:r>
      <w:r w:rsidR="00C908DD">
        <w:rPr>
          <w:rFonts w:ascii="Times New Roman" w:hAnsi="Times New Roman" w:cs="Times New Roman"/>
        </w:rPr>
        <w:tab/>
      </w:r>
      <w:r w:rsidRPr="00C908DD">
        <w:rPr>
          <w:rFonts w:ascii="Times New Roman" w:hAnsi="Times New Roman" w:cs="Times New Roman"/>
        </w:rPr>
        <w:t xml:space="preserve">In line with tax revenue also playing </w:t>
      </w:r>
      <w:r w:rsidR="00C908DD">
        <w:rPr>
          <w:rFonts w:ascii="Times New Roman" w:hAnsi="Times New Roman" w:cs="Times New Roman"/>
        </w:rPr>
        <w:t>a role as automatic stabiliser.</w:t>
      </w:r>
    </w:p>
  </w:footnote>
  <w:footnote w:id="10">
    <w:p w:rsidR="00236F87" w:rsidRPr="00C908DD" w:rsidRDefault="00236F87" w:rsidP="004E0289">
      <w:pPr>
        <w:pStyle w:val="FootnoteText"/>
        <w:ind w:left="284" w:hanging="284"/>
        <w:jc w:val="both"/>
        <w:rPr>
          <w:rFonts w:ascii="Times New Roman" w:hAnsi="Times New Roman" w:cs="Times New Roman"/>
        </w:rPr>
      </w:pPr>
      <w:r w:rsidRPr="00C908DD">
        <w:rPr>
          <w:rStyle w:val="FootnoteReference"/>
          <w:rFonts w:ascii="Times New Roman" w:hAnsi="Times New Roman" w:cs="Times New Roman"/>
        </w:rPr>
        <w:footnoteRef/>
      </w:r>
      <w:r w:rsidRPr="00C908DD">
        <w:rPr>
          <w:rFonts w:ascii="Times New Roman" w:hAnsi="Times New Roman" w:cs="Times New Roman"/>
        </w:rPr>
        <w:tab/>
      </w:r>
      <w:r w:rsidRPr="00C908DD">
        <w:rPr>
          <w:rFonts w:ascii="Times New Roman" w:hAnsi="Times New Roman" w:cs="Times New Roman"/>
          <w:shd w:val="clear" w:color="auto" w:fill="FFFFFF"/>
        </w:rPr>
        <w:t>The</w:t>
      </w:r>
      <w:r w:rsidRPr="00C908DD">
        <w:rPr>
          <w:rStyle w:val="apple-converted-space"/>
          <w:rFonts w:ascii="Times New Roman" w:hAnsi="Times New Roman" w:cs="Times New Roman"/>
          <w:shd w:val="clear" w:color="auto" w:fill="FFFFFF"/>
        </w:rPr>
        <w:t> </w:t>
      </w:r>
      <w:r w:rsidRPr="00C908DD">
        <w:rPr>
          <w:rFonts w:ascii="Times New Roman" w:hAnsi="Times New Roman" w:cs="Times New Roman"/>
          <w:bCs/>
          <w:shd w:val="clear" w:color="auto" w:fill="FFFFFF"/>
        </w:rPr>
        <w:t>Classification of the functions of government</w:t>
      </w:r>
      <w:r w:rsidRPr="00C908DD">
        <w:rPr>
          <w:rFonts w:ascii="Times New Roman" w:hAnsi="Times New Roman" w:cs="Times New Roman"/>
          <w:shd w:val="clear" w:color="auto" w:fill="FFFFFF"/>
        </w:rPr>
        <w:t>, abbreviated as</w:t>
      </w:r>
      <w:r w:rsidRPr="00C908DD">
        <w:rPr>
          <w:rStyle w:val="apple-converted-space"/>
          <w:rFonts w:ascii="Times New Roman" w:hAnsi="Times New Roman" w:cs="Times New Roman"/>
          <w:shd w:val="clear" w:color="auto" w:fill="FFFFFF"/>
        </w:rPr>
        <w:t> </w:t>
      </w:r>
      <w:r w:rsidRPr="00C908DD">
        <w:rPr>
          <w:rFonts w:ascii="Times New Roman" w:hAnsi="Times New Roman" w:cs="Times New Roman"/>
          <w:bCs/>
          <w:shd w:val="clear" w:color="auto" w:fill="FFFFFF"/>
        </w:rPr>
        <w:t>COFOG</w:t>
      </w:r>
      <w:r w:rsidRPr="00C908DD">
        <w:rPr>
          <w:rFonts w:ascii="Times New Roman" w:hAnsi="Times New Roman" w:cs="Times New Roman"/>
          <w:shd w:val="clear" w:color="auto" w:fill="FFFFFF"/>
        </w:rPr>
        <w:t xml:space="preserve">, was developed in its current version in 1999 by the </w:t>
      </w:r>
      <w:hyperlink r:id="rId1" w:history="1">
        <w:r w:rsidRPr="00C908DD">
          <w:rPr>
            <w:rStyle w:val="Hyperlink"/>
            <w:rFonts w:ascii="Times New Roman" w:hAnsi="Times New Roman" w:cs="Times New Roman"/>
            <w:shd w:val="clear" w:color="auto" w:fill="FFFFFF"/>
          </w:rPr>
          <w:t>Organisation for Economic Cooperation and Development</w:t>
        </w:r>
      </w:hyperlink>
      <w:r w:rsidRPr="00C908DD">
        <w:rPr>
          <w:rStyle w:val="apple-converted-space"/>
          <w:rFonts w:ascii="Times New Roman" w:hAnsi="Times New Roman" w:cs="Times New Roman"/>
          <w:shd w:val="clear" w:color="auto" w:fill="FFFFFF"/>
        </w:rPr>
        <w:t> </w:t>
      </w:r>
      <w:r w:rsidRPr="00C908DD">
        <w:rPr>
          <w:rFonts w:ascii="Times New Roman" w:hAnsi="Times New Roman" w:cs="Times New Roman"/>
          <w:shd w:val="clear" w:color="auto" w:fill="FFFFFF"/>
        </w:rPr>
        <w:t>and published by the</w:t>
      </w:r>
      <w:r w:rsidRPr="00C908DD">
        <w:rPr>
          <w:rStyle w:val="apple-converted-space"/>
          <w:rFonts w:ascii="Times New Roman" w:hAnsi="Times New Roman" w:cs="Times New Roman"/>
          <w:shd w:val="clear" w:color="auto" w:fill="FFFFFF"/>
        </w:rPr>
        <w:t> </w:t>
      </w:r>
      <w:hyperlink r:id="rId2" w:history="1">
        <w:r w:rsidRPr="00C908DD">
          <w:rPr>
            <w:rStyle w:val="Hyperlink"/>
            <w:rFonts w:ascii="Times New Roman" w:hAnsi="Times New Roman" w:cs="Times New Roman"/>
            <w:shd w:val="clear" w:color="auto" w:fill="FFFFFF"/>
          </w:rPr>
          <w:t>United Nations</w:t>
        </w:r>
      </w:hyperlink>
      <w:r w:rsidRPr="00C908DD">
        <w:rPr>
          <w:rStyle w:val="apple-converted-space"/>
          <w:rFonts w:ascii="Times New Roman" w:hAnsi="Times New Roman" w:cs="Times New Roman"/>
          <w:shd w:val="clear" w:color="auto" w:fill="FFFFFF"/>
        </w:rPr>
        <w:t> </w:t>
      </w:r>
      <w:r w:rsidRPr="00C908DD">
        <w:rPr>
          <w:rFonts w:ascii="Times New Roman" w:hAnsi="Times New Roman" w:cs="Times New Roman"/>
          <w:shd w:val="clear" w:color="auto" w:fill="FFFFFF"/>
        </w:rPr>
        <w:t>Statistical Division as a standard classifying the purposes of government activities.</w:t>
      </w:r>
    </w:p>
  </w:footnote>
  <w:footnote w:id="11">
    <w:p w:rsidR="00BA43CD" w:rsidRPr="00C908DD" w:rsidRDefault="00BA43CD" w:rsidP="00C908DD">
      <w:pPr>
        <w:pStyle w:val="FootnoteText"/>
        <w:tabs>
          <w:tab w:val="left" w:pos="284"/>
        </w:tabs>
        <w:ind w:left="284" w:hanging="284"/>
        <w:jc w:val="both"/>
        <w:rPr>
          <w:rFonts w:ascii="Times New Roman" w:hAnsi="Times New Roman" w:cs="Times New Roman"/>
        </w:rPr>
      </w:pPr>
      <w:r w:rsidRPr="00C908DD">
        <w:rPr>
          <w:rStyle w:val="FootnoteReference"/>
          <w:rFonts w:ascii="Times New Roman" w:hAnsi="Times New Roman" w:cs="Times New Roman"/>
        </w:rPr>
        <w:footnoteRef/>
      </w:r>
      <w:r w:rsidR="00C908DD" w:rsidRPr="00C908DD">
        <w:rPr>
          <w:rFonts w:ascii="Times New Roman" w:hAnsi="Times New Roman" w:cs="Times New Roman"/>
        </w:rPr>
        <w:tab/>
      </w:r>
      <w:r w:rsidRPr="00C908DD">
        <w:rPr>
          <w:rFonts w:ascii="Times New Roman" w:hAnsi="Times New Roman" w:cs="Times New Roman"/>
        </w:rPr>
        <w:t>Data submitted by Member States for the purposes of additionality, in some cases modified in agreement with the Commission.</w:t>
      </w:r>
    </w:p>
  </w:footnote>
  <w:footnote w:id="12">
    <w:p w:rsidR="00236F87" w:rsidRPr="00FD56A4" w:rsidRDefault="00236F87" w:rsidP="00C908DD">
      <w:pPr>
        <w:pStyle w:val="FootnoteText"/>
        <w:tabs>
          <w:tab w:val="left" w:pos="284"/>
        </w:tabs>
        <w:ind w:left="284" w:hanging="284"/>
        <w:jc w:val="both"/>
        <w:rPr>
          <w:rStyle w:val="FootnoteReference"/>
          <w:rFonts w:ascii="Times New Roman" w:hAnsi="Times New Roman" w:cs="Times New Roman"/>
          <w:vertAlign w:val="baseline"/>
        </w:rPr>
      </w:pPr>
      <w:r w:rsidRPr="00C908DD">
        <w:rPr>
          <w:rStyle w:val="FootnoteReference"/>
          <w:rFonts w:ascii="Times New Roman" w:hAnsi="Times New Roman" w:cs="Times New Roman"/>
        </w:rPr>
        <w:footnoteRef/>
      </w:r>
      <w:r w:rsidR="00C908DD">
        <w:rPr>
          <w:rStyle w:val="FootnoteReference"/>
          <w:rFonts w:ascii="Times New Roman" w:hAnsi="Times New Roman" w:cs="Times New Roman"/>
          <w:vertAlign w:val="baseline"/>
        </w:rPr>
        <w:tab/>
      </w:r>
      <w:r w:rsidRPr="00FD56A4">
        <w:rPr>
          <w:rStyle w:val="FootnoteReference"/>
          <w:rFonts w:ascii="Times New Roman" w:hAnsi="Times New Roman" w:cs="Times New Roman"/>
          <w:vertAlign w:val="baseline"/>
        </w:rPr>
        <w:t>Communication from the Commission. Results of the mid-term verification of additionality 2007-2013.COM(2013)104 final.</w:t>
      </w:r>
    </w:p>
  </w:footnote>
  <w:footnote w:id="13">
    <w:p w:rsidR="00236F87" w:rsidRPr="004E0289" w:rsidRDefault="00236F87" w:rsidP="004E0289">
      <w:pPr>
        <w:pStyle w:val="FootnoteText"/>
        <w:ind w:left="284" w:hanging="284"/>
        <w:rPr>
          <w:rFonts w:ascii="Times New Roman" w:hAnsi="Times New Roman" w:cs="Times New Roman"/>
        </w:rPr>
      </w:pPr>
      <w:r w:rsidRPr="004E0289">
        <w:rPr>
          <w:rStyle w:val="FootnoteReference"/>
          <w:rFonts w:ascii="Times New Roman" w:hAnsi="Times New Roman" w:cs="Times New Roman"/>
        </w:rPr>
        <w:footnoteRef/>
      </w:r>
      <w:r w:rsidRPr="004E0289">
        <w:rPr>
          <w:rFonts w:ascii="Times New Roman" w:hAnsi="Times New Roman" w:cs="Times New Roman"/>
        </w:rPr>
        <w:tab/>
        <w:t xml:space="preserve">Article 99 of Regulation (EU) </w:t>
      </w:r>
      <w:r w:rsidRPr="002579A2">
        <w:t>N</w:t>
      </w:r>
      <w:r w:rsidR="002579A2" w:rsidRPr="002579A2">
        <w:t>o</w:t>
      </w:r>
      <w:r w:rsidR="00E20E99">
        <w:t> </w:t>
      </w:r>
      <w:r w:rsidRPr="002579A2">
        <w:t>1083</w:t>
      </w:r>
      <w:r w:rsidRPr="004E0289">
        <w:rPr>
          <w:rFonts w:ascii="Times New Roman" w:hAnsi="Times New Roman" w:cs="Times New Roman"/>
        </w:rPr>
        <w:t>/2006.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47" w:rsidRDefault="00F93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47" w:rsidRDefault="00F93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47" w:rsidRDefault="00F937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87" w:rsidRDefault="00236F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87" w:rsidRDefault="00236F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87" w:rsidRDefault="00236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3275E"/>
    <w:multiLevelType w:val="hybridMultilevel"/>
    <w:tmpl w:val="250ED2E2"/>
    <w:lvl w:ilvl="0" w:tplc="C498B7C6">
      <w:start w:val="1"/>
      <w:numFmt w:val="decimal"/>
      <w:pStyle w:val="FooterCoverPage"/>
      <w:lvlText w:val="%1."/>
      <w:lvlJc w:val="left"/>
      <w:pPr>
        <w:ind w:left="36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lt;UNUSED&gt;"/>
    <w:docVar w:name="LW_CONFIDENCE" w:val=" "/>
    <w:docVar w:name="LW_CONST_RESTREINT_UE" w:val="RESTREINT UE/EU RESTRICTED"/>
    <w:docVar w:name="LW_CORRIGENDUM" w:val="&lt;UNUSED&gt;"/>
    <w:docVar w:name="LW_COVERPAGE_GUID" w:val="646EBF8A99994777ABE915489A118997"/>
    <w:docVar w:name="LW_CROSSREFERENCE" w:val="&lt;UNUSED&gt;"/>
    <w:docVar w:name="LW_DATE.ADOPT.CP_ISODATE" w:val="&lt;EMPTY&gt;"/>
    <w:docVar w:name="LW_DocType" w:val="NORMAL"/>
    <w:docVar w:name="LW_EMISSION" w:val="23.3.2017"/>
    <w:docVar w:name="LW_EMISSION_ISODATE" w:val="2017-03-23"/>
    <w:docVar w:name="LW_EMISSION_LOCATION" w:val="BRX"/>
    <w:docVar w:name="LW_EMISSION_PREFIX" w:val="Brussels, "/>
    <w:docVar w:name="LW_EMISSION_SUFFIX" w:val=" "/>
    <w:docVar w:name="LW_ID_DOCTYPE_NONLW" w:val="CP-009"/>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138"/>
    <w:docVar w:name="LW_REF.INTERNE" w:val="&lt;UNUSED&gt;"/>
    <w:docVar w:name="LW_SOUS.TITRE.OBJ.CP" w:val="&lt;UNUSED&gt;"/>
    <w:docVar w:name="LW_SUPERTITRE" w:val="&lt;UNUSED&gt;"/>
    <w:docVar w:name="LW_TITRE.OBJ.CP" w:val="Ex-post verification of additionality 2007-2013"/>
    <w:docVar w:name="LW_TYPE.DOC.CP" w:val="COMMUNICATION FROM THE COMMISSION"/>
    <w:docVar w:name="LW_TYPE.DOC.CP.USERTEXT" w:val="&lt;EMPTY&gt;"/>
    <w:docVar w:name="LW_TYPEACTEPRINCIPAL.CP" w:val="&lt;UNUSED&gt;"/>
  </w:docVars>
  <w:rsids>
    <w:rsidRoot w:val="00236F87"/>
    <w:rsid w:val="00017837"/>
    <w:rsid w:val="0002753E"/>
    <w:rsid w:val="0003517C"/>
    <w:rsid w:val="00036182"/>
    <w:rsid w:val="000565F9"/>
    <w:rsid w:val="00071BA2"/>
    <w:rsid w:val="00093588"/>
    <w:rsid w:val="000C39A5"/>
    <w:rsid w:val="000C6E07"/>
    <w:rsid w:val="00236F87"/>
    <w:rsid w:val="002579A2"/>
    <w:rsid w:val="002E73C7"/>
    <w:rsid w:val="00370C20"/>
    <w:rsid w:val="00397794"/>
    <w:rsid w:val="003C69C9"/>
    <w:rsid w:val="004E0289"/>
    <w:rsid w:val="004E6E45"/>
    <w:rsid w:val="00627B2E"/>
    <w:rsid w:val="00657C02"/>
    <w:rsid w:val="006F1158"/>
    <w:rsid w:val="00765CF4"/>
    <w:rsid w:val="00794CA6"/>
    <w:rsid w:val="00796CE9"/>
    <w:rsid w:val="007D330E"/>
    <w:rsid w:val="007F2F57"/>
    <w:rsid w:val="00821E8A"/>
    <w:rsid w:val="009256B8"/>
    <w:rsid w:val="00953C76"/>
    <w:rsid w:val="009A5E86"/>
    <w:rsid w:val="009D112E"/>
    <w:rsid w:val="00A41CE1"/>
    <w:rsid w:val="00BA43CD"/>
    <w:rsid w:val="00C43F3A"/>
    <w:rsid w:val="00C52631"/>
    <w:rsid w:val="00C828DB"/>
    <w:rsid w:val="00C908DD"/>
    <w:rsid w:val="00CD4B05"/>
    <w:rsid w:val="00D26C27"/>
    <w:rsid w:val="00DD65E6"/>
    <w:rsid w:val="00DF0FF7"/>
    <w:rsid w:val="00E20E99"/>
    <w:rsid w:val="00E34855"/>
    <w:rsid w:val="00E4132C"/>
    <w:rsid w:val="00EA1EEA"/>
    <w:rsid w:val="00EA40DD"/>
    <w:rsid w:val="00ED21F9"/>
    <w:rsid w:val="00F02762"/>
    <w:rsid w:val="00F2393E"/>
    <w:rsid w:val="00F65A78"/>
    <w:rsid w:val="00F93747"/>
    <w:rsid w:val="00FD56A4"/>
    <w:rsid w:val="00FD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6F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F87"/>
  </w:style>
  <w:style w:type="paragraph" w:styleId="FootnoteText">
    <w:name w:val="footnote text"/>
    <w:basedOn w:val="Normal"/>
    <w:link w:val="FootnoteTextChar"/>
    <w:uiPriority w:val="99"/>
    <w:semiHidden/>
    <w:unhideWhenUsed/>
    <w:rsid w:val="00236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F87"/>
    <w:rPr>
      <w:sz w:val="20"/>
      <w:szCs w:val="20"/>
    </w:rPr>
  </w:style>
  <w:style w:type="paragraph" w:styleId="Header">
    <w:name w:val="header"/>
    <w:basedOn w:val="Normal"/>
    <w:link w:val="HeaderChar"/>
    <w:uiPriority w:val="99"/>
    <w:unhideWhenUsed/>
    <w:rsid w:val="00236F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F87"/>
  </w:style>
  <w:style w:type="character" w:styleId="FootnoteReference">
    <w:name w:val="footnote reference"/>
    <w:basedOn w:val="DefaultParagraphFont"/>
    <w:uiPriority w:val="99"/>
    <w:semiHidden/>
    <w:unhideWhenUsed/>
    <w:rsid w:val="00236F87"/>
    <w:rPr>
      <w:vertAlign w:val="superscript"/>
    </w:rPr>
  </w:style>
  <w:style w:type="character" w:customStyle="1" w:styleId="apple-converted-space">
    <w:name w:val="apple-converted-space"/>
    <w:basedOn w:val="DefaultParagraphFont"/>
    <w:rsid w:val="00236F87"/>
  </w:style>
  <w:style w:type="character" w:styleId="Hyperlink">
    <w:name w:val="Hyperlink"/>
    <w:basedOn w:val="DefaultParagraphFont"/>
    <w:uiPriority w:val="99"/>
    <w:semiHidden/>
    <w:unhideWhenUsed/>
    <w:rsid w:val="00236F87"/>
    <w:rPr>
      <w:color w:val="0000FF"/>
      <w:u w:val="single"/>
    </w:rPr>
  </w:style>
  <w:style w:type="paragraph" w:customStyle="1" w:styleId="HeaderCoverPage">
    <w:name w:val="Header Cover Page"/>
    <w:basedOn w:val="Normal"/>
    <w:rsid w:val="00236F87"/>
    <w:pPr>
      <w:tabs>
        <w:tab w:val="center" w:pos="4535"/>
        <w:tab w:val="right" w:pos="9071"/>
      </w:tabs>
      <w:spacing w:after="120" w:line="240" w:lineRule="auto"/>
      <w:ind w:hanging="360"/>
      <w:contextualSpacing/>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3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87"/>
    <w:rPr>
      <w:rFonts w:ascii="Tahoma" w:hAnsi="Tahoma" w:cs="Tahoma"/>
      <w:sz w:val="16"/>
      <w:szCs w:val="16"/>
    </w:rPr>
  </w:style>
  <w:style w:type="character" w:customStyle="1" w:styleId="Marker">
    <w:name w:val="Marker"/>
    <w:basedOn w:val="DefaultParagraphFont"/>
    <w:rsid w:val="00236F87"/>
    <w:rPr>
      <w:color w:val="0000FF"/>
      <w:shd w:val="clear" w:color="auto" w:fill="auto"/>
    </w:rPr>
  </w:style>
  <w:style w:type="paragraph" w:customStyle="1" w:styleId="Pagedecouverture">
    <w:name w:val="Page de couverture"/>
    <w:basedOn w:val="Normal"/>
    <w:next w:val="Normal"/>
    <w:rsid w:val="00370C2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36F87"/>
    <w:pPr>
      <w:numPr>
        <w:numId w:val="1"/>
      </w:numPr>
      <w:tabs>
        <w:tab w:val="center" w:pos="4535"/>
        <w:tab w:val="right" w:pos="9071"/>
        <w:tab w:val="right" w:pos="9921"/>
      </w:tabs>
      <w:spacing w:before="360" w:after="0" w:line="240" w:lineRule="auto"/>
      <w:ind w:left="-850" w:right="-850"/>
      <w:contextualSpacing/>
    </w:pPr>
    <w:rPr>
      <w:rFonts w:ascii="Times New Roman" w:hAnsi="Times New Roman" w:cs="Times New Roman"/>
      <w:sz w:val="24"/>
      <w:szCs w:val="24"/>
    </w:rPr>
  </w:style>
  <w:style w:type="character" w:customStyle="1" w:styleId="FooterCoverPageChar">
    <w:name w:val="Footer Cover Page Char"/>
    <w:basedOn w:val="DefaultParagraphFont"/>
    <w:link w:val="FooterCoverPage"/>
    <w:rsid w:val="00236F8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26C27"/>
    <w:rPr>
      <w:sz w:val="16"/>
      <w:szCs w:val="16"/>
    </w:rPr>
  </w:style>
  <w:style w:type="paragraph" w:styleId="CommentText">
    <w:name w:val="annotation text"/>
    <w:basedOn w:val="Normal"/>
    <w:link w:val="CommentTextChar"/>
    <w:uiPriority w:val="99"/>
    <w:semiHidden/>
    <w:unhideWhenUsed/>
    <w:rsid w:val="00D26C27"/>
    <w:pPr>
      <w:spacing w:line="240" w:lineRule="auto"/>
    </w:pPr>
    <w:rPr>
      <w:sz w:val="20"/>
      <w:szCs w:val="20"/>
    </w:rPr>
  </w:style>
  <w:style w:type="character" w:customStyle="1" w:styleId="CommentTextChar">
    <w:name w:val="Comment Text Char"/>
    <w:basedOn w:val="DefaultParagraphFont"/>
    <w:link w:val="CommentText"/>
    <w:uiPriority w:val="99"/>
    <w:semiHidden/>
    <w:rsid w:val="00D26C27"/>
    <w:rPr>
      <w:sz w:val="20"/>
      <w:szCs w:val="20"/>
    </w:rPr>
  </w:style>
  <w:style w:type="paragraph" w:styleId="CommentSubject">
    <w:name w:val="annotation subject"/>
    <w:basedOn w:val="CommentText"/>
    <w:next w:val="CommentText"/>
    <w:link w:val="CommentSubjectChar"/>
    <w:uiPriority w:val="99"/>
    <w:semiHidden/>
    <w:unhideWhenUsed/>
    <w:rsid w:val="00D26C27"/>
    <w:rPr>
      <w:b/>
      <w:bCs/>
    </w:rPr>
  </w:style>
  <w:style w:type="character" w:customStyle="1" w:styleId="CommentSubjectChar">
    <w:name w:val="Comment Subject Char"/>
    <w:basedOn w:val="CommentTextChar"/>
    <w:link w:val="CommentSubject"/>
    <w:uiPriority w:val="99"/>
    <w:semiHidden/>
    <w:rsid w:val="00D26C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6F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F87"/>
  </w:style>
  <w:style w:type="paragraph" w:styleId="FootnoteText">
    <w:name w:val="footnote text"/>
    <w:basedOn w:val="Normal"/>
    <w:link w:val="FootnoteTextChar"/>
    <w:uiPriority w:val="99"/>
    <w:semiHidden/>
    <w:unhideWhenUsed/>
    <w:rsid w:val="00236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F87"/>
    <w:rPr>
      <w:sz w:val="20"/>
      <w:szCs w:val="20"/>
    </w:rPr>
  </w:style>
  <w:style w:type="paragraph" w:styleId="Header">
    <w:name w:val="header"/>
    <w:basedOn w:val="Normal"/>
    <w:link w:val="HeaderChar"/>
    <w:uiPriority w:val="99"/>
    <w:unhideWhenUsed/>
    <w:rsid w:val="00236F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F87"/>
  </w:style>
  <w:style w:type="character" w:styleId="FootnoteReference">
    <w:name w:val="footnote reference"/>
    <w:basedOn w:val="DefaultParagraphFont"/>
    <w:uiPriority w:val="99"/>
    <w:semiHidden/>
    <w:unhideWhenUsed/>
    <w:rsid w:val="00236F87"/>
    <w:rPr>
      <w:vertAlign w:val="superscript"/>
    </w:rPr>
  </w:style>
  <w:style w:type="character" w:customStyle="1" w:styleId="apple-converted-space">
    <w:name w:val="apple-converted-space"/>
    <w:basedOn w:val="DefaultParagraphFont"/>
    <w:rsid w:val="00236F87"/>
  </w:style>
  <w:style w:type="character" w:styleId="Hyperlink">
    <w:name w:val="Hyperlink"/>
    <w:basedOn w:val="DefaultParagraphFont"/>
    <w:uiPriority w:val="99"/>
    <w:semiHidden/>
    <w:unhideWhenUsed/>
    <w:rsid w:val="00236F87"/>
    <w:rPr>
      <w:color w:val="0000FF"/>
      <w:u w:val="single"/>
    </w:rPr>
  </w:style>
  <w:style w:type="paragraph" w:customStyle="1" w:styleId="HeaderCoverPage">
    <w:name w:val="Header Cover Page"/>
    <w:basedOn w:val="Normal"/>
    <w:rsid w:val="00236F87"/>
    <w:pPr>
      <w:tabs>
        <w:tab w:val="center" w:pos="4535"/>
        <w:tab w:val="right" w:pos="9071"/>
      </w:tabs>
      <w:spacing w:after="120" w:line="240" w:lineRule="auto"/>
      <w:ind w:hanging="360"/>
      <w:contextualSpacing/>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3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87"/>
    <w:rPr>
      <w:rFonts w:ascii="Tahoma" w:hAnsi="Tahoma" w:cs="Tahoma"/>
      <w:sz w:val="16"/>
      <w:szCs w:val="16"/>
    </w:rPr>
  </w:style>
  <w:style w:type="character" w:customStyle="1" w:styleId="Marker">
    <w:name w:val="Marker"/>
    <w:basedOn w:val="DefaultParagraphFont"/>
    <w:rsid w:val="00236F87"/>
    <w:rPr>
      <w:color w:val="0000FF"/>
      <w:shd w:val="clear" w:color="auto" w:fill="auto"/>
    </w:rPr>
  </w:style>
  <w:style w:type="paragraph" w:customStyle="1" w:styleId="Pagedecouverture">
    <w:name w:val="Page de couverture"/>
    <w:basedOn w:val="Normal"/>
    <w:next w:val="Normal"/>
    <w:rsid w:val="00370C2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36F87"/>
    <w:pPr>
      <w:numPr>
        <w:numId w:val="1"/>
      </w:numPr>
      <w:tabs>
        <w:tab w:val="center" w:pos="4535"/>
        <w:tab w:val="right" w:pos="9071"/>
        <w:tab w:val="right" w:pos="9921"/>
      </w:tabs>
      <w:spacing w:before="360" w:after="0" w:line="240" w:lineRule="auto"/>
      <w:ind w:left="-850" w:right="-850"/>
      <w:contextualSpacing/>
    </w:pPr>
    <w:rPr>
      <w:rFonts w:ascii="Times New Roman" w:hAnsi="Times New Roman" w:cs="Times New Roman"/>
      <w:sz w:val="24"/>
      <w:szCs w:val="24"/>
    </w:rPr>
  </w:style>
  <w:style w:type="character" w:customStyle="1" w:styleId="FooterCoverPageChar">
    <w:name w:val="Footer Cover Page Char"/>
    <w:basedOn w:val="DefaultParagraphFont"/>
    <w:link w:val="FooterCoverPage"/>
    <w:rsid w:val="00236F8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26C27"/>
    <w:rPr>
      <w:sz w:val="16"/>
      <w:szCs w:val="16"/>
    </w:rPr>
  </w:style>
  <w:style w:type="paragraph" w:styleId="CommentText">
    <w:name w:val="annotation text"/>
    <w:basedOn w:val="Normal"/>
    <w:link w:val="CommentTextChar"/>
    <w:uiPriority w:val="99"/>
    <w:semiHidden/>
    <w:unhideWhenUsed/>
    <w:rsid w:val="00D26C27"/>
    <w:pPr>
      <w:spacing w:line="240" w:lineRule="auto"/>
    </w:pPr>
    <w:rPr>
      <w:sz w:val="20"/>
      <w:szCs w:val="20"/>
    </w:rPr>
  </w:style>
  <w:style w:type="character" w:customStyle="1" w:styleId="CommentTextChar">
    <w:name w:val="Comment Text Char"/>
    <w:basedOn w:val="DefaultParagraphFont"/>
    <w:link w:val="CommentText"/>
    <w:uiPriority w:val="99"/>
    <w:semiHidden/>
    <w:rsid w:val="00D26C27"/>
    <w:rPr>
      <w:sz w:val="20"/>
      <w:szCs w:val="20"/>
    </w:rPr>
  </w:style>
  <w:style w:type="paragraph" w:styleId="CommentSubject">
    <w:name w:val="annotation subject"/>
    <w:basedOn w:val="CommentText"/>
    <w:next w:val="CommentText"/>
    <w:link w:val="CommentSubjectChar"/>
    <w:uiPriority w:val="99"/>
    <w:semiHidden/>
    <w:unhideWhenUsed/>
    <w:rsid w:val="00D26C27"/>
    <w:rPr>
      <w:b/>
      <w:bCs/>
    </w:rPr>
  </w:style>
  <w:style w:type="character" w:customStyle="1" w:styleId="CommentSubjectChar">
    <w:name w:val="Comment Subject Char"/>
    <w:basedOn w:val="CommentTextChar"/>
    <w:link w:val="CommentSubject"/>
    <w:uiPriority w:val="99"/>
    <w:semiHidden/>
    <w:rsid w:val="00D26C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Glossary:United_Nations" TargetMode="External"/><Relationship Id="rId1" Type="http://schemas.openxmlformats.org/officeDocument/2006/relationships/hyperlink" Target="http://ec.europa.eu/eurostat/statistics-explained/index.php/Glossary:Organisation_for_Economic_Co-operation_and_Development_(OEC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inhoa\AppData\Local\Temp\Copy%20of%20Basic%20data%20public%20finances.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REGIO\B\B.1\0904_ADDITIONALITE\02_2007_2013\03_EX_POST\01-Communication\Summary%20Table%20additionality%20for%20ex-post%20repor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913954020182083E-2"/>
          <c:y val="0.11805555555555559"/>
          <c:w val="0.85448640812413224"/>
          <c:h val="0.63194444444444509"/>
        </c:manualLayout>
      </c:layout>
      <c:lineChart>
        <c:grouping val="standard"/>
        <c:varyColors val="0"/>
        <c:ser>
          <c:idx val="1"/>
          <c:order val="1"/>
          <c:tx>
            <c:strRef>
              <c:f>'with budget balance'!$A$6</c:f>
              <c:strCache>
                <c:ptCount val="1"/>
                <c:pt idx="0">
                  <c:v>Public investment</c:v>
                </c:pt>
              </c:strCache>
            </c:strRef>
          </c:tx>
          <c:marker>
            <c:symbol val="none"/>
          </c:marker>
          <c:cat>
            <c:strRef>
              <c:f>'with budget balance'!$B$4:$H$4</c:f>
              <c:strCache>
                <c:ptCount val="7"/>
                <c:pt idx="0">
                  <c:v>2007</c:v>
                </c:pt>
                <c:pt idx="1">
                  <c:v>2008</c:v>
                </c:pt>
                <c:pt idx="2">
                  <c:v>2009</c:v>
                </c:pt>
                <c:pt idx="3">
                  <c:v>2010</c:v>
                </c:pt>
                <c:pt idx="4">
                  <c:v>2011</c:v>
                </c:pt>
                <c:pt idx="5">
                  <c:v>2012</c:v>
                </c:pt>
                <c:pt idx="6">
                  <c:v>2013</c:v>
                </c:pt>
              </c:strCache>
            </c:strRef>
          </c:cat>
          <c:val>
            <c:numRef>
              <c:f>'with budget balance'!$B$6:$H$6</c:f>
              <c:numCache>
                <c:formatCode>General</c:formatCode>
                <c:ptCount val="7"/>
                <c:pt idx="0">
                  <c:v>3.2</c:v>
                </c:pt>
                <c:pt idx="1">
                  <c:v>3.4</c:v>
                </c:pt>
                <c:pt idx="2">
                  <c:v>3.7</c:v>
                </c:pt>
                <c:pt idx="3">
                  <c:v>3.5</c:v>
                </c:pt>
                <c:pt idx="4">
                  <c:v>3.3</c:v>
                </c:pt>
                <c:pt idx="5">
                  <c:v>3.1</c:v>
                </c:pt>
                <c:pt idx="6">
                  <c:v>3</c:v>
                </c:pt>
              </c:numCache>
            </c:numRef>
          </c:val>
          <c:smooth val="0"/>
        </c:ser>
        <c:ser>
          <c:idx val="2"/>
          <c:order val="2"/>
          <c:tx>
            <c:strRef>
              <c:f>'with budget balance'!$A$7</c:f>
              <c:strCache>
                <c:ptCount val="1"/>
                <c:pt idx="0">
                  <c:v>Budget balance </c:v>
                </c:pt>
              </c:strCache>
            </c:strRef>
          </c:tx>
          <c:marker>
            <c:symbol val="none"/>
          </c:marker>
          <c:cat>
            <c:strRef>
              <c:f>'with budget balance'!$B$4:$H$4</c:f>
              <c:strCache>
                <c:ptCount val="7"/>
                <c:pt idx="0">
                  <c:v>2007</c:v>
                </c:pt>
                <c:pt idx="1">
                  <c:v>2008</c:v>
                </c:pt>
                <c:pt idx="2">
                  <c:v>2009</c:v>
                </c:pt>
                <c:pt idx="3">
                  <c:v>2010</c:v>
                </c:pt>
                <c:pt idx="4">
                  <c:v>2011</c:v>
                </c:pt>
                <c:pt idx="5">
                  <c:v>2012</c:v>
                </c:pt>
                <c:pt idx="6">
                  <c:v>2013</c:v>
                </c:pt>
              </c:strCache>
            </c:strRef>
          </c:cat>
          <c:val>
            <c:numRef>
              <c:f>'with budget balance'!$B$7:$H$7</c:f>
              <c:numCache>
                <c:formatCode>General</c:formatCode>
                <c:ptCount val="7"/>
                <c:pt idx="0">
                  <c:v>-0.9</c:v>
                </c:pt>
                <c:pt idx="1">
                  <c:v>-2.4</c:v>
                </c:pt>
                <c:pt idx="2">
                  <c:v>-6.6</c:v>
                </c:pt>
                <c:pt idx="3">
                  <c:v>-6.4</c:v>
                </c:pt>
                <c:pt idx="4">
                  <c:v>-4.5999999999999996</c:v>
                </c:pt>
                <c:pt idx="5">
                  <c:v>-4.3</c:v>
                </c:pt>
                <c:pt idx="6">
                  <c:v>-3.3</c:v>
                </c:pt>
              </c:numCache>
            </c:numRef>
          </c:val>
          <c:smooth val="0"/>
        </c:ser>
        <c:dLbls>
          <c:showLegendKey val="0"/>
          <c:showVal val="0"/>
          <c:showCatName val="0"/>
          <c:showSerName val="0"/>
          <c:showPercent val="0"/>
          <c:showBubbleSize val="0"/>
        </c:dLbls>
        <c:marker val="1"/>
        <c:smooth val="0"/>
        <c:axId val="60330368"/>
        <c:axId val="60576128"/>
      </c:lineChart>
      <c:lineChart>
        <c:grouping val="standard"/>
        <c:varyColors val="0"/>
        <c:ser>
          <c:idx val="0"/>
          <c:order val="0"/>
          <c:tx>
            <c:strRef>
              <c:f>'with budget balance'!$A$5</c:f>
              <c:strCache>
                <c:ptCount val="1"/>
                <c:pt idx="0">
                  <c:v>Public expenditure (RHS)</c:v>
                </c:pt>
              </c:strCache>
            </c:strRef>
          </c:tx>
          <c:marker>
            <c:symbol val="none"/>
          </c:marker>
          <c:cat>
            <c:strRef>
              <c:f>'with budget balance'!$B$4:$H$4</c:f>
              <c:strCache>
                <c:ptCount val="7"/>
                <c:pt idx="0">
                  <c:v>2007</c:v>
                </c:pt>
                <c:pt idx="1">
                  <c:v>2008</c:v>
                </c:pt>
                <c:pt idx="2">
                  <c:v>2009</c:v>
                </c:pt>
                <c:pt idx="3">
                  <c:v>2010</c:v>
                </c:pt>
                <c:pt idx="4">
                  <c:v>2011</c:v>
                </c:pt>
                <c:pt idx="5">
                  <c:v>2012</c:v>
                </c:pt>
                <c:pt idx="6">
                  <c:v>2013</c:v>
                </c:pt>
              </c:strCache>
            </c:strRef>
          </c:cat>
          <c:val>
            <c:numRef>
              <c:f>'with budget balance'!$B$5:$H$5</c:f>
              <c:numCache>
                <c:formatCode>General</c:formatCode>
                <c:ptCount val="7"/>
                <c:pt idx="0">
                  <c:v>44.6</c:v>
                </c:pt>
                <c:pt idx="1">
                  <c:v>46.3</c:v>
                </c:pt>
                <c:pt idx="2">
                  <c:v>50.1</c:v>
                </c:pt>
                <c:pt idx="3">
                  <c:v>49.9</c:v>
                </c:pt>
                <c:pt idx="4">
                  <c:v>48.6</c:v>
                </c:pt>
                <c:pt idx="5">
                  <c:v>49</c:v>
                </c:pt>
                <c:pt idx="6">
                  <c:v>48.7</c:v>
                </c:pt>
              </c:numCache>
            </c:numRef>
          </c:val>
          <c:smooth val="0"/>
        </c:ser>
        <c:ser>
          <c:idx val="3"/>
          <c:order val="3"/>
          <c:tx>
            <c:strRef>
              <c:f>'with budget balance'!$A$8</c:f>
              <c:strCache>
                <c:ptCount val="1"/>
                <c:pt idx="0">
                  <c:v>Government debt (RHS)</c:v>
                </c:pt>
              </c:strCache>
            </c:strRef>
          </c:tx>
          <c:marker>
            <c:symbol val="none"/>
          </c:marker>
          <c:cat>
            <c:strRef>
              <c:f>'with budget balance'!$B$4:$H$4</c:f>
              <c:strCache>
                <c:ptCount val="7"/>
                <c:pt idx="0">
                  <c:v>2007</c:v>
                </c:pt>
                <c:pt idx="1">
                  <c:v>2008</c:v>
                </c:pt>
                <c:pt idx="2">
                  <c:v>2009</c:v>
                </c:pt>
                <c:pt idx="3">
                  <c:v>2010</c:v>
                </c:pt>
                <c:pt idx="4">
                  <c:v>2011</c:v>
                </c:pt>
                <c:pt idx="5">
                  <c:v>2012</c:v>
                </c:pt>
                <c:pt idx="6">
                  <c:v>2013</c:v>
                </c:pt>
              </c:strCache>
            </c:strRef>
          </c:cat>
          <c:val>
            <c:numRef>
              <c:f>'with budget balance'!$B$8:$H$8</c:f>
              <c:numCache>
                <c:formatCode>General</c:formatCode>
                <c:ptCount val="7"/>
                <c:pt idx="0">
                  <c:v>57.5</c:v>
                </c:pt>
                <c:pt idx="1">
                  <c:v>60.7</c:v>
                </c:pt>
                <c:pt idx="2">
                  <c:v>72.8</c:v>
                </c:pt>
                <c:pt idx="3">
                  <c:v>78.400000000000006</c:v>
                </c:pt>
                <c:pt idx="4">
                  <c:v>81.099999999999994</c:v>
                </c:pt>
                <c:pt idx="5">
                  <c:v>83.8</c:v>
                </c:pt>
                <c:pt idx="6">
                  <c:v>85.7</c:v>
                </c:pt>
              </c:numCache>
            </c:numRef>
          </c:val>
          <c:smooth val="0"/>
        </c:ser>
        <c:dLbls>
          <c:showLegendKey val="0"/>
          <c:showVal val="0"/>
          <c:showCatName val="0"/>
          <c:showSerName val="0"/>
          <c:showPercent val="0"/>
          <c:showBubbleSize val="0"/>
        </c:dLbls>
        <c:marker val="1"/>
        <c:smooth val="0"/>
        <c:axId val="60578816"/>
        <c:axId val="60622720"/>
      </c:lineChart>
      <c:catAx>
        <c:axId val="60330368"/>
        <c:scaling>
          <c:orientation val="minMax"/>
        </c:scaling>
        <c:delete val="0"/>
        <c:axPos val="b"/>
        <c:numFmt formatCode="General" sourceLinked="1"/>
        <c:majorTickMark val="none"/>
        <c:minorTickMark val="none"/>
        <c:tickLblPos val="low"/>
        <c:spPr>
          <a:ln w="6350">
            <a:prstDash val="dash"/>
          </a:ln>
        </c:spPr>
        <c:crossAx val="60576128"/>
        <c:crosses val="autoZero"/>
        <c:auto val="1"/>
        <c:lblAlgn val="ctr"/>
        <c:lblOffset val="100"/>
        <c:noMultiLvlLbl val="0"/>
      </c:catAx>
      <c:valAx>
        <c:axId val="60576128"/>
        <c:scaling>
          <c:orientation val="minMax"/>
          <c:max val="6"/>
          <c:min val="-8"/>
        </c:scaling>
        <c:delete val="0"/>
        <c:axPos val="l"/>
        <c:title>
          <c:tx>
            <c:rich>
              <a:bodyPr rot="-5400000" vert="horz"/>
              <a:lstStyle/>
              <a:p>
                <a:pPr>
                  <a:defRPr sz="800"/>
                </a:pPr>
                <a:r>
                  <a:rPr lang="en-US" sz="800"/>
                  <a:t>% of GDP</a:t>
                </a:r>
              </a:p>
            </c:rich>
          </c:tx>
          <c:layout/>
          <c:overlay val="0"/>
        </c:title>
        <c:numFmt formatCode="General" sourceLinked="1"/>
        <c:majorTickMark val="out"/>
        <c:minorTickMark val="none"/>
        <c:tickLblPos val="nextTo"/>
        <c:crossAx val="60330368"/>
        <c:crosses val="autoZero"/>
        <c:crossBetween val="between"/>
      </c:valAx>
      <c:catAx>
        <c:axId val="60578816"/>
        <c:scaling>
          <c:orientation val="minMax"/>
        </c:scaling>
        <c:delete val="0"/>
        <c:axPos val="b"/>
        <c:majorTickMark val="none"/>
        <c:minorTickMark val="none"/>
        <c:tickLblPos val="none"/>
        <c:crossAx val="60622720"/>
        <c:crossesAt val="20.010000000000005"/>
        <c:auto val="1"/>
        <c:lblAlgn val="ctr"/>
        <c:lblOffset val="100"/>
        <c:noMultiLvlLbl val="0"/>
      </c:catAx>
      <c:valAx>
        <c:axId val="60622720"/>
        <c:scaling>
          <c:orientation val="minMax"/>
          <c:max val="90"/>
          <c:min val="20"/>
        </c:scaling>
        <c:delete val="0"/>
        <c:axPos val="r"/>
        <c:title>
          <c:tx>
            <c:rich>
              <a:bodyPr rot="-5400000" vert="horz"/>
              <a:lstStyle/>
              <a:p>
                <a:pPr>
                  <a:defRPr sz="800"/>
                </a:pPr>
                <a:r>
                  <a:rPr lang="en-US" sz="800"/>
                  <a:t>% of GDP</a:t>
                </a:r>
              </a:p>
            </c:rich>
          </c:tx>
          <c:layout/>
          <c:overlay val="0"/>
        </c:title>
        <c:numFmt formatCode="General" sourceLinked="1"/>
        <c:majorTickMark val="out"/>
        <c:minorTickMark val="none"/>
        <c:tickLblPos val="nextTo"/>
        <c:crossAx val="60578816"/>
        <c:crosses val="max"/>
        <c:crossBetween val="between"/>
      </c:valAx>
    </c:plotArea>
    <c:legend>
      <c:legendPos val="b"/>
      <c:layout>
        <c:manualLayout>
          <c:xMode val="edge"/>
          <c:yMode val="edge"/>
          <c:x val="5.3513779527559063E-2"/>
          <c:y val="0.85802857976086322"/>
          <c:w val="0.89019466316710461"/>
          <c:h val="0.1095640128317294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9965243959265"/>
          <c:y val="0.12942305625297995"/>
          <c:w val="0.8461334246262695"/>
          <c:h val="0.81325118577456357"/>
        </c:manualLayout>
      </c:layout>
      <c:scatterChart>
        <c:scatterStyle val="lineMarker"/>
        <c:varyColors val="0"/>
        <c:ser>
          <c:idx val="0"/>
          <c:order val="0"/>
          <c:spPr>
            <a:ln w="28575">
              <a:noFill/>
            </a:ln>
          </c:spPr>
          <c:marker>
            <c:symbol val="circle"/>
            <c:size val="4"/>
          </c:marker>
          <c:dLbls>
            <c:dLbl>
              <c:idx val="0"/>
              <c:tx>
                <c:rich>
                  <a:bodyPr/>
                  <a:lstStyle/>
                  <a:p>
                    <a:r>
                      <a:rPr lang="en-US" sz="700" baseline="0"/>
                      <a:t>BE</a:t>
                    </a:r>
                    <a:endParaRPr lang="en-US"/>
                  </a:p>
                </c:rich>
              </c:tx>
              <c:showLegendKey val="0"/>
              <c:showVal val="0"/>
              <c:showCatName val="0"/>
              <c:showSerName val="1"/>
              <c:showPercent val="0"/>
              <c:showBubbleSize val="0"/>
            </c:dLbl>
            <c:dLbl>
              <c:idx val="1"/>
              <c:tx>
                <c:rich>
                  <a:bodyPr/>
                  <a:lstStyle/>
                  <a:p>
                    <a:r>
                      <a:rPr lang="en-US" sz="700" baseline="0"/>
                      <a:t>BG</a:t>
                    </a:r>
                    <a:endParaRPr lang="en-US"/>
                  </a:p>
                </c:rich>
              </c:tx>
              <c:showLegendKey val="0"/>
              <c:showVal val="0"/>
              <c:showCatName val="0"/>
              <c:showSerName val="1"/>
              <c:showPercent val="0"/>
              <c:showBubbleSize val="0"/>
            </c:dLbl>
            <c:dLbl>
              <c:idx val="2"/>
              <c:tx>
                <c:rich>
                  <a:bodyPr/>
                  <a:lstStyle/>
                  <a:p>
                    <a:r>
                      <a:rPr lang="en-US" sz="700" baseline="0"/>
                      <a:t>CZ</a:t>
                    </a:r>
                    <a:endParaRPr lang="en-US"/>
                  </a:p>
                </c:rich>
              </c:tx>
              <c:showLegendKey val="0"/>
              <c:showVal val="0"/>
              <c:showCatName val="0"/>
              <c:showSerName val="1"/>
              <c:showPercent val="0"/>
              <c:showBubbleSize val="0"/>
            </c:dLbl>
            <c:dLbl>
              <c:idx val="3"/>
              <c:tx>
                <c:rich>
                  <a:bodyPr/>
                  <a:lstStyle/>
                  <a:p>
                    <a:r>
                      <a:rPr lang="en-US" sz="700" baseline="0"/>
                      <a:t>DE</a:t>
                    </a:r>
                    <a:endParaRPr lang="en-US"/>
                  </a:p>
                </c:rich>
              </c:tx>
              <c:showLegendKey val="0"/>
              <c:showVal val="0"/>
              <c:showCatName val="0"/>
              <c:showSerName val="1"/>
              <c:showPercent val="0"/>
              <c:showBubbleSize val="0"/>
            </c:dLbl>
            <c:dLbl>
              <c:idx val="4"/>
              <c:tx>
                <c:rich>
                  <a:bodyPr/>
                  <a:lstStyle/>
                  <a:p>
                    <a:r>
                      <a:rPr lang="en-US" sz="700" baseline="0"/>
                      <a:t>EE</a:t>
                    </a:r>
                    <a:endParaRPr lang="en-US"/>
                  </a:p>
                </c:rich>
              </c:tx>
              <c:showLegendKey val="0"/>
              <c:showVal val="0"/>
              <c:showCatName val="0"/>
              <c:showSerName val="1"/>
              <c:showPercent val="0"/>
              <c:showBubbleSize val="0"/>
            </c:dLbl>
            <c:dLbl>
              <c:idx val="5"/>
              <c:tx>
                <c:rich>
                  <a:bodyPr/>
                  <a:lstStyle/>
                  <a:p>
                    <a:r>
                      <a:rPr lang="en-US" sz="700" baseline="0"/>
                      <a:t>EL</a:t>
                    </a:r>
                    <a:endParaRPr lang="en-US"/>
                  </a:p>
                </c:rich>
              </c:tx>
              <c:showLegendKey val="0"/>
              <c:showVal val="0"/>
              <c:showCatName val="0"/>
              <c:showSerName val="1"/>
              <c:showPercent val="0"/>
              <c:showBubbleSize val="0"/>
            </c:dLbl>
            <c:dLbl>
              <c:idx val="6"/>
              <c:tx>
                <c:rich>
                  <a:bodyPr/>
                  <a:lstStyle/>
                  <a:p>
                    <a:r>
                      <a:rPr lang="en-US" sz="700" baseline="0"/>
                      <a:t>ES</a:t>
                    </a:r>
                    <a:endParaRPr lang="en-US"/>
                  </a:p>
                </c:rich>
              </c:tx>
              <c:showLegendKey val="0"/>
              <c:showVal val="0"/>
              <c:showCatName val="0"/>
              <c:showSerName val="1"/>
              <c:showPercent val="0"/>
              <c:showBubbleSize val="0"/>
            </c:dLbl>
            <c:dLbl>
              <c:idx val="7"/>
              <c:tx>
                <c:rich>
                  <a:bodyPr/>
                  <a:lstStyle/>
                  <a:p>
                    <a:r>
                      <a:rPr lang="en-US" sz="700" baseline="0"/>
                      <a:t>FR</a:t>
                    </a:r>
                    <a:endParaRPr lang="en-US"/>
                  </a:p>
                </c:rich>
              </c:tx>
              <c:showLegendKey val="0"/>
              <c:showVal val="0"/>
              <c:showCatName val="0"/>
              <c:showSerName val="1"/>
              <c:showPercent val="0"/>
              <c:showBubbleSize val="0"/>
            </c:dLbl>
            <c:dLbl>
              <c:idx val="8"/>
              <c:tx>
                <c:rich>
                  <a:bodyPr/>
                  <a:lstStyle/>
                  <a:p>
                    <a:r>
                      <a:rPr lang="en-US" sz="700" baseline="0"/>
                      <a:t>HR</a:t>
                    </a:r>
                    <a:endParaRPr lang="en-US"/>
                  </a:p>
                </c:rich>
              </c:tx>
              <c:showLegendKey val="0"/>
              <c:showVal val="0"/>
              <c:showCatName val="0"/>
              <c:showSerName val="1"/>
              <c:showPercent val="0"/>
              <c:showBubbleSize val="0"/>
            </c:dLbl>
            <c:dLbl>
              <c:idx val="9"/>
              <c:tx>
                <c:rich>
                  <a:bodyPr/>
                  <a:lstStyle/>
                  <a:p>
                    <a:r>
                      <a:rPr lang="en-US" sz="700" baseline="0"/>
                      <a:t>IT</a:t>
                    </a:r>
                    <a:endParaRPr lang="en-US"/>
                  </a:p>
                </c:rich>
              </c:tx>
              <c:showLegendKey val="0"/>
              <c:showVal val="0"/>
              <c:showCatName val="0"/>
              <c:showSerName val="1"/>
              <c:showPercent val="0"/>
              <c:showBubbleSize val="0"/>
            </c:dLbl>
            <c:dLbl>
              <c:idx val="10"/>
              <c:tx>
                <c:rich>
                  <a:bodyPr/>
                  <a:lstStyle/>
                  <a:p>
                    <a:r>
                      <a:rPr lang="en-US" sz="700" baseline="0"/>
                      <a:t>LV</a:t>
                    </a:r>
                    <a:endParaRPr lang="en-US"/>
                  </a:p>
                </c:rich>
              </c:tx>
              <c:showLegendKey val="0"/>
              <c:showVal val="0"/>
              <c:showCatName val="0"/>
              <c:showSerName val="1"/>
              <c:showPercent val="0"/>
              <c:showBubbleSize val="0"/>
            </c:dLbl>
            <c:dLbl>
              <c:idx val="11"/>
              <c:tx>
                <c:rich>
                  <a:bodyPr/>
                  <a:lstStyle/>
                  <a:p>
                    <a:r>
                      <a:rPr lang="en-US" sz="700" baseline="0"/>
                      <a:t>LT</a:t>
                    </a:r>
                    <a:endParaRPr lang="en-US"/>
                  </a:p>
                </c:rich>
              </c:tx>
              <c:showLegendKey val="0"/>
              <c:showVal val="0"/>
              <c:showCatName val="0"/>
              <c:showSerName val="1"/>
              <c:showPercent val="0"/>
              <c:showBubbleSize val="0"/>
            </c:dLbl>
            <c:dLbl>
              <c:idx val="12"/>
              <c:tx>
                <c:rich>
                  <a:bodyPr/>
                  <a:lstStyle/>
                  <a:p>
                    <a:r>
                      <a:rPr lang="en-US" sz="700" baseline="0"/>
                      <a:t>HU</a:t>
                    </a:r>
                    <a:endParaRPr lang="en-US"/>
                  </a:p>
                </c:rich>
              </c:tx>
              <c:showLegendKey val="0"/>
              <c:showVal val="0"/>
              <c:showCatName val="0"/>
              <c:showSerName val="1"/>
              <c:showPercent val="0"/>
              <c:showBubbleSize val="0"/>
            </c:dLbl>
            <c:dLbl>
              <c:idx val="13"/>
              <c:tx>
                <c:rich>
                  <a:bodyPr/>
                  <a:lstStyle/>
                  <a:p>
                    <a:r>
                      <a:rPr lang="en-US" sz="700" baseline="0"/>
                      <a:t>MT</a:t>
                    </a:r>
                    <a:endParaRPr lang="en-US"/>
                  </a:p>
                </c:rich>
              </c:tx>
              <c:showLegendKey val="0"/>
              <c:showVal val="0"/>
              <c:showCatName val="0"/>
              <c:showSerName val="1"/>
              <c:showPercent val="0"/>
              <c:showBubbleSize val="0"/>
            </c:dLbl>
            <c:dLbl>
              <c:idx val="14"/>
              <c:tx>
                <c:rich>
                  <a:bodyPr/>
                  <a:lstStyle/>
                  <a:p>
                    <a:r>
                      <a:rPr lang="en-US" sz="700" baseline="0"/>
                      <a:t>AT</a:t>
                    </a:r>
                    <a:endParaRPr lang="en-US"/>
                  </a:p>
                </c:rich>
              </c:tx>
              <c:showLegendKey val="0"/>
              <c:showVal val="0"/>
              <c:showCatName val="0"/>
              <c:showSerName val="1"/>
              <c:showPercent val="0"/>
              <c:showBubbleSize val="0"/>
            </c:dLbl>
            <c:dLbl>
              <c:idx val="15"/>
              <c:tx>
                <c:rich>
                  <a:bodyPr/>
                  <a:lstStyle/>
                  <a:p>
                    <a:r>
                      <a:rPr lang="en-US" sz="700" baseline="0"/>
                      <a:t>PL</a:t>
                    </a:r>
                    <a:endParaRPr lang="en-US"/>
                  </a:p>
                </c:rich>
              </c:tx>
              <c:showLegendKey val="0"/>
              <c:showVal val="0"/>
              <c:showCatName val="0"/>
              <c:showSerName val="1"/>
              <c:showPercent val="0"/>
              <c:showBubbleSize val="0"/>
            </c:dLbl>
            <c:dLbl>
              <c:idx val="16"/>
              <c:tx>
                <c:rich>
                  <a:bodyPr/>
                  <a:lstStyle/>
                  <a:p>
                    <a:r>
                      <a:rPr lang="en-US" sz="700" baseline="0"/>
                      <a:t>PT</a:t>
                    </a:r>
                    <a:endParaRPr lang="en-US"/>
                  </a:p>
                </c:rich>
              </c:tx>
              <c:showLegendKey val="0"/>
              <c:showVal val="0"/>
              <c:showCatName val="0"/>
              <c:showSerName val="1"/>
              <c:showPercent val="0"/>
              <c:showBubbleSize val="0"/>
            </c:dLbl>
            <c:dLbl>
              <c:idx val="17"/>
              <c:tx>
                <c:rich>
                  <a:bodyPr/>
                  <a:lstStyle/>
                  <a:p>
                    <a:r>
                      <a:rPr lang="en-US" sz="700" baseline="0"/>
                      <a:t>RO</a:t>
                    </a:r>
                    <a:endParaRPr lang="en-US"/>
                  </a:p>
                </c:rich>
              </c:tx>
              <c:showLegendKey val="0"/>
              <c:showVal val="0"/>
              <c:showCatName val="0"/>
              <c:showSerName val="1"/>
              <c:showPercent val="0"/>
              <c:showBubbleSize val="0"/>
            </c:dLbl>
            <c:dLbl>
              <c:idx val="18"/>
              <c:tx>
                <c:rich>
                  <a:bodyPr/>
                  <a:lstStyle/>
                  <a:p>
                    <a:r>
                      <a:rPr lang="en-US" sz="700" baseline="0"/>
                      <a:t>SI</a:t>
                    </a:r>
                    <a:endParaRPr lang="en-US"/>
                  </a:p>
                </c:rich>
              </c:tx>
              <c:showLegendKey val="0"/>
              <c:showVal val="0"/>
              <c:showCatName val="0"/>
              <c:showSerName val="1"/>
              <c:showPercent val="0"/>
              <c:showBubbleSize val="0"/>
            </c:dLbl>
            <c:dLbl>
              <c:idx val="19"/>
              <c:tx>
                <c:rich>
                  <a:bodyPr/>
                  <a:lstStyle/>
                  <a:p>
                    <a:r>
                      <a:rPr lang="en-US" sz="700" baseline="0"/>
                      <a:t>SK</a:t>
                    </a:r>
                    <a:endParaRPr lang="en-US"/>
                  </a:p>
                </c:rich>
              </c:tx>
              <c:showLegendKey val="0"/>
              <c:showVal val="0"/>
              <c:showCatName val="0"/>
              <c:showSerName val="1"/>
              <c:showPercent val="0"/>
              <c:showBubbleSize val="0"/>
            </c:dLbl>
            <c:dLbl>
              <c:idx val="20"/>
              <c:tx>
                <c:rich>
                  <a:bodyPr/>
                  <a:lstStyle/>
                  <a:p>
                    <a:r>
                      <a:rPr lang="en-US" sz="700" baseline="0"/>
                      <a:t>UK</a:t>
                    </a:r>
                    <a:endParaRPr lang="en-US"/>
                  </a:p>
                </c:rich>
              </c:tx>
              <c:showLegendKey val="0"/>
              <c:showVal val="0"/>
              <c:showCatName val="0"/>
              <c:showSerName val="1"/>
              <c:showPercent val="0"/>
              <c:showBubbleSize val="0"/>
            </c:dLbl>
            <c:txPr>
              <a:bodyPr anchor="t" anchorCtr="0"/>
              <a:lstStyle/>
              <a:p>
                <a:pPr>
                  <a:defRPr lang="en-GB" sz="700" baseline="0"/>
                </a:pPr>
                <a:endParaRPr lang="en-US"/>
              </a:p>
            </c:txPr>
            <c:showLegendKey val="0"/>
            <c:showVal val="0"/>
            <c:showCatName val="0"/>
            <c:showSerName val="1"/>
            <c:showPercent val="0"/>
            <c:showBubbleSize val="0"/>
            <c:showLeaderLines val="0"/>
          </c:dLbls>
          <c:trendline>
            <c:trendlineType val="linear"/>
            <c:dispRSqr val="0"/>
            <c:dispEq val="0"/>
          </c:trendline>
          <c:xVal>
            <c:numRef>
              <c:f>'Plot graph'!$C$4:$C$24</c:f>
              <c:numCache>
                <c:formatCode>0.0%</c:formatCode>
                <c:ptCount val="21"/>
                <c:pt idx="0">
                  <c:v>0.13829787234042559</c:v>
                </c:pt>
                <c:pt idx="1">
                  <c:v>0.20565832426550593</c:v>
                </c:pt>
                <c:pt idx="2">
                  <c:v>-3.8877991369164366E-2</c:v>
                </c:pt>
                <c:pt idx="3">
                  <c:v>-5.8531265147842966E-2</c:v>
                </c:pt>
                <c:pt idx="4">
                  <c:v>7.9863221884498486E-2</c:v>
                </c:pt>
                <c:pt idx="5">
                  <c:v>-0.35022514721163839</c:v>
                </c:pt>
                <c:pt idx="6">
                  <c:v>0.18793387246833188</c:v>
                </c:pt>
                <c:pt idx="7">
                  <c:v>0.47878787878787893</c:v>
                </c:pt>
                <c:pt idx="8">
                  <c:v>6.5158924205378929E-2</c:v>
                </c:pt>
                <c:pt idx="9">
                  <c:v>-0.26861689225246227</c:v>
                </c:pt>
                <c:pt idx="10">
                  <c:v>5.3244078269824947E-2</c:v>
                </c:pt>
                <c:pt idx="11">
                  <c:v>-0.16066225165562911</c:v>
                </c:pt>
                <c:pt idx="12">
                  <c:v>-0.10621621621621621</c:v>
                </c:pt>
                <c:pt idx="13">
                  <c:v>0.80467289719626167</c:v>
                </c:pt>
                <c:pt idx="14">
                  <c:v>2.7338129496402973E-2</c:v>
                </c:pt>
                <c:pt idx="15">
                  <c:v>0.52141057934508817</c:v>
                </c:pt>
                <c:pt idx="16">
                  <c:v>-0.1717688798783579</c:v>
                </c:pt>
                <c:pt idx="17">
                  <c:v>6.3607793840352089E-2</c:v>
                </c:pt>
                <c:pt idx="18">
                  <c:v>0.15203761755485892</c:v>
                </c:pt>
                <c:pt idx="19">
                  <c:v>0.96700913242009179</c:v>
                </c:pt>
                <c:pt idx="20">
                  <c:v>2.9756795422031745E-3</c:v>
                </c:pt>
              </c:numCache>
            </c:numRef>
          </c:xVal>
          <c:yVal>
            <c:numRef>
              <c:f>'Plot graph'!$D$4:$D$24</c:f>
              <c:numCache>
                <c:formatCode>0.0%</c:formatCode>
                <c:ptCount val="21"/>
                <c:pt idx="0">
                  <c:v>9.0000000000000045E-3</c:v>
                </c:pt>
                <c:pt idx="1">
                  <c:v>1.9714285714285726E-2</c:v>
                </c:pt>
                <c:pt idx="2">
                  <c:v>9.1428571428571435E-3</c:v>
                </c:pt>
                <c:pt idx="3">
                  <c:v>1.0857142857142857E-2</c:v>
                </c:pt>
                <c:pt idx="4">
                  <c:v>4.5714285714285761E-3</c:v>
                </c:pt>
                <c:pt idx="5">
                  <c:v>-3.7714285714285728E-2</c:v>
                </c:pt>
                <c:pt idx="6">
                  <c:v>-6.1428571428571435E-3</c:v>
                </c:pt>
                <c:pt idx="7">
                  <c:v>6.5714285714285753E-3</c:v>
                </c:pt>
                <c:pt idx="8">
                  <c:v>-7.7142857142857161E-3</c:v>
                </c:pt>
                <c:pt idx="9">
                  <c:v>-1.0428571428571433E-2</c:v>
                </c:pt>
                <c:pt idx="10">
                  <c:v>1.8571428571428569E-3</c:v>
                </c:pt>
                <c:pt idx="11">
                  <c:v>1.9714285714285719E-2</c:v>
                </c:pt>
                <c:pt idx="12">
                  <c:v>-3.4285714285714306E-3</c:v>
                </c:pt>
                <c:pt idx="13">
                  <c:v>2.5000000000000008E-2</c:v>
                </c:pt>
                <c:pt idx="14">
                  <c:v>9.714285714285717E-3</c:v>
                </c:pt>
                <c:pt idx="15">
                  <c:v>3.6571428571428595E-2</c:v>
                </c:pt>
                <c:pt idx="16">
                  <c:v>-7.5714285714285762E-3</c:v>
                </c:pt>
                <c:pt idx="17">
                  <c:v>1.8142857142857158E-2</c:v>
                </c:pt>
                <c:pt idx="18">
                  <c:v>5.7142857142857028E-4</c:v>
                </c:pt>
                <c:pt idx="19">
                  <c:v>3.1428571428571438E-2</c:v>
                </c:pt>
                <c:pt idx="20">
                  <c:v>6.1428571428571461E-3</c:v>
                </c:pt>
              </c:numCache>
            </c:numRef>
          </c:yVal>
          <c:smooth val="0"/>
        </c:ser>
        <c:dLbls>
          <c:showLegendKey val="0"/>
          <c:showVal val="0"/>
          <c:showCatName val="0"/>
          <c:showSerName val="0"/>
          <c:showPercent val="0"/>
          <c:showBubbleSize val="0"/>
        </c:dLbls>
        <c:axId val="83910016"/>
        <c:axId val="101478784"/>
      </c:scatterChart>
      <c:valAx>
        <c:axId val="83910016"/>
        <c:scaling>
          <c:orientation val="minMax"/>
        </c:scaling>
        <c:delete val="0"/>
        <c:axPos val="b"/>
        <c:title>
          <c:tx>
            <c:rich>
              <a:bodyPr/>
              <a:lstStyle/>
              <a:p>
                <a:pPr>
                  <a:defRPr lang="en-GB" sz="800" baseline="0"/>
                </a:pPr>
                <a:r>
                  <a:rPr lang="en-GB" sz="800" baseline="0"/>
                  <a:t>Actual baseline compared to the initial baseline (change in %)</a:t>
                </a:r>
              </a:p>
            </c:rich>
          </c:tx>
          <c:layout>
            <c:manualLayout>
              <c:xMode val="edge"/>
              <c:yMode val="edge"/>
              <c:x val="0.46833623188405821"/>
              <c:y val="0.84693564914754871"/>
            </c:manualLayout>
          </c:layout>
          <c:overlay val="0"/>
        </c:title>
        <c:numFmt formatCode="0%" sourceLinked="0"/>
        <c:majorTickMark val="out"/>
        <c:minorTickMark val="none"/>
        <c:tickLblPos val="low"/>
        <c:txPr>
          <a:bodyPr/>
          <a:lstStyle/>
          <a:p>
            <a:pPr>
              <a:defRPr lang="en-GB" sz="800" baseline="0"/>
            </a:pPr>
            <a:endParaRPr lang="en-US"/>
          </a:p>
        </c:txPr>
        <c:crossAx val="101478784"/>
        <c:crosses val="autoZero"/>
        <c:crossBetween val="midCat"/>
      </c:valAx>
      <c:valAx>
        <c:axId val="101478784"/>
        <c:scaling>
          <c:orientation val="minMax"/>
        </c:scaling>
        <c:delete val="0"/>
        <c:axPos val="l"/>
        <c:title>
          <c:tx>
            <c:rich>
              <a:bodyPr rot="-5400000" vert="horz"/>
              <a:lstStyle/>
              <a:p>
                <a:pPr>
                  <a:defRPr lang="en-GB" sz="800" baseline="0"/>
                </a:pPr>
                <a:r>
                  <a:rPr lang="en-GB" sz="800" baseline="0"/>
                  <a:t>Annual real GDP growth </a:t>
                </a:r>
              </a:p>
            </c:rich>
          </c:tx>
          <c:layout>
            <c:manualLayout>
              <c:xMode val="edge"/>
              <c:yMode val="edge"/>
              <c:x val="2.7281615884970932E-2"/>
              <c:y val="0.2576693820578006"/>
            </c:manualLayout>
          </c:layout>
          <c:overlay val="0"/>
        </c:title>
        <c:numFmt formatCode="0%" sourceLinked="0"/>
        <c:majorTickMark val="out"/>
        <c:minorTickMark val="none"/>
        <c:tickLblPos val="nextTo"/>
        <c:txPr>
          <a:bodyPr/>
          <a:lstStyle/>
          <a:p>
            <a:pPr>
              <a:defRPr lang="en-GB" sz="800" baseline="0"/>
            </a:pPr>
            <a:endParaRPr lang="en-US"/>
          </a:p>
        </c:txPr>
        <c:crossAx val="8391001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4150-0FF4-4334-8A3F-52557947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3134</Words>
  <Characters>17271</Characters>
  <Application>Microsoft Office Word</Application>
  <DocSecurity>0</DocSecurity>
  <Lines>268</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5</cp:revision>
  <cp:lastPrinted>2017-02-20T13:07:00Z</cp:lastPrinted>
  <dcterms:created xsi:type="dcterms:W3CDTF">2017-03-20T12:57:00Z</dcterms:created>
  <dcterms:modified xsi:type="dcterms:W3CDTF">2017-03-20T13:02:00Z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