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6D" w:rsidRDefault="00F128F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5EAD3D81F95420C87A4AA0A7D11F0CF" style="width:450.75pt;height:348pt">
            <v:imagedata r:id="rId9" o:title=""/>
          </v:shape>
        </w:pict>
      </w:r>
    </w:p>
    <w:bookmarkEnd w:id="0"/>
    <w:p w:rsidR="00B1716D" w:rsidRDefault="00B1716D">
      <w:pPr>
        <w:rPr>
          <w:rFonts w:ascii="Times New Roman" w:hAnsi="Times New Roman" w:cs="Times New Roman"/>
          <w:noProof/>
        </w:rPr>
        <w:sectPr w:rsidR="00B1716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1716D" w:rsidRDefault="00F128FF">
      <w:pPr>
        <w:pStyle w:val="ManualHeading1"/>
        <w:rPr>
          <w:noProof/>
        </w:rPr>
      </w:pPr>
      <w:bookmarkStart w:id="1" w:name="_Toc465177305"/>
      <w:bookmarkStart w:id="2" w:name="_Toc465177644"/>
      <w:bookmarkStart w:id="3" w:name="_Toc465421229"/>
      <w:bookmarkStart w:id="4" w:name="_Toc427618563"/>
      <w:bookmarkStart w:id="5" w:name="_Toc452538132"/>
      <w:bookmarkStart w:id="6" w:name="_Toc378078022"/>
      <w:bookmarkStart w:id="7" w:name="_Toc432166070"/>
      <w:bookmarkStart w:id="8" w:name="_Toc434855718"/>
      <w:bookmarkStart w:id="9" w:name="_Toc434937841"/>
      <w:bookmarkStart w:id="10" w:name="_Toc435028873"/>
      <w:bookmarkStart w:id="11" w:name="_Toc436052868"/>
      <w:bookmarkStart w:id="12" w:name="_Toc436066447"/>
      <w:bookmarkStart w:id="13" w:name="_Toc436068101"/>
      <w:bookmarkStart w:id="14" w:name="_Toc436070417"/>
      <w:bookmarkStart w:id="15" w:name="_Toc436732456"/>
      <w:bookmarkStart w:id="16" w:name="_Toc436733373"/>
      <w:bookmarkStart w:id="17" w:name="_Toc436735860"/>
      <w:bookmarkStart w:id="18" w:name="_Toc436992830"/>
      <w:bookmarkStart w:id="19" w:name="_Toc437004440"/>
      <w:bookmarkStart w:id="20" w:name="_Toc437005576"/>
      <w:bookmarkStart w:id="21" w:name="_Toc437244856"/>
      <w:bookmarkStart w:id="22" w:name="_Toc437248504"/>
      <w:bookmarkStart w:id="23" w:name="_Toc437267581"/>
      <w:bookmarkStart w:id="24" w:name="_Toc437269633"/>
      <w:bookmarkStart w:id="25" w:name="_Toc437270348"/>
      <w:bookmarkStart w:id="26" w:name="_Toc437270784"/>
      <w:bookmarkStart w:id="27" w:name="_Toc437270822"/>
      <w:bookmarkStart w:id="28" w:name="_Toc437270987"/>
      <w:bookmarkStart w:id="29" w:name="_Toc437271438"/>
      <w:bookmarkStart w:id="30" w:name="_Toc437273591"/>
      <w:bookmarkStart w:id="31" w:name="_Toc437276098"/>
      <w:bookmarkStart w:id="32" w:name="_Toc439947259"/>
      <w:bookmarkStart w:id="33" w:name="_Toc439949898"/>
      <w:bookmarkStart w:id="34" w:name="_Toc440009720"/>
      <w:bookmarkStart w:id="35" w:name="_Toc440011694"/>
      <w:bookmarkStart w:id="36" w:name="_Toc440225473"/>
      <w:r>
        <w:lastRenderedPageBreak/>
        <w:t>1</w:t>
      </w:r>
      <w:r>
        <w:tab/>
      </w:r>
      <w:r>
        <w:rPr>
          <w:noProof/>
        </w:rPr>
        <w:t>Въведение</w:t>
      </w:r>
      <w:bookmarkEnd w:id="1"/>
      <w:bookmarkEnd w:id="2"/>
      <w:bookmarkEnd w:id="3"/>
      <w:bookmarkEnd w:id="4"/>
      <w:bookmarkEnd w:id="5"/>
    </w:p>
    <w:p w:rsidR="00B1716D" w:rsidRDefault="00F128FF">
      <w:pPr>
        <w:widowControl w:val="0"/>
        <w:spacing w:line="312" w:lineRule="auto"/>
        <w:jc w:val="both"/>
        <w:rPr>
          <w:rFonts w:ascii="Times New Roman" w:hAnsi="Times New Roman" w:cs="Times New Roman"/>
          <w:noProof/>
          <w:sz w:val="24"/>
          <w:szCs w:val="24"/>
        </w:rPr>
      </w:pPr>
      <w:r>
        <w:rPr>
          <w:rFonts w:ascii="Times New Roman" w:hAnsi="Times New Roman"/>
          <w:noProof/>
          <w:sz w:val="24"/>
        </w:rPr>
        <w:t>Един от десетте приоритета на Комисията, изтъкнат от нейния председател, г-н Юнкер</w:t>
      </w:r>
      <w:r>
        <w:rPr>
          <w:rStyle w:val="FootnoteReference"/>
          <w:rFonts w:ascii="Times New Roman" w:hAnsi="Times New Roman"/>
          <w:noProof/>
          <w:sz w:val="24"/>
        </w:rPr>
        <w:footnoteReference w:id="1"/>
      </w:r>
      <w:r>
        <w:rPr>
          <w:rFonts w:ascii="Times New Roman" w:hAnsi="Times New Roman"/>
          <w:noProof/>
          <w:sz w:val="24"/>
        </w:rPr>
        <w:t xml:space="preserve">, е </w:t>
      </w:r>
      <w:r>
        <w:rPr>
          <w:rFonts w:ascii="Times New Roman" w:hAnsi="Times New Roman"/>
          <w:noProof/>
          <w:sz w:val="24"/>
        </w:rPr>
        <w:t>премахването на пречките пред цифровия единен пазар в Европа. Общественият сектор, който представлява над една четвърт от общата заетост и допринася за около една пета от БВП на ЕС чрез обществени поръчки, играе ключова роля в цифровия единен пазар като ре</w:t>
      </w:r>
      <w:r>
        <w:rPr>
          <w:rFonts w:ascii="Times New Roman" w:hAnsi="Times New Roman"/>
          <w:noProof/>
          <w:sz w:val="24"/>
        </w:rPr>
        <w:t>гулатор, доставчик на услуги и работодател.</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 xml:space="preserve">Държавите членки цифровизират публичните си администрации с цел спестяване на време, намаляване на разходите, повишаване на прозрачността и подобряване както на качеството на данните, така и на предоставянето на </w:t>
      </w:r>
      <w:r>
        <w:rPr>
          <w:rFonts w:ascii="Times New Roman" w:hAnsi="Times New Roman"/>
          <w:noProof/>
          <w:sz w:val="24"/>
        </w:rPr>
        <w:t>обществени услуги. Въпреки това цифровите обществени услуги в Европейския съюз все още не са факт, както показва индексът за навлизане на цифровите технологии в икономиката и обществото за електронното управление през 2016 г.</w:t>
      </w:r>
      <w:r>
        <w:rPr>
          <w:rStyle w:val="FootnoteReference"/>
          <w:rFonts w:ascii="Times New Roman" w:hAnsi="Times New Roman"/>
          <w:noProof/>
          <w:sz w:val="24"/>
        </w:rPr>
        <w:footnoteReference w:id="2"/>
      </w:r>
      <w:r>
        <w:rPr>
          <w:rFonts w:ascii="Times New Roman" w:hAnsi="Times New Roman"/>
          <w:noProof/>
          <w:sz w:val="24"/>
        </w:rPr>
        <w:t xml:space="preserve"> По отношение на трансгранични</w:t>
      </w:r>
      <w:r>
        <w:rPr>
          <w:rFonts w:ascii="Times New Roman" w:hAnsi="Times New Roman"/>
          <w:noProof/>
          <w:sz w:val="24"/>
        </w:rPr>
        <w:t>те услуги в съюза ситуацията е още по-сложна, тъй като достъпът до трансгранични услуги все още е затруднен</w:t>
      </w:r>
      <w:r>
        <w:rPr>
          <w:rStyle w:val="FootnoteReference"/>
          <w:rFonts w:ascii="Times New Roman" w:hAnsi="Times New Roman"/>
          <w:noProof/>
          <w:sz w:val="24"/>
        </w:rPr>
        <w:footnoteReference w:id="3"/>
      </w:r>
      <w:r>
        <w:rPr>
          <w:noProof/>
        </w:rPr>
        <w:t>.</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 xml:space="preserve">Все още има голям потенциал за по-нататъшно подобряване на обществените услуги чрез цялостно интегриране и автоматизиране, по-добро използване на </w:t>
      </w:r>
      <w:r>
        <w:rPr>
          <w:rFonts w:ascii="Times New Roman" w:hAnsi="Times New Roman"/>
          <w:noProof/>
          <w:sz w:val="24"/>
        </w:rPr>
        <w:t>надеждни източници на информация и открито публикуване на обществени данни, като същевременно се гарантира, че записите на гражданите и предприятията се третират в съответствие с правилата за защита на данните с цел увеличаване на доверието и надеждността.</w:t>
      </w:r>
      <w:r>
        <w:rPr>
          <w:rFonts w:ascii="Times New Roman" w:hAnsi="Times New Roman"/>
          <w:noProof/>
          <w:sz w:val="24"/>
        </w:rPr>
        <w:t xml:space="preserve"> Националните обществени услуги следва да бъдат свързани и да достигат отвъд националните граници с цел осъществяване на връзка с подобни услуги на равнище ЕС, като по този начин се допринася за цифровия единен пазар. За целта е необходим координиран подхо</w:t>
      </w:r>
      <w:r>
        <w:rPr>
          <w:rFonts w:ascii="Times New Roman" w:hAnsi="Times New Roman"/>
          <w:noProof/>
          <w:sz w:val="24"/>
        </w:rPr>
        <w:t>д на всички равнища при изготвянето на законодателство, при организирането от публичните администрации на работните им процеси, при управлението на информацията и при разработването на информационни системи за въвеждане на обществени услуги. В противен слу</w:t>
      </w:r>
      <w:r>
        <w:rPr>
          <w:rFonts w:ascii="Times New Roman" w:hAnsi="Times New Roman"/>
          <w:noProof/>
          <w:sz w:val="24"/>
        </w:rPr>
        <w:t xml:space="preserve">чай съществуващата цифрова разпокъсаност ще се задълбочи, което би застрашило предлагането на свързани обществени услуги в целия ЕС. </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Оперативната съвместимост е ключов фактор за осъществяване на цифровото преобразуване. Тя дава възможност на административ</w:t>
      </w:r>
      <w:r>
        <w:rPr>
          <w:rFonts w:ascii="Times New Roman" w:hAnsi="Times New Roman"/>
          <w:noProof/>
          <w:sz w:val="24"/>
        </w:rPr>
        <w:t xml:space="preserve">ните структури да обменят важна информация по електронен път както помежду си, така и с гражданите и предприятията, по разбираеми за всички страни начини. Тя обхваща всички слоеве, </w:t>
      </w:r>
      <w:r>
        <w:rPr>
          <w:rFonts w:ascii="Times New Roman" w:hAnsi="Times New Roman"/>
          <w:noProof/>
          <w:sz w:val="24"/>
        </w:rPr>
        <w:lastRenderedPageBreak/>
        <w:t>които оказват въздействие върху предоставянето на цифрови обществени услуги</w:t>
      </w:r>
      <w:r>
        <w:rPr>
          <w:rFonts w:ascii="Times New Roman" w:hAnsi="Times New Roman"/>
          <w:noProof/>
          <w:sz w:val="24"/>
        </w:rPr>
        <w:t xml:space="preserve"> в ЕС, в това число: </w:t>
      </w:r>
    </w:p>
    <w:p w:rsidR="00B1716D" w:rsidRDefault="00F128FF">
      <w:pPr>
        <w:pStyle w:val="ListParagraph"/>
        <w:numPr>
          <w:ilvl w:val="0"/>
          <w:numId w:val="34"/>
        </w:numPr>
        <w:spacing w:line="312" w:lineRule="auto"/>
        <w:rPr>
          <w:noProof/>
        </w:rPr>
      </w:pPr>
      <w:r>
        <w:rPr>
          <w:noProof/>
        </w:rPr>
        <w:t xml:space="preserve">правни въпроси — например като се гарантира, че законодателството не създава неоснователни пречки за повторното използване на данни в различни области на политиката; </w:t>
      </w:r>
    </w:p>
    <w:p w:rsidR="00B1716D" w:rsidRDefault="00F128FF">
      <w:pPr>
        <w:pStyle w:val="ListParagraph"/>
        <w:numPr>
          <w:ilvl w:val="0"/>
          <w:numId w:val="34"/>
        </w:numPr>
        <w:spacing w:line="312" w:lineRule="auto"/>
        <w:rPr>
          <w:noProof/>
        </w:rPr>
      </w:pPr>
      <w:r>
        <w:rPr>
          <w:noProof/>
        </w:rPr>
        <w:t>организационни аспекти — например чрез задължителни официални спора</w:t>
      </w:r>
      <w:r>
        <w:rPr>
          <w:noProof/>
        </w:rPr>
        <w:t xml:space="preserve">зумения относно условията, приложими за взаимодействията между организациите; </w:t>
      </w:r>
    </w:p>
    <w:p w:rsidR="00B1716D" w:rsidRDefault="00F128FF">
      <w:pPr>
        <w:pStyle w:val="ListParagraph"/>
        <w:numPr>
          <w:ilvl w:val="0"/>
          <w:numId w:val="34"/>
        </w:numPr>
        <w:spacing w:line="312" w:lineRule="auto"/>
        <w:rPr>
          <w:noProof/>
        </w:rPr>
      </w:pPr>
      <w:r>
        <w:rPr>
          <w:noProof/>
        </w:rPr>
        <w:t xml:space="preserve">въпроси във връзка с данните/семантиката — например като се гарантира употребата на общи описания на обменяните данни; </w:t>
      </w:r>
    </w:p>
    <w:p w:rsidR="00B1716D" w:rsidRDefault="00F128FF">
      <w:pPr>
        <w:pStyle w:val="ListParagraph"/>
        <w:numPr>
          <w:ilvl w:val="0"/>
          <w:numId w:val="34"/>
        </w:numPr>
        <w:spacing w:line="312" w:lineRule="auto"/>
        <w:rPr>
          <w:noProof/>
        </w:rPr>
      </w:pPr>
      <w:r>
        <w:rPr>
          <w:noProof/>
        </w:rPr>
        <w:t>технически предизвикателства — например чрез създаване на</w:t>
      </w:r>
      <w:r>
        <w:rPr>
          <w:noProof/>
        </w:rPr>
        <w:t xml:space="preserve"> необходимата среда от информационни системи, която позволява непрекъснат поток от битове и байтове.</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color w:val="000000"/>
          <w:sz w:val="24"/>
        </w:rPr>
        <w:t>Комисията установи необходимостта от оперативна съвместимост между публичните администрации още през 1999 г.</w:t>
      </w:r>
      <w:r>
        <w:rPr>
          <w:rStyle w:val="FootnoteReference"/>
          <w:rFonts w:ascii="Times New Roman" w:hAnsi="Times New Roman"/>
          <w:noProof/>
          <w:color w:val="000000"/>
          <w:sz w:val="24"/>
        </w:rPr>
        <w:footnoteReference w:id="4"/>
      </w:r>
      <w:r>
        <w:rPr>
          <w:rFonts w:ascii="Times New Roman" w:hAnsi="Times New Roman"/>
          <w:noProof/>
          <w:color w:val="000000"/>
          <w:sz w:val="24"/>
        </w:rPr>
        <w:t xml:space="preserve"> и оттогава подкрепя програми за разработване,</w:t>
      </w:r>
      <w:r>
        <w:rPr>
          <w:rFonts w:ascii="Times New Roman" w:hAnsi="Times New Roman"/>
          <w:noProof/>
          <w:color w:val="000000"/>
          <w:sz w:val="24"/>
        </w:rPr>
        <w:t xml:space="preserve"> </w:t>
      </w:r>
      <w:r>
        <w:rPr>
          <w:rFonts w:ascii="Times New Roman" w:hAnsi="Times New Roman"/>
          <w:noProof/>
          <w:sz w:val="24"/>
        </w:rPr>
        <w:t>популяризиране и използване на решения за оперативна съвместимост в ЕС. През 2010 г. тя прие съобщение,</w:t>
      </w:r>
      <w:r>
        <w:rPr>
          <w:rStyle w:val="FootnoteReference"/>
          <w:rFonts w:ascii="Times New Roman" w:hAnsi="Times New Roman"/>
          <w:noProof/>
          <w:sz w:val="24"/>
        </w:rPr>
        <w:footnoteReference w:id="5"/>
      </w:r>
      <w:r>
        <w:rPr>
          <w:rFonts w:ascii="Times New Roman" w:hAnsi="Times New Roman"/>
          <w:noProof/>
          <w:sz w:val="24"/>
        </w:rPr>
        <w:t xml:space="preserve"> озаглавено „За оперативна съвместимост на европейските обществени услуги“, което съдържа като приложение Европейската стратегия за оперативна съвместимост</w:t>
      </w:r>
      <w:r>
        <w:rPr>
          <w:rStyle w:val="FootnoteReference"/>
          <w:rFonts w:ascii="Times New Roman" w:hAnsi="Times New Roman"/>
          <w:noProof/>
          <w:sz w:val="24"/>
        </w:rPr>
        <w:footnoteReference w:id="6"/>
      </w:r>
      <w:r>
        <w:rPr>
          <w:rFonts w:ascii="Times New Roman" w:hAnsi="Times New Roman"/>
          <w:noProof/>
          <w:sz w:val="24"/>
        </w:rPr>
        <w:t xml:space="preserve"> (ЕСОС) и Европейската рамка за оперативна съвместимост</w:t>
      </w:r>
      <w:r>
        <w:rPr>
          <w:rStyle w:val="FootnoteReference"/>
          <w:rFonts w:ascii="Times New Roman" w:hAnsi="Times New Roman"/>
          <w:noProof/>
          <w:sz w:val="24"/>
        </w:rPr>
        <w:footnoteReference w:id="7"/>
      </w:r>
      <w:r>
        <w:rPr>
          <w:rFonts w:ascii="Times New Roman" w:hAnsi="Times New Roman"/>
          <w:noProof/>
          <w:sz w:val="24"/>
        </w:rPr>
        <w:t xml:space="preserve"> (ЕРОС). Оттогава насам Европейската рамка з</w:t>
      </w:r>
      <w:r>
        <w:rPr>
          <w:rFonts w:ascii="Times New Roman" w:hAnsi="Times New Roman"/>
          <w:noProof/>
          <w:sz w:val="24"/>
        </w:rPr>
        <w:t>а оперативна съвместимост служи като еталон в целия Европейски съюз и извън него и е в основата на повечето национални рамки за оперативна съвместимост (НРОС) и съответни стратегии. Въз основа на този успех е време да се актуализира и разшири обхватът на с</w:t>
      </w:r>
      <w:r>
        <w:rPr>
          <w:rFonts w:ascii="Times New Roman" w:hAnsi="Times New Roman"/>
          <w:noProof/>
          <w:sz w:val="24"/>
        </w:rPr>
        <w:t>егашната Европейска рамка за оперативна съвместимост, за да се въведат новите или прера</w:t>
      </w:r>
      <w:r>
        <w:rPr>
          <w:rFonts w:ascii="Times New Roman" w:hAnsi="Times New Roman"/>
          <w:noProof/>
          <w:color w:val="000000"/>
          <w:sz w:val="24"/>
        </w:rPr>
        <w:t>ботените изисквания за оперативна съвместимост, произтичащи от политиките и програмите на Съюза, както и от публичните администрации, като същевремен</w:t>
      </w:r>
      <w:r>
        <w:rPr>
          <w:rFonts w:ascii="Times New Roman" w:hAnsi="Times New Roman"/>
          <w:noProof/>
          <w:sz w:val="24"/>
        </w:rPr>
        <w:t>но се вземат предвид</w:t>
      </w:r>
      <w:r>
        <w:rPr>
          <w:rFonts w:ascii="Times New Roman" w:hAnsi="Times New Roman"/>
          <w:noProof/>
          <w:sz w:val="24"/>
        </w:rPr>
        <w:t xml:space="preserve"> технологичното развитие и тенденциите.</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В тази връзка следва да се припомни, че в съобщението относно стратегията за цифров единен пазар за Европа</w:t>
      </w:r>
      <w:r>
        <w:rPr>
          <w:rStyle w:val="FootnoteReference"/>
          <w:rFonts w:ascii="Times New Roman" w:hAnsi="Times New Roman"/>
          <w:noProof/>
          <w:sz w:val="24"/>
        </w:rPr>
        <w:footnoteReference w:id="8"/>
      </w:r>
      <w:r>
        <w:rPr>
          <w:rFonts w:ascii="Times New Roman" w:hAnsi="Times New Roman"/>
          <w:noProof/>
          <w:sz w:val="24"/>
        </w:rPr>
        <w:t xml:space="preserve"> от 6 май 2015 г. оперативната съвместимост се отчита като </w:t>
      </w:r>
      <w:r>
        <w:rPr>
          <w:rFonts w:ascii="Times New Roman" w:hAnsi="Times New Roman"/>
          <w:noProof/>
          <w:sz w:val="24"/>
        </w:rPr>
        <w:lastRenderedPageBreak/>
        <w:t>предпоставка за „</w:t>
      </w:r>
      <w:r>
        <w:rPr>
          <w:rFonts w:ascii="Times New Roman" w:hAnsi="Times New Roman"/>
          <w:i/>
          <w:noProof/>
          <w:sz w:val="24"/>
        </w:rPr>
        <w:t>по-ефективни трансгранични връзки</w:t>
      </w:r>
      <w:r>
        <w:rPr>
          <w:rFonts w:ascii="Times New Roman" w:hAnsi="Times New Roman"/>
          <w:i/>
          <w:noProof/>
          <w:sz w:val="24"/>
        </w:rPr>
        <w:t xml:space="preserve"> и по-ефективни връзки между общностите и между публичните услуги и органите</w:t>
      </w:r>
      <w:r>
        <w:rPr>
          <w:rFonts w:ascii="Times New Roman" w:hAnsi="Times New Roman"/>
          <w:noProof/>
          <w:sz w:val="24"/>
        </w:rPr>
        <w:t>” и се призовава за преразглеждане и разширяване на съществуващата Европейска рамка за оперативна съвместимост.</w:t>
      </w:r>
    </w:p>
    <w:p w:rsidR="00B1716D" w:rsidRDefault="00F128FF">
      <w:pPr>
        <w:pStyle w:val="ManualHeading1"/>
        <w:rPr>
          <w:noProof/>
        </w:rPr>
      </w:pPr>
      <w:bookmarkStart w:id="37" w:name="_Toc465179614"/>
      <w:bookmarkStart w:id="38" w:name="_Toc465179954"/>
      <w:bookmarkStart w:id="39" w:name="_Toc465180119"/>
      <w:bookmarkStart w:id="40" w:name="_Ref435046446"/>
      <w:bookmarkStart w:id="41" w:name="_Toc452538133"/>
      <w:bookmarkStart w:id="42" w:name="_Toc465177306"/>
      <w:bookmarkStart w:id="43" w:name="_Toc465177645"/>
      <w:bookmarkStart w:id="44" w:name="_Toc46542123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2</w:t>
      </w:r>
      <w:r>
        <w:tab/>
      </w:r>
      <w:r>
        <w:rPr>
          <w:noProof/>
        </w:rPr>
        <w:t>Актуално състояние</w:t>
      </w:r>
      <w:bookmarkEnd w:id="40"/>
      <w:bookmarkEnd w:id="41"/>
      <w:bookmarkEnd w:id="42"/>
      <w:bookmarkEnd w:id="43"/>
      <w:r>
        <w:rPr>
          <w:noProof/>
        </w:rPr>
        <w:t xml:space="preserve"> по отношение на оперативната съвместимост и бъд</w:t>
      </w:r>
      <w:r>
        <w:rPr>
          <w:noProof/>
        </w:rPr>
        <w:t>ещи действия</w:t>
      </w:r>
      <w:bookmarkEnd w:id="44"/>
    </w:p>
    <w:p w:rsidR="00B1716D" w:rsidRDefault="00F128FF">
      <w:pPr>
        <w:spacing w:line="312" w:lineRule="auto"/>
        <w:jc w:val="both"/>
        <w:rPr>
          <w:rFonts w:ascii="Times New Roman" w:hAnsi="Times New Roman" w:cs="Times New Roman"/>
          <w:noProof/>
          <w:sz w:val="24"/>
          <w:szCs w:val="24"/>
        </w:rPr>
      </w:pPr>
      <w:bookmarkStart w:id="45" w:name="_Ref417849887"/>
      <w:bookmarkStart w:id="46" w:name="_Toc417850654"/>
      <w:bookmarkStart w:id="47" w:name="_Toc427618574"/>
      <w:r>
        <w:rPr>
          <w:rFonts w:ascii="Times New Roman" w:hAnsi="Times New Roman"/>
          <w:noProof/>
          <w:sz w:val="24"/>
        </w:rPr>
        <w:t>Програмата за решения за оперативна съвместимост за европейските публични администрации (ISA) (2010—2015 г.),</w:t>
      </w:r>
      <w:r>
        <w:rPr>
          <w:rStyle w:val="FootnoteReference"/>
          <w:rFonts w:ascii="Times New Roman" w:hAnsi="Times New Roman"/>
          <w:noProof/>
          <w:sz w:val="24"/>
        </w:rPr>
        <w:footnoteReference w:id="9"/>
      </w:r>
      <w:r>
        <w:rPr>
          <w:rFonts w:ascii="Times New Roman" w:hAnsi="Times New Roman"/>
          <w:noProof/>
          <w:sz w:val="24"/>
        </w:rPr>
        <w:t xml:space="preserve"> заменена с програмата ISA² (2016—2020 г.),</w:t>
      </w:r>
      <w:r>
        <w:rPr>
          <w:rStyle w:val="FootnoteReference"/>
          <w:rFonts w:ascii="Times New Roman" w:hAnsi="Times New Roman"/>
          <w:noProof/>
          <w:sz w:val="24"/>
        </w:rPr>
        <w:footnoteReference w:id="10"/>
      </w:r>
      <w:r>
        <w:rPr>
          <w:rFonts w:ascii="Times New Roman" w:hAnsi="Times New Roman"/>
          <w:noProof/>
          <w:sz w:val="24"/>
        </w:rPr>
        <w:t xml:space="preserve"> са основните инструменти, чрез които се прилагат </w:t>
      </w:r>
      <w:r>
        <w:rPr>
          <w:noProof/>
        </w:rPr>
        <w:t xml:space="preserve">сегашната </w:t>
      </w:r>
      <w:r>
        <w:rPr>
          <w:rFonts w:ascii="Times New Roman" w:hAnsi="Times New Roman"/>
          <w:noProof/>
          <w:color w:val="000000"/>
          <w:sz w:val="24"/>
        </w:rPr>
        <w:t>Европейска стратегия за опера</w:t>
      </w:r>
      <w:r>
        <w:rPr>
          <w:rFonts w:ascii="Times New Roman" w:hAnsi="Times New Roman"/>
          <w:noProof/>
          <w:color w:val="000000"/>
          <w:sz w:val="24"/>
        </w:rPr>
        <w:t xml:space="preserve">тивна съвместимост </w:t>
      </w:r>
      <w:r>
        <w:rPr>
          <w:rFonts w:ascii="Times New Roman" w:hAnsi="Times New Roman"/>
          <w:noProof/>
          <w:sz w:val="24"/>
        </w:rPr>
        <w:t>и Европейска рамка за оперативна съвместимост. Това включва набор от действия, чиято цел е да подобрят цифровото сътрудничество между публичните администрации в Европа.</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Обсерваторията за национални рамки за оперативна съвместимост (NIFO)</w:t>
      </w:r>
      <w:r>
        <w:rPr>
          <w:rFonts w:ascii="Times New Roman" w:hAnsi="Times New Roman"/>
          <w:noProof/>
          <w:sz w:val="24"/>
        </w:rPr>
        <w:t>, създадена от Комисията в рамките на изпълнението на програмата ISA с цел измерване на напредъка и наблюдение на актуалното състояние на оперативната съвместимост в Съюза, показва, че през 2014 г. степента на привеждане на националните рамки за оперативна</w:t>
      </w:r>
      <w:r>
        <w:rPr>
          <w:rFonts w:ascii="Times New Roman" w:hAnsi="Times New Roman"/>
          <w:noProof/>
          <w:sz w:val="24"/>
        </w:rPr>
        <w:t xml:space="preserve"> съвместимост в съответствие</w:t>
      </w:r>
      <w:r>
        <w:rPr>
          <w:rFonts w:ascii="Times New Roman" w:hAnsi="Times New Roman"/>
          <w:noProof/>
          <w:color w:val="000000"/>
          <w:sz w:val="24"/>
        </w:rPr>
        <w:t xml:space="preserve"> </w:t>
      </w:r>
      <w:r>
        <w:rPr>
          <w:noProof/>
        </w:rPr>
        <w:t xml:space="preserve">с </w:t>
      </w:r>
      <w:r>
        <w:rPr>
          <w:rFonts w:ascii="Times New Roman" w:hAnsi="Times New Roman"/>
          <w:noProof/>
          <w:color w:val="000000"/>
          <w:sz w:val="24"/>
        </w:rPr>
        <w:t xml:space="preserve">Европейската рамка за оперативна съвместимост </w:t>
      </w:r>
      <w:r>
        <w:rPr>
          <w:rFonts w:ascii="Times New Roman" w:hAnsi="Times New Roman"/>
          <w:noProof/>
          <w:sz w:val="24"/>
        </w:rPr>
        <w:t>е достигнала средно 72 %</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Въпреки това през 2015 г. степента на прилагане на националните рамки за оперативна съвместимост в конкретни национални проекти е 45 %, което показва, ч</w:t>
      </w:r>
      <w:r>
        <w:rPr>
          <w:rFonts w:ascii="Times New Roman" w:hAnsi="Times New Roman"/>
          <w:noProof/>
          <w:sz w:val="24"/>
        </w:rPr>
        <w:t xml:space="preserve">е все още има затруднения при практическото прилагане на сегашните препоръки. </w:t>
      </w:r>
    </w:p>
    <w:p w:rsidR="00B1716D" w:rsidRDefault="00F128FF">
      <w:pPr>
        <w:spacing w:before="240" w:after="240" w:line="336" w:lineRule="auto"/>
        <w:jc w:val="both"/>
        <w:rPr>
          <w:rFonts w:ascii="Times New Roman" w:hAnsi="Times New Roman" w:cs="Times New Roman"/>
          <w:noProof/>
          <w:sz w:val="24"/>
          <w:szCs w:val="24"/>
        </w:rPr>
      </w:pPr>
      <w:r>
        <w:rPr>
          <w:rFonts w:ascii="Times New Roman" w:hAnsi="Times New Roman"/>
          <w:noProof/>
          <w:sz w:val="24"/>
        </w:rPr>
        <w:t>Публичните администрации се нуждаят от по-конкретни насоки относно начините, по които могат да подобрят управлението на своите дейности за оперативна съвместимост, да изградят в</w:t>
      </w:r>
      <w:r>
        <w:rPr>
          <w:rFonts w:ascii="Times New Roman" w:hAnsi="Times New Roman"/>
          <w:noProof/>
          <w:sz w:val="24"/>
        </w:rPr>
        <w:t>заимоотношения между отделните организации, да рационализират процесите, осигуряващи цялостни цифрови услуги, и да гарантират, че съществуващото и новото законодателство не застрашават усилията за постигане на оперативна съвместимост. Тези насоки се предст</w:t>
      </w:r>
      <w:r>
        <w:rPr>
          <w:rFonts w:ascii="Times New Roman" w:hAnsi="Times New Roman"/>
          <w:noProof/>
          <w:sz w:val="24"/>
        </w:rPr>
        <w:t xml:space="preserve">авят в актуализиран пакет от препоръки за оперативна съвместимост, включени в </w:t>
      </w:r>
      <w:r>
        <w:rPr>
          <w:rFonts w:ascii="Times New Roman" w:hAnsi="Times New Roman"/>
          <w:noProof/>
          <w:color w:val="000000"/>
          <w:sz w:val="24"/>
        </w:rPr>
        <w:t>Европейската рамка за оперативна съвместимост, както е посочено в приложение 2 към настоящото съобщение</w:t>
      </w:r>
      <w:r>
        <w:rPr>
          <w:noProof/>
        </w:rPr>
        <w:t>.</w:t>
      </w:r>
    </w:p>
    <w:p w:rsidR="00A87D9D" w:rsidRDefault="00A87D9D">
      <w:pPr>
        <w:rPr>
          <w:rFonts w:ascii="Times New Roman" w:hAnsi="Times New Roman"/>
          <w:noProof/>
          <w:sz w:val="24"/>
        </w:rPr>
      </w:pPr>
      <w:r>
        <w:rPr>
          <w:rFonts w:ascii="Times New Roman" w:hAnsi="Times New Roman"/>
          <w:noProof/>
          <w:sz w:val="24"/>
        </w:rPr>
        <w:br w:type="page"/>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lastRenderedPageBreak/>
        <w:t xml:space="preserve">Тези препоръки следва да помагат на публичните администрации: </w:t>
      </w:r>
    </w:p>
    <w:p w:rsidR="00B1716D" w:rsidRDefault="00F128FF">
      <w:pPr>
        <w:pStyle w:val="ListParagraph"/>
        <w:numPr>
          <w:ilvl w:val="0"/>
          <w:numId w:val="35"/>
        </w:numPr>
        <w:spacing w:line="312" w:lineRule="auto"/>
        <w:rPr>
          <w:noProof/>
        </w:rPr>
      </w:pPr>
      <w:r>
        <w:rPr>
          <w:noProof/>
        </w:rPr>
        <w:t>да подобря</w:t>
      </w:r>
      <w:r>
        <w:rPr>
          <w:noProof/>
        </w:rPr>
        <w:t xml:space="preserve">ват управлението на своите дейности за оперативна съвместимост на национално равнище; </w:t>
      </w:r>
    </w:p>
    <w:p w:rsidR="00B1716D" w:rsidRDefault="00F128FF">
      <w:pPr>
        <w:pStyle w:val="ListParagraph"/>
        <w:numPr>
          <w:ilvl w:val="0"/>
          <w:numId w:val="35"/>
        </w:numPr>
        <w:spacing w:line="312" w:lineRule="auto"/>
        <w:rPr>
          <w:noProof/>
        </w:rPr>
      </w:pPr>
      <w:r>
        <w:rPr>
          <w:noProof/>
        </w:rPr>
        <w:t xml:space="preserve">да използват общи оперативни модели за разработване на по-добри цифрови обществени услуги и за включване на потребностите на гражданите и предприятията от други държави </w:t>
      </w:r>
      <w:r>
        <w:rPr>
          <w:noProof/>
        </w:rPr>
        <w:t>— членки на ЕС;</w:t>
      </w:r>
    </w:p>
    <w:p w:rsidR="00B1716D" w:rsidRDefault="00F128FF">
      <w:pPr>
        <w:pStyle w:val="ListParagraph"/>
        <w:numPr>
          <w:ilvl w:val="0"/>
          <w:numId w:val="35"/>
        </w:numPr>
        <w:spacing w:line="312" w:lineRule="auto"/>
        <w:rPr>
          <w:noProof/>
        </w:rPr>
      </w:pPr>
      <w:r>
        <w:rPr>
          <w:noProof/>
        </w:rPr>
        <w:t>да управляват притежаваните от тях данни в общи семантични и синтактични формати с цел по-лесно публикуване в портали, обединяване, споделяне и повторно използване на тези данни.</w:t>
      </w:r>
    </w:p>
    <w:p w:rsidR="00B1716D" w:rsidRDefault="00F128FF">
      <w:pPr>
        <w:spacing w:before="240" w:after="240" w:line="336" w:lineRule="auto"/>
        <w:jc w:val="both"/>
        <w:rPr>
          <w:rFonts w:ascii="Times New Roman" w:hAnsi="Times New Roman" w:cs="Times New Roman"/>
          <w:noProof/>
          <w:sz w:val="24"/>
          <w:szCs w:val="24"/>
        </w:rPr>
      </w:pPr>
      <w:r>
        <w:rPr>
          <w:rFonts w:ascii="Times New Roman" w:hAnsi="Times New Roman"/>
          <w:noProof/>
          <w:sz w:val="24"/>
        </w:rPr>
        <w:t>Актуализираните препоръки за оперативна съвместимост се разви</w:t>
      </w:r>
      <w:r>
        <w:rPr>
          <w:rFonts w:ascii="Times New Roman" w:hAnsi="Times New Roman"/>
          <w:noProof/>
          <w:sz w:val="24"/>
        </w:rPr>
        <w:t>ват съобразно политиките на ЕС — например съгласно изменената директива относно повторната употреба на информацията в обществения сектор</w:t>
      </w:r>
      <w:r>
        <w:rPr>
          <w:rStyle w:val="FootnoteReference"/>
          <w:rFonts w:ascii="Times New Roman" w:hAnsi="Times New Roman"/>
          <w:noProof/>
          <w:sz w:val="24"/>
        </w:rPr>
        <w:footnoteReference w:id="12"/>
      </w:r>
      <w:r>
        <w:rPr>
          <w:rFonts w:ascii="Times New Roman" w:hAnsi="Times New Roman"/>
          <w:noProof/>
          <w:sz w:val="24"/>
        </w:rPr>
        <w:t>,</w:t>
      </w:r>
      <w:r>
        <w:rPr>
          <w:noProof/>
        </w:rPr>
        <w:t xml:space="preserve"> </w:t>
      </w:r>
      <w:r>
        <w:rPr>
          <w:rFonts w:ascii="Times New Roman" w:hAnsi="Times New Roman"/>
          <w:noProof/>
          <w:sz w:val="24"/>
        </w:rPr>
        <w:t>директивата INSPIRE</w:t>
      </w:r>
      <w:r>
        <w:rPr>
          <w:rStyle w:val="FootnoteReference"/>
          <w:rFonts w:ascii="Times New Roman" w:hAnsi="Times New Roman"/>
          <w:noProof/>
          <w:sz w:val="24"/>
        </w:rPr>
        <w:footnoteReference w:id="13"/>
      </w:r>
      <w:r>
        <w:rPr>
          <w:rFonts w:ascii="Times New Roman" w:hAnsi="Times New Roman"/>
          <w:noProof/>
          <w:sz w:val="24"/>
        </w:rPr>
        <w:t xml:space="preserve"> и регламента за електронната идентификация и удостоверителните услуги (eIDAS)</w:t>
      </w:r>
      <w:r>
        <w:rPr>
          <w:rStyle w:val="FootnoteReference"/>
          <w:rFonts w:ascii="Times New Roman" w:hAnsi="Times New Roman"/>
          <w:noProof/>
          <w:sz w:val="24"/>
        </w:rPr>
        <w:footnoteReference w:id="14"/>
      </w:r>
      <w:r>
        <w:rPr>
          <w:noProof/>
        </w:rPr>
        <w:t>.</w:t>
      </w:r>
    </w:p>
    <w:p w:rsidR="00B1716D" w:rsidRDefault="00F128FF">
      <w:pPr>
        <w:spacing w:before="240" w:after="240" w:line="336" w:lineRule="auto"/>
        <w:jc w:val="both"/>
        <w:rPr>
          <w:rFonts w:ascii="Times New Roman" w:hAnsi="Times New Roman" w:cs="Times New Roman"/>
          <w:noProof/>
          <w:sz w:val="24"/>
          <w:szCs w:val="24"/>
        </w:rPr>
      </w:pPr>
      <w:r>
        <w:rPr>
          <w:rFonts w:ascii="Times New Roman" w:hAnsi="Times New Roman"/>
          <w:noProof/>
          <w:sz w:val="24"/>
        </w:rPr>
        <w:t>Взети са предвид</w:t>
      </w:r>
      <w:r>
        <w:rPr>
          <w:rFonts w:ascii="Times New Roman" w:hAnsi="Times New Roman"/>
          <w:noProof/>
          <w:sz w:val="24"/>
        </w:rPr>
        <w:t xml:space="preserve"> също и нови европейски инициативи, като например Европейската инициатива за компютърни услуги в облак</w:t>
      </w:r>
      <w:r>
        <w:rPr>
          <w:rStyle w:val="FootnoteReference"/>
          <w:rFonts w:ascii="Times New Roman" w:hAnsi="Times New Roman"/>
          <w:noProof/>
          <w:sz w:val="24"/>
        </w:rPr>
        <w:footnoteReference w:id="15"/>
      </w:r>
      <w:r>
        <w:rPr>
          <w:rFonts w:ascii="Times New Roman" w:hAnsi="Times New Roman"/>
          <w:noProof/>
          <w:sz w:val="24"/>
        </w:rPr>
        <w:t>, Планът за действие на ЕС за електронно управление през периода 2016—2020 г.</w:t>
      </w:r>
      <w:r>
        <w:rPr>
          <w:rStyle w:val="FootnoteReference"/>
          <w:rFonts w:ascii="Times New Roman" w:hAnsi="Times New Roman"/>
          <w:noProof/>
          <w:sz w:val="24"/>
        </w:rPr>
        <w:footnoteReference w:id="16"/>
      </w:r>
      <w:r>
        <w:rPr>
          <w:rFonts w:ascii="Times New Roman" w:hAnsi="Times New Roman"/>
          <w:noProof/>
          <w:sz w:val="24"/>
        </w:rPr>
        <w:t xml:space="preserve"> и предвидената инициатива за единен цифров портал</w:t>
      </w:r>
      <w:r>
        <w:rPr>
          <w:rStyle w:val="FootnoteReference"/>
          <w:rFonts w:ascii="Times New Roman" w:hAnsi="Times New Roman"/>
          <w:noProof/>
          <w:sz w:val="24"/>
        </w:rPr>
        <w:footnoteReference w:id="17"/>
      </w:r>
      <w:r>
        <w:rPr>
          <w:rFonts w:ascii="Times New Roman" w:hAnsi="Times New Roman"/>
          <w:noProof/>
          <w:sz w:val="24"/>
        </w:rPr>
        <w:t>, така че актуализиранит</w:t>
      </w:r>
      <w:r>
        <w:rPr>
          <w:rFonts w:ascii="Times New Roman" w:hAnsi="Times New Roman"/>
          <w:noProof/>
          <w:sz w:val="24"/>
        </w:rPr>
        <w:t xml:space="preserve">е препоръки за оперативна съвместимост да допринесат за тяхното осъществяване. </w:t>
      </w:r>
    </w:p>
    <w:p w:rsidR="00B1716D" w:rsidRDefault="00F128FF">
      <w:pPr>
        <w:spacing w:before="240" w:after="240" w:line="336" w:lineRule="auto"/>
        <w:jc w:val="both"/>
        <w:rPr>
          <w:rFonts w:ascii="Times New Roman" w:hAnsi="Times New Roman" w:cs="Times New Roman"/>
          <w:noProof/>
          <w:sz w:val="24"/>
          <w:szCs w:val="24"/>
        </w:rPr>
      </w:pPr>
      <w:r>
        <w:rPr>
          <w:rFonts w:ascii="Times New Roman" w:hAnsi="Times New Roman"/>
          <w:noProof/>
          <w:sz w:val="24"/>
        </w:rPr>
        <w:t xml:space="preserve">Нуждата от преразглеждане на </w:t>
      </w:r>
      <w:r>
        <w:rPr>
          <w:rFonts w:ascii="Times New Roman" w:hAnsi="Times New Roman"/>
          <w:noProof/>
          <w:color w:val="000000"/>
          <w:sz w:val="24"/>
        </w:rPr>
        <w:t xml:space="preserve">Европейската рамка за оперативна съвместимост </w:t>
      </w:r>
      <w:r>
        <w:rPr>
          <w:rFonts w:ascii="Times New Roman" w:hAnsi="Times New Roman"/>
          <w:noProof/>
          <w:sz w:val="24"/>
        </w:rPr>
        <w:t>бе потвърдена по време на консултациите</w:t>
      </w:r>
      <w:r>
        <w:rPr>
          <w:rStyle w:val="FootnoteReference"/>
          <w:rFonts w:ascii="Times New Roman" w:hAnsi="Times New Roman"/>
          <w:noProof/>
          <w:sz w:val="24"/>
        </w:rPr>
        <w:footnoteReference w:id="18"/>
      </w:r>
      <w:r>
        <w:rPr>
          <w:rFonts w:ascii="Times New Roman" w:hAnsi="Times New Roman"/>
          <w:noProof/>
          <w:sz w:val="24"/>
        </w:rPr>
        <w:t xml:space="preserve"> с всички заинтересовани страни, а именно публичните админист</w:t>
      </w:r>
      <w:r>
        <w:rPr>
          <w:rFonts w:ascii="Times New Roman" w:hAnsi="Times New Roman"/>
          <w:noProof/>
          <w:sz w:val="24"/>
        </w:rPr>
        <w:t>рации, гражданите и предприятията на държавите членки, както и други заинтересовани страни, като например институциите и органите на Съюза.</w:t>
      </w:r>
    </w:p>
    <w:p w:rsidR="00B1716D" w:rsidRDefault="00F128FF">
      <w:pPr>
        <w:pStyle w:val="ManualHeading1"/>
        <w:rPr>
          <w:noProof/>
        </w:rPr>
      </w:pPr>
      <w:bookmarkStart w:id="48" w:name="_Toc465176482"/>
      <w:bookmarkStart w:id="49" w:name="_Toc465176651"/>
      <w:bookmarkStart w:id="50" w:name="_Toc465176979"/>
      <w:bookmarkStart w:id="51" w:name="_Toc465177143"/>
      <w:bookmarkStart w:id="52" w:name="_Toc465177307"/>
      <w:bookmarkStart w:id="53" w:name="_Toc465177646"/>
      <w:bookmarkStart w:id="54" w:name="_Toc465177974"/>
      <w:bookmarkStart w:id="55" w:name="_Toc465178143"/>
      <w:bookmarkStart w:id="56" w:name="_Toc465178307"/>
      <w:bookmarkStart w:id="57" w:name="_Toc465179616"/>
      <w:bookmarkStart w:id="58" w:name="_Toc465179956"/>
      <w:bookmarkStart w:id="59" w:name="_Toc465180121"/>
      <w:bookmarkStart w:id="60" w:name="_Toc465421231"/>
      <w:bookmarkEnd w:id="48"/>
      <w:bookmarkEnd w:id="49"/>
      <w:bookmarkEnd w:id="50"/>
      <w:bookmarkEnd w:id="51"/>
      <w:bookmarkEnd w:id="52"/>
      <w:bookmarkEnd w:id="53"/>
      <w:bookmarkEnd w:id="54"/>
      <w:bookmarkEnd w:id="55"/>
      <w:bookmarkEnd w:id="56"/>
      <w:bookmarkEnd w:id="57"/>
      <w:bookmarkEnd w:id="58"/>
      <w:bookmarkEnd w:id="59"/>
      <w:r>
        <w:lastRenderedPageBreak/>
        <w:t>3</w:t>
      </w:r>
      <w:r>
        <w:tab/>
      </w:r>
      <w:r>
        <w:rPr>
          <w:noProof/>
        </w:rPr>
        <w:t xml:space="preserve">Необходимостта от нова европейска рамка за оперативна съвместимост </w:t>
      </w:r>
      <w:bookmarkEnd w:id="60"/>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 xml:space="preserve">За да се справи с установените предизвикателства за оперативна съвместимост, в настоящото съобщение Комисията представя новата европейска рамка за оперативна съвместимост, както и стратегията за нейното прилагане. </w:t>
      </w:r>
    </w:p>
    <w:p w:rsidR="00B1716D" w:rsidRDefault="00F128FF">
      <w:pPr>
        <w:spacing w:line="312" w:lineRule="auto"/>
        <w:jc w:val="both"/>
        <w:rPr>
          <w:rFonts w:ascii="Times New Roman" w:hAnsi="Times New Roman"/>
          <w:noProof/>
          <w:color w:val="00B050"/>
          <w:sz w:val="24"/>
          <w:szCs w:val="24"/>
        </w:rPr>
      </w:pPr>
      <w:r>
        <w:rPr>
          <w:rFonts w:ascii="Times New Roman" w:hAnsi="Times New Roman"/>
          <w:noProof/>
          <w:sz w:val="24"/>
        </w:rPr>
        <w:t>В новата европейска рамка за оперативна с</w:t>
      </w:r>
      <w:r>
        <w:rPr>
          <w:rFonts w:ascii="Times New Roman" w:hAnsi="Times New Roman"/>
          <w:noProof/>
          <w:sz w:val="24"/>
        </w:rPr>
        <w:t>ъвместимост се обръща по-голямо внимание на начините за практическо прилагане на принципите и моделите за оперативна съвместимост и се отчитат възникващите потребности, свързани с политиката и технологиите. Броят на препоръките е увеличен от 25 на 47. Те с</w:t>
      </w:r>
      <w:r>
        <w:rPr>
          <w:rFonts w:ascii="Times New Roman" w:hAnsi="Times New Roman"/>
          <w:noProof/>
          <w:sz w:val="24"/>
        </w:rPr>
        <w:t>а конкретизирани с цел по-лесно прилагане. Поставен е по-силен акцент върху отвореността и управлението на информацията, преносимостта на данните, управлението на оперативната съвместимост и предоставянето на интегрирани услуги</w:t>
      </w:r>
      <w:r>
        <w:rPr>
          <w:rStyle w:val="FootnoteReference"/>
          <w:rFonts w:ascii="Times New Roman" w:hAnsi="Times New Roman"/>
          <w:noProof/>
          <w:sz w:val="24"/>
        </w:rPr>
        <w:footnoteReference w:id="19"/>
      </w:r>
      <w:r>
        <w:rPr>
          <w:noProof/>
        </w:rPr>
        <w:t>.</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За прилагането на Европейс</w:t>
      </w:r>
      <w:r>
        <w:rPr>
          <w:rFonts w:ascii="Times New Roman" w:hAnsi="Times New Roman"/>
          <w:noProof/>
          <w:sz w:val="24"/>
        </w:rPr>
        <w:t>ката рамка за оперативна съвместимост е ръководно следното виждане: „Публичните администрации следва да предоставят основни оперативно съвместими насочени към отделния ползвател цифрови обществени услуги на предприятията и гражданите на национално и европе</w:t>
      </w:r>
      <w:r>
        <w:rPr>
          <w:rFonts w:ascii="Times New Roman" w:hAnsi="Times New Roman"/>
          <w:noProof/>
          <w:sz w:val="24"/>
        </w:rPr>
        <w:t>йско равнище в подкрепа на свободното движение на стоки, хора, услуги и данни в целия Европейски съюз“.</w:t>
      </w:r>
      <w:r>
        <w:rPr>
          <w:rFonts w:ascii="Times New Roman" w:hAnsi="Times New Roman"/>
          <w:b/>
          <w:noProof/>
          <w:sz w:val="24"/>
        </w:rPr>
        <w:t xml:space="preserve"> </w:t>
      </w:r>
      <w:r>
        <w:rPr>
          <w:rFonts w:ascii="Times New Roman" w:hAnsi="Times New Roman"/>
          <w:noProof/>
          <w:sz w:val="24"/>
        </w:rPr>
        <w:t>Това виждане е широко подкрепено</w:t>
      </w:r>
      <w:r>
        <w:rPr>
          <w:rStyle w:val="FootnoteReference"/>
          <w:rFonts w:ascii="Times New Roman" w:hAnsi="Times New Roman"/>
          <w:noProof/>
          <w:sz w:val="24"/>
        </w:rPr>
        <w:footnoteReference w:id="20"/>
      </w:r>
      <w:r>
        <w:rPr>
          <w:rFonts w:ascii="Times New Roman" w:hAnsi="Times New Roman"/>
          <w:noProof/>
          <w:sz w:val="24"/>
        </w:rPr>
        <w:t xml:space="preserve"> от консултираните представители на държавите членки в комитетите за ISA и ISA², от публичните администрации и от други</w:t>
      </w:r>
      <w:r>
        <w:rPr>
          <w:rFonts w:ascii="Times New Roman" w:hAnsi="Times New Roman"/>
          <w:noProof/>
          <w:sz w:val="24"/>
        </w:rPr>
        <w:t xml:space="preserve"> заинтересовани страни.</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 xml:space="preserve">Съобщението е придружено от план за действие за оперативна съвместимост (изложен в приложение 1), който е разделен в пет стратегически приоритетни области. </w:t>
      </w:r>
      <w:bookmarkStart w:id="61" w:name="_Ref452475763"/>
      <w:bookmarkStart w:id="62" w:name="_Toc452538134"/>
      <w:r>
        <w:rPr>
          <w:rFonts w:ascii="Times New Roman" w:hAnsi="Times New Roman"/>
          <w:noProof/>
          <w:sz w:val="24"/>
        </w:rPr>
        <w:t>В основата му са приоритетите за оперативна съвместимост, които следва да сп</w:t>
      </w:r>
      <w:r>
        <w:rPr>
          <w:rFonts w:ascii="Times New Roman" w:hAnsi="Times New Roman"/>
          <w:noProof/>
          <w:sz w:val="24"/>
        </w:rPr>
        <w:t>омогнат за прилагането на Европейската рамка за оперативна съвместимост през периода 2016—2020 г.</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Планът за действие за оперативна съвместимост следва да направлява прилагането на Европейската рамка за оперативна съвместимост. Освен това от държавите членк</w:t>
      </w:r>
      <w:r>
        <w:rPr>
          <w:rFonts w:ascii="Times New Roman" w:hAnsi="Times New Roman"/>
          <w:noProof/>
          <w:sz w:val="24"/>
        </w:rPr>
        <w:t>и се очаква да допълват действията на равнището на ЕС (определени в плана за действие за оперативна съвместимост) с национални действия, като по този начин се гарантира съгласуваност, която е от съществено значение за успешното прилагане на оперативната съ</w:t>
      </w:r>
      <w:r>
        <w:rPr>
          <w:rFonts w:ascii="Times New Roman" w:hAnsi="Times New Roman"/>
          <w:noProof/>
          <w:sz w:val="24"/>
        </w:rPr>
        <w:t>вместимост в обществения сектор в Съюза. В плана за действие за оперативна съвместимост се разглеждат въпроси, свързани с определянето на надеждни механизми за управление на оперативната съвместимост на национално равнище и в трансграничен план, със сътруд</w:t>
      </w:r>
      <w:r>
        <w:rPr>
          <w:rFonts w:ascii="Times New Roman" w:hAnsi="Times New Roman"/>
          <w:noProof/>
          <w:sz w:val="24"/>
        </w:rPr>
        <w:t xml:space="preserve">ничеството между организациите, с ангажираността на </w:t>
      </w:r>
      <w:r>
        <w:rPr>
          <w:rFonts w:ascii="Times New Roman" w:hAnsi="Times New Roman"/>
          <w:noProof/>
          <w:sz w:val="24"/>
        </w:rPr>
        <w:lastRenderedPageBreak/>
        <w:t>заинтересованите страни, както и с повишаването на информираността относно ползите от оперативната съвместимост. Той включва също разработването, подобряването и популяризирането на основни фактори за опе</w:t>
      </w:r>
      <w:r>
        <w:rPr>
          <w:rFonts w:ascii="Times New Roman" w:hAnsi="Times New Roman"/>
          <w:noProof/>
          <w:sz w:val="24"/>
        </w:rPr>
        <w:t xml:space="preserve">ративна съвместимост и подкрепящите ги инструменти, като същевременно се вземат предвид нуждите и приоритетите на крайните ползватели. </w:t>
      </w:r>
    </w:p>
    <w:p w:rsidR="00B1716D" w:rsidRDefault="00F128FF">
      <w:pPr>
        <w:pStyle w:val="ManualHeading1"/>
        <w:rPr>
          <w:noProof/>
        </w:rPr>
      </w:pPr>
      <w:bookmarkStart w:id="63" w:name="_Toc463449735"/>
      <w:bookmarkStart w:id="64" w:name="_Toc463451485"/>
      <w:bookmarkStart w:id="65" w:name="_Toc463452139"/>
      <w:bookmarkStart w:id="66" w:name="_Toc463458177"/>
      <w:bookmarkStart w:id="67" w:name="_Toc463449736"/>
      <w:bookmarkStart w:id="68" w:name="_Toc463451486"/>
      <w:bookmarkStart w:id="69" w:name="_Toc463452140"/>
      <w:bookmarkStart w:id="70" w:name="_Toc463458178"/>
      <w:bookmarkStart w:id="71" w:name="_Toc463449737"/>
      <w:bookmarkStart w:id="72" w:name="_Toc463451487"/>
      <w:bookmarkStart w:id="73" w:name="_Toc463452141"/>
      <w:bookmarkStart w:id="74" w:name="_Toc463458179"/>
      <w:bookmarkStart w:id="75" w:name="_Toc463449738"/>
      <w:bookmarkStart w:id="76" w:name="_Toc463451488"/>
      <w:bookmarkStart w:id="77" w:name="_Toc463452142"/>
      <w:bookmarkStart w:id="78" w:name="_Toc463458180"/>
      <w:bookmarkStart w:id="79" w:name="_Toc463449739"/>
      <w:bookmarkStart w:id="80" w:name="_Toc463451489"/>
      <w:bookmarkStart w:id="81" w:name="_Toc463452143"/>
      <w:bookmarkStart w:id="82" w:name="_Toc463458181"/>
      <w:bookmarkStart w:id="83" w:name="_Toc465177309"/>
      <w:bookmarkStart w:id="84" w:name="_Toc465177648"/>
      <w:bookmarkStart w:id="85" w:name="_Toc46542123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4</w:t>
      </w:r>
      <w:r>
        <w:tab/>
      </w:r>
      <w:r>
        <w:rPr>
          <w:noProof/>
        </w:rPr>
        <w:t>Приоритетни области</w:t>
      </w:r>
      <w:bookmarkEnd w:id="83"/>
      <w:bookmarkEnd w:id="84"/>
      <w:bookmarkEnd w:id="85"/>
    </w:p>
    <w:p w:rsidR="00B1716D" w:rsidRDefault="00F128FF">
      <w:pPr>
        <w:pStyle w:val="ManualHeading2"/>
        <w:rPr>
          <w:noProof/>
        </w:rPr>
      </w:pPr>
      <w:r>
        <w:t>4.1</w:t>
      </w:r>
      <w:r>
        <w:tab/>
      </w:r>
      <w:r>
        <w:rPr>
          <w:noProof/>
        </w:rPr>
        <w:t>Осигуряване на управление, координация и споделяне на инициативи за оперативна съвместимост</w:t>
      </w:r>
    </w:p>
    <w:p w:rsidR="00B1716D" w:rsidRDefault="00F128FF">
      <w:pPr>
        <w:pStyle w:val="Text2"/>
        <w:spacing w:line="312" w:lineRule="auto"/>
        <w:ind w:left="0"/>
        <w:rPr>
          <w:noProof/>
        </w:rPr>
      </w:pPr>
      <w:r>
        <w:rPr>
          <w:noProof/>
        </w:rPr>
        <w:t>По</w:t>
      </w:r>
      <w:r>
        <w:rPr>
          <w:noProof/>
        </w:rPr>
        <w:t>стигането на оперативна съвместимост на публичните администрации изисква органи за управление и координация, както и процеси за планиране, въвеждане и използване на решения за оперативна съвместимост както на национално равнище, така и в целия Съюз.</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В тази</w:t>
      </w:r>
      <w:r>
        <w:rPr>
          <w:rFonts w:ascii="Times New Roman" w:hAnsi="Times New Roman"/>
          <w:noProof/>
          <w:sz w:val="24"/>
        </w:rPr>
        <w:t xml:space="preserve"> връзка Комисията и държавите членки играят две ключови роли: </w:t>
      </w:r>
    </w:p>
    <w:p w:rsidR="00B1716D" w:rsidRDefault="00F128FF">
      <w:pPr>
        <w:pStyle w:val="ListParagraph"/>
        <w:numPr>
          <w:ilvl w:val="0"/>
          <w:numId w:val="38"/>
        </w:numPr>
        <w:spacing w:line="312" w:lineRule="auto"/>
        <w:rPr>
          <w:noProof/>
        </w:rPr>
      </w:pPr>
      <w:r>
        <w:rPr>
          <w:noProof/>
        </w:rPr>
        <w:t>да управляват, координират и споделят всички инициативи за оперативна съвместимост</w:t>
      </w:r>
      <w:r>
        <w:rPr>
          <w:rStyle w:val="FootnoteReference"/>
          <w:noProof/>
        </w:rPr>
        <w:footnoteReference w:id="21"/>
      </w:r>
      <w:r>
        <w:rPr>
          <w:noProof/>
        </w:rPr>
        <w:t xml:space="preserve"> на национално и съюзно равнище с оглед да се гарантира, че публичните администрации спазват принципите и препоръките на Европейската рамка за оперативна съвместимост</w:t>
      </w:r>
      <w:r>
        <w:rPr>
          <w:rStyle w:val="FootnoteReference"/>
          <w:noProof/>
        </w:rPr>
        <w:footnoteReference w:id="22"/>
      </w:r>
      <w:r>
        <w:rPr>
          <w:noProof/>
        </w:rPr>
        <w:t xml:space="preserve">; </w:t>
      </w:r>
    </w:p>
    <w:p w:rsidR="00B1716D" w:rsidRDefault="00F128FF">
      <w:pPr>
        <w:pStyle w:val="ListParagraph"/>
        <w:numPr>
          <w:ilvl w:val="0"/>
          <w:numId w:val="38"/>
        </w:numPr>
        <w:spacing w:line="312" w:lineRule="auto"/>
        <w:rPr>
          <w:noProof/>
        </w:rPr>
      </w:pPr>
      <w:r>
        <w:rPr>
          <w:noProof/>
        </w:rPr>
        <w:t>да спомагат за по-доброто сътрудничество на всички равнища между публичните администра</w:t>
      </w:r>
      <w:r>
        <w:rPr>
          <w:noProof/>
        </w:rPr>
        <w:t xml:space="preserve">ции в Съюза и да премахнат оставащата организационна и цифрова изолираност. </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Комисията и държавите членки следва да прилагат Европейската рамка за оперативна съвместимост. Комисията ще следи прилагането на Европейската рамка за оперативна съвместимост чрез</w:t>
      </w:r>
      <w:r>
        <w:rPr>
          <w:rFonts w:ascii="Times New Roman" w:hAnsi="Times New Roman"/>
          <w:noProof/>
          <w:sz w:val="24"/>
        </w:rPr>
        <w:t xml:space="preserve"> програмата ISA²</w:t>
      </w:r>
      <w:r>
        <w:rPr>
          <w:rStyle w:val="FootnoteReference"/>
          <w:rFonts w:ascii="Times New Roman" w:hAnsi="Times New Roman"/>
          <w:noProof/>
          <w:sz w:val="24"/>
        </w:rPr>
        <w:footnoteReference w:id="23"/>
      </w:r>
      <w:r>
        <w:rPr>
          <w:noProof/>
        </w:rPr>
        <w:t>.</w:t>
      </w:r>
    </w:p>
    <w:p w:rsidR="00B1716D" w:rsidRDefault="00F128FF">
      <w:pPr>
        <w:spacing w:line="312" w:lineRule="auto"/>
        <w:jc w:val="both"/>
        <w:rPr>
          <w:noProof/>
        </w:rPr>
      </w:pPr>
      <w:r>
        <w:rPr>
          <w:rFonts w:ascii="Times New Roman" w:hAnsi="Times New Roman"/>
          <w:noProof/>
          <w:sz w:val="24"/>
        </w:rPr>
        <w:t>Програмата ISA² ще играе ключова роля в разработването, създаването, развитието, експлоатацията, повторното използване, подобряването и популяризирането на решения за оперативна съвместимост, които улесняват сътрудничеството между публич</w:t>
      </w:r>
      <w:r>
        <w:rPr>
          <w:rFonts w:ascii="Times New Roman" w:hAnsi="Times New Roman"/>
          <w:noProof/>
          <w:sz w:val="24"/>
        </w:rPr>
        <w:t xml:space="preserve">ните администрации. С подкрепата на програма ISA² Комисията ще осигури подходящо </w:t>
      </w:r>
      <w:r>
        <w:rPr>
          <w:rFonts w:ascii="Times New Roman" w:hAnsi="Times New Roman"/>
          <w:noProof/>
          <w:color w:val="000000" w:themeColor="text1"/>
          <w:sz w:val="24"/>
        </w:rPr>
        <w:t xml:space="preserve">управление на оперативната съвместимост, ще класифицира и </w:t>
      </w:r>
      <w:r>
        <w:rPr>
          <w:rFonts w:ascii="Times New Roman" w:hAnsi="Times New Roman"/>
          <w:noProof/>
          <w:sz w:val="24"/>
        </w:rPr>
        <w:lastRenderedPageBreak/>
        <w:t>популяризира решенията за оперативна съвместимост и ще координира различните инициативи на ЕС за оперативна съвместим</w:t>
      </w:r>
      <w:r>
        <w:rPr>
          <w:rFonts w:ascii="Times New Roman" w:hAnsi="Times New Roman"/>
          <w:noProof/>
          <w:sz w:val="24"/>
        </w:rPr>
        <w:t>ост</w:t>
      </w:r>
      <w:r>
        <w:rPr>
          <w:rStyle w:val="FootnoteReference"/>
          <w:rFonts w:ascii="Times New Roman" w:hAnsi="Times New Roman"/>
          <w:noProof/>
          <w:sz w:val="24"/>
        </w:rPr>
        <w:footnoteReference w:id="24"/>
      </w:r>
      <w:r>
        <w:rPr>
          <w:noProof/>
        </w:rPr>
        <w:t>.</w:t>
      </w:r>
    </w:p>
    <w:p w:rsidR="00B1716D" w:rsidRDefault="00F128FF">
      <w:pPr>
        <w:pStyle w:val="ManualHeading2"/>
        <w:rPr>
          <w:noProof/>
        </w:rPr>
      </w:pPr>
      <w:r>
        <w:t>4.2</w:t>
      </w:r>
      <w:r>
        <w:tab/>
      </w:r>
      <w:r>
        <w:rPr>
          <w:noProof/>
        </w:rPr>
        <w:t>Разработване на решения за организационна оперативна съвместимост</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 xml:space="preserve">Предприятията и гражданите следва да са в състояние да се възползват от оперативно съвместими обществени услуги, които се основават на по-добре интегрирани работни процеси и обмен </w:t>
      </w:r>
      <w:r>
        <w:rPr>
          <w:rFonts w:ascii="Times New Roman" w:hAnsi="Times New Roman"/>
          <w:noProof/>
          <w:sz w:val="24"/>
        </w:rPr>
        <w:t>на информация между публичните администрации в Съюза.</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В тази връзка организационна оперативна съвместимост означава интегриране или съгласуване на работните процеси между отделните организации и формализиране на отношенията между доставчиците и потребители</w:t>
      </w:r>
      <w:r>
        <w:rPr>
          <w:rFonts w:ascii="Times New Roman" w:hAnsi="Times New Roman"/>
          <w:noProof/>
          <w:sz w:val="24"/>
        </w:rPr>
        <w:t>те на европейски обществени услуги.</w:t>
      </w:r>
    </w:p>
    <w:p w:rsidR="00B1716D" w:rsidRDefault="00F128FF">
      <w:pPr>
        <w:pStyle w:val="ManualHeading2"/>
        <w:rPr>
          <w:noProof/>
        </w:rPr>
      </w:pPr>
      <w:r>
        <w:t>4.3</w:t>
      </w:r>
      <w:r>
        <w:tab/>
      </w:r>
      <w:r>
        <w:rPr>
          <w:noProof/>
        </w:rPr>
        <w:t>Ангажиране на заинтересованите страни и повишаване на информираността относно оперативната съвместимост</w:t>
      </w:r>
    </w:p>
    <w:p w:rsidR="00B1716D" w:rsidRDefault="00F128FF">
      <w:pPr>
        <w:keepNext/>
        <w:keepLines/>
        <w:widowControl w:val="0"/>
        <w:spacing w:line="312" w:lineRule="auto"/>
        <w:jc w:val="both"/>
        <w:rPr>
          <w:rFonts w:ascii="Times New Roman" w:hAnsi="Times New Roman" w:cs="Times New Roman"/>
          <w:noProof/>
          <w:sz w:val="24"/>
          <w:szCs w:val="24"/>
        </w:rPr>
      </w:pPr>
      <w:r>
        <w:rPr>
          <w:rFonts w:ascii="Times New Roman" w:hAnsi="Times New Roman"/>
          <w:noProof/>
          <w:sz w:val="24"/>
        </w:rPr>
        <w:t xml:space="preserve">Всяка инициатива за оперативна съвместимост следва да бъде въз основа на конкретна икономическа обосновка, чрез </w:t>
      </w:r>
      <w:r>
        <w:rPr>
          <w:rFonts w:ascii="Times New Roman" w:hAnsi="Times New Roman"/>
          <w:noProof/>
          <w:sz w:val="24"/>
        </w:rPr>
        <w:t>която се доказва, че оперативната съвместимост е целесъобразна инвестиция и че нуждите на ползвателите са по-добре задоволени при наличие на връзка между информационните системи.</w:t>
      </w:r>
    </w:p>
    <w:p w:rsidR="00B1716D" w:rsidRDefault="00F128FF">
      <w:pPr>
        <w:keepNext/>
        <w:keepLines/>
        <w:widowControl w:val="0"/>
        <w:spacing w:line="312" w:lineRule="auto"/>
        <w:jc w:val="both"/>
        <w:rPr>
          <w:rFonts w:ascii="Times New Roman" w:hAnsi="Times New Roman" w:cs="Times New Roman"/>
          <w:noProof/>
          <w:sz w:val="24"/>
          <w:szCs w:val="24"/>
        </w:rPr>
      </w:pPr>
      <w:r>
        <w:rPr>
          <w:rFonts w:ascii="Times New Roman" w:hAnsi="Times New Roman"/>
          <w:noProof/>
          <w:sz w:val="24"/>
        </w:rPr>
        <w:t>В тази връзка публичните администрации следва:</w:t>
      </w:r>
    </w:p>
    <w:p w:rsidR="00B1716D" w:rsidRDefault="00F128FF">
      <w:pPr>
        <w:pStyle w:val="ListParagraph"/>
        <w:keepNext/>
        <w:keepLines/>
        <w:widowControl w:val="0"/>
        <w:numPr>
          <w:ilvl w:val="0"/>
          <w:numId w:val="37"/>
        </w:numPr>
        <w:spacing w:line="312" w:lineRule="auto"/>
        <w:rPr>
          <w:noProof/>
        </w:rPr>
      </w:pPr>
      <w:r>
        <w:rPr>
          <w:noProof/>
        </w:rPr>
        <w:t xml:space="preserve">да измерват и съобщават </w:t>
      </w:r>
      <w:r>
        <w:rPr>
          <w:noProof/>
        </w:rPr>
        <w:t>основните ползи, които могат да бъдат постигнати чрез прилагане на принципите и препоръките на Европейската рамка за оперативна съвместимост;</w:t>
      </w:r>
    </w:p>
    <w:p w:rsidR="00B1716D" w:rsidRDefault="00F128FF">
      <w:pPr>
        <w:pStyle w:val="ListParagraph"/>
        <w:keepNext/>
        <w:keepLines/>
        <w:widowControl w:val="0"/>
        <w:numPr>
          <w:ilvl w:val="0"/>
          <w:numId w:val="37"/>
        </w:numPr>
        <w:spacing w:line="312" w:lineRule="auto"/>
        <w:rPr>
          <w:noProof/>
        </w:rPr>
      </w:pPr>
      <w:r>
        <w:rPr>
          <w:noProof/>
        </w:rPr>
        <w:t>да спомагат за прилагането на Европейската рамка за оперативна съвместимост и на предлаганите от нея решения.</w:t>
      </w:r>
    </w:p>
    <w:p w:rsidR="00B1716D" w:rsidRDefault="00F128FF">
      <w:pPr>
        <w:jc w:val="both"/>
        <w:rPr>
          <w:rFonts w:ascii="Times New Roman" w:hAnsi="Times New Roman"/>
          <w:noProof/>
          <w:sz w:val="24"/>
        </w:rPr>
      </w:pPr>
      <w:r>
        <w:rPr>
          <w:rFonts w:ascii="Times New Roman" w:hAnsi="Times New Roman"/>
          <w:noProof/>
          <w:sz w:val="24"/>
        </w:rPr>
        <w:t>В ка</w:t>
      </w:r>
      <w:r>
        <w:rPr>
          <w:rFonts w:ascii="Times New Roman" w:hAnsi="Times New Roman"/>
          <w:noProof/>
          <w:sz w:val="24"/>
        </w:rPr>
        <w:t>чеството си на крайни ползватели, предприятията и гражданите също трябва да бъдат включени в проектирането, анализа, оценката и развитието на европейските обществени услуги. Поради това планът за действие за оперативна съвместимост съдържа конкретно действ</w:t>
      </w:r>
      <w:r>
        <w:rPr>
          <w:rFonts w:ascii="Times New Roman" w:hAnsi="Times New Roman"/>
          <w:noProof/>
          <w:sz w:val="24"/>
        </w:rPr>
        <w:t>ие във връзка с ангажираността на ползвателите, а именно събирането на информация относно вижданията и нуждите на предприятията и гражданите (включително тези с увреждания) по приобщаващ и съвместен начин. Комисията и държавите членки следва да направляват</w:t>
      </w:r>
      <w:r>
        <w:rPr>
          <w:rFonts w:ascii="Times New Roman" w:hAnsi="Times New Roman"/>
          <w:noProof/>
          <w:sz w:val="24"/>
        </w:rPr>
        <w:t xml:space="preserve"> във възможно най-голяма степен проектирането и разработването на обществени услуги въз основа на нуждите на ползвателите.</w:t>
      </w:r>
    </w:p>
    <w:p w:rsidR="00B1716D" w:rsidRDefault="00F128FF">
      <w:pPr>
        <w:pStyle w:val="ManualHeading2"/>
        <w:rPr>
          <w:noProof/>
        </w:rPr>
      </w:pPr>
      <w:r>
        <w:t>4.4</w:t>
      </w:r>
      <w:r>
        <w:tab/>
      </w:r>
      <w:r>
        <w:rPr>
          <w:noProof/>
        </w:rPr>
        <w:t>Разработване, поддържане и популяризиране на основни фактори за оперативна съвместимост</w:t>
      </w:r>
    </w:p>
    <w:p w:rsidR="00B1716D" w:rsidRDefault="00F128FF">
      <w:pPr>
        <w:jc w:val="both"/>
        <w:rPr>
          <w:rFonts w:ascii="Times New Roman" w:hAnsi="Times New Roman" w:cs="Times New Roman"/>
          <w:bCs/>
          <w:noProof/>
          <w:sz w:val="24"/>
          <w:szCs w:val="24"/>
        </w:rPr>
      </w:pPr>
      <w:r>
        <w:rPr>
          <w:rFonts w:ascii="Times New Roman" w:hAnsi="Times New Roman"/>
          <w:noProof/>
          <w:sz w:val="24"/>
        </w:rPr>
        <w:t xml:space="preserve">Днес публичните администрации управляват </w:t>
      </w:r>
      <w:r>
        <w:rPr>
          <w:rFonts w:ascii="Times New Roman" w:hAnsi="Times New Roman"/>
          <w:noProof/>
          <w:sz w:val="24"/>
        </w:rPr>
        <w:t xml:space="preserve">по различни методи големи обеми от данни в различни формати, като поддържат по няколко копия от тях в различни хранилища и често ги публикуват в портали в цяла Европа, без да ги хармонизират по отношение на съдържанието и представянето. Този факт обяснява </w:t>
      </w:r>
      <w:r>
        <w:rPr>
          <w:rFonts w:ascii="Times New Roman" w:hAnsi="Times New Roman"/>
          <w:noProof/>
          <w:sz w:val="24"/>
        </w:rPr>
        <w:t xml:space="preserve">защо те използват </w:t>
      </w:r>
      <w:r>
        <w:rPr>
          <w:rFonts w:ascii="Times New Roman" w:hAnsi="Times New Roman"/>
          <w:noProof/>
          <w:sz w:val="24"/>
        </w:rPr>
        <w:lastRenderedPageBreak/>
        <w:t>повторно съществуващата информация за граждани и предприятия само в 48 % от случаите</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Това често усложнява и забавя предоставянето на обществени услуги на граждани и предприятия, както и може да постави под въпрос доверието по отношение </w:t>
      </w:r>
      <w:r>
        <w:rPr>
          <w:rFonts w:ascii="Times New Roman" w:hAnsi="Times New Roman"/>
          <w:noProof/>
          <w:sz w:val="24"/>
        </w:rPr>
        <w:t>на защитата на данните.</w:t>
      </w:r>
    </w:p>
    <w:p w:rsidR="00B1716D" w:rsidRDefault="00F128FF">
      <w:pPr>
        <w:jc w:val="both"/>
        <w:rPr>
          <w:rFonts w:ascii="Times New Roman" w:hAnsi="Times New Roman" w:cs="Times New Roman"/>
          <w:bCs/>
          <w:iCs/>
          <w:noProof/>
          <w:szCs w:val="28"/>
        </w:rPr>
      </w:pPr>
      <w:r>
        <w:rPr>
          <w:rFonts w:ascii="Times New Roman" w:hAnsi="Times New Roman"/>
          <w:noProof/>
          <w:sz w:val="24"/>
        </w:rPr>
        <w:t>С цел подобряване на качеството на европейските обществени услуги, предоставяни на крайните ползватели по цифров път, Комисията и държавите членки следва да определят, разработват, подобряват, привеждат в действие, поддържат и попул</w:t>
      </w:r>
      <w:r>
        <w:rPr>
          <w:rFonts w:ascii="Times New Roman" w:hAnsi="Times New Roman"/>
          <w:noProof/>
          <w:sz w:val="24"/>
        </w:rPr>
        <w:t>яризират набор от основни фактори за оперативна съвместимост</w:t>
      </w:r>
      <w:r>
        <w:rPr>
          <w:rStyle w:val="FootnoteReference"/>
          <w:rFonts w:ascii="Times New Roman" w:hAnsi="Times New Roman"/>
          <w:noProof/>
          <w:sz w:val="24"/>
        </w:rPr>
        <w:footnoteReference w:id="26"/>
      </w:r>
      <w:r>
        <w:rPr>
          <w:rFonts w:ascii="Times New Roman" w:hAnsi="Times New Roman"/>
          <w:noProof/>
          <w:sz w:val="24"/>
        </w:rPr>
        <w:t xml:space="preserve">, като същевременно гарантират сигурността на обменяните данни. </w:t>
      </w:r>
    </w:p>
    <w:p w:rsidR="00B1716D" w:rsidRDefault="00F128FF">
      <w:pPr>
        <w:pStyle w:val="ManualHeading2"/>
        <w:rPr>
          <w:noProof/>
        </w:rPr>
      </w:pPr>
      <w:r>
        <w:t>4.5</w:t>
      </w:r>
      <w:r>
        <w:tab/>
      </w:r>
      <w:r>
        <w:rPr>
          <w:noProof/>
        </w:rPr>
        <w:t>Разработване, поддържане и популяризиране на инструменти в подкрепа на оперативната съвместимост</w:t>
      </w:r>
    </w:p>
    <w:p w:rsidR="00B1716D" w:rsidRDefault="00F128FF">
      <w:pPr>
        <w:widowControl w:val="0"/>
        <w:spacing w:line="312" w:lineRule="auto"/>
        <w:jc w:val="both"/>
        <w:rPr>
          <w:rFonts w:ascii="Times New Roman" w:hAnsi="Times New Roman" w:cs="Times New Roman"/>
          <w:bCs/>
          <w:noProof/>
          <w:sz w:val="24"/>
          <w:szCs w:val="24"/>
        </w:rPr>
      </w:pPr>
      <w:r>
        <w:rPr>
          <w:rFonts w:ascii="Times New Roman" w:hAnsi="Times New Roman"/>
          <w:noProof/>
          <w:sz w:val="24"/>
        </w:rPr>
        <w:t>При проектирането, въвежданет</w:t>
      </w:r>
      <w:r>
        <w:rPr>
          <w:rFonts w:ascii="Times New Roman" w:hAnsi="Times New Roman"/>
          <w:noProof/>
          <w:sz w:val="24"/>
        </w:rPr>
        <w:t>о и използването на решения за оперативна съвместимост държавите членки имат нужда от подкрепата на практически инструменти, т.е. инструменти, рамки, насоки и спецификации, необходими за постигане на оперативна съвместимост на национално и трансгранично ра</w:t>
      </w:r>
      <w:r>
        <w:rPr>
          <w:rFonts w:ascii="Times New Roman" w:hAnsi="Times New Roman"/>
          <w:noProof/>
          <w:sz w:val="24"/>
        </w:rPr>
        <w:t xml:space="preserve">внище. Комисията и държавите членки следва да насърчават повторното използване на съществуващите инструменти и да продължават да разработват нови такива, по-конкретно: </w:t>
      </w:r>
      <w:bookmarkStart w:id="86" w:name="_GoBack"/>
      <w:bookmarkEnd w:id="86"/>
    </w:p>
    <w:p w:rsidR="00B1716D" w:rsidRDefault="00F128FF">
      <w:pPr>
        <w:pStyle w:val="ListParagraph"/>
        <w:keepNext/>
        <w:keepLines/>
        <w:widowControl w:val="0"/>
        <w:numPr>
          <w:ilvl w:val="0"/>
          <w:numId w:val="36"/>
        </w:numPr>
        <w:spacing w:line="312" w:lineRule="auto"/>
        <w:rPr>
          <w:noProof/>
        </w:rPr>
      </w:pPr>
      <w:r>
        <w:rPr>
          <w:noProof/>
        </w:rPr>
        <w:lastRenderedPageBreak/>
        <w:t>Европейската референтна архитектура за оперативна съвместимост и Атласа на оперативната</w:t>
      </w:r>
      <w:r>
        <w:rPr>
          <w:noProof/>
        </w:rPr>
        <w:t xml:space="preserve"> съвместимост в Европа</w:t>
      </w:r>
      <w:r>
        <w:rPr>
          <w:rStyle w:val="FootnoteReference"/>
          <w:noProof/>
        </w:rPr>
        <w:footnoteReference w:id="27"/>
      </w:r>
      <w:r>
        <w:rPr>
          <w:noProof/>
        </w:rPr>
        <w:t xml:space="preserve">; </w:t>
      </w:r>
    </w:p>
    <w:p w:rsidR="00B1716D" w:rsidRDefault="00F128FF">
      <w:pPr>
        <w:pStyle w:val="ListParagraph"/>
        <w:keepNext/>
        <w:keepLines/>
        <w:widowControl w:val="0"/>
        <w:numPr>
          <w:ilvl w:val="0"/>
          <w:numId w:val="36"/>
        </w:numPr>
        <w:spacing w:line="312" w:lineRule="auto"/>
        <w:rPr>
          <w:noProof/>
        </w:rPr>
      </w:pPr>
      <w:r>
        <w:rPr>
          <w:noProof/>
        </w:rPr>
        <w:t>начини за оценяване на въздействието, което правото на Съюза оказва върху ИКТ,</w:t>
      </w:r>
      <w:r>
        <w:rPr>
          <w:rStyle w:val="FootnoteReference"/>
          <w:noProof/>
        </w:rPr>
        <w:footnoteReference w:id="28"/>
      </w:r>
      <w:r>
        <w:rPr>
          <w:noProof/>
        </w:rPr>
        <w:t xml:space="preserve"> и установяване на пропуски в законодателството, които възпрепятстват оперативната съвместимост</w:t>
      </w:r>
      <w:r>
        <w:rPr>
          <w:rStyle w:val="FootnoteReference"/>
          <w:noProof/>
        </w:rPr>
        <w:footnoteReference w:id="29"/>
      </w:r>
      <w:r>
        <w:rPr>
          <w:noProof/>
        </w:rPr>
        <w:t xml:space="preserve">; </w:t>
      </w:r>
    </w:p>
    <w:p w:rsidR="00B1716D" w:rsidRDefault="00F128FF">
      <w:pPr>
        <w:pStyle w:val="ListParagraph"/>
        <w:keepNext/>
        <w:keepLines/>
        <w:widowControl w:val="0"/>
        <w:numPr>
          <w:ilvl w:val="0"/>
          <w:numId w:val="36"/>
        </w:numPr>
        <w:spacing w:line="312" w:lineRule="auto"/>
        <w:rPr>
          <w:noProof/>
        </w:rPr>
      </w:pPr>
      <w:r>
        <w:rPr>
          <w:noProof/>
        </w:rPr>
        <w:t>„рамката за споделяне и повторна употреба на решения</w:t>
      </w:r>
      <w:r>
        <w:rPr>
          <w:noProof/>
        </w:rPr>
        <w:t xml:space="preserve"> въз основа на информационни технологии (ИТ решения)“, разработена в контекста на програмата ISA² с цел насърчаване и подобряване на споделянето, съвместното разработване и повторното използване на ИТ решения (включително с отворен код) от страна на публич</w:t>
      </w:r>
      <w:r>
        <w:rPr>
          <w:noProof/>
        </w:rPr>
        <w:t>ните администрации.</w:t>
      </w:r>
    </w:p>
    <w:p w:rsidR="00B1716D" w:rsidRDefault="00F128FF">
      <w:pPr>
        <w:pStyle w:val="ManualHeading1"/>
        <w:rPr>
          <w:noProof/>
        </w:rPr>
      </w:pPr>
      <w:bookmarkStart w:id="87" w:name="_Toc435047749"/>
      <w:bookmarkStart w:id="88" w:name="_Toc435048237"/>
      <w:bookmarkStart w:id="89" w:name="_Toc435089888"/>
      <w:bookmarkStart w:id="90" w:name="_Toc435047750"/>
      <w:bookmarkStart w:id="91" w:name="_Toc435048238"/>
      <w:bookmarkStart w:id="92" w:name="_Toc435089889"/>
      <w:bookmarkStart w:id="93" w:name="_Toc435047751"/>
      <w:bookmarkStart w:id="94" w:name="_Toc435048239"/>
      <w:bookmarkStart w:id="95" w:name="_Toc435089890"/>
      <w:bookmarkStart w:id="96" w:name="_Toc435047752"/>
      <w:bookmarkStart w:id="97" w:name="_Toc435048240"/>
      <w:bookmarkStart w:id="98" w:name="_Toc435089891"/>
      <w:bookmarkStart w:id="99" w:name="_Toc452538141"/>
      <w:bookmarkStart w:id="100" w:name="_Toc465177310"/>
      <w:bookmarkStart w:id="101" w:name="_Toc465177649"/>
      <w:bookmarkStart w:id="102" w:name="_Toc465421233"/>
      <w:bookmarkEnd w:id="61"/>
      <w:bookmarkEnd w:id="62"/>
      <w:bookmarkEnd w:id="87"/>
      <w:bookmarkEnd w:id="88"/>
      <w:bookmarkEnd w:id="89"/>
      <w:bookmarkEnd w:id="90"/>
      <w:bookmarkEnd w:id="91"/>
      <w:bookmarkEnd w:id="92"/>
      <w:bookmarkEnd w:id="93"/>
      <w:bookmarkEnd w:id="94"/>
      <w:bookmarkEnd w:id="95"/>
      <w:bookmarkEnd w:id="96"/>
      <w:bookmarkEnd w:id="97"/>
      <w:bookmarkEnd w:id="98"/>
      <w:r>
        <w:t>5</w:t>
      </w:r>
      <w:r>
        <w:tab/>
      </w:r>
      <w:r>
        <w:rPr>
          <w:noProof/>
        </w:rPr>
        <w:t xml:space="preserve">Финансови </w:t>
      </w:r>
      <w:bookmarkEnd w:id="45"/>
      <w:bookmarkEnd w:id="46"/>
      <w:bookmarkEnd w:id="47"/>
      <w:r>
        <w:rPr>
          <w:noProof/>
        </w:rPr>
        <w:t>инструменти</w:t>
      </w:r>
      <w:bookmarkEnd w:id="99"/>
      <w:bookmarkEnd w:id="100"/>
      <w:bookmarkEnd w:id="101"/>
      <w:bookmarkEnd w:id="102"/>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 xml:space="preserve">Като цяло Комисията ще подкрепя, насърчава и следи за изпълнението на плана за действие за оперативна съвместимост и прилагането на Европейската рамка за оперативна съвместимост най-вече чрез програмата ISA². </w:t>
      </w:r>
    </w:p>
    <w:p w:rsidR="00B1716D" w:rsidRDefault="00F128FF">
      <w:pPr>
        <w:spacing w:line="312" w:lineRule="auto"/>
        <w:jc w:val="both"/>
        <w:rPr>
          <w:noProof/>
        </w:rPr>
      </w:pPr>
      <w:r>
        <w:rPr>
          <w:rFonts w:ascii="Times New Roman" w:hAnsi="Times New Roman"/>
          <w:noProof/>
          <w:sz w:val="24"/>
        </w:rPr>
        <w:t>Планираните действия могат също изцяло или частично да се финансират от други инструменти, като например:</w:t>
      </w:r>
    </w:p>
    <w:p w:rsidR="00B1716D" w:rsidRDefault="00F128FF">
      <w:pPr>
        <w:pStyle w:val="ListParagraph"/>
        <w:numPr>
          <w:ilvl w:val="0"/>
          <w:numId w:val="22"/>
        </w:numPr>
        <w:spacing w:line="312" w:lineRule="auto"/>
        <w:rPr>
          <w:noProof/>
        </w:rPr>
      </w:pPr>
      <w:r>
        <w:rPr>
          <w:noProof/>
        </w:rPr>
        <w:t>програмата „Хоризонт 2020“</w:t>
      </w:r>
      <w:r>
        <w:rPr>
          <w:rStyle w:val="FootnoteReference"/>
          <w:noProof/>
        </w:rPr>
        <w:footnoteReference w:id="30"/>
      </w:r>
      <w:r>
        <w:rPr>
          <w:noProof/>
        </w:rPr>
        <w:t xml:space="preserve"> може да подкрепя действия, свързани с иновации в обществения сектор</w:t>
      </w:r>
      <w:r>
        <w:rPr>
          <w:rStyle w:val="FootnoteReference"/>
          <w:noProof/>
        </w:rPr>
        <w:footnoteReference w:id="31"/>
      </w:r>
      <w:r>
        <w:rPr>
          <w:noProof/>
        </w:rPr>
        <w:t>;</w:t>
      </w:r>
    </w:p>
    <w:p w:rsidR="00B1716D" w:rsidRDefault="00F128FF">
      <w:pPr>
        <w:pStyle w:val="ListParagraph"/>
        <w:numPr>
          <w:ilvl w:val="0"/>
          <w:numId w:val="22"/>
        </w:numPr>
        <w:spacing w:line="312" w:lineRule="auto"/>
        <w:rPr>
          <w:noProof/>
        </w:rPr>
      </w:pPr>
      <w:r>
        <w:rPr>
          <w:noProof/>
        </w:rPr>
        <w:t>механизмът за свързване на Европа</w:t>
      </w:r>
      <w:r>
        <w:rPr>
          <w:rStyle w:val="FootnoteReference"/>
          <w:noProof/>
        </w:rPr>
        <w:footnoteReference w:id="32"/>
      </w:r>
      <w:r>
        <w:rPr>
          <w:noProof/>
        </w:rPr>
        <w:t xml:space="preserve"> може да подкрепи </w:t>
      </w:r>
      <w:r>
        <w:rPr>
          <w:noProof/>
        </w:rPr>
        <w:t>внедряването и използването на основни трансгранични цифрови услуги с достатъчна степен на зрялост, като електронна идентификация, обществени поръчки и оперативно съвместимо здравеопазване;</w:t>
      </w:r>
    </w:p>
    <w:p w:rsidR="00B1716D" w:rsidRDefault="00F128FF">
      <w:pPr>
        <w:pStyle w:val="Text1"/>
        <w:numPr>
          <w:ilvl w:val="0"/>
          <w:numId w:val="22"/>
        </w:numPr>
        <w:spacing w:line="312" w:lineRule="auto"/>
        <w:rPr>
          <w:noProof/>
        </w:rPr>
      </w:pPr>
      <w:r>
        <w:rPr>
          <w:noProof/>
        </w:rPr>
        <w:t>европейските структурни и инвестиционни фондове (ЕСИФ)</w:t>
      </w:r>
      <w:r>
        <w:rPr>
          <w:rStyle w:val="FootnoteReference"/>
          <w:noProof/>
        </w:rPr>
        <w:footnoteReference w:id="33"/>
      </w:r>
      <w:r>
        <w:rPr>
          <w:noProof/>
        </w:rPr>
        <w:t xml:space="preserve"> могат да п</w:t>
      </w:r>
      <w:r>
        <w:rPr>
          <w:noProof/>
        </w:rPr>
        <w:t xml:space="preserve">одкрепят действия, свързани с цифровия растеж чрез разработване на продукти </w:t>
      </w:r>
      <w:r>
        <w:rPr>
          <w:noProof/>
        </w:rPr>
        <w:lastRenderedPageBreak/>
        <w:t>и услуги в областта на ИКТ,</w:t>
      </w:r>
      <w:r>
        <w:rPr>
          <w:rStyle w:val="FootnoteReference"/>
          <w:noProof/>
        </w:rPr>
        <w:footnoteReference w:id="34"/>
      </w:r>
      <w:r>
        <w:rPr>
          <w:noProof/>
        </w:rPr>
        <w:t xml:space="preserve"> както и действия, свързани с укрепването на институционалния капацитет и ефективността на публичните администрации</w:t>
      </w:r>
      <w:r>
        <w:rPr>
          <w:rStyle w:val="FootnoteReference"/>
          <w:noProof/>
        </w:rPr>
        <w:footnoteReference w:id="35"/>
      </w:r>
      <w:r>
        <w:rPr>
          <w:noProof/>
        </w:rPr>
        <w:t>;</w:t>
      </w:r>
    </w:p>
    <w:p w:rsidR="00B1716D" w:rsidRDefault="00F128FF">
      <w:pPr>
        <w:pStyle w:val="Text1"/>
        <w:numPr>
          <w:ilvl w:val="0"/>
          <w:numId w:val="22"/>
        </w:numPr>
        <w:spacing w:line="312" w:lineRule="auto"/>
        <w:rPr>
          <w:noProof/>
        </w:rPr>
      </w:pPr>
      <w:r>
        <w:rPr>
          <w:noProof/>
        </w:rPr>
        <w:t xml:space="preserve">програмата за подкрепа на </w:t>
      </w:r>
      <w:r>
        <w:rPr>
          <w:noProof/>
        </w:rPr>
        <w:t>структурните реформи</w:t>
      </w:r>
      <w:r>
        <w:rPr>
          <w:rStyle w:val="FootnoteReference"/>
          <w:noProof/>
        </w:rPr>
        <w:footnoteReference w:id="36"/>
      </w:r>
      <w:r>
        <w:rPr>
          <w:noProof/>
        </w:rPr>
        <w:t xml:space="preserve"> може да подкрепя публичните администрации при прилагането на Европейската рамка за оперативна съвместимост на национално равнище.</w:t>
      </w:r>
    </w:p>
    <w:p w:rsidR="00B1716D" w:rsidRDefault="00F128FF">
      <w:pPr>
        <w:spacing w:line="312" w:lineRule="auto"/>
        <w:jc w:val="both"/>
        <w:rPr>
          <w:noProof/>
        </w:rPr>
      </w:pPr>
      <w:r>
        <w:rPr>
          <w:rFonts w:ascii="Times New Roman" w:hAnsi="Times New Roman"/>
          <w:noProof/>
          <w:sz w:val="24"/>
        </w:rPr>
        <w:t>Изпълнението на плана за действие за оперативна съвместимост или прилагането на Европейската рамка за оп</w:t>
      </w:r>
      <w:r>
        <w:rPr>
          <w:rFonts w:ascii="Times New Roman" w:hAnsi="Times New Roman"/>
          <w:noProof/>
          <w:sz w:val="24"/>
        </w:rPr>
        <w:t>еративна съвместимост може да бъде подкрепено и от други финансови инструменти чрез целенасочени действия в конкретни области на политиката.</w:t>
      </w:r>
    </w:p>
    <w:p w:rsidR="00B1716D" w:rsidRDefault="00F128FF">
      <w:pPr>
        <w:pStyle w:val="ManualHeading1"/>
        <w:rPr>
          <w:noProof/>
        </w:rPr>
      </w:pPr>
      <w:bookmarkStart w:id="103" w:name="_Toc427133963"/>
      <w:bookmarkStart w:id="104" w:name="_Toc427133964"/>
      <w:bookmarkStart w:id="105" w:name="_Toc427133965"/>
      <w:bookmarkStart w:id="106" w:name="_Toc463449747"/>
      <w:bookmarkStart w:id="107" w:name="_Toc463451499"/>
      <w:bookmarkStart w:id="108" w:name="_Toc463452153"/>
      <w:bookmarkStart w:id="109" w:name="_Toc463458191"/>
      <w:bookmarkStart w:id="110" w:name="_Toc452538142"/>
      <w:bookmarkStart w:id="111" w:name="_Toc465177311"/>
      <w:bookmarkStart w:id="112" w:name="_Toc465177650"/>
      <w:bookmarkStart w:id="113" w:name="_Toc465421234"/>
      <w:bookmarkEnd w:id="103"/>
      <w:bookmarkEnd w:id="104"/>
      <w:bookmarkEnd w:id="105"/>
      <w:bookmarkEnd w:id="106"/>
      <w:bookmarkEnd w:id="107"/>
      <w:bookmarkEnd w:id="108"/>
      <w:bookmarkEnd w:id="109"/>
      <w:r>
        <w:t>6</w:t>
      </w:r>
      <w:r>
        <w:tab/>
      </w:r>
      <w:r>
        <w:rPr>
          <w:noProof/>
        </w:rPr>
        <w:t>Наблюдение и докладване</w:t>
      </w:r>
      <w:bookmarkEnd w:id="110"/>
      <w:bookmarkEnd w:id="111"/>
      <w:bookmarkEnd w:id="112"/>
      <w:bookmarkEnd w:id="113"/>
    </w:p>
    <w:p w:rsidR="00B1716D" w:rsidRDefault="00F128FF">
      <w:pPr>
        <w:keepNext/>
        <w:keepLines/>
        <w:widowControl w:val="0"/>
        <w:spacing w:line="312" w:lineRule="auto"/>
        <w:jc w:val="both"/>
        <w:rPr>
          <w:rFonts w:ascii="Times New Roman" w:hAnsi="Times New Roman" w:cs="Times New Roman"/>
          <w:noProof/>
          <w:sz w:val="24"/>
          <w:szCs w:val="24"/>
        </w:rPr>
      </w:pPr>
      <w:r>
        <w:rPr>
          <w:rFonts w:ascii="Times New Roman" w:hAnsi="Times New Roman"/>
          <w:noProof/>
          <w:sz w:val="24"/>
        </w:rPr>
        <w:t xml:space="preserve">Прилагането на Европейската рамка за оперативна съвместимост и по-специално изпълнението </w:t>
      </w:r>
      <w:r>
        <w:rPr>
          <w:rFonts w:ascii="Times New Roman" w:hAnsi="Times New Roman"/>
          <w:noProof/>
          <w:sz w:val="24"/>
        </w:rPr>
        <w:t xml:space="preserve">на плана за действие за оперативна съвместимост е възможно само чрез съвместна ангажираност от страна на Комисията и държавите членки. Подпомагана чрез програмата ISA², Комисията следва да управлява и координира изпълнението и наблюдението. </w:t>
      </w:r>
    </w:p>
    <w:p w:rsidR="00B1716D" w:rsidRDefault="00F128FF">
      <w:pPr>
        <w:keepNext/>
        <w:keepLines/>
        <w:widowControl w:val="0"/>
        <w:spacing w:line="312" w:lineRule="auto"/>
        <w:jc w:val="both"/>
        <w:rPr>
          <w:rFonts w:ascii="Times New Roman" w:hAnsi="Times New Roman" w:cs="Times New Roman"/>
          <w:noProof/>
          <w:sz w:val="24"/>
          <w:szCs w:val="24"/>
        </w:rPr>
      </w:pPr>
      <w:r>
        <w:rPr>
          <w:rFonts w:ascii="Times New Roman" w:hAnsi="Times New Roman"/>
          <w:noProof/>
          <w:sz w:val="24"/>
        </w:rPr>
        <w:t>Комисията ще с</w:t>
      </w:r>
      <w:r>
        <w:rPr>
          <w:rFonts w:ascii="Times New Roman" w:hAnsi="Times New Roman"/>
          <w:noProof/>
          <w:sz w:val="24"/>
        </w:rPr>
        <w:t>ъздаде интегрирана рамка за наблюдение, оценка и докладване на напредъка по прилагането на Европейската рамка за оперативна съвместимост и изпълнението на плана за действие за оперативна съвместимост. Тези дейности ще бъдат извършени в рамките на компетент</w:t>
      </w:r>
      <w:r>
        <w:rPr>
          <w:rFonts w:ascii="Times New Roman" w:hAnsi="Times New Roman"/>
          <w:noProof/>
          <w:sz w:val="24"/>
        </w:rPr>
        <w:t>ността на обсерваторията за оперативна съвместимост по програмата ISA² с помощта на ключови показатели за ефективност и измерими цели.</w:t>
      </w:r>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Комисията ще направи оценка на прилагането на Европейската рамка за оперативна съвместимост до края на 2019 г. Въз основа</w:t>
      </w:r>
      <w:r>
        <w:rPr>
          <w:rFonts w:ascii="Times New Roman" w:hAnsi="Times New Roman"/>
          <w:noProof/>
          <w:sz w:val="24"/>
        </w:rPr>
        <w:t xml:space="preserve"> на резултатите от оценката и в съответствие с принципите за по-добро регулиране Комисията може да прецени дали конкретните препоръки на Европейската рамка за оперативна съвместимост следва да бъдат част от задължителен инструмент.</w:t>
      </w:r>
    </w:p>
    <w:p w:rsidR="00B1716D" w:rsidRDefault="00F128FF">
      <w:pPr>
        <w:pStyle w:val="ManualHeading1"/>
        <w:rPr>
          <w:noProof/>
        </w:rPr>
      </w:pPr>
      <w:bookmarkStart w:id="114" w:name="_Toc465176492"/>
      <w:bookmarkStart w:id="115" w:name="_Toc465176656"/>
      <w:bookmarkStart w:id="116" w:name="_Toc465176984"/>
      <w:bookmarkStart w:id="117" w:name="_Toc465177148"/>
      <w:bookmarkStart w:id="118" w:name="_Toc465177312"/>
      <w:bookmarkStart w:id="119" w:name="_Toc465177651"/>
      <w:bookmarkStart w:id="120" w:name="_Toc465177984"/>
      <w:bookmarkStart w:id="121" w:name="_Toc465178148"/>
      <w:bookmarkStart w:id="122" w:name="_Toc465178312"/>
      <w:bookmarkStart w:id="123" w:name="_Toc465179626"/>
      <w:bookmarkStart w:id="124" w:name="_Toc465179961"/>
      <w:bookmarkStart w:id="125" w:name="_Toc465180126"/>
      <w:bookmarkStart w:id="126" w:name="_Toc463449749"/>
      <w:bookmarkStart w:id="127" w:name="_Toc463451501"/>
      <w:bookmarkStart w:id="128" w:name="_Toc463452155"/>
      <w:bookmarkStart w:id="129" w:name="_Toc463458193"/>
      <w:bookmarkStart w:id="130" w:name="_Toc465176493"/>
      <w:bookmarkStart w:id="131" w:name="_Toc465176657"/>
      <w:bookmarkStart w:id="132" w:name="_Toc465176985"/>
      <w:bookmarkStart w:id="133" w:name="_Toc465177149"/>
      <w:bookmarkStart w:id="134" w:name="_Toc465177313"/>
      <w:bookmarkStart w:id="135" w:name="_Toc465177652"/>
      <w:bookmarkStart w:id="136" w:name="_Toc465177985"/>
      <w:bookmarkStart w:id="137" w:name="_Toc465178149"/>
      <w:bookmarkStart w:id="138" w:name="_Toc465178313"/>
      <w:bookmarkStart w:id="139" w:name="_Toc465179627"/>
      <w:bookmarkStart w:id="140" w:name="_Toc465179962"/>
      <w:bookmarkStart w:id="141" w:name="_Toc465180127"/>
      <w:bookmarkStart w:id="142" w:name="_Toc465176494"/>
      <w:bookmarkStart w:id="143" w:name="_Toc465176658"/>
      <w:bookmarkStart w:id="144" w:name="_Toc465176986"/>
      <w:bookmarkStart w:id="145" w:name="_Toc465177150"/>
      <w:bookmarkStart w:id="146" w:name="_Toc465177314"/>
      <w:bookmarkStart w:id="147" w:name="_Toc465177653"/>
      <w:bookmarkStart w:id="148" w:name="_Toc465177986"/>
      <w:bookmarkStart w:id="149" w:name="_Toc465178150"/>
      <w:bookmarkStart w:id="150" w:name="_Toc465178314"/>
      <w:bookmarkStart w:id="151" w:name="_Toc465179628"/>
      <w:bookmarkStart w:id="152" w:name="_Toc465179963"/>
      <w:bookmarkStart w:id="153" w:name="_Toc465180128"/>
      <w:bookmarkStart w:id="154" w:name="_Toc465176495"/>
      <w:bookmarkStart w:id="155" w:name="_Toc465176659"/>
      <w:bookmarkStart w:id="156" w:name="_Toc465176987"/>
      <w:bookmarkStart w:id="157" w:name="_Toc465177151"/>
      <w:bookmarkStart w:id="158" w:name="_Toc465177315"/>
      <w:bookmarkStart w:id="159" w:name="_Toc465177654"/>
      <w:bookmarkStart w:id="160" w:name="_Toc465177987"/>
      <w:bookmarkStart w:id="161" w:name="_Toc465178151"/>
      <w:bookmarkStart w:id="162" w:name="_Toc465178315"/>
      <w:bookmarkStart w:id="163" w:name="_Toc465179629"/>
      <w:bookmarkStart w:id="164" w:name="_Toc465179964"/>
      <w:bookmarkStart w:id="165" w:name="_Toc465180129"/>
      <w:bookmarkStart w:id="166" w:name="_Toc465176509"/>
      <w:bookmarkStart w:id="167" w:name="_Toc465176673"/>
      <w:bookmarkStart w:id="168" w:name="_Toc465177001"/>
      <w:bookmarkStart w:id="169" w:name="_Toc465177165"/>
      <w:bookmarkStart w:id="170" w:name="_Toc465177329"/>
      <w:bookmarkStart w:id="171" w:name="_Toc465177668"/>
      <w:bookmarkStart w:id="172" w:name="_Toc465178001"/>
      <w:bookmarkStart w:id="173" w:name="_Toc465178165"/>
      <w:bookmarkStart w:id="174" w:name="_Toc465178329"/>
      <w:bookmarkStart w:id="175" w:name="_Toc465179643"/>
      <w:bookmarkStart w:id="176" w:name="_Toc465179978"/>
      <w:bookmarkStart w:id="177" w:name="_Toc465180143"/>
      <w:bookmarkStart w:id="178" w:name="_Toc465176514"/>
      <w:bookmarkStart w:id="179" w:name="_Toc465176678"/>
      <w:bookmarkStart w:id="180" w:name="_Toc465177006"/>
      <w:bookmarkStart w:id="181" w:name="_Toc465177170"/>
      <w:bookmarkStart w:id="182" w:name="_Toc465177334"/>
      <w:bookmarkStart w:id="183" w:name="_Toc465177673"/>
      <w:bookmarkStart w:id="184" w:name="_Toc465178006"/>
      <w:bookmarkStart w:id="185" w:name="_Toc465178170"/>
      <w:bookmarkStart w:id="186" w:name="_Toc465178334"/>
      <w:bookmarkStart w:id="187" w:name="_Toc465179648"/>
      <w:bookmarkStart w:id="188" w:name="_Toc465179983"/>
      <w:bookmarkStart w:id="189" w:name="_Toc465180148"/>
      <w:bookmarkStart w:id="190" w:name="_Toc465176526"/>
      <w:bookmarkStart w:id="191" w:name="_Toc465176690"/>
      <w:bookmarkStart w:id="192" w:name="_Toc465177018"/>
      <w:bookmarkStart w:id="193" w:name="_Toc465177182"/>
      <w:bookmarkStart w:id="194" w:name="_Toc465177346"/>
      <w:bookmarkStart w:id="195" w:name="_Toc465177685"/>
      <w:bookmarkStart w:id="196" w:name="_Toc465178018"/>
      <w:bookmarkStart w:id="197" w:name="_Toc465178182"/>
      <w:bookmarkStart w:id="198" w:name="_Toc465178346"/>
      <w:bookmarkStart w:id="199" w:name="_Toc465179660"/>
      <w:bookmarkStart w:id="200" w:name="_Toc465179995"/>
      <w:bookmarkStart w:id="201" w:name="_Toc465180160"/>
      <w:bookmarkStart w:id="202" w:name="_Toc465176538"/>
      <w:bookmarkStart w:id="203" w:name="_Toc465176702"/>
      <w:bookmarkStart w:id="204" w:name="_Toc465177030"/>
      <w:bookmarkStart w:id="205" w:name="_Toc465177194"/>
      <w:bookmarkStart w:id="206" w:name="_Toc465177358"/>
      <w:bookmarkStart w:id="207" w:name="_Toc465177697"/>
      <w:bookmarkStart w:id="208" w:name="_Toc465178030"/>
      <w:bookmarkStart w:id="209" w:name="_Toc465178194"/>
      <w:bookmarkStart w:id="210" w:name="_Toc465178358"/>
      <w:bookmarkStart w:id="211" w:name="_Toc465179672"/>
      <w:bookmarkStart w:id="212" w:name="_Toc465180007"/>
      <w:bookmarkStart w:id="213" w:name="_Toc465180172"/>
      <w:bookmarkStart w:id="214" w:name="_Toc465176543"/>
      <w:bookmarkStart w:id="215" w:name="_Toc465176707"/>
      <w:bookmarkStart w:id="216" w:name="_Toc465177035"/>
      <w:bookmarkStart w:id="217" w:name="_Toc465177199"/>
      <w:bookmarkStart w:id="218" w:name="_Toc465177363"/>
      <w:bookmarkStart w:id="219" w:name="_Toc465177702"/>
      <w:bookmarkStart w:id="220" w:name="_Toc465178035"/>
      <w:bookmarkStart w:id="221" w:name="_Toc465178199"/>
      <w:bookmarkStart w:id="222" w:name="_Toc465178363"/>
      <w:bookmarkStart w:id="223" w:name="_Toc465179677"/>
      <w:bookmarkStart w:id="224" w:name="_Toc465180012"/>
      <w:bookmarkStart w:id="225" w:name="_Toc465180177"/>
      <w:bookmarkStart w:id="226" w:name="_Toc465176557"/>
      <w:bookmarkStart w:id="227" w:name="_Toc465176721"/>
      <w:bookmarkStart w:id="228" w:name="_Toc465177049"/>
      <w:bookmarkStart w:id="229" w:name="_Toc465177213"/>
      <w:bookmarkStart w:id="230" w:name="_Toc465177377"/>
      <w:bookmarkStart w:id="231" w:name="_Toc465177716"/>
      <w:bookmarkStart w:id="232" w:name="_Toc465178049"/>
      <w:bookmarkStart w:id="233" w:name="_Toc465178213"/>
      <w:bookmarkStart w:id="234" w:name="_Toc465178377"/>
      <w:bookmarkStart w:id="235" w:name="_Toc465179691"/>
      <w:bookmarkStart w:id="236" w:name="_Toc465180026"/>
      <w:bookmarkStart w:id="237" w:name="_Toc465180191"/>
      <w:bookmarkStart w:id="238" w:name="_Toc465176562"/>
      <w:bookmarkStart w:id="239" w:name="_Toc465176726"/>
      <w:bookmarkStart w:id="240" w:name="_Toc465177054"/>
      <w:bookmarkStart w:id="241" w:name="_Toc465177218"/>
      <w:bookmarkStart w:id="242" w:name="_Toc465177382"/>
      <w:bookmarkStart w:id="243" w:name="_Toc465177721"/>
      <w:bookmarkStart w:id="244" w:name="_Toc465178054"/>
      <w:bookmarkStart w:id="245" w:name="_Toc465178218"/>
      <w:bookmarkStart w:id="246" w:name="_Toc465178382"/>
      <w:bookmarkStart w:id="247" w:name="_Toc465179696"/>
      <w:bookmarkStart w:id="248" w:name="_Toc465180031"/>
      <w:bookmarkStart w:id="249" w:name="_Toc465180196"/>
      <w:bookmarkStart w:id="250" w:name="_Toc465176572"/>
      <w:bookmarkStart w:id="251" w:name="_Toc465176736"/>
      <w:bookmarkStart w:id="252" w:name="_Toc465177064"/>
      <w:bookmarkStart w:id="253" w:name="_Toc465177228"/>
      <w:bookmarkStart w:id="254" w:name="_Toc465177392"/>
      <w:bookmarkStart w:id="255" w:name="_Toc465177731"/>
      <w:bookmarkStart w:id="256" w:name="_Toc465178064"/>
      <w:bookmarkStart w:id="257" w:name="_Toc465178228"/>
      <w:bookmarkStart w:id="258" w:name="_Toc465178392"/>
      <w:bookmarkStart w:id="259" w:name="_Toc465179706"/>
      <w:bookmarkStart w:id="260" w:name="_Toc465180041"/>
      <w:bookmarkStart w:id="261" w:name="_Toc465180206"/>
      <w:bookmarkStart w:id="262" w:name="_Toc465176589"/>
      <w:bookmarkStart w:id="263" w:name="_Toc465176753"/>
      <w:bookmarkStart w:id="264" w:name="_Toc465177081"/>
      <w:bookmarkStart w:id="265" w:name="_Toc465177245"/>
      <w:bookmarkStart w:id="266" w:name="_Toc465177409"/>
      <w:bookmarkStart w:id="267" w:name="_Toc465177748"/>
      <w:bookmarkStart w:id="268" w:name="_Toc465178081"/>
      <w:bookmarkStart w:id="269" w:name="_Toc465178245"/>
      <w:bookmarkStart w:id="270" w:name="_Toc465178409"/>
      <w:bookmarkStart w:id="271" w:name="_Toc465179723"/>
      <w:bookmarkStart w:id="272" w:name="_Toc465180058"/>
      <w:bookmarkStart w:id="273" w:name="_Toc465180223"/>
      <w:bookmarkStart w:id="274" w:name="_Toc465176594"/>
      <w:bookmarkStart w:id="275" w:name="_Toc465176758"/>
      <w:bookmarkStart w:id="276" w:name="_Toc465177086"/>
      <w:bookmarkStart w:id="277" w:name="_Toc465177250"/>
      <w:bookmarkStart w:id="278" w:name="_Toc465177414"/>
      <w:bookmarkStart w:id="279" w:name="_Toc465177753"/>
      <w:bookmarkStart w:id="280" w:name="_Toc465178086"/>
      <w:bookmarkStart w:id="281" w:name="_Toc465178250"/>
      <w:bookmarkStart w:id="282" w:name="_Toc465178414"/>
      <w:bookmarkStart w:id="283" w:name="_Toc465179728"/>
      <w:bookmarkStart w:id="284" w:name="_Toc465180063"/>
      <w:bookmarkStart w:id="285" w:name="_Toc465180228"/>
      <w:bookmarkStart w:id="286" w:name="_Toc465176599"/>
      <w:bookmarkStart w:id="287" w:name="_Toc465176763"/>
      <w:bookmarkStart w:id="288" w:name="_Toc465177091"/>
      <w:bookmarkStart w:id="289" w:name="_Toc465177255"/>
      <w:bookmarkStart w:id="290" w:name="_Toc465177419"/>
      <w:bookmarkStart w:id="291" w:name="_Toc465177758"/>
      <w:bookmarkStart w:id="292" w:name="_Toc465178091"/>
      <w:bookmarkStart w:id="293" w:name="_Toc465178255"/>
      <w:bookmarkStart w:id="294" w:name="_Toc465178419"/>
      <w:bookmarkStart w:id="295" w:name="_Toc465179733"/>
      <w:bookmarkStart w:id="296" w:name="_Toc465180068"/>
      <w:bookmarkStart w:id="297" w:name="_Toc465180233"/>
      <w:bookmarkStart w:id="298" w:name="_Toc465176604"/>
      <w:bookmarkStart w:id="299" w:name="_Toc465176768"/>
      <w:bookmarkStart w:id="300" w:name="_Toc465177096"/>
      <w:bookmarkStart w:id="301" w:name="_Toc465177260"/>
      <w:bookmarkStart w:id="302" w:name="_Toc465177424"/>
      <w:bookmarkStart w:id="303" w:name="_Toc465177763"/>
      <w:bookmarkStart w:id="304" w:name="_Toc465178096"/>
      <w:bookmarkStart w:id="305" w:name="_Toc465178260"/>
      <w:bookmarkStart w:id="306" w:name="_Toc465178424"/>
      <w:bookmarkStart w:id="307" w:name="_Toc465179738"/>
      <w:bookmarkStart w:id="308" w:name="_Toc465180073"/>
      <w:bookmarkStart w:id="309" w:name="_Toc465180238"/>
      <w:bookmarkStart w:id="310" w:name="_Toc465176609"/>
      <w:bookmarkStart w:id="311" w:name="_Toc465176773"/>
      <w:bookmarkStart w:id="312" w:name="_Toc465177101"/>
      <w:bookmarkStart w:id="313" w:name="_Toc465177265"/>
      <w:bookmarkStart w:id="314" w:name="_Toc465177429"/>
      <w:bookmarkStart w:id="315" w:name="_Toc465177768"/>
      <w:bookmarkStart w:id="316" w:name="_Toc465178101"/>
      <w:bookmarkStart w:id="317" w:name="_Toc465178265"/>
      <w:bookmarkStart w:id="318" w:name="_Toc465178429"/>
      <w:bookmarkStart w:id="319" w:name="_Toc465179743"/>
      <w:bookmarkStart w:id="320" w:name="_Toc465180078"/>
      <w:bookmarkStart w:id="321" w:name="_Toc465180243"/>
      <w:bookmarkStart w:id="322" w:name="_Toc465176614"/>
      <w:bookmarkStart w:id="323" w:name="_Toc465176778"/>
      <w:bookmarkStart w:id="324" w:name="_Toc465177106"/>
      <w:bookmarkStart w:id="325" w:name="_Toc465177270"/>
      <w:bookmarkStart w:id="326" w:name="_Toc465177434"/>
      <w:bookmarkStart w:id="327" w:name="_Toc465177773"/>
      <w:bookmarkStart w:id="328" w:name="_Toc465178106"/>
      <w:bookmarkStart w:id="329" w:name="_Toc465178270"/>
      <w:bookmarkStart w:id="330" w:name="_Toc465178434"/>
      <w:bookmarkStart w:id="331" w:name="_Toc465179748"/>
      <w:bookmarkStart w:id="332" w:name="_Toc465180083"/>
      <w:bookmarkStart w:id="333" w:name="_Toc465180248"/>
      <w:bookmarkStart w:id="334" w:name="_Toc465176619"/>
      <w:bookmarkStart w:id="335" w:name="_Toc465176783"/>
      <w:bookmarkStart w:id="336" w:name="_Toc465177111"/>
      <w:bookmarkStart w:id="337" w:name="_Toc465177275"/>
      <w:bookmarkStart w:id="338" w:name="_Toc465177439"/>
      <w:bookmarkStart w:id="339" w:name="_Toc465177778"/>
      <w:bookmarkStart w:id="340" w:name="_Toc465178111"/>
      <w:bookmarkStart w:id="341" w:name="_Toc465178275"/>
      <w:bookmarkStart w:id="342" w:name="_Toc465178439"/>
      <w:bookmarkStart w:id="343" w:name="_Toc465179753"/>
      <w:bookmarkStart w:id="344" w:name="_Toc465180088"/>
      <w:bookmarkStart w:id="345" w:name="_Toc465180253"/>
      <w:bookmarkStart w:id="346" w:name="_Toc465176624"/>
      <w:bookmarkStart w:id="347" w:name="_Toc465176788"/>
      <w:bookmarkStart w:id="348" w:name="_Toc465177116"/>
      <w:bookmarkStart w:id="349" w:name="_Toc465177280"/>
      <w:bookmarkStart w:id="350" w:name="_Toc465177444"/>
      <w:bookmarkStart w:id="351" w:name="_Toc465177783"/>
      <w:bookmarkStart w:id="352" w:name="_Toc465178116"/>
      <w:bookmarkStart w:id="353" w:name="_Toc465178280"/>
      <w:bookmarkStart w:id="354" w:name="_Toc465178444"/>
      <w:bookmarkStart w:id="355" w:name="_Toc465179758"/>
      <w:bookmarkStart w:id="356" w:name="_Toc465180093"/>
      <w:bookmarkStart w:id="357" w:name="_Toc465180258"/>
      <w:bookmarkStart w:id="358" w:name="_Toc465176636"/>
      <w:bookmarkStart w:id="359" w:name="_Toc465176800"/>
      <w:bookmarkStart w:id="360" w:name="_Toc465177128"/>
      <w:bookmarkStart w:id="361" w:name="_Toc465177292"/>
      <w:bookmarkStart w:id="362" w:name="_Toc465177456"/>
      <w:bookmarkStart w:id="363" w:name="_Toc465177795"/>
      <w:bookmarkStart w:id="364" w:name="_Toc465178128"/>
      <w:bookmarkStart w:id="365" w:name="_Toc465178292"/>
      <w:bookmarkStart w:id="366" w:name="_Toc465178456"/>
      <w:bookmarkStart w:id="367" w:name="_Toc465179770"/>
      <w:bookmarkStart w:id="368" w:name="_Toc465180105"/>
      <w:bookmarkStart w:id="369" w:name="_Toc465180270"/>
      <w:bookmarkStart w:id="370" w:name="_Toc465176641"/>
      <w:bookmarkStart w:id="371" w:name="_Toc465176805"/>
      <w:bookmarkStart w:id="372" w:name="_Toc465177133"/>
      <w:bookmarkStart w:id="373" w:name="_Toc465177297"/>
      <w:bookmarkStart w:id="374" w:name="_Toc465177461"/>
      <w:bookmarkStart w:id="375" w:name="_Toc465177800"/>
      <w:bookmarkStart w:id="376" w:name="_Toc465178133"/>
      <w:bookmarkStart w:id="377" w:name="_Toc465178297"/>
      <w:bookmarkStart w:id="378" w:name="_Toc465178461"/>
      <w:bookmarkStart w:id="379" w:name="_Toc465179775"/>
      <w:bookmarkStart w:id="380" w:name="_Toc465180110"/>
      <w:bookmarkStart w:id="381" w:name="_Toc465180275"/>
      <w:bookmarkStart w:id="382" w:name="_Toc465177468"/>
      <w:bookmarkStart w:id="383" w:name="_Toc465177807"/>
      <w:bookmarkStart w:id="384" w:name="_Toc46542123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7</w:t>
      </w:r>
      <w:r>
        <w:tab/>
      </w:r>
      <w:r>
        <w:rPr>
          <w:noProof/>
        </w:rPr>
        <w:t>Заключение</w:t>
      </w:r>
      <w:bookmarkEnd w:id="382"/>
      <w:bookmarkEnd w:id="383"/>
      <w:bookmarkEnd w:id="384"/>
    </w:p>
    <w:p w:rsidR="00B1716D" w:rsidRDefault="00F128FF">
      <w:pPr>
        <w:spacing w:line="312" w:lineRule="auto"/>
        <w:jc w:val="both"/>
        <w:rPr>
          <w:rFonts w:ascii="Times New Roman" w:hAnsi="Times New Roman" w:cs="Times New Roman"/>
          <w:noProof/>
          <w:sz w:val="24"/>
          <w:szCs w:val="24"/>
        </w:rPr>
      </w:pPr>
      <w:r>
        <w:rPr>
          <w:rFonts w:ascii="Times New Roman" w:hAnsi="Times New Roman"/>
          <w:noProof/>
          <w:sz w:val="24"/>
        </w:rPr>
        <w:t>Налице е ши</w:t>
      </w:r>
      <w:r>
        <w:rPr>
          <w:rFonts w:ascii="Times New Roman" w:hAnsi="Times New Roman"/>
          <w:noProof/>
          <w:sz w:val="24"/>
        </w:rPr>
        <w:t>роко съгласие между заинтересованите страни относно необходимостта от актуализиране на съществуващата европейска рамка за оперативна съвместимост. Ако не бъдат предприети мерки, държавите членки могат да изберат индивидуални и различаващи се подходи за опе</w:t>
      </w:r>
      <w:r>
        <w:rPr>
          <w:rFonts w:ascii="Times New Roman" w:hAnsi="Times New Roman"/>
          <w:noProof/>
          <w:sz w:val="24"/>
        </w:rPr>
        <w:t xml:space="preserve">ративна съвместимост в усилията си да се справят бързо с текущите предизвикателства. Това ще доведе до несъвместими решения, които могат </w:t>
      </w:r>
      <w:r>
        <w:rPr>
          <w:rFonts w:ascii="Times New Roman" w:hAnsi="Times New Roman"/>
          <w:noProof/>
          <w:sz w:val="24"/>
        </w:rPr>
        <w:lastRenderedPageBreak/>
        <w:t>да увеличат цифровата разпокъсаност в рамките на ЕС и да възпрепятстват създаването на цифров единен пазар.</w:t>
      </w:r>
    </w:p>
    <w:p w:rsidR="00B1716D" w:rsidRDefault="00F128FF">
      <w:pPr>
        <w:spacing w:line="312" w:lineRule="auto"/>
        <w:jc w:val="both"/>
        <w:rPr>
          <w:rFonts w:ascii="Times New Roman" w:hAnsi="Times New Roman"/>
          <w:noProof/>
          <w:sz w:val="24"/>
        </w:rPr>
      </w:pPr>
      <w:r>
        <w:rPr>
          <w:rFonts w:ascii="Times New Roman" w:hAnsi="Times New Roman"/>
          <w:noProof/>
          <w:sz w:val="24"/>
        </w:rPr>
        <w:t>Новата евро</w:t>
      </w:r>
      <w:r>
        <w:rPr>
          <w:rFonts w:ascii="Times New Roman" w:hAnsi="Times New Roman"/>
          <w:noProof/>
          <w:sz w:val="24"/>
        </w:rPr>
        <w:t xml:space="preserve">пейска рамка за оперативна съвместимост е оформена в тясно сътрудничество с държавите членки и след широко допитване до всички други заинтересовани страни. За нейното успешно прилагане ще бъде необходимо активното участие на всички заинтересовани страни и </w:t>
      </w:r>
      <w:r>
        <w:rPr>
          <w:rFonts w:ascii="Times New Roman" w:hAnsi="Times New Roman"/>
          <w:noProof/>
          <w:sz w:val="24"/>
        </w:rPr>
        <w:t>по-специално на публичните администрации. Предвидените дейности ще осигурят постигането на крайната цел на новата европейска рамка за оперативна съвместимост, а именно оперативно съвместими, насочени към отделния ползвател обществени услуги в ЕС.</w:t>
      </w:r>
    </w:p>
    <w:sectPr w:rsidR="00B1716D">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FF" w:rsidRDefault="00F128FF">
      <w:pPr>
        <w:spacing w:after="0" w:line="240" w:lineRule="auto"/>
      </w:pPr>
      <w:r>
        <w:separator/>
      </w:r>
    </w:p>
  </w:endnote>
  <w:endnote w:type="continuationSeparator" w:id="0">
    <w:p w:rsidR="00F128FF" w:rsidRDefault="00F1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9D" w:rsidRDefault="00A87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6D" w:rsidRDefault="00F128FF">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9D" w:rsidRDefault="00A87D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6D" w:rsidRDefault="00B171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311474"/>
      <w:docPartObj>
        <w:docPartGallery w:val="Page Numbers (Bottom of Page)"/>
        <w:docPartUnique/>
      </w:docPartObj>
    </w:sdtPr>
    <w:sdtEndPr/>
    <w:sdtContent>
      <w:p w:rsidR="00B1716D" w:rsidRDefault="00F128FF">
        <w:pPr>
          <w:pStyle w:val="Footer"/>
          <w:jc w:val="center"/>
        </w:pPr>
        <w:r>
          <w:fldChar w:fldCharType="begin"/>
        </w:r>
        <w:r>
          <w:instrText xml:space="preserve"> PAGE </w:instrText>
        </w:r>
        <w:r>
          <w:instrText xml:space="preserve">  \* MERGEFORMAT </w:instrText>
        </w:r>
        <w:r>
          <w:fldChar w:fldCharType="separate"/>
        </w:r>
        <w:r w:rsidR="00A87D9D">
          <w:rPr>
            <w:noProof/>
          </w:rPr>
          <w:t>12</w:t>
        </w:r>
        <w:r>
          <w:fldChar w:fldCharType="end"/>
        </w:r>
      </w:p>
    </w:sdtContent>
  </w:sdt>
  <w:p w:rsidR="00B1716D" w:rsidRDefault="00B171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6D" w:rsidRDefault="00F128FF">
    <w:pPr>
      <w:pStyle w:val="Footer"/>
      <w:jc w:val="center"/>
    </w:pPr>
    <w:r>
      <w:fldChar w:fldCharType="begin"/>
    </w:r>
    <w:r>
      <w:instrText xml:space="preserve"> PAGE   \* MERGEFORMAT </w:instrText>
    </w:r>
    <w:r>
      <w:fldChar w:fldCharType="separate"/>
    </w:r>
    <w:r w:rsidR="00A87D9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FF" w:rsidRDefault="00F128FF">
      <w:pPr>
        <w:spacing w:after="0" w:line="240" w:lineRule="auto"/>
      </w:pPr>
      <w:r>
        <w:separator/>
      </w:r>
    </w:p>
  </w:footnote>
  <w:footnote w:type="continuationSeparator" w:id="0">
    <w:p w:rsidR="00F128FF" w:rsidRDefault="00F128FF">
      <w:pPr>
        <w:spacing w:after="0" w:line="240" w:lineRule="auto"/>
      </w:pPr>
      <w:r>
        <w:continuationSeparator/>
      </w:r>
    </w:p>
  </w:footnote>
  <w:footnote w:id="1">
    <w:p w:rsidR="00B1716D" w:rsidRPr="00A87D9D" w:rsidRDefault="00F128FF">
      <w:pPr>
        <w:pStyle w:val="FootnoteText"/>
        <w:jc w:val="both"/>
        <w:rPr>
          <w:sz w:val="20"/>
          <w:lang w:val="ru-RU"/>
        </w:rPr>
      </w:pPr>
      <w:r>
        <w:rPr>
          <w:rStyle w:val="FootnoteReference"/>
          <w:sz w:val="20"/>
        </w:rPr>
        <w:footnoteRef/>
      </w:r>
      <w:r>
        <w:rPr>
          <w:sz w:val="20"/>
        </w:rPr>
        <w:t xml:space="preserve"> Нов старт за Европа: моята програма за работни места, растеж, справедливост и демократична промяна — Политически насоки за следващата Европейска комисия, Встъпително изявление на пленарното заседание на Европейския парламент, Страсбург, 15 юли 2014 г.</w:t>
      </w:r>
    </w:p>
  </w:footnote>
  <w:footnote w:id="2">
    <w:p w:rsidR="00B1716D" w:rsidRPr="00A87D9D" w:rsidRDefault="00F128FF">
      <w:pPr>
        <w:pStyle w:val="FootnoteText"/>
        <w:jc w:val="both"/>
        <w:rPr>
          <w:sz w:val="20"/>
          <w:lang w:val="ru-RU"/>
        </w:rPr>
      </w:pPr>
      <w:r>
        <w:rPr>
          <w:rStyle w:val="FootnoteReference"/>
          <w:sz w:val="20"/>
        </w:rPr>
        <w:footnoteRef/>
      </w:r>
      <w:r>
        <w:rPr>
          <w:sz w:val="20"/>
        </w:rPr>
        <w:t xml:space="preserve"> И</w:t>
      </w:r>
      <w:r>
        <w:rPr>
          <w:sz w:val="20"/>
        </w:rPr>
        <w:t>ндексът за електронното управление е възлиза средно на 55,4 %, като е налице значителна разлика между държавите членки с най-висок и най-нисък индекс.</w:t>
      </w:r>
    </w:p>
  </w:footnote>
  <w:footnote w:id="3">
    <w:p w:rsidR="00B1716D" w:rsidRPr="00A87D9D" w:rsidRDefault="00F128FF">
      <w:pPr>
        <w:pStyle w:val="FootnoteText"/>
        <w:rPr>
          <w:lang w:val="ru-RU"/>
        </w:rPr>
      </w:pPr>
      <w:r>
        <w:rPr>
          <w:rStyle w:val="FootnoteReference"/>
          <w:sz w:val="20"/>
        </w:rPr>
        <w:footnoteRef/>
      </w:r>
      <w:r>
        <w:rPr>
          <w:sz w:val="20"/>
        </w:rPr>
        <w:t xml:space="preserve"> Както е посочено в доклада за индекса на единния пазар за 2014 г. по отношение на единните звена за кон</w:t>
      </w:r>
      <w:r>
        <w:rPr>
          <w:sz w:val="20"/>
        </w:rPr>
        <w:t>такт.</w:t>
      </w:r>
    </w:p>
  </w:footnote>
  <w:footnote w:id="4">
    <w:p w:rsidR="00B1716D" w:rsidRPr="00A87D9D" w:rsidRDefault="00F128FF">
      <w:pPr>
        <w:pStyle w:val="FootnoteText"/>
        <w:jc w:val="both"/>
        <w:rPr>
          <w:sz w:val="20"/>
          <w:lang w:val="ru-RU"/>
        </w:rPr>
      </w:pPr>
      <w:r>
        <w:rPr>
          <w:rStyle w:val="FootnoteReference"/>
          <w:sz w:val="20"/>
        </w:rPr>
        <w:footnoteRef/>
      </w:r>
      <w:r>
        <w:rPr>
          <w:sz w:val="20"/>
        </w:rPr>
        <w:t xml:space="preserve"> През 1999 г. Комисията започна инициатива, посветена на оперативната съвместимост: Решение № 1719/1999/ЕО на Европейския парламент и на Съвета от 12 юли 1999 г. относно набор от насоки, включително за идентифицирането на проекти от общ интерес, за </w:t>
      </w:r>
      <w:r>
        <w:rPr>
          <w:sz w:val="20"/>
        </w:rPr>
        <w:t>трансевропейските мрежи за електронен обмен на данни между администрациите (IDA).</w:t>
      </w:r>
    </w:p>
  </w:footnote>
  <w:footnote w:id="5">
    <w:p w:rsidR="00B1716D" w:rsidRPr="00A87D9D" w:rsidRDefault="00F128FF">
      <w:pPr>
        <w:pStyle w:val="FootnoteText"/>
        <w:rPr>
          <w:rStyle w:val="Hyperlink"/>
          <w:rFonts w:asciiTheme="minorHAnsi" w:hAnsiTheme="minorHAnsi"/>
          <w:sz w:val="20"/>
          <w:lang w:val="ru-RU"/>
        </w:rPr>
      </w:pPr>
      <w:r>
        <w:rPr>
          <w:rStyle w:val="FootnoteReference"/>
          <w:sz w:val="20"/>
        </w:rPr>
        <w:footnoteRef/>
      </w:r>
      <w:r>
        <w:rPr>
          <w:rStyle w:val="FootnoteReference"/>
          <w:sz w:val="20"/>
        </w:rPr>
        <w:t xml:space="preserve"> </w:t>
      </w:r>
      <w:r>
        <w:rPr>
          <w:sz w:val="20"/>
        </w:rPr>
        <w:t xml:space="preserve">Съобщение на Комисията до Европейския парламент, Съвета, Европейския икономически и социален комитет и Комитета на регионите „За оперативна съвместимост на европейските </w:t>
      </w:r>
      <w:r>
        <w:rPr>
          <w:sz w:val="20"/>
        </w:rPr>
        <w:t>обществени услуги“, Брюксел, 16.12.2010 г., (COM(2010) 744 final).</w:t>
      </w:r>
    </w:p>
  </w:footnote>
  <w:footnote w:id="6">
    <w:p w:rsidR="00B1716D" w:rsidRPr="00A87D9D" w:rsidRDefault="00F128FF">
      <w:pPr>
        <w:pStyle w:val="FootnoteText"/>
        <w:jc w:val="both"/>
        <w:rPr>
          <w:rStyle w:val="Hyperlink"/>
          <w:rFonts w:asciiTheme="minorHAnsi" w:hAnsiTheme="minorHAnsi"/>
          <w:sz w:val="20"/>
          <w:lang w:val="ru-RU"/>
        </w:rPr>
      </w:pPr>
      <w:r>
        <w:rPr>
          <w:rStyle w:val="FootnoteReference"/>
          <w:sz w:val="20"/>
        </w:rPr>
        <w:footnoteRef/>
      </w:r>
      <w:r>
        <w:rPr>
          <w:rStyle w:val="FootnoteReference"/>
          <w:sz w:val="20"/>
        </w:rPr>
        <w:t xml:space="preserve"> </w:t>
      </w:r>
      <w:r>
        <w:rPr>
          <w:sz w:val="20"/>
        </w:rPr>
        <w:t>COM(2010) 744 final, приложение 1.</w:t>
      </w:r>
    </w:p>
  </w:footnote>
  <w:footnote w:id="7">
    <w:p w:rsidR="00B1716D" w:rsidRPr="00A87D9D" w:rsidRDefault="00F128FF">
      <w:pPr>
        <w:pStyle w:val="FootnoteText"/>
        <w:jc w:val="both"/>
        <w:rPr>
          <w:rStyle w:val="Hyperlink"/>
          <w:rFonts w:asciiTheme="minorHAnsi" w:hAnsiTheme="minorHAnsi"/>
          <w:sz w:val="20"/>
          <w:lang w:val="ru-RU"/>
        </w:rPr>
      </w:pPr>
      <w:r>
        <w:rPr>
          <w:rStyle w:val="FootnoteReference"/>
          <w:sz w:val="20"/>
        </w:rPr>
        <w:footnoteRef/>
      </w:r>
      <w:r>
        <w:rPr>
          <w:rStyle w:val="FootnoteReference"/>
          <w:sz w:val="20"/>
        </w:rPr>
        <w:t xml:space="preserve"> </w:t>
      </w:r>
      <w:r>
        <w:rPr>
          <w:sz w:val="20"/>
        </w:rPr>
        <w:t>COM(2010) 744 final, приложение 2.</w:t>
      </w:r>
    </w:p>
  </w:footnote>
  <w:footnote w:id="8">
    <w:p w:rsidR="00B1716D" w:rsidRPr="00A87D9D" w:rsidRDefault="00F128FF">
      <w:pPr>
        <w:pStyle w:val="FootnoteText"/>
        <w:jc w:val="both"/>
        <w:rPr>
          <w:sz w:val="20"/>
          <w:lang w:val="ru-RU"/>
        </w:rPr>
      </w:pPr>
      <w:r>
        <w:rPr>
          <w:rStyle w:val="FootnoteReference"/>
          <w:sz w:val="20"/>
        </w:rPr>
        <w:footnoteRef/>
      </w:r>
      <w:r>
        <w:rPr>
          <w:sz w:val="20"/>
        </w:rPr>
        <w:t xml:space="preserve"> </w:t>
      </w:r>
      <w:hyperlink r:id="rId1">
        <w:r>
          <w:rPr>
            <w:sz w:val="20"/>
          </w:rPr>
          <w:t xml:space="preserve">Съобщение на </w:t>
        </w:r>
        <w:r>
          <w:rPr>
            <w:sz w:val="20"/>
          </w:rPr>
          <w:t>Комисията до Европейския парламент, Съвета, Европейския икономически и социален комитет и Комитета на регионите „Стратегия за цифров единен пазар за Европа“, Брюксел, 6.5.2015 г., (COM(2015) 192 final).</w:t>
        </w:r>
      </w:hyperlink>
    </w:p>
  </w:footnote>
  <w:footnote w:id="9">
    <w:p w:rsidR="00B1716D" w:rsidRPr="00A87D9D" w:rsidRDefault="00F128FF">
      <w:pPr>
        <w:pStyle w:val="FootnoteText"/>
        <w:jc w:val="both"/>
        <w:rPr>
          <w:sz w:val="20"/>
          <w:lang w:val="ru-RU"/>
        </w:rPr>
      </w:pPr>
      <w:r>
        <w:rPr>
          <w:rStyle w:val="FootnoteReference"/>
          <w:sz w:val="20"/>
        </w:rPr>
        <w:footnoteRef/>
      </w:r>
      <w:r>
        <w:rPr>
          <w:sz w:val="20"/>
        </w:rPr>
        <w:t xml:space="preserve"> Решение № 922/2009/ЕО на Европейския парламент и н</w:t>
      </w:r>
      <w:r>
        <w:rPr>
          <w:sz w:val="20"/>
        </w:rPr>
        <w:t>а Съвета от септември 2009 г. относно решения за оперативна съвместимост за европейските публични администрации (ISA).</w:t>
      </w:r>
    </w:p>
  </w:footnote>
  <w:footnote w:id="10">
    <w:p w:rsidR="00B1716D" w:rsidRDefault="00F128FF">
      <w:pPr>
        <w:pStyle w:val="Default"/>
        <w:rPr>
          <w:sz w:val="20"/>
          <w:szCs w:val="20"/>
        </w:rPr>
      </w:pPr>
      <w:r>
        <w:rPr>
          <w:rStyle w:val="FootnoteReference"/>
          <w:rFonts w:ascii="Times New Roman" w:hAnsi="Times New Roman"/>
          <w:sz w:val="20"/>
        </w:rPr>
        <w:footnoteRef/>
      </w:r>
      <w:r>
        <w:rPr>
          <w:rFonts w:ascii="Times New Roman" w:hAnsi="Times New Roman"/>
          <w:sz w:val="20"/>
        </w:rPr>
        <w:t xml:space="preserve"> Решение (ЕС) 2015/2240 на Европейския парламент и на Съвета от 25 ноември 2015 г. за създаване на програма за решения за оперативна съв</w:t>
      </w:r>
      <w:r>
        <w:rPr>
          <w:rFonts w:ascii="Times New Roman" w:hAnsi="Times New Roman"/>
          <w:sz w:val="20"/>
        </w:rPr>
        <w:t>местимост и общи рамки за европейските публични администрации, предприятията и гражданите (програма ISA²) като средство за модернизиране на публичния сектор.</w:t>
      </w:r>
    </w:p>
  </w:footnote>
  <w:footnote w:id="11">
    <w:p w:rsidR="00B1716D" w:rsidRDefault="00F128FF">
      <w:pPr>
        <w:pStyle w:val="FootnoteText"/>
        <w:jc w:val="both"/>
        <w:rPr>
          <w:sz w:val="20"/>
        </w:rPr>
      </w:pPr>
      <w:r>
        <w:rPr>
          <w:rStyle w:val="FootnoteReference"/>
          <w:sz w:val="20"/>
        </w:rPr>
        <w:footnoteRef/>
      </w:r>
      <w:r>
        <w:rPr>
          <w:sz w:val="20"/>
        </w:rPr>
        <w:t xml:space="preserve"> State of Play of Interoperability in Europe – Report 2014</w:t>
      </w:r>
      <w:r>
        <w:rPr>
          <w:rFonts w:cs="Arial"/>
          <w:color w:val="000000"/>
          <w:sz w:val="20"/>
          <w:szCs w:val="24"/>
        </w:rPr>
        <w:t xml:space="preserve"> (Съвременно състояние по отношение на </w:t>
      </w:r>
      <w:r>
        <w:rPr>
          <w:rFonts w:cs="Arial"/>
          <w:color w:val="000000"/>
          <w:sz w:val="20"/>
          <w:szCs w:val="24"/>
        </w:rPr>
        <w:t xml:space="preserve">оперативната съвместимост в Европа </w:t>
      </w:r>
      <w:r>
        <w:rPr>
          <w:sz w:val="20"/>
        </w:rPr>
        <w:t xml:space="preserve">– </w:t>
      </w:r>
      <w:r>
        <w:rPr>
          <w:rFonts w:cs="Arial"/>
          <w:color w:val="000000"/>
          <w:sz w:val="20"/>
          <w:szCs w:val="24"/>
        </w:rPr>
        <w:t>доклад 2014 г.)</w:t>
      </w:r>
      <w:r>
        <w:rPr>
          <w:sz w:val="20"/>
        </w:rPr>
        <w:t>.</w:t>
      </w:r>
    </w:p>
  </w:footnote>
  <w:footnote w:id="12">
    <w:p w:rsidR="00B1716D" w:rsidRDefault="00F128FF">
      <w:pPr>
        <w:pStyle w:val="FootnoteText"/>
        <w:jc w:val="both"/>
        <w:rPr>
          <w:sz w:val="20"/>
        </w:rPr>
      </w:pPr>
      <w:r>
        <w:rPr>
          <w:rStyle w:val="FootnoteReference"/>
          <w:sz w:val="20"/>
        </w:rPr>
        <w:footnoteRef/>
      </w:r>
      <w:r>
        <w:rPr>
          <w:sz w:val="20"/>
        </w:rPr>
        <w:t xml:space="preserve"> 2003/98/ЕО, изменена с Директива 2013/37/ЕС.</w:t>
      </w:r>
    </w:p>
  </w:footnote>
  <w:footnote w:id="13">
    <w:p w:rsidR="00B1716D" w:rsidRDefault="00F128FF">
      <w:pPr>
        <w:pStyle w:val="FootnoteText"/>
        <w:rPr>
          <w:sz w:val="20"/>
        </w:rPr>
      </w:pPr>
      <w:r>
        <w:rPr>
          <w:rStyle w:val="FootnoteReference"/>
          <w:sz w:val="20"/>
        </w:rPr>
        <w:footnoteRef/>
      </w:r>
      <w:r>
        <w:rPr>
          <w:sz w:val="20"/>
        </w:rPr>
        <w:t xml:space="preserve"> Директива 2007/2/EО от март 2007 г. за създаване на инфраструктура за пространствена информация в Европейската общност (INSPIRE).</w:t>
      </w:r>
    </w:p>
  </w:footnote>
  <w:footnote w:id="14">
    <w:p w:rsidR="00B1716D" w:rsidRDefault="00F128FF">
      <w:pPr>
        <w:pStyle w:val="FootnoteText"/>
        <w:jc w:val="both"/>
        <w:rPr>
          <w:sz w:val="20"/>
        </w:rPr>
      </w:pPr>
      <w:r>
        <w:rPr>
          <w:rStyle w:val="FootnoteReference"/>
          <w:sz w:val="20"/>
        </w:rPr>
        <w:footnoteRef/>
      </w:r>
      <w:r>
        <w:rPr>
          <w:sz w:val="20"/>
        </w:rPr>
        <w:t xml:space="preserve"> Регламент (ЕС) № 910/</w:t>
      </w:r>
      <w:r>
        <w:rPr>
          <w:sz w:val="20"/>
        </w:rPr>
        <w:t>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p>
  </w:footnote>
  <w:footnote w:id="15">
    <w:p w:rsidR="00B1716D" w:rsidRDefault="00F128FF">
      <w:pPr>
        <w:pStyle w:val="FootnoteText"/>
        <w:jc w:val="both"/>
        <w:rPr>
          <w:sz w:val="20"/>
        </w:rPr>
      </w:pPr>
      <w:r>
        <w:rPr>
          <w:rStyle w:val="FootnoteReference"/>
          <w:sz w:val="20"/>
        </w:rPr>
        <w:footnoteRef/>
      </w:r>
      <w:r>
        <w:rPr>
          <w:sz w:val="20"/>
        </w:rPr>
        <w:t xml:space="preserve"> Съобщение на Комисията до Европейския парламент, С</w:t>
      </w:r>
      <w:r>
        <w:rPr>
          <w:sz w:val="20"/>
        </w:rPr>
        <w:t>ъвета, Европейския икономически и социален комитет и Комитета на регионите „Европейска инициатива за компютърни услуги — Изграждане на конкурентоспособна икономика в Европа, основана на данни и знания“ (COM(2016)0178 final).</w:t>
      </w:r>
    </w:p>
  </w:footnote>
  <w:footnote w:id="16">
    <w:p w:rsidR="00B1716D" w:rsidRDefault="00F128FF">
      <w:pPr>
        <w:pStyle w:val="FootnoteText"/>
        <w:rPr>
          <w:sz w:val="20"/>
        </w:rPr>
      </w:pPr>
      <w:r>
        <w:rPr>
          <w:rStyle w:val="FootnoteReference"/>
          <w:sz w:val="20"/>
        </w:rPr>
        <w:footnoteRef/>
      </w:r>
      <w:r>
        <w:rPr>
          <w:sz w:val="20"/>
        </w:rPr>
        <w:t xml:space="preserve"> Съобщение на Комисията до Евр</w:t>
      </w:r>
      <w:r>
        <w:rPr>
          <w:sz w:val="20"/>
        </w:rPr>
        <w:t>опейския парламент, Съвета, Европейския икономически и социален комитет и Комитета на регионите „План за действие на ЕС за електронно управление през периода 2016—2020 г. Ускоряване на цифровото преобразуване на управлението“ (COM(2016)0179 final).</w:t>
      </w:r>
    </w:p>
  </w:footnote>
  <w:footnote w:id="17">
    <w:p w:rsidR="00B1716D" w:rsidRDefault="00F128FF">
      <w:pPr>
        <w:pStyle w:val="FootnoteText"/>
        <w:jc w:val="both"/>
        <w:rPr>
          <w:sz w:val="20"/>
        </w:rPr>
      </w:pPr>
      <w:r>
        <w:rPr>
          <w:rStyle w:val="FootnoteReference"/>
          <w:sz w:val="20"/>
        </w:rPr>
        <w:footnoteRef/>
      </w:r>
      <w:r>
        <w:rPr>
          <w:sz w:val="20"/>
        </w:rPr>
        <w:t xml:space="preserve"> Иници</w:t>
      </w:r>
      <w:r>
        <w:rPr>
          <w:sz w:val="20"/>
        </w:rPr>
        <w:t>атива за цифров единен пазар в рамките на набор от действия за електронно управление.</w:t>
      </w:r>
    </w:p>
  </w:footnote>
  <w:footnote w:id="18">
    <w:p w:rsidR="00B1716D" w:rsidRDefault="00F128FF">
      <w:pPr>
        <w:pStyle w:val="FootnoteText"/>
        <w:jc w:val="both"/>
        <w:rPr>
          <w:sz w:val="20"/>
        </w:rPr>
      </w:pPr>
      <w:r>
        <w:rPr>
          <w:rStyle w:val="FootnoteReference"/>
          <w:sz w:val="20"/>
        </w:rPr>
        <w:footnoteRef/>
      </w:r>
      <w:r>
        <w:rPr>
          <w:sz w:val="20"/>
        </w:rPr>
        <w:t xml:space="preserve"> </w:t>
      </w:r>
      <w:r>
        <w:rPr>
          <w:sz w:val="20"/>
          <w:lang w:val="en-GB"/>
        </w:rPr>
        <w:t>SWD</w:t>
      </w:r>
      <w:r>
        <w:rPr>
          <w:sz w:val="20"/>
        </w:rPr>
        <w:t>(2017)113 във връзка с обобщения доклад относно процеса на консултиране показва, че държавите членки и институциите на ЕС са посочили необходимостта от нова европейс</w:t>
      </w:r>
      <w:r>
        <w:rPr>
          <w:sz w:val="20"/>
        </w:rPr>
        <w:t xml:space="preserve">ка рамка за оперативна съвместимост, за да: i) се вземат предвид новите технологични тенденции (73 %); ii) се предоставят практически и по-целесъобразни насоки за прилагане на изискванията за оперативна съвместимост (73 %); и iii) се осигури съгласуваност </w:t>
      </w:r>
      <w:r>
        <w:rPr>
          <w:sz w:val="20"/>
        </w:rPr>
        <w:t xml:space="preserve">с развитието на стратегиите на ЕС, по-специално стратегията за цифров единен пазар (65 %). </w:t>
      </w:r>
    </w:p>
  </w:footnote>
  <w:footnote w:id="19">
    <w:p w:rsidR="00B1716D" w:rsidRDefault="00F128FF">
      <w:pPr>
        <w:pStyle w:val="FootnoteText"/>
        <w:rPr>
          <w:sz w:val="20"/>
        </w:rPr>
      </w:pPr>
      <w:r>
        <w:rPr>
          <w:rStyle w:val="FootnoteReference"/>
          <w:sz w:val="20"/>
        </w:rPr>
        <w:footnoteRef/>
      </w:r>
      <w:r>
        <w:rPr>
          <w:sz w:val="20"/>
        </w:rPr>
        <w:t xml:space="preserve"> </w:t>
      </w:r>
      <w:r>
        <w:rPr>
          <w:sz w:val="20"/>
          <w:lang w:val="en-GB"/>
        </w:rPr>
        <w:t>SWD</w:t>
      </w:r>
      <w:r>
        <w:rPr>
          <w:sz w:val="20"/>
        </w:rPr>
        <w:t xml:space="preserve">(2017)112 относно преразглеждането на Европейската рамка за оперативна съвместимост — анализ, в който се съдържа подробна информация относно увеличения брой </w:t>
      </w:r>
      <w:r>
        <w:rPr>
          <w:sz w:val="20"/>
        </w:rPr>
        <w:t>препоръки и добавената стойност на актуализациите.</w:t>
      </w:r>
    </w:p>
  </w:footnote>
  <w:footnote w:id="20">
    <w:p w:rsidR="00B1716D" w:rsidRDefault="00F128FF">
      <w:pPr>
        <w:pStyle w:val="FootnoteText"/>
        <w:rPr>
          <w:sz w:val="20"/>
        </w:rPr>
      </w:pPr>
      <w:r>
        <w:rPr>
          <w:rStyle w:val="FootnoteReference"/>
          <w:sz w:val="20"/>
        </w:rPr>
        <w:footnoteRef/>
      </w:r>
      <w:r>
        <w:rPr>
          <w:sz w:val="20"/>
        </w:rPr>
        <w:t xml:space="preserve"> </w:t>
      </w:r>
      <w:r>
        <w:rPr>
          <w:sz w:val="20"/>
          <w:lang w:val="en-GB"/>
        </w:rPr>
        <w:t>SWD</w:t>
      </w:r>
      <w:r>
        <w:rPr>
          <w:sz w:val="20"/>
        </w:rPr>
        <w:t>(2017)113 във връзка с обобщения доклад относно процеса на консултиране показва, че 87 % от респондентите одобряват това виждане.</w:t>
      </w:r>
    </w:p>
  </w:footnote>
  <w:footnote w:id="21">
    <w:p w:rsidR="00B1716D" w:rsidRDefault="00F128FF">
      <w:pPr>
        <w:pStyle w:val="FootnoteText"/>
        <w:jc w:val="both"/>
        <w:rPr>
          <w:sz w:val="20"/>
        </w:rPr>
      </w:pPr>
      <w:r>
        <w:rPr>
          <w:rStyle w:val="FootnoteReference"/>
          <w:sz w:val="20"/>
        </w:rPr>
        <w:footnoteRef/>
      </w:r>
      <w:r>
        <w:rPr>
          <w:sz w:val="20"/>
        </w:rPr>
        <w:t xml:space="preserve"> Инициативите за оперативна съвместимост следва да се разбират като д</w:t>
      </w:r>
      <w:r>
        <w:rPr>
          <w:sz w:val="20"/>
        </w:rPr>
        <w:t>ействия и решения (т.е. рамки, услуги и инструменти), които допринасят за подобряване на взаимодействието между европейските публични администрации на всички равнища, включително споделянето на информация и знания между организациите. Тези инициативи следв</w:t>
      </w:r>
      <w:r>
        <w:rPr>
          <w:sz w:val="20"/>
        </w:rPr>
        <w:t>а да обхващат всички равнища на оперативна съвместимост — правно, организационно, семантично и техническо.</w:t>
      </w:r>
    </w:p>
  </w:footnote>
  <w:footnote w:id="22">
    <w:p w:rsidR="00B1716D" w:rsidRDefault="00F128FF">
      <w:pPr>
        <w:pStyle w:val="FootnoteText"/>
        <w:jc w:val="both"/>
        <w:rPr>
          <w:sz w:val="20"/>
        </w:rPr>
      </w:pPr>
      <w:r>
        <w:rPr>
          <w:rStyle w:val="FootnoteReference"/>
          <w:sz w:val="20"/>
        </w:rPr>
        <w:footnoteRef/>
      </w:r>
      <w:r>
        <w:rPr>
          <w:sz w:val="20"/>
        </w:rPr>
        <w:t xml:space="preserve"> Принципът на пропорционалност ограничава действията на ЕС до това, което е необходимо за постигане на съгласуваните политически цели. Това означава</w:t>
      </w:r>
      <w:r>
        <w:rPr>
          <w:sz w:val="20"/>
        </w:rPr>
        <w:t>, че ЕС ще избере решения, които предоставят на държавите членки възможно най-голяма свобода.</w:t>
      </w:r>
    </w:p>
  </w:footnote>
  <w:footnote w:id="23">
    <w:p w:rsidR="00B1716D" w:rsidRDefault="00F128FF">
      <w:pPr>
        <w:pStyle w:val="FootnoteText"/>
        <w:rPr>
          <w:sz w:val="20"/>
        </w:rPr>
      </w:pPr>
      <w:r>
        <w:rPr>
          <w:rStyle w:val="FootnoteReference"/>
          <w:sz w:val="20"/>
        </w:rPr>
        <w:footnoteRef/>
      </w:r>
      <w:r>
        <w:rPr>
          <w:sz w:val="20"/>
        </w:rPr>
        <w:t xml:space="preserve"> Решение (ЕС) 2015/2240 относно ISA², член 1, параграф 2.</w:t>
      </w:r>
    </w:p>
  </w:footnote>
  <w:footnote w:id="24">
    <w:p w:rsidR="00B1716D" w:rsidRDefault="00F128FF">
      <w:pPr>
        <w:pStyle w:val="FootnoteText"/>
        <w:rPr>
          <w:sz w:val="20"/>
        </w:rPr>
      </w:pPr>
      <w:r>
        <w:rPr>
          <w:rStyle w:val="FootnoteReference"/>
          <w:sz w:val="20"/>
        </w:rPr>
        <w:footnoteRef/>
      </w:r>
      <w:r>
        <w:rPr>
          <w:sz w:val="20"/>
        </w:rPr>
        <w:t xml:space="preserve"> Решение (ЕС) 2015/2240 относно ISA², членове1 и 3.</w:t>
      </w:r>
    </w:p>
  </w:footnote>
  <w:footnote w:id="25">
    <w:p w:rsidR="00B1716D" w:rsidRDefault="00F128FF">
      <w:pPr>
        <w:pStyle w:val="FootnoteText"/>
        <w:jc w:val="both"/>
        <w:rPr>
          <w:sz w:val="20"/>
        </w:rPr>
      </w:pPr>
      <w:r>
        <w:rPr>
          <w:rStyle w:val="FootnoteReference"/>
          <w:sz w:val="20"/>
        </w:rPr>
        <w:footnoteRef/>
      </w:r>
      <w:r>
        <w:rPr>
          <w:sz w:val="20"/>
        </w:rPr>
        <w:t xml:space="preserve"> Както е посочено в раздел 4.3.2 „Електронно упра</w:t>
      </w:r>
      <w:r>
        <w:rPr>
          <w:sz w:val="20"/>
        </w:rPr>
        <w:t>вление“ на стратегията за цифров единен пазар (COM(2015)</w:t>
      </w:r>
      <w:r>
        <w:t> 192 final).</w:t>
      </w:r>
    </w:p>
  </w:footnote>
  <w:footnote w:id="26">
    <w:p w:rsidR="00B1716D" w:rsidRDefault="00F128FF">
      <w:pPr>
        <w:pStyle w:val="FootnoteText"/>
        <w:jc w:val="both"/>
        <w:rPr>
          <w:sz w:val="20"/>
        </w:rPr>
      </w:pPr>
      <w:r>
        <w:rPr>
          <w:rStyle w:val="FootnoteReference"/>
          <w:sz w:val="20"/>
        </w:rPr>
        <w:footnoteRef/>
      </w:r>
      <w:r>
        <w:rPr>
          <w:sz w:val="20"/>
        </w:rPr>
        <w:t xml:space="preserve"> Както е определено в член 2, параграф 14 от Решението относно ISA2, „основни фактори за оперативна съвместимост“ означава решения за оперативна съвместимост (например услуги и инструмен</w:t>
      </w:r>
      <w:r>
        <w:rPr>
          <w:sz w:val="20"/>
        </w:rPr>
        <w:t>ти, стандарти и спецификации), необходими за ефикасното и ефективно предоставяне на обществени услуги в различните администрации.</w:t>
      </w:r>
    </w:p>
  </w:footnote>
  <w:footnote w:id="27">
    <w:p w:rsidR="00B1716D" w:rsidRDefault="00F128FF">
      <w:pPr>
        <w:pStyle w:val="FootnoteText"/>
        <w:rPr>
          <w:sz w:val="20"/>
        </w:rPr>
      </w:pPr>
      <w:r>
        <w:rPr>
          <w:rStyle w:val="FootnoteReference"/>
          <w:sz w:val="20"/>
        </w:rPr>
        <w:footnoteRef/>
      </w:r>
      <w:r>
        <w:rPr>
          <w:sz w:val="20"/>
        </w:rPr>
        <w:t xml:space="preserve"> Решение (ЕС) 2015/2240 относно ISA², член 3, буква е).</w:t>
      </w:r>
    </w:p>
  </w:footnote>
  <w:footnote w:id="28">
    <w:p w:rsidR="00B1716D" w:rsidRDefault="00F128FF">
      <w:pPr>
        <w:pStyle w:val="FootnoteText"/>
        <w:rPr>
          <w:sz w:val="20"/>
        </w:rPr>
      </w:pPr>
      <w:r>
        <w:rPr>
          <w:rStyle w:val="FootnoteReference"/>
          <w:sz w:val="20"/>
        </w:rPr>
        <w:footnoteRef/>
      </w:r>
      <w:r>
        <w:rPr>
          <w:sz w:val="20"/>
        </w:rPr>
        <w:t xml:space="preserve"> Решение (ЕС) 2015/2240 относно ISA², член 3, буква в).</w:t>
      </w:r>
    </w:p>
  </w:footnote>
  <w:footnote w:id="29">
    <w:p w:rsidR="00B1716D" w:rsidRDefault="00F128FF">
      <w:pPr>
        <w:pStyle w:val="FootnoteText"/>
        <w:rPr>
          <w:sz w:val="20"/>
        </w:rPr>
      </w:pPr>
      <w:r>
        <w:rPr>
          <w:rStyle w:val="FootnoteReference"/>
          <w:sz w:val="20"/>
        </w:rPr>
        <w:footnoteRef/>
      </w:r>
      <w:r>
        <w:rPr>
          <w:sz w:val="20"/>
        </w:rPr>
        <w:t xml:space="preserve"> Решение (ЕС) 2015/2240 относно ISA², член 3, буква г).</w:t>
      </w:r>
    </w:p>
  </w:footnote>
  <w:footnote w:id="30">
    <w:p w:rsidR="00B1716D" w:rsidRDefault="00F128FF">
      <w:pPr>
        <w:pStyle w:val="FootnoteText"/>
        <w:jc w:val="both"/>
        <w:rPr>
          <w:sz w:val="20"/>
        </w:rPr>
      </w:pPr>
      <w:r>
        <w:rPr>
          <w:rStyle w:val="FootnoteReference"/>
          <w:sz w:val="20"/>
        </w:rPr>
        <w:footnoteRef/>
      </w:r>
      <w:r>
        <w:rPr>
          <w:sz w:val="20"/>
        </w:rPr>
        <w:t xml:space="preserve"> Регламент (ЕС) № 1291/2013 на Европейския парламент и на Съвета от 11 декември 2013 г. за създаване на „Хоризонт 2020“ — рамковата програма за научни изследвания и иновации (2014—2020 г.) и за отмян</w:t>
      </w:r>
      <w:r>
        <w:rPr>
          <w:sz w:val="20"/>
        </w:rPr>
        <w:t>а на Решение № 1982/2006/ЕО, [Официален вестник на Европейския съюз L 347/104], Брюксел, 20.12.2013 г.</w:t>
      </w:r>
    </w:p>
  </w:footnote>
  <w:footnote w:id="31">
    <w:p w:rsidR="00B1716D" w:rsidRDefault="00F128FF">
      <w:pPr>
        <w:pStyle w:val="FootnoteText"/>
        <w:jc w:val="both"/>
        <w:rPr>
          <w:sz w:val="20"/>
        </w:rPr>
      </w:pPr>
      <w:r>
        <w:rPr>
          <w:rStyle w:val="FootnoteReference"/>
          <w:sz w:val="20"/>
        </w:rPr>
        <w:footnoteRef/>
      </w:r>
      <w:r>
        <w:rPr>
          <w:sz w:val="20"/>
        </w:rPr>
        <w:t xml:space="preserve"> Обществено предизвикателство № 6 „</w:t>
      </w:r>
      <w:r>
        <w:rPr>
          <w:color w:val="252525"/>
          <w:sz w:val="20"/>
        </w:rPr>
        <w:t>Европа в един променящ се свят — приобщаващи, новаторски и мислещи общества</w:t>
      </w:r>
      <w:r>
        <w:rPr>
          <w:sz w:val="20"/>
        </w:rPr>
        <w:t>“ от „Хоризонт 2020“.</w:t>
      </w:r>
    </w:p>
  </w:footnote>
  <w:footnote w:id="32">
    <w:p w:rsidR="00B1716D" w:rsidRDefault="00F128FF">
      <w:pPr>
        <w:pStyle w:val="FootnoteText"/>
        <w:jc w:val="both"/>
        <w:rPr>
          <w:sz w:val="20"/>
        </w:rPr>
      </w:pPr>
      <w:r>
        <w:rPr>
          <w:rStyle w:val="FootnoteReference"/>
          <w:sz w:val="20"/>
        </w:rPr>
        <w:footnoteRef/>
      </w:r>
      <w:r>
        <w:rPr>
          <w:sz w:val="20"/>
        </w:rPr>
        <w:t xml:space="preserve"> Регламент (ЕС) № 2</w:t>
      </w:r>
      <w:r>
        <w:rPr>
          <w:sz w:val="20"/>
        </w:rPr>
        <w:t>83/2014 на Европейския парламент и на Съвета от 11 март 2014 г. относно насоки за трансевропейските мрежи в областта на телекомуникационната инфраструктура и за отмяна на Решение № 1336/97/ЕО.</w:t>
      </w:r>
    </w:p>
  </w:footnote>
  <w:footnote w:id="33">
    <w:p w:rsidR="00B1716D" w:rsidRDefault="00F128FF">
      <w:pPr>
        <w:pStyle w:val="FootnoteText"/>
        <w:jc w:val="both"/>
        <w:rPr>
          <w:sz w:val="20"/>
        </w:rPr>
      </w:pPr>
      <w:r>
        <w:rPr>
          <w:rStyle w:val="FootnoteReference"/>
          <w:sz w:val="20"/>
        </w:rPr>
        <w:footnoteRef/>
      </w:r>
      <w:r>
        <w:rPr>
          <w:sz w:val="20"/>
        </w:rPr>
        <w:t xml:space="preserve"> </w:t>
      </w:r>
      <w:hyperlink r:id="rId2">
        <w:r>
          <w:rPr>
            <w:rStyle w:val="Hyperlink"/>
            <w:sz w:val="20"/>
          </w:rPr>
          <w:t>http://ec.europa.eu/regional_policy/en/information/legislation/guidance/</w:t>
        </w:r>
      </w:hyperlink>
      <w:r>
        <w:rPr>
          <w:sz w:val="20"/>
        </w:rPr>
        <w:t>.</w:t>
      </w:r>
    </w:p>
  </w:footnote>
  <w:footnote w:id="34">
    <w:p w:rsidR="00B1716D" w:rsidRDefault="00F128FF">
      <w:pPr>
        <w:pStyle w:val="FootnoteText"/>
        <w:jc w:val="both"/>
        <w:rPr>
          <w:sz w:val="20"/>
        </w:rPr>
      </w:pPr>
      <w:r>
        <w:rPr>
          <w:rStyle w:val="FootnoteReference"/>
          <w:sz w:val="20"/>
        </w:rPr>
        <w:footnoteRef/>
      </w:r>
      <w:r>
        <w:rPr>
          <w:sz w:val="20"/>
        </w:rPr>
        <w:t xml:space="preserve"> Тематична цел № 2 </w:t>
      </w:r>
      <w:r>
        <w:t>на ЕСИФ.</w:t>
      </w:r>
    </w:p>
  </w:footnote>
  <w:footnote w:id="35">
    <w:p w:rsidR="00B1716D" w:rsidRDefault="00F128FF">
      <w:pPr>
        <w:pStyle w:val="FootnoteText"/>
        <w:jc w:val="both"/>
        <w:rPr>
          <w:sz w:val="20"/>
        </w:rPr>
      </w:pPr>
      <w:r>
        <w:rPr>
          <w:rStyle w:val="FootnoteReference"/>
          <w:sz w:val="20"/>
        </w:rPr>
        <w:footnoteRef/>
      </w:r>
      <w:r>
        <w:rPr>
          <w:sz w:val="20"/>
        </w:rPr>
        <w:t xml:space="preserve"> Тематична цел № 11 </w:t>
      </w:r>
      <w:r>
        <w:t>на ЕСИФ.</w:t>
      </w:r>
    </w:p>
  </w:footnote>
  <w:footnote w:id="36">
    <w:p w:rsidR="00B1716D" w:rsidRDefault="00F128FF">
      <w:pPr>
        <w:pStyle w:val="FootnoteText"/>
        <w:jc w:val="both"/>
        <w:rPr>
          <w:sz w:val="20"/>
        </w:rPr>
      </w:pPr>
      <w:r>
        <w:rPr>
          <w:rStyle w:val="FootnoteReference"/>
          <w:sz w:val="20"/>
        </w:rPr>
        <w:footnoteRef/>
      </w:r>
      <w:r>
        <w:rPr>
          <w:sz w:val="20"/>
        </w:rPr>
        <w:t xml:space="preserve"> </w:t>
      </w:r>
      <w:hyperlink r:id="rId3">
        <w:r>
          <w:rPr>
            <w:rStyle w:val="Hyperlink"/>
            <w:sz w:val="20"/>
          </w:rPr>
          <w:t>http://ec.europa.eu/about/s</w:t>
        </w:r>
        <w:r>
          <w:rPr>
            <w:rStyle w:val="Hyperlink"/>
            <w:sz w:val="20"/>
          </w:rPr>
          <w:t>rss/index_en.htm</w:t>
        </w:r>
      </w:hyperlink>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9D" w:rsidRDefault="00A87D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9D" w:rsidRDefault="00A87D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9D" w:rsidRDefault="00A87D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6D" w:rsidRDefault="00B171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6D" w:rsidRDefault="00B171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16D" w:rsidRDefault="00B17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2548D4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DAA80E4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19498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B40EB36"/>
    <w:name w:val="0,50383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315A89"/>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9">
    <w:nsid w:val="3FB84068"/>
    <w:multiLevelType w:val="hybridMultilevel"/>
    <w:tmpl w:val="27C2CA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7A14E6"/>
    <w:multiLevelType w:val="hybridMultilevel"/>
    <w:tmpl w:val="D2C4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A6601E7"/>
    <w:multiLevelType w:val="hybridMultilevel"/>
    <w:tmpl w:val="661C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4936E5"/>
    <w:multiLevelType w:val="multilevel"/>
    <w:tmpl w:val="9F9A5336"/>
    <w:numStyleLink w:val="NumbLstBTBullet"/>
  </w:abstractNum>
  <w:abstractNum w:abstractNumId="16">
    <w:nsid w:val="512C4D21"/>
    <w:multiLevelType w:val="hybridMultilevel"/>
    <w:tmpl w:val="587CEBC2"/>
    <w:lvl w:ilvl="0" w:tplc="223E305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86D11FA"/>
    <w:multiLevelType w:val="hybridMultilevel"/>
    <w:tmpl w:val="CA9A13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992"/>
        </w:tabs>
        <w:ind w:left="992" w:hanging="850"/>
      </w:pPr>
    </w:lvl>
  </w:abstractNum>
  <w:abstractNum w:abstractNumId="22">
    <w:nsid w:val="5DC75D63"/>
    <w:multiLevelType w:val="hybridMultilevel"/>
    <w:tmpl w:val="B9EA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DA35C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7427C0C"/>
    <w:multiLevelType w:val="hybridMultilevel"/>
    <w:tmpl w:val="5B7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91254"/>
    <w:multiLevelType w:val="hybridMultilevel"/>
    <w:tmpl w:val="9A2E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1"/>
  </w:num>
  <w:num w:numId="3">
    <w:abstractNumId w:val="24"/>
  </w:num>
  <w:num w:numId="4">
    <w:abstractNumId w:val="7"/>
  </w:num>
  <w:num w:numId="5">
    <w:abstractNumId w:val="12"/>
  </w:num>
  <w:num w:numId="6">
    <w:abstractNumId w:val="5"/>
  </w:num>
  <w:num w:numId="7">
    <w:abstractNumId w:val="4"/>
  </w:num>
  <w:num w:numId="8">
    <w:abstractNumId w:val="13"/>
  </w:num>
  <w:num w:numId="9">
    <w:abstractNumId w:val="19"/>
  </w:num>
  <w:num w:numId="10">
    <w:abstractNumId w:val="20"/>
  </w:num>
  <w:num w:numId="11">
    <w:abstractNumId w:val="6"/>
  </w:num>
  <w:num w:numId="12">
    <w:abstractNumId w:val="17"/>
  </w:num>
  <w:num w:numId="13">
    <w:abstractNumId w:val="27"/>
  </w:num>
  <w:num w:numId="14">
    <w:abstractNumId w:val="3"/>
  </w:num>
  <w:num w:numId="15">
    <w:abstractNumId w:val="2"/>
  </w:num>
  <w:num w:numId="16">
    <w:abstractNumId w:val="1"/>
  </w:num>
  <w:num w:numId="17">
    <w:abstractNumId w:val="0"/>
  </w:num>
  <w:num w:numId="18">
    <w:abstractNumId w:val="8"/>
  </w:num>
  <w:num w:numId="19">
    <w:abstractNumId w:val="15"/>
    <w:lvlOverride w:ilvl="0">
      <w:lvl w:ilvl="0">
        <w:start w:val="1"/>
        <w:numFmt w:val="bullet"/>
        <w:pStyle w:val="BTBullet1"/>
        <w:lvlText w:val="■"/>
        <w:lvlJc w:val="left"/>
        <w:pPr>
          <w:tabs>
            <w:tab w:val="num" w:pos="1191"/>
          </w:tabs>
          <w:ind w:left="1191" w:hanging="340"/>
        </w:pPr>
        <w:rPr>
          <w:rFonts w:ascii="Arial" w:hAnsi="Arial" w:hint="default"/>
          <w:color w:val="0067AC"/>
          <w:sz w:val="14"/>
        </w:rPr>
      </w:lvl>
    </w:lvlOverride>
  </w:num>
  <w:num w:numId="20">
    <w:abstractNumId w:val="16"/>
  </w:num>
  <w:num w:numId="21">
    <w:abstractNumId w:val="23"/>
  </w:num>
  <w:num w:numId="22">
    <w:abstractNumId w:val="10"/>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5"/>
  </w:num>
  <w:num w:numId="33">
    <w:abstractNumId w:val="23"/>
  </w:num>
  <w:num w:numId="34">
    <w:abstractNumId w:val="26"/>
  </w:num>
  <w:num w:numId="35">
    <w:abstractNumId w:val="22"/>
  </w:num>
  <w:num w:numId="36">
    <w:abstractNumId w:val="14"/>
  </w:num>
  <w:num w:numId="37">
    <w:abstractNumId w:val="9"/>
  </w:num>
  <w:num w:numId="3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5EAD3D81F95420C87A4AA0A7D11F0CF"/>
    <w:docVar w:name="LW_CROSSREFERENCE" w:val="{SWD(2017) 112 final}_x000b_{SWD(2017) 113 final}"/>
    <w:docVar w:name="LW_DocType" w:val="NORMAL"/>
    <w:docVar w:name="LW_EMISSION" w:val="23.3.2017"/>
    <w:docVar w:name="LW_EMISSION_ISODATE" w:val="2017-03-23"/>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34"/>
    <w:docVar w:name="LW_REF.INTERNE" w:val="&lt;UNUSED&gt;"/>
    <w:docVar w:name="LW_SOUS.TITRE.OBJ" w:val="A European Interoperability Strategy"/>
    <w:docVar w:name="LW_SOUS.TITRE.OBJ.CP" w:val="&lt;UNUSED&gt;"/>
    <w:docVar w:name="LW_SUPERTITRE" w:val="&lt;UNUSED&gt;"/>
    <w:docVar w:name="LW_TITRE.OBJ.CP" w:val="\u1045?\u1074?\u1088?\u1086?\u1087?\u1077?\u1081?\u1089?\u1082?\u1072? \u1088?\u1072?\u1084?\u1082?\u1072? \u1079?\u1072? \u1086?\u1087?\u1077?\u1088?\u1072?\u1090?\u1080?\u1074?\u1085?\u1072? \u1089?\u1098?\u1074?\u1084?\u1077?\u1089?\u1090?\u1080?\u1084?\u1086?\u1089?\u1090? \u8212? \u1089?\u1090?\u1088?\u1072?\u1090?\u1077?\u1075?\u1080?\u1103? \u1079?\u1072? \u1087?\u1088?\u1080?\u1083?\u1072?\u1075?\u1072?\u1085?\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DIGIT\DIGIT-2016-00025\DIGIT-2016-00025-00-00-EN-REV-00.20161111103408018394.DOCX"/>
  </w:docVars>
  <w:rsids>
    <w:rsidRoot w:val="00B1716D"/>
    <w:rsid w:val="00A87D9D"/>
    <w:rsid w:val="00B1716D"/>
    <w:rsid w:val="00F1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bg-BG"/>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val="bg-BG"/>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bg-BG" w:eastAsia="bg-BG"/>
    </w:rPr>
  </w:style>
  <w:style w:type="paragraph" w:customStyle="1" w:styleId="Heaing2">
    <w:name w:val="Heaing 2"/>
    <w:basedOn w:val="Heading3"/>
    <w:rPr>
      <w:b w:val="0"/>
      <w:i/>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DFDFDF" w:themeFill="background1" w:themeFillShade="F2"/>
    </w:tcPr>
    <w:tblStylePr w:type="firstRow">
      <w:rPr>
        <w:rFonts w:ascii="Marlett" w:hAnsi="Marlett"/>
        <w:b/>
        <w:color w:val="EBEBEB"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bg-BG"/>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bg-BG"/>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Batang" w:hAnsi="@Batang"/>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endnote reference" w:uiPriority="0"/>
    <w:lsdException w:name="List Bullet" w:uiPriority="0"/>
    <w:lsdException w:name="List Bullet 2" w:uiPriority="0"/>
    <w:lsdException w:name="List Bullet 3" w:uiPriority="29"/>
    <w:lsdException w:name="List Bullet 4"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24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autoRedefine/>
    <w:uiPriority w:val="9"/>
    <w:qFormat/>
    <w:pPr>
      <w:keepNext/>
      <w:numPr>
        <w:ilvl w:val="1"/>
        <w:numId w:val="21"/>
      </w:numPr>
      <w:spacing w:before="240" w:after="24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
      <w:bCs/>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rPr>
  </w:style>
  <w:style w:type="paragraph" w:styleId="FootnoteText">
    <w:name w:val="footnote text"/>
    <w:basedOn w:val="Normal"/>
    <w:uiPriority w:val="99"/>
    <w:qFormat/>
    <w:pPr>
      <w:tabs>
        <w:tab w:val="left" w:pos="0"/>
      </w:tabs>
      <w:spacing w:after="0" w:line="240" w:lineRule="auto"/>
    </w:pPr>
    <w:rPr>
      <w:rFonts w:ascii="Times New Roman" w:eastAsia="Times New Roman" w:hAnsi="Times New Roman" w:cs="Times New Roman"/>
      <w:sz w:val="16"/>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Pr>
      <w:rFonts w:ascii="Times New Roman" w:eastAsia="Times New Roman" w:hAnsi="Times New Roman" w:cs="Times New Roman"/>
      <w:sz w:val="16"/>
      <w:szCs w:val="20"/>
      <w:lang w:val="bg-BG"/>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noProof/>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link w:val="FootnotesymbolCarZchn"/>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uiPriority w:val="29"/>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cs="Times New Roman"/>
      <w:b/>
      <w:bCs/>
      <w:sz w:val="24"/>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paragraph" w:styleId="BalloonText">
    <w:name w:val="Balloon Text"/>
    <w:basedOn w:val="Normal"/>
    <w:link w:val="BalloonTextChar"/>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val="bg-BG"/>
    </w:rPr>
  </w:style>
  <w:style w:type="paragraph" w:customStyle="1" w:styleId="Headinsh2">
    <w:name w:val="Headinsh 2"/>
    <w:basedOn w:val="Text1"/>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pPr>
      <w:spacing w:before="120" w:after="120" w:line="240" w:lineRule="auto"/>
      <w:ind w:left="708"/>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line="240" w:lineRule="auto"/>
      <w:jc w:val="both"/>
    </w:pPr>
    <w:rPr>
      <w:rFonts w:ascii="Times New Roman" w:eastAsia="Times New Roman" w:hAnsi="Times New Roman" w:cs="Times New Roman"/>
      <w:b/>
      <w:sz w:val="24"/>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paragraph" w:styleId="EndnoteText">
    <w:name w:val="endnote text"/>
    <w:basedOn w:val="Normal"/>
    <w:link w:val="EndnoteTextChar1"/>
    <w:uiPriority w:val="99"/>
    <w:unhideWhenUsed/>
    <w:pPr>
      <w:spacing w:after="0" w:line="240" w:lineRule="auto"/>
      <w:jc w:val="both"/>
    </w:pPr>
    <w:rPr>
      <w:rFonts w:ascii="Times New Roman" w:eastAsia="Calibri" w:hAnsi="Times New Roman" w:cs="Times New Roman"/>
      <w:sz w:val="20"/>
      <w:szCs w:val="20"/>
    </w:rPr>
  </w:style>
  <w:style w:type="character" w:customStyle="1" w:styleId="EndnoteTextChar">
    <w:name w:val="Endnote Text Char"/>
    <w:basedOn w:val="DefaultParagraphFont"/>
    <w:rPr>
      <w:sz w:val="20"/>
      <w:szCs w:val="20"/>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rFonts w:ascii="Times New Roman" w:eastAsia="Calibri" w:hAnsi="Times New Roman" w:cs="Times New Roman"/>
      <w:sz w:val="20"/>
      <w:szCs w:val="20"/>
      <w:lang w:val="bg-BG" w:eastAsia="bg-BG"/>
    </w:rPr>
  </w:style>
  <w:style w:type="paragraph" w:customStyle="1" w:styleId="Heaing2">
    <w:name w:val="Heaing 2"/>
    <w:basedOn w:val="Heading3"/>
    <w:rPr>
      <w:b w:val="0"/>
      <w:i/>
    </w:rPr>
  </w:style>
  <w:style w:type="paragraph" w:customStyle="1" w:styleId="Headung3">
    <w:name w:val="Headung 3"/>
    <w:basedOn w:val="Normal"/>
    <w:rPr>
      <w:rFonts w:ascii="Times New Roman" w:eastAsia="Calibri" w:hAnsi="Times New Roman" w:cs="Times New Roman"/>
      <w:color w:val="000000"/>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BTBullet1">
    <w:name w:val="BTBullet1"/>
    <w:basedOn w:val="Normal"/>
    <w:uiPriority w:val="6"/>
    <w:qFormat/>
    <w:pPr>
      <w:numPr>
        <w:numId w:val="19"/>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19"/>
      </w:numPr>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19"/>
      </w:numPr>
      <w:spacing w:after="0" w:line="240" w:lineRule="atLeast"/>
    </w:pPr>
    <w:rPr>
      <w:rFonts w:ascii="Arial" w:eastAsia="Calibri" w:hAnsi="Arial" w:cs="Times New Roman"/>
      <w:sz w:val="20"/>
      <w:szCs w:val="24"/>
    </w:rPr>
  </w:style>
  <w:style w:type="numbering" w:customStyle="1" w:styleId="NumbLstBTBullet">
    <w:name w:val="NumbLstBTBullet"/>
    <w:uiPriority w:val="99"/>
    <w:pPr>
      <w:numPr>
        <w:numId w:val="18"/>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pPr>
      <w:keepNext/>
      <w:keepLines/>
      <w:widowControl w:val="0"/>
      <w:spacing w:before="240" w:after="120" w:line="360" w:lineRule="auto"/>
      <w:contextualSpacing/>
      <w:jc w:val="center"/>
    </w:pPr>
    <w:rPr>
      <w:rFonts w:eastAsia="Times New Roman" w:cstheme="minorHAnsi"/>
      <w:b/>
      <w:bCs/>
      <w:color w:val="002060"/>
      <w:sz w:val="18"/>
      <w:szCs w:val="18"/>
    </w:rPr>
  </w:style>
  <w:style w:type="table" w:customStyle="1" w:styleId="EuropeanCommissionstyle">
    <w:name w:val="European Commission style"/>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DFDFDF" w:themeFill="background1" w:themeFillShade="F2"/>
    </w:tcPr>
    <w:tblStylePr w:type="firstRow">
      <w:rPr>
        <w:rFonts w:ascii="Marlett" w:hAnsi="Marlett"/>
        <w:b/>
        <w:color w:val="EBEBEB"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Pr>
      <w:rFonts w:eastAsia="Times New Roman" w:cstheme="minorHAnsi"/>
      <w:b/>
      <w:bCs/>
      <w:color w:val="002060"/>
      <w:sz w:val="18"/>
      <w:szCs w:val="18"/>
      <w:lang w:eastAsia="bg-BG"/>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MAINPARAGRAPH">
    <w:name w:val="MAIN PARAGRAPH"/>
    <w:basedOn w:val="Normal"/>
    <w:link w:val="MAINPARAGRAPHChar"/>
    <w:qFormat/>
    <w:pPr>
      <w:spacing w:before="120" w:after="120" w:line="360" w:lineRule="auto"/>
      <w:jc w:val="both"/>
    </w:pPr>
    <w:rPr>
      <w:rFonts w:ascii="Arial" w:eastAsia="Times New Roman" w:hAnsi="Arial" w:cs="Times New Roman"/>
      <w:color w:val="000000" w:themeColor="text1"/>
      <w:sz w:val="19"/>
      <w:szCs w:val="19"/>
    </w:rPr>
  </w:style>
  <w:style w:type="character" w:customStyle="1" w:styleId="MAINPARAGRAPHChar">
    <w:name w:val="MAIN PARAGRAPH Char"/>
    <w:basedOn w:val="DefaultParagraphFont"/>
    <w:link w:val="MAINPARAGRAPH"/>
    <w:rPr>
      <w:rFonts w:ascii="Arial" w:eastAsia="Times New Roman" w:hAnsi="Arial" w:cs="Times New Roman"/>
      <w:color w:val="000000" w:themeColor="text1"/>
      <w:sz w:val="19"/>
      <w:szCs w:val="19"/>
      <w:lang w:eastAsia="bg-BG"/>
    </w:rPr>
  </w:style>
  <w:style w:type="character" w:styleId="Strong">
    <w:name w:val="Strong"/>
    <w:basedOn w:val="DefaultParagraphFont"/>
    <w:uiPriority w:val="22"/>
    <w:qFormat/>
    <w:rPr>
      <w:rFonts w:ascii="Times New Roman" w:hAnsi="Times New Roman" w:cs="Times New Roman" w:hint="default"/>
      <w:b/>
      <w:bCs/>
    </w:r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after="0" w:line="0" w:lineRule="atLeast"/>
    </w:pPr>
  </w:style>
  <w:style w:type="table" w:customStyle="1" w:styleId="LightShading-Accent51">
    <w:name w:val="Light Shading - Accent 51"/>
    <w:basedOn w:val="TableNormal"/>
    <w:next w:val="LightShading-Accent5"/>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before="120"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rPr>
      <w:rFonts w:eastAsiaTheme="minorEastAsia"/>
      <w:color w:val="5A5A5A" w:themeColor="text1" w:themeTint="A5"/>
      <w:spacing w:val="15"/>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IntenseEmphasis">
    <w:name w:val="Intense Emphasis"/>
    <w:basedOn w:val="DefaultParagraphFont"/>
    <w:uiPriority w:val="21"/>
    <w:qFormat/>
    <w:rPr>
      <w:i/>
      <w:iCs/>
      <w:color w:val="4F81BD" w:themeColor="accent1"/>
    </w:rPr>
  </w:style>
  <w:style w:type="paragraph" w:styleId="TableofFigures">
    <w:name w:val="table of figures"/>
    <w:basedOn w:val="Normal"/>
    <w:next w:val="Normal"/>
    <w:uiPriority w:val="99"/>
    <w:unhideWhenUsed/>
    <w:pPr>
      <w:spacing w:after="0"/>
    </w:pPr>
  </w:style>
  <w:style w:type="table" w:customStyle="1" w:styleId="EuropeanCommissionstyle1">
    <w:name w:val="European Commission style1"/>
    <w:basedOn w:val="TableNormal"/>
    <w:uiPriority w:val="99"/>
    <w:pPr>
      <w:spacing w:after="0" w:line="240" w:lineRule="auto"/>
    </w:pPr>
    <w:rPr>
      <w:rFonts w:ascii="Verdana" w:eastAsia="Times New Roman" w:hAnsi="Verdana" w:cs="Times New Roman"/>
      <w:sz w:val="12"/>
      <w:szCs w:val="20"/>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Batang" w:hAnsi="@Batang"/>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87964">
      <w:bodyDiv w:val="1"/>
      <w:marLeft w:val="0"/>
      <w:marRight w:val="0"/>
      <w:marTop w:val="0"/>
      <w:marBottom w:val="0"/>
      <w:divBdr>
        <w:top w:val="none" w:sz="0" w:space="0" w:color="auto"/>
        <w:left w:val="none" w:sz="0" w:space="0" w:color="auto"/>
        <w:bottom w:val="none" w:sz="0" w:space="0" w:color="auto"/>
        <w:right w:val="none" w:sz="0" w:space="0" w:color="auto"/>
      </w:divBdr>
    </w:div>
    <w:div w:id="19303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bout/srss/index_en.htm" TargetMode="External"/><Relationship Id="rId2" Type="http://schemas.openxmlformats.org/officeDocument/2006/relationships/hyperlink" Target="http://ec.europa.eu/regional_policy/en/information/legislation/guidance/" TargetMode="External"/><Relationship Id="rId1" Type="http://schemas.openxmlformats.org/officeDocument/2006/relationships/hyperlink" Target="http://eur-lex.europa.eu/legal-content/EN/TXT/PDF/?uri=CELEX:52010DC024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7353-6477-4EB8-8E94-8B417AB7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22</cp:revision>
  <cp:lastPrinted>2016-10-28T11:18:00Z</cp:lastPrinted>
  <dcterms:created xsi:type="dcterms:W3CDTF">2017-02-17T10:13:00Z</dcterms:created>
  <dcterms:modified xsi:type="dcterms:W3CDTF">2017-03-15T11:04:00Z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ies>
</file>