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AE" w:rsidRDefault="00B57CF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DF729E855814EC097B17A4DC9821CDB" style="width:450.8pt;height:459.55pt">
            <v:imagedata r:id="rId9" o:title=""/>
          </v:shape>
        </w:pict>
      </w:r>
    </w:p>
    <w:bookmarkEnd w:id="0"/>
    <w:p w:rsidR="007428AE" w:rsidRDefault="007428AE">
      <w:pPr>
        <w:rPr>
          <w:rFonts w:ascii="Times New Roman" w:hAnsi="Times New Roman" w:cs="Times New Roman"/>
          <w:noProof/>
        </w:rPr>
        <w:sectPr w:rsidR="007428A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7428AE" w:rsidRDefault="00B57CFB">
      <w:pPr>
        <w:pStyle w:val="Heading1"/>
        <w:numPr>
          <w:ilvl w:val="0"/>
          <w:numId w:val="0"/>
        </w:numPr>
        <w:ind w:left="432" w:hanging="432"/>
        <w:rPr>
          <w:noProof/>
        </w:rPr>
      </w:pPr>
      <w:bookmarkStart w:id="2" w:name="_Toc463449749"/>
      <w:bookmarkStart w:id="3" w:name="_Toc463451501"/>
      <w:bookmarkStart w:id="4" w:name="_Toc463452155"/>
      <w:bookmarkStart w:id="5" w:name="_Toc463458193"/>
      <w:bookmarkStart w:id="6" w:name="_Toc464028091"/>
      <w:bookmarkEnd w:id="2"/>
      <w:bookmarkEnd w:id="3"/>
      <w:bookmarkEnd w:id="4"/>
      <w:bookmarkEnd w:id="5"/>
      <w:r>
        <w:rPr>
          <w:noProof/>
        </w:rPr>
        <w:lastRenderedPageBreak/>
        <w:t>План за действие</w:t>
      </w:r>
      <w:bookmarkEnd w:id="6"/>
      <w:r>
        <w:rPr>
          <w:noProof/>
        </w:rPr>
        <w:t xml:space="preserve"> за оперативна съвместимост</w:t>
      </w:r>
    </w:p>
    <w:p w:rsidR="007428AE" w:rsidRDefault="00B57CFB">
      <w:pPr>
        <w:pStyle w:val="FootnoteText"/>
        <w:spacing w:line="312" w:lineRule="auto"/>
        <w:jc w:val="both"/>
        <w:rPr>
          <w:noProof/>
          <w:sz w:val="24"/>
          <w:szCs w:val="24"/>
        </w:rPr>
      </w:pPr>
      <w:r>
        <w:rPr>
          <w:noProof/>
          <w:sz w:val="24"/>
        </w:rPr>
        <w:t xml:space="preserve">Планът за действие за оперативна съвместимост е насочен към </w:t>
      </w:r>
      <w:r>
        <w:rPr>
          <w:noProof/>
          <w:sz w:val="24"/>
        </w:rPr>
        <w:t>причините</w:t>
      </w:r>
      <w:r>
        <w:rPr>
          <w:rStyle w:val="FootnoteReference"/>
          <w:noProof/>
          <w:sz w:val="24"/>
        </w:rPr>
        <w:footnoteReference w:id="1"/>
      </w:r>
      <w:r>
        <w:rPr>
          <w:noProof/>
          <w:sz w:val="24"/>
        </w:rPr>
        <w:t xml:space="preserve"> за съществуващите проблеми по оперативната съвместимост и е ориентировъчен. Той може да бъде актуализиран, ако бъдат набелязани още действия и включени в него или други действия бъдат извадени от него. Европейската комисия може да предлага проме</w:t>
      </w:r>
      <w:r>
        <w:rPr>
          <w:noProof/>
          <w:sz w:val="24"/>
        </w:rPr>
        <w:t>ни по всяко време, като те следва да бъдат добре обосновани, т.е. с констатации, произтичащи от наблюдението на действията за оперативна съвместимост. Комисията отговаря за вземането на решение за всяка актуализация на списъка след консултация с комитета п</w:t>
      </w:r>
      <w:r>
        <w:rPr>
          <w:noProof/>
          <w:sz w:val="24"/>
        </w:rPr>
        <w:t>о ISA² или, ако е целесъобразно, с ръководните органи на инициативи, подкрепящи плана за действие за оперативна съвместимост.</w:t>
      </w:r>
    </w:p>
    <w:p w:rsidR="007428AE" w:rsidRDefault="007428AE">
      <w:pPr>
        <w:pStyle w:val="FootnoteText"/>
        <w:jc w:val="both"/>
        <w:rPr>
          <w:b/>
          <w:noProof/>
        </w:rPr>
      </w:pPr>
    </w:p>
    <w:tbl>
      <w:tblPr>
        <w:tblStyle w:val="EuropeanCommissionstyle1"/>
        <w:tblW w:w="9443" w:type="dxa"/>
        <w:jc w:val="center"/>
        <w:tblLook w:val="04A0" w:firstRow="1" w:lastRow="0" w:firstColumn="1" w:lastColumn="0" w:noHBand="0" w:noVBand="1"/>
      </w:tblPr>
      <w:tblGrid>
        <w:gridCol w:w="2596"/>
        <w:gridCol w:w="3929"/>
        <w:gridCol w:w="1150"/>
        <w:gridCol w:w="1768"/>
      </w:tblGrid>
      <w:tr w:rsidR="007428AE" w:rsidTr="007428AE">
        <w:trPr>
          <w:cnfStyle w:val="100000000000" w:firstRow="1" w:lastRow="0" w:firstColumn="0" w:lastColumn="0" w:oddVBand="0" w:evenVBand="0" w:oddHBand="0" w:evenHBand="0" w:firstRowFirstColumn="0" w:firstRowLastColumn="0" w:lastRowFirstColumn="0" w:lastRowLastColumn="0"/>
          <w:trHeight w:val="225"/>
          <w:tblHeader/>
          <w:jc w:val="center"/>
        </w:trPr>
        <w:tc>
          <w:tcPr>
            <w:tcW w:w="2596" w:type="dxa"/>
          </w:tcPr>
          <w:p w:rsidR="007428AE" w:rsidRDefault="00B57CFB">
            <w:pPr>
              <w:widowControl w:val="0"/>
              <w:spacing w:line="312" w:lineRule="auto"/>
              <w:jc w:val="center"/>
              <w:rPr>
                <w:rFonts w:ascii="Times New Roman" w:hAnsi="Times New Roman"/>
                <w:noProof/>
                <w:sz w:val="18"/>
                <w:szCs w:val="16"/>
              </w:rPr>
            </w:pPr>
            <w:r>
              <w:rPr>
                <w:rFonts w:ascii="Times New Roman" w:hAnsi="Times New Roman"/>
                <w:noProof/>
                <w:sz w:val="18"/>
              </w:rPr>
              <w:t>Цели</w:t>
            </w:r>
          </w:p>
        </w:tc>
        <w:tc>
          <w:tcPr>
            <w:tcW w:w="3929" w:type="dxa"/>
          </w:tcPr>
          <w:p w:rsidR="007428AE" w:rsidRDefault="00B57CFB">
            <w:pPr>
              <w:widowControl w:val="0"/>
              <w:spacing w:line="312" w:lineRule="auto"/>
              <w:jc w:val="center"/>
              <w:rPr>
                <w:rFonts w:ascii="Times New Roman" w:hAnsi="Times New Roman"/>
                <w:noProof/>
                <w:sz w:val="18"/>
                <w:szCs w:val="16"/>
              </w:rPr>
            </w:pPr>
            <w:r>
              <w:rPr>
                <w:rFonts w:ascii="Times New Roman" w:hAnsi="Times New Roman"/>
                <w:noProof/>
                <w:sz w:val="18"/>
              </w:rPr>
              <w:t>Действия</w:t>
            </w:r>
          </w:p>
        </w:tc>
        <w:tc>
          <w:tcPr>
            <w:tcW w:w="1150" w:type="dxa"/>
          </w:tcPr>
          <w:p w:rsidR="007428AE" w:rsidRDefault="00B57CFB">
            <w:pPr>
              <w:widowControl w:val="0"/>
              <w:spacing w:line="312" w:lineRule="auto"/>
              <w:jc w:val="center"/>
              <w:rPr>
                <w:rFonts w:ascii="Times New Roman" w:hAnsi="Times New Roman"/>
                <w:noProof/>
                <w:sz w:val="18"/>
                <w:szCs w:val="16"/>
              </w:rPr>
            </w:pPr>
            <w:r>
              <w:rPr>
                <w:rFonts w:ascii="Times New Roman" w:hAnsi="Times New Roman"/>
                <w:noProof/>
                <w:sz w:val="18"/>
              </w:rPr>
              <w:t>Срок</w:t>
            </w:r>
          </w:p>
        </w:tc>
        <w:tc>
          <w:tcPr>
            <w:tcW w:w="1768" w:type="dxa"/>
          </w:tcPr>
          <w:p w:rsidR="007428AE" w:rsidRDefault="00B57CFB">
            <w:pPr>
              <w:widowControl w:val="0"/>
              <w:spacing w:line="312" w:lineRule="auto"/>
              <w:jc w:val="center"/>
              <w:rPr>
                <w:rFonts w:ascii="Times New Roman" w:hAnsi="Times New Roman"/>
                <w:noProof/>
                <w:sz w:val="18"/>
                <w:szCs w:val="16"/>
              </w:rPr>
            </w:pPr>
            <w:r>
              <w:rPr>
                <w:rFonts w:ascii="Times New Roman" w:hAnsi="Times New Roman"/>
                <w:noProof/>
                <w:sz w:val="18"/>
              </w:rPr>
              <w:t>Отговорност</w:t>
            </w:r>
          </w:p>
        </w:tc>
      </w:tr>
      <w:tr w:rsidR="007428AE" w:rsidTr="007428AE">
        <w:trPr>
          <w:jc w:val="center"/>
        </w:trPr>
        <w:tc>
          <w:tcPr>
            <w:tcW w:w="9443" w:type="dxa"/>
            <w:gridSpan w:val="4"/>
            <w:shd w:val="clear" w:color="auto" w:fill="989898" w:themeFill="background1" w:themeFillShade="A6"/>
          </w:tcPr>
          <w:p w:rsidR="007428AE" w:rsidRDefault="00B57CFB">
            <w:pPr>
              <w:spacing w:line="312" w:lineRule="auto"/>
              <w:rPr>
                <w:rFonts w:ascii="Times New Roman" w:hAnsi="Times New Roman"/>
                <w:b/>
                <w:noProof/>
                <w:color w:val="FFFFFF"/>
                <w:sz w:val="18"/>
                <w:szCs w:val="16"/>
              </w:rPr>
            </w:pPr>
            <w:r>
              <w:rPr>
                <w:rFonts w:ascii="Times New Roman" w:hAnsi="Times New Roman"/>
                <w:b/>
                <w:noProof/>
                <w:color w:val="FFFFFF"/>
                <w:sz w:val="18"/>
              </w:rPr>
              <w:t xml:space="preserve">Приоритетна област 1: Осигуряване на управление, координация и споделяне на инициативи за </w:t>
            </w:r>
            <w:r>
              <w:rPr>
                <w:rFonts w:ascii="Times New Roman" w:hAnsi="Times New Roman"/>
                <w:b/>
                <w:noProof/>
                <w:color w:val="FFFFFF"/>
                <w:sz w:val="18"/>
              </w:rPr>
              <w:t>оперативна съвместимост</w:t>
            </w:r>
          </w:p>
        </w:tc>
      </w:tr>
      <w:tr w:rsidR="007428AE" w:rsidTr="007428AE">
        <w:trPr>
          <w:trHeight w:val="904"/>
          <w:jc w:val="center"/>
        </w:trPr>
        <w:tc>
          <w:tcPr>
            <w:tcW w:w="2596" w:type="dxa"/>
            <w:vMerge w:val="restart"/>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Да се управляват и координират инициативите за оперативна съвместимост на европейско и на национално равнище.</w:t>
            </w: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Определяне и осъществяване на връзка с други свързани политики и техните управленски структури на европейско и национално</w:t>
            </w:r>
            <w:r>
              <w:rPr>
                <w:rFonts w:ascii="Times New Roman" w:hAnsi="Times New Roman"/>
                <w:noProof/>
                <w:sz w:val="18"/>
              </w:rPr>
              <w:t xml:space="preserve"> равнище (включително секторните комитети).</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Европейската комисия (ЕК),</w:t>
            </w:r>
          </w:p>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държавите членки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Определяне и описване на управленските структури и добрите практики за координиране на оперативната съвместимост.</w:t>
            </w:r>
          </w:p>
        </w:tc>
        <w:tc>
          <w:tcPr>
            <w:tcW w:w="1150" w:type="dxa"/>
          </w:tcPr>
          <w:p w:rsidR="007428AE" w:rsidRDefault="00B57CFB">
            <w:pPr>
              <w:spacing w:line="312" w:lineRule="auto"/>
              <w:rPr>
                <w:rFonts w:ascii="Times New Roman" w:eastAsia="Arial" w:hAnsi="Times New Roman"/>
                <w:noProof/>
                <w:sz w:val="18"/>
                <w:szCs w:val="16"/>
              </w:rPr>
            </w:pPr>
            <w:r>
              <w:rPr>
                <w:rFonts w:ascii="Times New Roman" w:hAnsi="Times New Roman"/>
                <w:noProof/>
                <w:sz w:val="18"/>
              </w:rPr>
              <w:t>2017—2020 г.</w:t>
            </w:r>
          </w:p>
        </w:tc>
        <w:tc>
          <w:tcPr>
            <w:tcW w:w="1768" w:type="dxa"/>
          </w:tcPr>
          <w:p w:rsidR="007428AE" w:rsidRDefault="00B57CFB">
            <w:pPr>
              <w:spacing w:line="312" w:lineRule="auto"/>
              <w:rPr>
                <w:rFonts w:ascii="Times New Roman" w:eastAsia="Arial" w:hAnsi="Times New Roman"/>
                <w:noProof/>
                <w:sz w:val="18"/>
                <w:szCs w:val="16"/>
              </w:rPr>
            </w:pPr>
            <w:r>
              <w:rPr>
                <w:rFonts w:ascii="Times New Roman" w:hAnsi="Times New Roman"/>
                <w:noProof/>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Гарантиране,</w:t>
            </w:r>
            <w:r>
              <w:rPr>
                <w:rFonts w:ascii="Times New Roman" w:hAnsi="Times New Roman"/>
                <w:noProof/>
                <w:sz w:val="18"/>
              </w:rPr>
              <w:t xml:space="preserve"> че оперативната съвместимост е взета под внимание при изготвянето на законодателни инструменти и че са включени съответните позовавания.</w:t>
            </w:r>
          </w:p>
        </w:tc>
        <w:tc>
          <w:tcPr>
            <w:tcW w:w="1150" w:type="dxa"/>
          </w:tcPr>
          <w:p w:rsidR="007428AE" w:rsidRDefault="00B57CFB">
            <w:pPr>
              <w:spacing w:line="312" w:lineRule="auto"/>
              <w:rPr>
                <w:rFonts w:ascii="Times New Roman" w:eastAsia="Arial" w:hAnsi="Times New Roman"/>
                <w:noProof/>
                <w:sz w:val="18"/>
                <w:szCs w:val="16"/>
              </w:rPr>
            </w:pPr>
            <w:r>
              <w:rPr>
                <w:rFonts w:ascii="Times New Roman" w:hAnsi="Times New Roman"/>
                <w:noProof/>
                <w:sz w:val="18"/>
              </w:rPr>
              <w:t>2017—2020 г.</w:t>
            </w:r>
          </w:p>
        </w:tc>
        <w:tc>
          <w:tcPr>
            <w:tcW w:w="1768" w:type="dxa"/>
          </w:tcPr>
          <w:p w:rsidR="007428AE" w:rsidRDefault="00B57CFB">
            <w:pPr>
              <w:spacing w:line="312" w:lineRule="auto"/>
              <w:rPr>
                <w:rFonts w:ascii="Times New Roman" w:eastAsia="Arial" w:hAnsi="Times New Roman"/>
                <w:noProof/>
                <w:sz w:val="18"/>
                <w:szCs w:val="16"/>
              </w:rPr>
            </w:pPr>
            <w:r>
              <w:rPr>
                <w:rFonts w:ascii="Times New Roman" w:hAnsi="Times New Roman"/>
                <w:noProof/>
                <w:sz w:val="18"/>
              </w:rPr>
              <w:t>ЕК, ДЧ</w:t>
            </w:r>
          </w:p>
        </w:tc>
      </w:tr>
      <w:tr w:rsidR="007428AE" w:rsidTr="007428AE">
        <w:trPr>
          <w:jc w:val="center"/>
        </w:trPr>
        <w:tc>
          <w:tcPr>
            <w:tcW w:w="2596" w:type="dxa"/>
            <w:vMerge w:val="restart"/>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 xml:space="preserve">Да се гарантира изпълнението и наблюдението на прилагането на Европейската рамка за оперативна </w:t>
            </w:r>
            <w:r>
              <w:rPr>
                <w:rFonts w:ascii="Times New Roman" w:hAnsi="Times New Roman"/>
                <w:noProof/>
                <w:color w:val="000000"/>
                <w:sz w:val="18"/>
              </w:rPr>
              <w:t>съвместимост (ЕРОС).</w:t>
            </w: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Разширяване и поддържане на обсерваторията за</w:t>
            </w:r>
            <w:r>
              <w:rPr>
                <w:rFonts w:ascii="Times New Roman" w:hAnsi="Times New Roman"/>
                <w:noProof/>
                <w:color w:val="000000"/>
                <w:sz w:val="18"/>
              </w:rPr>
              <w:t xml:space="preserve"> националните рамки за оперативна съвместимост (НРОС) с цел наблюдение на прилагането на ЕРОС и съответствието на националните стратегии/рамки за оперативна съвместимост с ЕРОС.</w:t>
            </w:r>
          </w:p>
          <w:p w:rsidR="007428AE" w:rsidRDefault="00B57CFB">
            <w:p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Включително </w:t>
            </w:r>
            <w:r>
              <w:rPr>
                <w:rFonts w:ascii="Times New Roman" w:hAnsi="Times New Roman"/>
                <w:noProof/>
                <w:sz w:val="18"/>
              </w:rPr>
              <w:t>наблюдение и оценка на изпълнението на плана за действие за оперативна съвместимост.</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Предоставяне на специална подкрепа и обучение на публичните администрации на държавите членки с цел осигуряване прилагането на ЕРОС на всички равнища</w:t>
            </w:r>
            <w:r>
              <w:rPr>
                <w:rFonts w:ascii="Times New Roman" w:hAnsi="Times New Roman"/>
                <w:noProof/>
                <w:sz w:val="18"/>
              </w:rPr>
              <w:t xml:space="preserve"> на националните администрации.</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9443" w:type="dxa"/>
            <w:gridSpan w:val="4"/>
            <w:shd w:val="clear" w:color="auto" w:fill="989898" w:themeFill="background1" w:themeFillShade="A6"/>
          </w:tcPr>
          <w:p w:rsidR="007428AE" w:rsidRDefault="00B57CFB">
            <w:pPr>
              <w:spacing w:line="312" w:lineRule="auto"/>
              <w:rPr>
                <w:rFonts w:ascii="Times New Roman" w:hAnsi="Times New Roman"/>
                <w:b/>
                <w:noProof/>
                <w:color w:val="FFFFFF"/>
                <w:sz w:val="18"/>
                <w:szCs w:val="16"/>
              </w:rPr>
            </w:pPr>
            <w:r>
              <w:rPr>
                <w:rFonts w:ascii="Times New Roman" w:hAnsi="Times New Roman"/>
                <w:b/>
                <w:noProof/>
                <w:color w:val="FFFFFF"/>
                <w:sz w:val="18"/>
              </w:rPr>
              <w:t>Приоритетна област 2: Разработване на решения за организационна оперативна съвместимост</w:t>
            </w:r>
          </w:p>
        </w:tc>
      </w:tr>
      <w:tr w:rsidR="007428AE" w:rsidTr="007428AE">
        <w:trPr>
          <w:jc w:val="center"/>
        </w:trPr>
        <w:tc>
          <w:tcPr>
            <w:tcW w:w="2596" w:type="dxa"/>
            <w:vMerge w:val="restart"/>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lastRenderedPageBreak/>
              <w:t xml:space="preserve">Да се осигурят и използват съответните фактори (например споразумения за оперативна съвместимост) и артефакти </w:t>
            </w:r>
            <w:r>
              <w:rPr>
                <w:rFonts w:ascii="Times New Roman" w:hAnsi="Times New Roman"/>
                <w:noProof/>
                <w:color w:val="000000"/>
                <w:sz w:val="18"/>
              </w:rPr>
              <w:t>(например модели на работни процеси).</w:t>
            </w: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Изясняване и предлагане на начини за формализиране на организационните взаимоотношения на публичните администрации като част от внедряването на европейски обществени услуги. Определяне и разработване на общи модели за </w:t>
            </w:r>
            <w:r>
              <w:rPr>
                <w:rFonts w:ascii="Times New Roman" w:hAnsi="Times New Roman"/>
                <w:noProof/>
                <w:sz w:val="18"/>
              </w:rPr>
              <w:t>описване на работните процеси. Определяне на най-добрите практики.</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Определяне на ключовите трансгранични работни процеси, които включват обмен на административна информация (в това число документи), както и на тяхното внедряване в </w:t>
            </w:r>
            <w:r>
              <w:rPr>
                <w:rFonts w:ascii="Times New Roman" w:hAnsi="Times New Roman"/>
                <w:noProof/>
                <w:sz w:val="18"/>
              </w:rPr>
              <w:t>различните държави членки, и разработване на насоки за по-доброто им съгласуване и опростяване.</w:t>
            </w:r>
          </w:p>
        </w:tc>
        <w:tc>
          <w:tcPr>
            <w:tcW w:w="1150" w:type="dxa"/>
          </w:tcPr>
          <w:p w:rsidR="007428AE" w:rsidRDefault="00B57CFB">
            <w:pPr>
              <w:spacing w:line="312" w:lineRule="auto"/>
              <w:rPr>
                <w:rFonts w:ascii="Times New Roman" w:eastAsia="Arial" w:hAnsi="Times New Roman"/>
                <w:noProof/>
                <w:sz w:val="18"/>
                <w:szCs w:val="16"/>
              </w:rPr>
            </w:pPr>
            <w:r>
              <w:rPr>
                <w:rFonts w:ascii="Times New Roman" w:hAnsi="Times New Roman"/>
                <w:noProof/>
                <w:sz w:val="18"/>
              </w:rPr>
              <w:t>2017—2020 г.</w:t>
            </w:r>
          </w:p>
        </w:tc>
        <w:tc>
          <w:tcPr>
            <w:tcW w:w="1768" w:type="dxa"/>
          </w:tcPr>
          <w:p w:rsidR="007428AE" w:rsidRDefault="00B57CFB">
            <w:pPr>
              <w:spacing w:line="312" w:lineRule="auto"/>
              <w:rPr>
                <w:rFonts w:ascii="Times New Roman" w:eastAsia="Arial" w:hAnsi="Times New Roman"/>
                <w:noProof/>
                <w:sz w:val="18"/>
                <w:szCs w:val="16"/>
              </w:rPr>
            </w:pPr>
            <w:r>
              <w:rPr>
                <w:rFonts w:ascii="Times New Roman" w:hAnsi="Times New Roman"/>
                <w:noProof/>
                <w:sz w:val="18"/>
              </w:rPr>
              <w:t>ЕК, ДЧ</w:t>
            </w:r>
          </w:p>
        </w:tc>
      </w:tr>
      <w:tr w:rsidR="007428AE" w:rsidTr="007428AE">
        <w:trPr>
          <w:jc w:val="center"/>
        </w:trPr>
        <w:tc>
          <w:tcPr>
            <w:tcW w:w="9443" w:type="dxa"/>
            <w:gridSpan w:val="4"/>
            <w:shd w:val="clear" w:color="auto" w:fill="989898" w:themeFill="background1" w:themeFillShade="A6"/>
          </w:tcPr>
          <w:p w:rsidR="007428AE" w:rsidRDefault="00B57CFB">
            <w:pPr>
              <w:spacing w:line="312" w:lineRule="auto"/>
              <w:rPr>
                <w:rFonts w:ascii="Times New Roman" w:hAnsi="Times New Roman"/>
                <w:b/>
                <w:noProof/>
                <w:color w:val="FFFFFF"/>
                <w:sz w:val="18"/>
                <w:szCs w:val="16"/>
              </w:rPr>
            </w:pPr>
            <w:r>
              <w:rPr>
                <w:rFonts w:ascii="Times New Roman" w:hAnsi="Times New Roman"/>
                <w:b/>
                <w:noProof/>
                <w:color w:val="FFFFFF"/>
                <w:sz w:val="18"/>
              </w:rPr>
              <w:t>Приоритетна област 3: Ангажиране на заинтересованите страни и повишаване на информираността относно оперативната съвместимост</w:t>
            </w:r>
          </w:p>
        </w:tc>
      </w:tr>
      <w:tr w:rsidR="007428AE" w:rsidTr="007428AE">
        <w:trPr>
          <w:jc w:val="center"/>
        </w:trPr>
        <w:tc>
          <w:tcPr>
            <w:tcW w:w="2596" w:type="dxa"/>
            <w:vMerge w:val="restart"/>
          </w:tcPr>
          <w:p w:rsidR="007428AE" w:rsidRDefault="00B57CFB">
            <w:pPr>
              <w:spacing w:line="312" w:lineRule="auto"/>
              <w:rPr>
                <w:rFonts w:ascii="Times New Roman" w:hAnsi="Times New Roman"/>
                <w:noProof/>
                <w:sz w:val="18"/>
                <w:szCs w:val="16"/>
              </w:rPr>
            </w:pPr>
            <w:r>
              <w:rPr>
                <w:rFonts w:ascii="Times New Roman" w:hAnsi="Times New Roman"/>
                <w:noProof/>
                <w:sz w:val="18"/>
              </w:rPr>
              <w:t xml:space="preserve">Да се </w:t>
            </w:r>
            <w:r>
              <w:rPr>
                <w:rFonts w:ascii="Times New Roman" w:hAnsi="Times New Roman"/>
                <w:noProof/>
                <w:sz w:val="18"/>
              </w:rPr>
              <w:t>насърчават публичните администрации да използват съществуващи и нови решения за оперативна съвместимост, като същевременно прилагат принципите, препоръките и моделите на ЕРОС. Да се определят, измерват и съобщават основните ползи, които могат да бъдат пост</w:t>
            </w:r>
            <w:r>
              <w:rPr>
                <w:rFonts w:ascii="Times New Roman" w:hAnsi="Times New Roman"/>
                <w:noProof/>
                <w:sz w:val="18"/>
              </w:rPr>
              <w:t>игнати чрез прилагане на принципите, препоръките и моделите на ЕРОС.</w:t>
            </w:r>
          </w:p>
          <w:p w:rsidR="007428AE" w:rsidRDefault="007428AE">
            <w:pPr>
              <w:spacing w:line="312" w:lineRule="auto"/>
              <w:rPr>
                <w:rFonts w:ascii="Times New Roman" w:hAnsi="Times New Roman"/>
                <w:noProof/>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Проектиране и провеждане на информационни кампании, подчертаващи значението на оперативната съвместимост и ползите от прилагането на ЕРОС.</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p w:rsidR="007428AE" w:rsidRDefault="00B57CFB">
            <w:pPr>
              <w:tabs>
                <w:tab w:val="left" w:pos="664"/>
              </w:tabs>
              <w:rPr>
                <w:rFonts w:ascii="Times New Roman" w:hAnsi="Times New Roman"/>
                <w:noProof/>
                <w:sz w:val="18"/>
                <w:szCs w:val="16"/>
              </w:rPr>
            </w:pPr>
            <w:r>
              <w:rPr>
                <w:noProof/>
              </w:rPr>
              <w:tab/>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Осъществяване на връзка</w:t>
            </w:r>
            <w:r>
              <w:rPr>
                <w:rFonts w:ascii="Times New Roman" w:hAnsi="Times New Roman"/>
                <w:noProof/>
                <w:sz w:val="18"/>
              </w:rPr>
              <w:t xml:space="preserve"> с бюрата на държавите от ЕС, отговорни за изпълнението на национално равнище (например подкрепа за създаването на управленска структура и изпълнението на решения, насърчаване на участието в пилотни проекти и процедури на ЕС).</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2018—2020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Поддържане, подобряване и развитие на платформата Joinup за по-добра ангажираност на потребителите и изграждане на общност.</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Проектирането и разработването на обществени услуги да се ръководи въз основа на нуждите на потребителите.</w:t>
            </w: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Опре</w:t>
            </w:r>
            <w:r>
              <w:rPr>
                <w:rFonts w:ascii="Times New Roman" w:hAnsi="Times New Roman"/>
                <w:noProof/>
                <w:sz w:val="18"/>
              </w:rPr>
              <w:t>деляне или въвеждане на средства за ангажиране на потребителите в разработването на цифрови обществени услуги.</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2018—2020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9443" w:type="dxa"/>
            <w:gridSpan w:val="4"/>
            <w:shd w:val="clear" w:color="auto" w:fill="989898" w:themeFill="background1" w:themeFillShade="A6"/>
          </w:tcPr>
          <w:p w:rsidR="007428AE" w:rsidRDefault="00B57CFB">
            <w:pPr>
              <w:spacing w:line="312" w:lineRule="auto"/>
              <w:rPr>
                <w:rFonts w:ascii="Times New Roman" w:hAnsi="Times New Roman"/>
                <w:b/>
                <w:noProof/>
                <w:color w:val="FFFFFF"/>
                <w:sz w:val="18"/>
                <w:szCs w:val="16"/>
              </w:rPr>
            </w:pPr>
            <w:r>
              <w:rPr>
                <w:rFonts w:ascii="Times New Roman" w:hAnsi="Times New Roman"/>
                <w:b/>
                <w:noProof/>
                <w:color w:val="FFFFFF"/>
                <w:sz w:val="18"/>
              </w:rPr>
              <w:t>Приоритетна област 4: Разработване, поддържане и популяризиране на основни фактори за оперативна съвместимост</w:t>
            </w:r>
          </w:p>
        </w:tc>
      </w:tr>
      <w:tr w:rsidR="007428AE" w:rsidTr="007428AE">
        <w:trPr>
          <w:jc w:val="center"/>
        </w:trPr>
        <w:tc>
          <w:tcPr>
            <w:tcW w:w="2596" w:type="dxa"/>
            <w:vMerge w:val="restart"/>
          </w:tcPr>
          <w:p w:rsidR="007428AE" w:rsidRDefault="00B57CFB">
            <w:pPr>
              <w:spacing w:line="312" w:lineRule="auto"/>
              <w:rPr>
                <w:rFonts w:ascii="Times New Roman" w:hAnsi="Times New Roman"/>
                <w:noProof/>
                <w:sz w:val="18"/>
                <w:szCs w:val="16"/>
              </w:rPr>
            </w:pPr>
            <w:r>
              <w:rPr>
                <w:rFonts w:ascii="Times New Roman" w:hAnsi="Times New Roman"/>
                <w:noProof/>
                <w:sz w:val="18"/>
              </w:rPr>
              <w:t xml:space="preserve">Да се </w:t>
            </w:r>
            <w:r>
              <w:rPr>
                <w:rFonts w:ascii="Times New Roman" w:hAnsi="Times New Roman"/>
                <w:noProof/>
                <w:sz w:val="18"/>
              </w:rPr>
              <w:t>определят, разработват, подобряват, въвеждат, поддържат и популяризират оперативно съвместими услуги и инструменти, стандарти и спецификации.</w:t>
            </w: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Определяне и въвеждане на общи спецификации за реда и условията за достъп и управление на базови регистри.</w:t>
            </w:r>
          </w:p>
          <w:p w:rsidR="007428AE" w:rsidRDefault="00B57CFB">
            <w:p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Допълване на атласа на съществуващите решения в областта на базовите регистри.</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Въвеждане и насърчаване на употребата на общи модели за описване и каталогизиране на обществените услуги в целия ЕС.</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trHeight w:val="537"/>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Разработване на </w:t>
            </w:r>
            <w:r>
              <w:rPr>
                <w:rFonts w:ascii="Times New Roman" w:hAnsi="Times New Roman"/>
                <w:noProof/>
                <w:sz w:val="18"/>
              </w:rPr>
              <w:t>спецификации и инструменти за данни в подкрепа на инициативи за „отворени“, т.е. свободно достъпни данни.</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2018—2020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Определяне на мерки за изграждане на доверие в предоставянето на европейски цифрови обществени услуги.</w:t>
            </w:r>
          </w:p>
          <w:p w:rsidR="007428AE" w:rsidRDefault="00B57CFB">
            <w:p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В тази връзка ускоряване </w:t>
            </w:r>
            <w:r>
              <w:rPr>
                <w:rFonts w:ascii="Times New Roman" w:hAnsi="Times New Roman"/>
                <w:noProof/>
                <w:sz w:val="18"/>
              </w:rPr>
              <w:t>на навлизането на удостоверителни услуги, в това число електронна идентификация и електронен подпис.</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2018—2020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Анализиране на съдържанието на данните и съществуващите схеми за метаданни за информацията на публичните администрации (включително </w:t>
            </w:r>
            <w:r>
              <w:rPr>
                <w:rFonts w:ascii="Times New Roman" w:hAnsi="Times New Roman"/>
                <w:noProof/>
                <w:sz w:val="18"/>
              </w:rPr>
              <w:t>документи), използвани в трансграничен или междусекторен контекст. Определяне на пречките за взаимно признаване, създаване на карти и подкрепа на усилията за хармонизиране</w:t>
            </w:r>
            <w:r>
              <w:rPr>
                <w:noProof/>
              </w:rPr>
              <w:t>.</w:t>
            </w:r>
          </w:p>
        </w:tc>
        <w:tc>
          <w:tcPr>
            <w:tcW w:w="1150" w:type="dxa"/>
          </w:tcPr>
          <w:p w:rsidR="007428AE" w:rsidRDefault="00B57CFB">
            <w:pPr>
              <w:spacing w:line="312" w:lineRule="auto"/>
              <w:rPr>
                <w:rFonts w:ascii="Times New Roman" w:eastAsia="Arial" w:hAnsi="Times New Roman"/>
                <w:noProof/>
                <w:sz w:val="18"/>
                <w:szCs w:val="16"/>
              </w:rPr>
            </w:pPr>
            <w:r>
              <w:rPr>
                <w:rFonts w:ascii="Times New Roman" w:hAnsi="Times New Roman"/>
                <w:noProof/>
                <w:color w:val="000000"/>
                <w:sz w:val="18"/>
              </w:rPr>
              <w:t>2018—2020 г.</w:t>
            </w:r>
          </w:p>
        </w:tc>
        <w:tc>
          <w:tcPr>
            <w:tcW w:w="1768" w:type="dxa"/>
          </w:tcPr>
          <w:p w:rsidR="007428AE" w:rsidRDefault="00B57CFB">
            <w:pPr>
              <w:spacing w:line="312" w:lineRule="auto"/>
              <w:rPr>
                <w:rFonts w:ascii="Times New Roman" w:eastAsia="Arial" w:hAnsi="Times New Roman"/>
                <w:noProof/>
                <w:sz w:val="18"/>
                <w:szCs w:val="16"/>
              </w:rPr>
            </w:pPr>
            <w:r>
              <w:rPr>
                <w:rFonts w:ascii="Times New Roman" w:hAnsi="Times New Roman"/>
                <w:noProof/>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По-нататъшна подкрепа за прилагането и подобряването на Дирек</w:t>
            </w:r>
            <w:r>
              <w:rPr>
                <w:rFonts w:ascii="Times New Roman" w:hAnsi="Times New Roman"/>
                <w:noProof/>
                <w:sz w:val="18"/>
              </w:rPr>
              <w:t>тивата INSPIRE чрез употребата на геопространствени данни в цифровите обществени услуги.</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Осъществяване на връзка с инициативите на Комисията за „компютърни услуги в облак“ и други инициативи, свързани с „изграждането на основана на да</w:t>
            </w:r>
            <w:r>
              <w:rPr>
                <w:rFonts w:ascii="Times New Roman" w:hAnsi="Times New Roman"/>
                <w:noProof/>
                <w:sz w:val="18"/>
              </w:rPr>
              <w:t>нни икономика“ на цифровия единен пазар (доколкото това засяга административните услуги) и предоставяне на необходимите препоръки и спецификации за оперативна съвместимост при надлежно съобразяване със съобщението относно приоритетите за стандартизацията в</w:t>
            </w:r>
            <w:r>
              <w:rPr>
                <w:rFonts w:ascii="Times New Roman" w:hAnsi="Times New Roman"/>
                <w:noProof/>
                <w:sz w:val="18"/>
              </w:rPr>
              <w:t xml:space="preserve"> областта на ИКТ за цифровия единен пазар (COM(2016)176).</w:t>
            </w:r>
          </w:p>
        </w:tc>
        <w:tc>
          <w:tcPr>
            <w:tcW w:w="1150"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2018—2020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9443" w:type="dxa"/>
            <w:gridSpan w:val="4"/>
            <w:shd w:val="clear" w:color="auto" w:fill="989898" w:themeFill="background1" w:themeFillShade="A6"/>
          </w:tcPr>
          <w:p w:rsidR="007428AE" w:rsidRDefault="00B57CFB">
            <w:pPr>
              <w:keepNext/>
              <w:spacing w:line="312" w:lineRule="auto"/>
              <w:rPr>
                <w:rFonts w:ascii="Times New Roman" w:hAnsi="Times New Roman"/>
                <w:b/>
                <w:noProof/>
                <w:color w:val="FFFFFF"/>
                <w:sz w:val="18"/>
                <w:szCs w:val="16"/>
              </w:rPr>
            </w:pPr>
            <w:r>
              <w:rPr>
                <w:rFonts w:ascii="Times New Roman" w:hAnsi="Times New Roman"/>
                <w:b/>
                <w:noProof/>
                <w:color w:val="FFFFFF"/>
                <w:sz w:val="18"/>
              </w:rPr>
              <w:t>Приоритетна област 5: Разработване, поддържане и популяризиране на инструменти в подкрепа на оперативната съвместимост</w:t>
            </w:r>
          </w:p>
        </w:tc>
      </w:tr>
      <w:tr w:rsidR="007428AE" w:rsidTr="007428AE">
        <w:trPr>
          <w:jc w:val="center"/>
        </w:trPr>
        <w:tc>
          <w:tcPr>
            <w:tcW w:w="2596" w:type="dxa"/>
            <w:vMerge w:val="restart"/>
          </w:tcPr>
          <w:p w:rsidR="007428AE" w:rsidRDefault="00B57CFB">
            <w:pPr>
              <w:spacing w:line="312" w:lineRule="auto"/>
              <w:rPr>
                <w:rFonts w:ascii="Times New Roman" w:hAnsi="Times New Roman"/>
                <w:noProof/>
                <w:sz w:val="18"/>
                <w:szCs w:val="16"/>
              </w:rPr>
            </w:pPr>
            <w:r>
              <w:rPr>
                <w:rFonts w:ascii="Times New Roman" w:hAnsi="Times New Roman"/>
                <w:noProof/>
                <w:sz w:val="18"/>
              </w:rPr>
              <w:t xml:space="preserve">Да се определят, разработват, подобряват, въвеждат, </w:t>
            </w:r>
            <w:r>
              <w:rPr>
                <w:rFonts w:ascii="Times New Roman" w:hAnsi="Times New Roman"/>
                <w:noProof/>
                <w:sz w:val="18"/>
              </w:rPr>
              <w:t>поддържат и популяризират инструменти, които подпомагат изпълнението, оценката и наблюдението на дейностите за оперативна съвместимост.</w:t>
            </w: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Разработване на метод за оценка на възможното въздействие на законодателството върху сектора на ИКТ на европейско или, а</w:t>
            </w:r>
            <w:r>
              <w:rPr>
                <w:rFonts w:ascii="Times New Roman" w:hAnsi="Times New Roman"/>
                <w:noProof/>
                <w:sz w:val="18"/>
              </w:rPr>
              <w:t>ко е възможно, на национално равнище; разкриване на законодателни актове, които възпрепятстват оперативната съвместимост (включително чрез преглед на законодателството); извършване на цифрови проверки на предложените или сегашните политики и законодателств</w:t>
            </w:r>
            <w:r>
              <w:rPr>
                <w:rFonts w:ascii="Times New Roman" w:hAnsi="Times New Roman"/>
                <w:noProof/>
                <w:sz w:val="18"/>
              </w:rPr>
              <w:t>о; подкрепа на дейности за подпомагане на изготвянето и последователността на законодателството.</w:t>
            </w:r>
          </w:p>
        </w:tc>
        <w:tc>
          <w:tcPr>
            <w:tcW w:w="1150" w:type="dxa"/>
          </w:tcPr>
          <w:p w:rsidR="007428AE" w:rsidRDefault="00B57CFB">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Разработване, поддържане и използване на механизми и инструменти за оценка на степента на зрялост, разходите и ползите от оперативната съ</w:t>
            </w:r>
            <w:r>
              <w:rPr>
                <w:rFonts w:ascii="Times New Roman" w:hAnsi="Times New Roman"/>
                <w:noProof/>
                <w:sz w:val="18"/>
              </w:rPr>
              <w:t xml:space="preserve">вместимост. </w:t>
            </w:r>
          </w:p>
        </w:tc>
        <w:tc>
          <w:tcPr>
            <w:tcW w:w="1150" w:type="dxa"/>
          </w:tcPr>
          <w:p w:rsidR="007428AE" w:rsidRDefault="00B57CFB">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Поддържане и популяризиране на „рамката за споделяне и повторно използване на ИТ решения“ (включително с отворен код), разработена в рамките на програмата ISA².</w:t>
            </w:r>
          </w:p>
        </w:tc>
        <w:tc>
          <w:tcPr>
            <w:tcW w:w="1150" w:type="dxa"/>
          </w:tcPr>
          <w:p w:rsidR="007428AE" w:rsidRDefault="00B57CFB">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tc>
      </w:tr>
      <w:tr w:rsidR="007428AE" w:rsidTr="007428AE">
        <w:trPr>
          <w:jc w:val="center"/>
        </w:trPr>
        <w:tc>
          <w:tcPr>
            <w:tcW w:w="2596" w:type="dxa"/>
            <w:vMerge/>
          </w:tcPr>
          <w:p w:rsidR="007428AE" w:rsidRDefault="007428AE">
            <w:pPr>
              <w:spacing w:line="312" w:lineRule="auto"/>
              <w:rPr>
                <w:rFonts w:ascii="Times New Roman" w:hAnsi="Times New Roman"/>
                <w:noProof/>
                <w:color w:val="000000"/>
                <w:sz w:val="18"/>
                <w:szCs w:val="16"/>
              </w:rPr>
            </w:pPr>
          </w:p>
        </w:tc>
        <w:tc>
          <w:tcPr>
            <w:tcW w:w="3929" w:type="dxa"/>
          </w:tcPr>
          <w:p w:rsidR="007428AE" w:rsidRDefault="00B57CFB">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Осигуряване на поддръжката, </w:t>
            </w:r>
            <w:r>
              <w:rPr>
                <w:rFonts w:ascii="Times New Roman" w:hAnsi="Times New Roman"/>
                <w:noProof/>
                <w:sz w:val="18"/>
              </w:rPr>
              <w:t>подобряването и популяризирането на Европейската референтна архитектура за оперативна съвместимост (EIRA) и Атласа на оперативната съвместимост в Европа (EIC) като инструменти за улесняване на повторното използване на съществуващите решения за оперативна с</w:t>
            </w:r>
            <w:r>
              <w:rPr>
                <w:rFonts w:ascii="Times New Roman" w:hAnsi="Times New Roman"/>
                <w:noProof/>
                <w:sz w:val="18"/>
              </w:rPr>
              <w:t>ъвместимост в национален или трансграничен контекст.</w:t>
            </w:r>
          </w:p>
        </w:tc>
        <w:tc>
          <w:tcPr>
            <w:tcW w:w="1150" w:type="dxa"/>
          </w:tcPr>
          <w:p w:rsidR="007428AE" w:rsidRDefault="00B57CFB">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 г.</w:t>
            </w:r>
          </w:p>
        </w:tc>
        <w:tc>
          <w:tcPr>
            <w:tcW w:w="1768" w:type="dxa"/>
          </w:tcPr>
          <w:p w:rsidR="007428AE" w:rsidRDefault="00B57CFB">
            <w:pPr>
              <w:spacing w:line="312" w:lineRule="auto"/>
              <w:rPr>
                <w:rFonts w:ascii="Times New Roman" w:hAnsi="Times New Roman"/>
                <w:noProof/>
                <w:color w:val="000000"/>
                <w:sz w:val="18"/>
                <w:szCs w:val="16"/>
              </w:rPr>
            </w:pPr>
            <w:r>
              <w:rPr>
                <w:rFonts w:ascii="Times New Roman" w:hAnsi="Times New Roman"/>
                <w:noProof/>
                <w:color w:val="000000"/>
                <w:sz w:val="18"/>
              </w:rPr>
              <w:t>ЕК, ДЧ</w:t>
            </w:r>
          </w:p>
          <w:p w:rsidR="007428AE" w:rsidRDefault="007428AE">
            <w:pPr>
              <w:spacing w:line="312" w:lineRule="auto"/>
              <w:rPr>
                <w:rFonts w:ascii="Times New Roman" w:hAnsi="Times New Roman"/>
                <w:noProof/>
                <w:color w:val="000000"/>
                <w:sz w:val="18"/>
                <w:szCs w:val="16"/>
              </w:rPr>
            </w:pPr>
          </w:p>
          <w:p w:rsidR="007428AE" w:rsidRDefault="007428AE">
            <w:pPr>
              <w:spacing w:line="312" w:lineRule="auto"/>
              <w:rPr>
                <w:rFonts w:ascii="Times New Roman" w:hAnsi="Times New Roman"/>
                <w:noProof/>
                <w:color w:val="000000"/>
                <w:sz w:val="18"/>
                <w:szCs w:val="16"/>
              </w:rPr>
            </w:pPr>
          </w:p>
        </w:tc>
      </w:tr>
    </w:tbl>
    <w:p w:rsidR="007428AE" w:rsidRDefault="007428AE">
      <w:pPr>
        <w:rPr>
          <w:noProof/>
        </w:rPr>
      </w:pPr>
    </w:p>
    <w:sectPr w:rsidR="007428AE">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FB" w:rsidRDefault="00B57CFB">
      <w:pPr>
        <w:spacing w:after="0" w:line="240" w:lineRule="auto"/>
      </w:pPr>
      <w:r>
        <w:separator/>
      </w:r>
    </w:p>
  </w:endnote>
  <w:endnote w:type="continuationSeparator" w:id="0">
    <w:p w:rsidR="00B57CFB" w:rsidRDefault="00B5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21" w:rsidRDefault="00AE3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E" w:rsidRDefault="00B57CF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21" w:rsidRDefault="00AE38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E" w:rsidRDefault="007428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1474"/>
      <w:docPartObj>
        <w:docPartGallery w:val="Page Numbers (Bottom of Page)"/>
        <w:docPartUnique/>
      </w:docPartObj>
    </w:sdtPr>
    <w:sdtEndPr/>
    <w:sdtContent>
      <w:p w:rsidR="007428AE" w:rsidRDefault="00B57CFB">
        <w:pPr>
          <w:pStyle w:val="Footer"/>
          <w:jc w:val="center"/>
        </w:pPr>
        <w:r>
          <w:fldChar w:fldCharType="begin"/>
        </w:r>
        <w:r>
          <w:instrText xml:space="preserve"> PAGE   \* MERGEFORMAT </w:instrText>
        </w:r>
        <w:r>
          <w:fldChar w:fldCharType="separate"/>
        </w:r>
        <w:r w:rsidR="00AE3821">
          <w:rPr>
            <w:noProof/>
          </w:rPr>
          <w:t>5</w:t>
        </w:r>
        <w:r>
          <w:fldChar w:fldCharType="end"/>
        </w:r>
      </w:p>
    </w:sdtContent>
  </w:sdt>
  <w:p w:rsidR="007428AE" w:rsidRDefault="007428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E" w:rsidRDefault="00B57CFB">
    <w:pPr>
      <w:pStyle w:val="Footer"/>
      <w:jc w:val="center"/>
    </w:pPr>
    <w:r>
      <w:fldChar w:fldCharType="begin"/>
    </w:r>
    <w:r>
      <w:instrText xml:space="preserve"> PAGE   \* MERGEFORMAT </w:instrText>
    </w:r>
    <w:r>
      <w:fldChar w:fldCharType="separate"/>
    </w:r>
    <w:r w:rsidR="00AE38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FB" w:rsidRDefault="00B57CFB">
      <w:pPr>
        <w:spacing w:after="0" w:line="240" w:lineRule="auto"/>
      </w:pPr>
      <w:r>
        <w:separator/>
      </w:r>
    </w:p>
  </w:footnote>
  <w:footnote w:type="continuationSeparator" w:id="0">
    <w:p w:rsidR="00B57CFB" w:rsidRDefault="00B57CFB">
      <w:pPr>
        <w:spacing w:after="0" w:line="240" w:lineRule="auto"/>
      </w:pPr>
      <w:r>
        <w:continuationSeparator/>
      </w:r>
    </w:p>
  </w:footnote>
  <w:footnote w:id="1">
    <w:p w:rsidR="007428AE" w:rsidRDefault="00B57CFB">
      <w:pPr>
        <w:pStyle w:val="FootnoteText"/>
        <w:jc w:val="both"/>
      </w:pPr>
      <w:r>
        <w:rPr>
          <w:rStyle w:val="FootnoteReference"/>
        </w:rPr>
        <w:footnoteRef/>
      </w:r>
      <w:r>
        <w:t xml:space="preserve"> Причините за проблемите по оперативната съвместимост са посочени в основния текст на съобщението. Макар че не съществува пълно съответствие между основните причини и приоритетните области, за всяка причина са набелязани мерки за преодоляване чрез едно от </w:t>
      </w:r>
      <w:r>
        <w:t>предложените действия или комбинация от няколко от тях.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21" w:rsidRDefault="00AE3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21" w:rsidRDefault="00AE3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21" w:rsidRDefault="00AE38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E" w:rsidRDefault="007428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E" w:rsidRDefault="007428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E" w:rsidRDefault="00742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9">
    <w:nsid w:val="417A14E6"/>
    <w:multiLevelType w:val="hybridMultilevel"/>
    <w:tmpl w:val="D2C4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04936E5"/>
    <w:multiLevelType w:val="multilevel"/>
    <w:tmpl w:val="9F9A5336"/>
    <w:numStyleLink w:val="NumbLstBTBullet"/>
  </w:abstractNum>
  <w:abstractNum w:abstractNumId="14">
    <w:nsid w:val="512C4D21"/>
    <w:multiLevelType w:val="hybridMultilevel"/>
    <w:tmpl w:val="587CEBC2"/>
    <w:lvl w:ilvl="0" w:tplc="223E3058">
      <w:start w:val="1"/>
      <w:numFmt w:val="decimal"/>
      <w:lvlText w:val="%1."/>
      <w:lvlJc w:val="left"/>
      <w:pPr>
        <w:ind w:left="4079" w:hanging="360"/>
      </w:pPr>
      <w:rPr>
        <w:rFonts w:ascii="Times New Roman" w:hAnsi="Times New Roman" w:cs="Times New Roman" w:hint="default"/>
      </w:rPr>
    </w:lvl>
    <w:lvl w:ilvl="1" w:tplc="08090019" w:tentative="1">
      <w:start w:val="1"/>
      <w:numFmt w:val="lowerLetter"/>
      <w:lvlText w:val="%2."/>
      <w:lvlJc w:val="left"/>
      <w:pPr>
        <w:ind w:left="4799" w:hanging="360"/>
      </w:pPr>
    </w:lvl>
    <w:lvl w:ilvl="2" w:tplc="0809001B" w:tentative="1">
      <w:start w:val="1"/>
      <w:numFmt w:val="lowerRoman"/>
      <w:lvlText w:val="%3."/>
      <w:lvlJc w:val="right"/>
      <w:pPr>
        <w:ind w:left="5519" w:hanging="180"/>
      </w:pPr>
    </w:lvl>
    <w:lvl w:ilvl="3" w:tplc="0809000F" w:tentative="1">
      <w:start w:val="1"/>
      <w:numFmt w:val="decimal"/>
      <w:lvlText w:val="%4."/>
      <w:lvlJc w:val="left"/>
      <w:pPr>
        <w:ind w:left="6239" w:hanging="360"/>
      </w:pPr>
    </w:lvl>
    <w:lvl w:ilvl="4" w:tplc="08090019" w:tentative="1">
      <w:start w:val="1"/>
      <w:numFmt w:val="lowerLetter"/>
      <w:lvlText w:val="%5."/>
      <w:lvlJc w:val="left"/>
      <w:pPr>
        <w:ind w:left="6959" w:hanging="360"/>
      </w:pPr>
    </w:lvl>
    <w:lvl w:ilvl="5" w:tplc="0809001B" w:tentative="1">
      <w:start w:val="1"/>
      <w:numFmt w:val="lowerRoman"/>
      <w:lvlText w:val="%6."/>
      <w:lvlJc w:val="right"/>
      <w:pPr>
        <w:ind w:left="7679" w:hanging="180"/>
      </w:pPr>
    </w:lvl>
    <w:lvl w:ilvl="6" w:tplc="0809000F" w:tentative="1">
      <w:start w:val="1"/>
      <w:numFmt w:val="decimal"/>
      <w:lvlText w:val="%7."/>
      <w:lvlJc w:val="left"/>
      <w:pPr>
        <w:ind w:left="8399" w:hanging="360"/>
      </w:pPr>
    </w:lvl>
    <w:lvl w:ilvl="7" w:tplc="08090019" w:tentative="1">
      <w:start w:val="1"/>
      <w:numFmt w:val="lowerLetter"/>
      <w:lvlText w:val="%8."/>
      <w:lvlJc w:val="left"/>
      <w:pPr>
        <w:ind w:left="9119" w:hanging="360"/>
      </w:pPr>
    </w:lvl>
    <w:lvl w:ilvl="8" w:tplc="0809001B" w:tentative="1">
      <w:start w:val="1"/>
      <w:numFmt w:val="lowerRoman"/>
      <w:lvlText w:val="%9."/>
      <w:lvlJc w:val="right"/>
      <w:pPr>
        <w:ind w:left="9839" w:hanging="180"/>
      </w:p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19">
    <w:nsid w:val="65DA35C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0"/>
  </w:num>
  <w:num w:numId="3">
    <w:abstractNumId w:val="20"/>
  </w:num>
  <w:num w:numId="4">
    <w:abstractNumId w:val="7"/>
  </w:num>
  <w:num w:numId="5">
    <w:abstractNumId w:val="11"/>
  </w:num>
  <w:num w:numId="6">
    <w:abstractNumId w:val="5"/>
  </w:num>
  <w:num w:numId="7">
    <w:abstractNumId w:val="4"/>
  </w:num>
  <w:num w:numId="8">
    <w:abstractNumId w:val="12"/>
  </w:num>
  <w:num w:numId="9">
    <w:abstractNumId w:val="16"/>
  </w:num>
  <w:num w:numId="10">
    <w:abstractNumId w:val="17"/>
  </w:num>
  <w:num w:numId="11">
    <w:abstractNumId w:val="6"/>
  </w:num>
  <w:num w:numId="12">
    <w:abstractNumId w:val="15"/>
  </w:num>
  <w:num w:numId="13">
    <w:abstractNumId w:val="21"/>
  </w:num>
  <w:num w:numId="14">
    <w:abstractNumId w:val="3"/>
  </w:num>
  <w:num w:numId="15">
    <w:abstractNumId w:val="2"/>
  </w:num>
  <w:num w:numId="16">
    <w:abstractNumId w:val="1"/>
  </w:num>
  <w:num w:numId="17">
    <w:abstractNumId w:val="0"/>
  </w:num>
  <w:num w:numId="18">
    <w:abstractNumId w:val="8"/>
  </w:num>
  <w:num w:numId="19">
    <w:abstractNumId w:val="13"/>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14"/>
  </w:num>
  <w:num w:numId="21">
    <w:abstractNumId w:val="19"/>
  </w:num>
  <w:num w:numId="22">
    <w:abstractNumId w:val="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0DF729E855814EC097B17A4DC9821CDB"/>
    <w:docVar w:name="LW_CROSSREFERENCE" w:val="{SWD(2017) 112 final}_x000b_{SWD(2017) 113 final}"/>
    <w:docVar w:name="LW_DocType" w:val="NORMAL"/>
    <w:docVar w:name="LW_EMISSION" w:val="23.3.2017"/>
    <w:docVar w:name="LW_EMISSION_ISODATE" w:val="2017-03-23"/>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45?\u1074?\u1088?\u1086?\u1087?\u1077?\u1081?\u1089?\u1082?\u1072? \u1088?\u1072?\u1084?\u1082?\u1072? \u1079?\u1072? \u1086?\u1087?\u1077?\u1088?\u1072?\u1090?\u1080?\u1074?\u1085?\u1072? \u1089?\u1098?\u1074?\u1084?\u1077?\u1089?\u1090?\u1080?\u1084?\u1086?\u1089?\u1090? \u8212? \u1089?\u1090?\u1088?\u1072?\u1090?\u1077?\u1075?\u1080?\u1103? \u1079?\u1072? \u1087?\u1088?\u1080?\u1083?\u1072?\u1075?\u1072?\u1085?\u1077?_x000b__x000b_\u1055?\u1083?\u1072?\u1085? \u1079?\u1072? \u1076?\u1077?\u1081?\u1089?\u1090?\u1074?\u1080?\u1077? \u1079?\u1072? \u1086?\u1087?\u1077?\u1088?\u1072?\u1090?\u1080?\u1074?\u1085?\u1072? \u1089?\u1098?\u1074?\u1084?\u1077?\u1089?\u1090?\u1080?\u1084?\u1086?\u1089?\u1090?"/>
    <w:docVar w:name="LW_PART_NBR" w:val="1"/>
    <w:docVar w:name="LW_PART_NBR_TOTAL" w:val="1"/>
    <w:docVar w:name="LW_REF.INST.NEW" w:val="COM"/>
    <w:docVar w:name="LW_REF.INST.NEW_ADOPTED" w:val="final"/>
    <w:docVar w:name="LW_REF.INST.NEW_TEXT" w:val="(2017) 134"/>
    <w:docVar w:name="LW_REF.INTERNE" w:val="&lt;UNUSED&gt;"/>
    <w:docVar w:name="LW_SUPERTITRE" w:val="&lt;UNUSED&gt;"/>
    <w:docVar w:name="LW_TITRE.OBJ.CP" w:val=" \u1082?\u1098?\u1084?_x000b_\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 w:val="\u1055?\u1056?\u1048?\u1051?\u1054?\u1046?\u1045?\u1053?\u1048?\u1045?_x000b_"/>
    <w:docVar w:name="LW_TYPEACTEPRINCIPAL.CP" w:val="&lt;UNUSED&gt;"/>
  </w:docVars>
  <w:rsids>
    <w:rsidRoot w:val="007428AE"/>
    <w:rsid w:val="007428AE"/>
    <w:rsid w:val="00AE3821"/>
    <w:rsid w:val="00B5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bg-BG"/>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bg-BG"/>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bg-BG" w:eastAsia="bg-BG"/>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Verdana" w:hAnsi="Verdana"/>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bg-BG"/>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bg-BG"/>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Times" w:hAnsi="Time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bg-BG"/>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bg-BG"/>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bg-BG" w:eastAsia="bg-BG"/>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Verdana" w:hAnsi="Verdana"/>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bg-BG"/>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bg-BG"/>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Times" w:hAnsi="Time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3551-260D-4525-BBC3-64451262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BOVALIS Konstantinos (DIGIT)</dc:creator>
  <cp:lastModifiedBy>LAGES CARVALHO Patrick (SG)</cp:lastModifiedBy>
  <cp:revision>15</cp:revision>
  <cp:lastPrinted>2016-10-26T10:21:00Z</cp:lastPrinted>
  <dcterms:created xsi:type="dcterms:W3CDTF">2017-02-17T11:09:00Z</dcterms:created>
  <dcterms:modified xsi:type="dcterms:W3CDTF">2017-03-15T11:04:00Z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First annex">
    <vt:lpwstr>1</vt:lpwstr>
  </property>
  <property fmtid="{D5CDD505-2E9C-101B-9397-08002B2CF9AE}" pid="7" name="Last annex">
    <vt:lpwstr>1</vt:lpwstr>
  </property>
  <property fmtid="{D5CDD505-2E9C-101B-9397-08002B2CF9AE}" pid="8" name="DocStatus">
    <vt:lpwstr>Green</vt:lpwstr>
  </property>
</Properties>
</file>