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E677BA596D0245C3B905BF0521824CAC" style="width:450.8pt;height:459.5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0"/>
        </w:numPr>
        <w:ind w:left="432" w:hanging="432"/>
        <w:rPr>
          <w:noProof/>
        </w:rPr>
      </w:pPr>
      <w:bookmarkStart w:id="1" w:name="_Toc463449749"/>
      <w:bookmarkStart w:id="2" w:name="_Toc463451501"/>
      <w:bookmarkStart w:id="3" w:name="_Toc463452155"/>
      <w:bookmarkStart w:id="4" w:name="_Toc463458193"/>
      <w:bookmarkStart w:id="5" w:name="_Toc464028091"/>
      <w:bookmarkStart w:id="6" w:name="_GoBack"/>
      <w:bookmarkEnd w:id="1"/>
      <w:bookmarkEnd w:id="2"/>
      <w:bookmarkEnd w:id="3"/>
      <w:bookmarkEnd w:id="4"/>
      <w:bookmarkEnd w:id="6"/>
      <w:r>
        <w:rPr>
          <w:noProof/>
        </w:rPr>
        <w:lastRenderedPageBreak/>
        <w:t>Action plan</w:t>
      </w:r>
      <w:bookmarkEnd w:id="5"/>
      <w:r>
        <w:rPr>
          <w:noProof/>
        </w:rPr>
        <w:t xml:space="preserve"> for interoperability</w:t>
      </w:r>
    </w:p>
    <w:p>
      <w:pPr>
        <w:pStyle w:val="FootnoteText"/>
        <w:spacing w:line="312" w:lineRule="auto"/>
        <w:jc w:val="both"/>
        <w:rPr>
          <w:noProof/>
          <w:sz w:val="24"/>
          <w:szCs w:val="24"/>
          <w:lang w:val="en-GB"/>
        </w:rPr>
      </w:pPr>
      <w:r>
        <w:rPr>
          <w:noProof/>
          <w:sz w:val="24"/>
          <w:szCs w:val="24"/>
          <w:lang w:val="en-GB"/>
        </w:rPr>
        <w:t>The interoperability action plan tackles the causes</w:t>
      </w:r>
      <w:r>
        <w:rPr>
          <w:rStyle w:val="FootnoteReference"/>
          <w:noProof/>
          <w:sz w:val="24"/>
          <w:szCs w:val="24"/>
          <w:lang w:val="en-GB"/>
        </w:rPr>
        <w:footnoteReference w:id="1"/>
      </w:r>
      <w:r>
        <w:rPr>
          <w:noProof/>
          <w:sz w:val="24"/>
          <w:szCs w:val="24"/>
          <w:lang w:val="en-GB"/>
        </w:rPr>
        <w:t xml:space="preserve"> of existing interoperability issues and is indicative. It may be updated if more actions are identified and included in it or others are withdrawn. Changes can be proposed by the European Commission at any time and good reasons should be given, i.e. findings resulting from monitoring of interoperability actions. The Commission, in consultation with the ISA² Committee or, if relevant, with the governing bodies of initiatives supporting the interoperability action plan, is responsible for deciding on any update to the list.</w:t>
      </w:r>
    </w:p>
    <w:p>
      <w:pPr>
        <w:pStyle w:val="FootnoteText"/>
        <w:jc w:val="both"/>
        <w:rPr>
          <w:b/>
          <w:noProof/>
          <w:lang w:val="en-GB"/>
        </w:rPr>
      </w:pPr>
    </w:p>
    <w:tbl>
      <w:tblPr>
        <w:tblStyle w:val="EuropeanCommissionstyle1"/>
        <w:tblW w:w="9443" w:type="dxa"/>
        <w:jc w:val="center"/>
        <w:tblLook w:val="04A0" w:firstRow="1" w:lastRow="0" w:firstColumn="1" w:lastColumn="0" w:noHBand="0" w:noVBand="1"/>
      </w:tblPr>
      <w:tblGrid>
        <w:gridCol w:w="2596"/>
        <w:gridCol w:w="3929"/>
        <w:gridCol w:w="1150"/>
        <w:gridCol w:w="1768"/>
      </w:tblGrid>
      <w:tr>
        <w:trPr>
          <w:cnfStyle w:val="100000000000" w:firstRow="1" w:lastRow="0" w:firstColumn="0" w:lastColumn="0" w:oddVBand="0" w:evenVBand="0" w:oddHBand="0" w:evenHBand="0" w:firstRowFirstColumn="0" w:firstRowLastColumn="0" w:lastRowFirstColumn="0" w:lastRowLastColumn="0"/>
          <w:trHeight w:val="225"/>
          <w:tblHeader/>
          <w:jc w:val="center"/>
        </w:trPr>
        <w:tc>
          <w:tcPr>
            <w:tcW w:w="2596" w:type="dxa"/>
          </w:tcPr>
          <w:p>
            <w:pPr>
              <w:widowControl w:val="0"/>
              <w:spacing w:line="312" w:lineRule="auto"/>
              <w:jc w:val="center"/>
              <w:rPr>
                <w:rFonts w:ascii="Times New Roman" w:hAnsi="Times New Roman"/>
                <w:noProof/>
                <w:sz w:val="18"/>
                <w:szCs w:val="16"/>
                <w:lang w:val="en-GB" w:eastAsia="fr-FR"/>
              </w:rPr>
            </w:pPr>
            <w:r>
              <w:rPr>
                <w:rFonts w:ascii="Times New Roman" w:hAnsi="Times New Roman"/>
                <w:noProof/>
                <w:sz w:val="18"/>
                <w:szCs w:val="16"/>
                <w:lang w:val="en-GB" w:eastAsia="fr-FR"/>
              </w:rPr>
              <w:t>Objectives</w:t>
            </w:r>
          </w:p>
        </w:tc>
        <w:tc>
          <w:tcPr>
            <w:tcW w:w="3929" w:type="dxa"/>
          </w:tcPr>
          <w:p>
            <w:pPr>
              <w:widowControl w:val="0"/>
              <w:spacing w:line="312" w:lineRule="auto"/>
              <w:jc w:val="center"/>
              <w:rPr>
                <w:rFonts w:ascii="Times New Roman" w:hAnsi="Times New Roman"/>
                <w:noProof/>
                <w:sz w:val="18"/>
                <w:szCs w:val="16"/>
                <w:lang w:val="en-GB" w:eastAsia="fr-FR"/>
              </w:rPr>
            </w:pPr>
            <w:r>
              <w:rPr>
                <w:rFonts w:ascii="Times New Roman" w:hAnsi="Times New Roman"/>
                <w:noProof/>
                <w:sz w:val="18"/>
                <w:szCs w:val="16"/>
                <w:lang w:val="en-GB" w:eastAsia="fr-FR"/>
              </w:rPr>
              <w:t>Actions</w:t>
            </w:r>
          </w:p>
        </w:tc>
        <w:tc>
          <w:tcPr>
            <w:tcW w:w="1150" w:type="dxa"/>
          </w:tcPr>
          <w:p>
            <w:pPr>
              <w:widowControl w:val="0"/>
              <w:spacing w:line="312" w:lineRule="auto"/>
              <w:jc w:val="center"/>
              <w:rPr>
                <w:rFonts w:ascii="Times New Roman" w:hAnsi="Times New Roman"/>
                <w:noProof/>
                <w:sz w:val="18"/>
                <w:szCs w:val="16"/>
                <w:lang w:val="en-GB" w:eastAsia="fr-FR"/>
              </w:rPr>
            </w:pPr>
            <w:r>
              <w:rPr>
                <w:rFonts w:ascii="Times New Roman" w:hAnsi="Times New Roman"/>
                <w:noProof/>
                <w:sz w:val="18"/>
                <w:szCs w:val="16"/>
                <w:lang w:val="en-GB" w:eastAsia="fr-FR"/>
              </w:rPr>
              <w:t>Timeline</w:t>
            </w:r>
          </w:p>
        </w:tc>
        <w:tc>
          <w:tcPr>
            <w:tcW w:w="1768" w:type="dxa"/>
          </w:tcPr>
          <w:p>
            <w:pPr>
              <w:widowControl w:val="0"/>
              <w:spacing w:line="312" w:lineRule="auto"/>
              <w:jc w:val="center"/>
              <w:rPr>
                <w:rFonts w:ascii="Times New Roman" w:hAnsi="Times New Roman"/>
                <w:noProof/>
                <w:sz w:val="18"/>
                <w:szCs w:val="16"/>
                <w:lang w:val="en-GB" w:eastAsia="fr-FR"/>
              </w:rPr>
            </w:pPr>
            <w:r>
              <w:rPr>
                <w:rFonts w:ascii="Times New Roman" w:hAnsi="Times New Roman"/>
                <w:noProof/>
                <w:sz w:val="18"/>
                <w:szCs w:val="16"/>
                <w:lang w:val="en-GB" w:eastAsia="fr-FR"/>
              </w:rPr>
              <w:t>Responsibility</w:t>
            </w:r>
          </w:p>
        </w:tc>
      </w:tr>
      <w:tr>
        <w:trPr>
          <w:jc w:val="center"/>
        </w:trPr>
        <w:tc>
          <w:tcPr>
            <w:tcW w:w="9443" w:type="dxa"/>
            <w:gridSpan w:val="4"/>
            <w:shd w:val="clear" w:color="auto" w:fill="A6A6A6" w:themeFill="background1" w:themeFillShade="A6"/>
          </w:tcPr>
          <w:p>
            <w:pPr>
              <w:spacing w:line="312" w:lineRule="auto"/>
              <w:rPr>
                <w:rFonts w:ascii="Times New Roman" w:hAnsi="Times New Roman"/>
                <w:b/>
                <w:noProof/>
                <w:color w:val="FFFFFF"/>
                <w:sz w:val="18"/>
                <w:szCs w:val="16"/>
                <w:lang w:val="en-GB" w:eastAsia="fr-FR"/>
              </w:rPr>
            </w:pPr>
            <w:r>
              <w:rPr>
                <w:rFonts w:ascii="Times New Roman" w:hAnsi="Times New Roman"/>
                <w:b/>
                <w:noProof/>
                <w:color w:val="FFFFFF"/>
                <w:sz w:val="18"/>
                <w:szCs w:val="16"/>
                <w:lang w:val="en-GB" w:eastAsia="fr-FR"/>
              </w:rPr>
              <w:t>Focus area 1: Ensure governance, coordination and sharing of interoperability initiatives</w:t>
            </w:r>
          </w:p>
        </w:tc>
      </w:tr>
      <w:tr>
        <w:trPr>
          <w:trHeight w:val="904"/>
          <w:jc w:val="center"/>
        </w:trPr>
        <w:tc>
          <w:tcPr>
            <w:tcW w:w="2596" w:type="dxa"/>
            <w:vMerge w:val="restart"/>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To govern and coordinate interoperability initiatives at EU and national levels.</w:t>
            </w: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Identify and liaise with other relevant policies and their governance structures at EU and national levels (including the sectoral committees).</w:t>
            </w:r>
          </w:p>
        </w:tc>
        <w:tc>
          <w:tcPr>
            <w:tcW w:w="1150"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2017-2020</w:t>
            </w:r>
          </w:p>
        </w:tc>
        <w:tc>
          <w:tcPr>
            <w:tcW w:w="1768"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European Commission (EC),</w:t>
            </w:r>
          </w:p>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Member States (MS)</w:t>
            </w:r>
          </w:p>
        </w:tc>
      </w:tr>
      <w:tr>
        <w:trPr>
          <w:jc w:val="center"/>
        </w:trPr>
        <w:tc>
          <w:tcPr>
            <w:tcW w:w="2596" w:type="dxa"/>
            <w:vMerge/>
          </w:tcPr>
          <w:p>
            <w:pPr>
              <w:spacing w:line="312" w:lineRule="auto"/>
              <w:rPr>
                <w:rFonts w:ascii="Times New Roman" w:hAnsi="Times New Roman"/>
                <w:noProof/>
                <w:color w:val="000000"/>
                <w:sz w:val="18"/>
                <w:szCs w:val="16"/>
                <w:lang w:val="en-GB" w:eastAsia="fr-FR"/>
              </w:rPr>
            </w:pP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Identify and describe governance structures and good practices for interoperability coordination.</w:t>
            </w:r>
          </w:p>
        </w:tc>
        <w:tc>
          <w:tcPr>
            <w:tcW w:w="1150" w:type="dxa"/>
          </w:tcPr>
          <w:p>
            <w:pPr>
              <w:spacing w:line="312" w:lineRule="auto"/>
              <w:rPr>
                <w:rFonts w:ascii="Times New Roman" w:eastAsia="Arial" w:hAnsi="Times New Roman"/>
                <w:noProof/>
                <w:sz w:val="18"/>
                <w:szCs w:val="16"/>
                <w:lang w:val="en-GB"/>
              </w:rPr>
            </w:pPr>
            <w:r>
              <w:rPr>
                <w:rFonts w:ascii="Times New Roman" w:eastAsia="Arial" w:hAnsi="Times New Roman"/>
                <w:noProof/>
                <w:sz w:val="18"/>
                <w:szCs w:val="16"/>
                <w:lang w:val="en-GB"/>
              </w:rPr>
              <w:t>2017-2020</w:t>
            </w:r>
          </w:p>
        </w:tc>
        <w:tc>
          <w:tcPr>
            <w:tcW w:w="1768" w:type="dxa"/>
          </w:tcPr>
          <w:p>
            <w:pPr>
              <w:spacing w:line="312" w:lineRule="auto"/>
              <w:rPr>
                <w:rFonts w:ascii="Times New Roman" w:eastAsia="Arial" w:hAnsi="Times New Roman"/>
                <w:noProof/>
                <w:sz w:val="18"/>
                <w:szCs w:val="16"/>
                <w:lang w:val="en-GB"/>
              </w:rPr>
            </w:pPr>
            <w:r>
              <w:rPr>
                <w:rFonts w:ascii="Times New Roman" w:eastAsia="Arial" w:hAnsi="Times New Roman"/>
                <w:noProof/>
                <w:sz w:val="18"/>
                <w:szCs w:val="16"/>
                <w:lang w:val="en-GB"/>
              </w:rPr>
              <w:t>EC, MS</w:t>
            </w:r>
          </w:p>
        </w:tc>
      </w:tr>
      <w:tr>
        <w:trPr>
          <w:jc w:val="center"/>
        </w:trPr>
        <w:tc>
          <w:tcPr>
            <w:tcW w:w="2596" w:type="dxa"/>
            <w:vMerge/>
          </w:tcPr>
          <w:p>
            <w:pPr>
              <w:spacing w:line="312" w:lineRule="auto"/>
              <w:rPr>
                <w:rFonts w:ascii="Times New Roman" w:hAnsi="Times New Roman"/>
                <w:noProof/>
                <w:color w:val="000000"/>
                <w:sz w:val="18"/>
                <w:szCs w:val="16"/>
                <w:lang w:val="en-GB" w:eastAsia="fr-FR"/>
              </w:rPr>
            </w:pP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Ensure that interoperability is taken into account when legislative instruments are drafted and relevant references are included as appropriate.</w:t>
            </w:r>
          </w:p>
        </w:tc>
        <w:tc>
          <w:tcPr>
            <w:tcW w:w="1150" w:type="dxa"/>
          </w:tcPr>
          <w:p>
            <w:pPr>
              <w:spacing w:line="312" w:lineRule="auto"/>
              <w:rPr>
                <w:rFonts w:ascii="Times New Roman" w:eastAsia="Arial" w:hAnsi="Times New Roman"/>
                <w:noProof/>
                <w:sz w:val="18"/>
                <w:szCs w:val="16"/>
                <w:lang w:val="en-GB"/>
              </w:rPr>
            </w:pPr>
            <w:r>
              <w:rPr>
                <w:rFonts w:ascii="Times New Roman" w:eastAsia="Arial" w:hAnsi="Times New Roman"/>
                <w:noProof/>
                <w:sz w:val="18"/>
                <w:szCs w:val="16"/>
                <w:lang w:val="en-GB"/>
              </w:rPr>
              <w:t>2017-2020</w:t>
            </w:r>
          </w:p>
        </w:tc>
        <w:tc>
          <w:tcPr>
            <w:tcW w:w="1768" w:type="dxa"/>
          </w:tcPr>
          <w:p>
            <w:pPr>
              <w:spacing w:line="312" w:lineRule="auto"/>
              <w:rPr>
                <w:rFonts w:ascii="Times New Roman" w:eastAsia="Arial" w:hAnsi="Times New Roman"/>
                <w:noProof/>
                <w:sz w:val="18"/>
                <w:szCs w:val="16"/>
                <w:lang w:val="en-GB"/>
              </w:rPr>
            </w:pPr>
            <w:r>
              <w:rPr>
                <w:rFonts w:ascii="Times New Roman" w:eastAsia="Arial" w:hAnsi="Times New Roman"/>
                <w:noProof/>
                <w:sz w:val="18"/>
                <w:szCs w:val="16"/>
                <w:lang w:val="en-GB"/>
              </w:rPr>
              <w:t>EC, MS</w:t>
            </w:r>
          </w:p>
        </w:tc>
      </w:tr>
      <w:tr>
        <w:trPr>
          <w:jc w:val="center"/>
        </w:trPr>
        <w:tc>
          <w:tcPr>
            <w:tcW w:w="2596" w:type="dxa"/>
            <w:vMerge w:val="restart"/>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To ensure the execution and monitoring of EIF implementation.</w:t>
            </w: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Expand and maintain the NIF Observatory to monitor implementation of the EIF and compliance of national interoperability strategies/frameworks with the EIF.</w:t>
            </w:r>
          </w:p>
          <w:p>
            <w:p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Also, monitor and assess interoperability action plan’s implementation.</w:t>
            </w:r>
          </w:p>
        </w:tc>
        <w:tc>
          <w:tcPr>
            <w:tcW w:w="1150"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2017-2020</w:t>
            </w:r>
          </w:p>
        </w:tc>
        <w:tc>
          <w:tcPr>
            <w:tcW w:w="1768"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EC, MS</w:t>
            </w:r>
          </w:p>
        </w:tc>
      </w:tr>
      <w:tr>
        <w:trPr>
          <w:jc w:val="center"/>
        </w:trPr>
        <w:tc>
          <w:tcPr>
            <w:tcW w:w="2596" w:type="dxa"/>
            <w:vMerge/>
          </w:tcPr>
          <w:p>
            <w:pPr>
              <w:spacing w:line="312" w:lineRule="auto"/>
              <w:rPr>
                <w:rFonts w:ascii="Times New Roman" w:hAnsi="Times New Roman"/>
                <w:noProof/>
                <w:color w:val="000000"/>
                <w:sz w:val="18"/>
                <w:szCs w:val="16"/>
                <w:lang w:val="en-GB" w:eastAsia="fr-FR"/>
              </w:rPr>
            </w:pP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Provide ad hoc support and training to Member States’ public administrations to ensure EIF implementation across all levels of their national administrations.</w:t>
            </w:r>
          </w:p>
        </w:tc>
        <w:tc>
          <w:tcPr>
            <w:tcW w:w="1150"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2017-2020</w:t>
            </w:r>
          </w:p>
        </w:tc>
        <w:tc>
          <w:tcPr>
            <w:tcW w:w="1768"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EC, MS</w:t>
            </w:r>
          </w:p>
        </w:tc>
      </w:tr>
    </w:tbl>
    <w:p>
      <w:pPr>
        <w:rPr>
          <w:noProof/>
        </w:rPr>
      </w:pPr>
      <w:r>
        <w:rPr>
          <w:noProof/>
        </w:rPr>
        <w:br w:type="page"/>
      </w:r>
    </w:p>
    <w:tbl>
      <w:tblPr>
        <w:tblStyle w:val="EuropeanCommissionstyle1"/>
        <w:tblW w:w="9443" w:type="dxa"/>
        <w:jc w:val="center"/>
        <w:tblLook w:val="04A0" w:firstRow="1" w:lastRow="0" w:firstColumn="1" w:lastColumn="0" w:noHBand="0" w:noVBand="1"/>
      </w:tblPr>
      <w:tblGrid>
        <w:gridCol w:w="2596"/>
        <w:gridCol w:w="3929"/>
        <w:gridCol w:w="1150"/>
        <w:gridCol w:w="1768"/>
      </w:tblGrid>
      <w:tr>
        <w:trPr>
          <w:cnfStyle w:val="100000000000" w:firstRow="1" w:lastRow="0" w:firstColumn="0" w:lastColumn="0" w:oddVBand="0" w:evenVBand="0" w:oddHBand="0" w:evenHBand="0" w:firstRowFirstColumn="0" w:firstRowLastColumn="0" w:lastRowFirstColumn="0" w:lastRowLastColumn="0"/>
          <w:jc w:val="center"/>
        </w:trPr>
        <w:tc>
          <w:tcPr>
            <w:tcW w:w="9443" w:type="dxa"/>
            <w:gridSpan w:val="4"/>
            <w:shd w:val="clear" w:color="auto" w:fill="A6A6A6" w:themeFill="background1" w:themeFillShade="A6"/>
          </w:tcPr>
          <w:p>
            <w:pPr>
              <w:spacing w:line="312" w:lineRule="auto"/>
              <w:rPr>
                <w:rFonts w:ascii="Times New Roman" w:hAnsi="Times New Roman"/>
                <w:b w:val="0"/>
                <w:noProof/>
                <w:sz w:val="18"/>
                <w:szCs w:val="16"/>
                <w:lang w:val="en-GB" w:eastAsia="fr-FR"/>
              </w:rPr>
            </w:pPr>
            <w:r>
              <w:rPr>
                <w:rFonts w:ascii="Times New Roman" w:hAnsi="Times New Roman"/>
                <w:noProof/>
                <w:sz w:val="18"/>
                <w:szCs w:val="16"/>
                <w:lang w:val="en-GB" w:eastAsia="fr-FR"/>
              </w:rPr>
              <w:t>Focus area 2: Develop organisational interoperability solutions</w:t>
            </w:r>
          </w:p>
        </w:tc>
      </w:tr>
      <w:tr>
        <w:trPr>
          <w:jc w:val="center"/>
        </w:trPr>
        <w:tc>
          <w:tcPr>
            <w:tcW w:w="2596" w:type="dxa"/>
            <w:vMerge w:val="restart"/>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To provide and use relevant enablers (e.g. interoperability agreements) and artefacts (e.g. business process models).</w:t>
            </w: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Clarify and propose ways to formalise public administrations’ organisational relationships as part of the establishment of European public services. Identify and develop common process models to describe business processes. Identify best practices.</w:t>
            </w:r>
          </w:p>
        </w:tc>
        <w:tc>
          <w:tcPr>
            <w:tcW w:w="1150"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2017-2020</w:t>
            </w:r>
          </w:p>
        </w:tc>
        <w:tc>
          <w:tcPr>
            <w:tcW w:w="1768"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EC, MS</w:t>
            </w:r>
          </w:p>
        </w:tc>
      </w:tr>
      <w:tr>
        <w:trPr>
          <w:jc w:val="center"/>
        </w:trPr>
        <w:tc>
          <w:tcPr>
            <w:tcW w:w="2596" w:type="dxa"/>
            <w:vMerge/>
          </w:tcPr>
          <w:p>
            <w:pPr>
              <w:spacing w:line="312" w:lineRule="auto"/>
              <w:rPr>
                <w:rFonts w:ascii="Times New Roman" w:hAnsi="Times New Roman"/>
                <w:noProof/>
                <w:color w:val="000000"/>
                <w:sz w:val="18"/>
                <w:szCs w:val="16"/>
                <w:lang w:val="en-GB" w:eastAsia="fr-FR"/>
              </w:rPr>
            </w:pP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Identify key cross-border business processes involving exchange of administrative information (including documents) and their implementation in the different Member States, and develop guidelines on how to better align and simplify them.</w:t>
            </w:r>
          </w:p>
        </w:tc>
        <w:tc>
          <w:tcPr>
            <w:tcW w:w="1150" w:type="dxa"/>
          </w:tcPr>
          <w:p>
            <w:pPr>
              <w:spacing w:line="312" w:lineRule="auto"/>
              <w:rPr>
                <w:rFonts w:ascii="Times New Roman" w:eastAsia="Arial" w:hAnsi="Times New Roman"/>
                <w:noProof/>
                <w:sz w:val="18"/>
                <w:szCs w:val="16"/>
                <w:lang w:val="en-GB"/>
              </w:rPr>
            </w:pPr>
            <w:r>
              <w:rPr>
                <w:rFonts w:ascii="Times New Roman" w:eastAsia="Arial" w:hAnsi="Times New Roman"/>
                <w:noProof/>
                <w:sz w:val="18"/>
                <w:szCs w:val="16"/>
                <w:lang w:val="en-GB"/>
              </w:rPr>
              <w:t>2017-2020</w:t>
            </w:r>
          </w:p>
        </w:tc>
        <w:tc>
          <w:tcPr>
            <w:tcW w:w="1768" w:type="dxa"/>
          </w:tcPr>
          <w:p>
            <w:pPr>
              <w:spacing w:line="312" w:lineRule="auto"/>
              <w:rPr>
                <w:rFonts w:ascii="Times New Roman" w:eastAsia="Arial" w:hAnsi="Times New Roman"/>
                <w:noProof/>
                <w:sz w:val="18"/>
                <w:szCs w:val="16"/>
                <w:lang w:val="en-GB"/>
              </w:rPr>
            </w:pPr>
            <w:r>
              <w:rPr>
                <w:rFonts w:ascii="Times New Roman" w:eastAsia="Arial" w:hAnsi="Times New Roman"/>
                <w:noProof/>
                <w:sz w:val="18"/>
                <w:szCs w:val="16"/>
                <w:lang w:val="en-GB"/>
              </w:rPr>
              <w:t>EC, MS</w:t>
            </w:r>
          </w:p>
        </w:tc>
      </w:tr>
      <w:tr>
        <w:trPr>
          <w:jc w:val="center"/>
        </w:trPr>
        <w:tc>
          <w:tcPr>
            <w:tcW w:w="9443" w:type="dxa"/>
            <w:gridSpan w:val="4"/>
            <w:shd w:val="clear" w:color="auto" w:fill="A6A6A6" w:themeFill="background1" w:themeFillShade="A6"/>
          </w:tcPr>
          <w:p>
            <w:pPr>
              <w:spacing w:line="312" w:lineRule="auto"/>
              <w:rPr>
                <w:rFonts w:ascii="Times New Roman" w:hAnsi="Times New Roman"/>
                <w:b/>
                <w:noProof/>
                <w:color w:val="FFFFFF"/>
                <w:sz w:val="18"/>
                <w:szCs w:val="16"/>
                <w:lang w:val="en-GB" w:eastAsia="fr-FR"/>
              </w:rPr>
            </w:pPr>
            <w:r>
              <w:rPr>
                <w:rFonts w:ascii="Times New Roman" w:hAnsi="Times New Roman"/>
                <w:b/>
                <w:noProof/>
                <w:color w:val="FFFFFF"/>
                <w:sz w:val="18"/>
                <w:szCs w:val="16"/>
                <w:lang w:val="en-GB" w:eastAsia="fr-FR"/>
              </w:rPr>
              <w:t>Focus area 3. Engage stakeholders and raise awareness on interoperability</w:t>
            </w:r>
          </w:p>
        </w:tc>
      </w:tr>
      <w:tr>
        <w:trPr>
          <w:jc w:val="center"/>
        </w:trPr>
        <w:tc>
          <w:tcPr>
            <w:tcW w:w="2596" w:type="dxa"/>
            <w:vMerge w:val="restart"/>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To encourage public administrations to use existing and new interoperability solutions while applying the EIF principles, recommendations and models. To define, measure and communicate on the main benefits that could be achieved by applying the EIF principles, recommendations and models.</w:t>
            </w:r>
          </w:p>
          <w:p>
            <w:pPr>
              <w:spacing w:line="312" w:lineRule="auto"/>
              <w:rPr>
                <w:rFonts w:ascii="Times New Roman" w:hAnsi="Times New Roman"/>
                <w:noProof/>
                <w:color w:val="000000"/>
                <w:sz w:val="18"/>
                <w:szCs w:val="16"/>
                <w:lang w:val="en-GB" w:eastAsia="fr-FR"/>
              </w:rPr>
            </w:pP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Design and perform communication campaigns promoting the importance of interoperability and benefits from applying the EIF.</w:t>
            </w:r>
          </w:p>
        </w:tc>
        <w:tc>
          <w:tcPr>
            <w:tcW w:w="1150"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2017-2020</w:t>
            </w:r>
          </w:p>
          <w:p>
            <w:pPr>
              <w:tabs>
                <w:tab w:val="left" w:pos="664"/>
              </w:tabs>
              <w:rPr>
                <w:rFonts w:ascii="Times New Roman" w:hAnsi="Times New Roman"/>
                <w:noProof/>
                <w:sz w:val="18"/>
                <w:szCs w:val="16"/>
                <w:lang w:val="en-GB" w:eastAsia="fr-FR"/>
              </w:rPr>
            </w:pPr>
            <w:r>
              <w:rPr>
                <w:rFonts w:ascii="Times New Roman" w:hAnsi="Times New Roman"/>
                <w:noProof/>
                <w:sz w:val="18"/>
                <w:szCs w:val="16"/>
                <w:lang w:val="en-GB" w:eastAsia="fr-FR"/>
              </w:rPr>
              <w:tab/>
            </w:r>
          </w:p>
        </w:tc>
        <w:tc>
          <w:tcPr>
            <w:tcW w:w="1768"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EC, MS</w:t>
            </w:r>
          </w:p>
        </w:tc>
      </w:tr>
      <w:tr>
        <w:trPr>
          <w:jc w:val="center"/>
        </w:trPr>
        <w:tc>
          <w:tcPr>
            <w:tcW w:w="2596" w:type="dxa"/>
            <w:vMerge/>
          </w:tcPr>
          <w:p>
            <w:pPr>
              <w:spacing w:line="312" w:lineRule="auto"/>
              <w:rPr>
                <w:rFonts w:ascii="Times New Roman" w:hAnsi="Times New Roman"/>
                <w:noProof/>
                <w:color w:val="000000"/>
                <w:sz w:val="18"/>
                <w:szCs w:val="16"/>
                <w:lang w:val="en-GB" w:eastAsia="fr-FR"/>
              </w:rPr>
            </w:pP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Liaise with EU country desks for national implementation (e.g. support the establishment of a governance structure, the implementation of solutions, encourage participation in EU pilots).</w:t>
            </w:r>
          </w:p>
        </w:tc>
        <w:tc>
          <w:tcPr>
            <w:tcW w:w="1150"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2018-2020</w:t>
            </w:r>
          </w:p>
        </w:tc>
        <w:tc>
          <w:tcPr>
            <w:tcW w:w="1768"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EC, MS</w:t>
            </w:r>
          </w:p>
        </w:tc>
      </w:tr>
      <w:tr>
        <w:trPr>
          <w:jc w:val="center"/>
        </w:trPr>
        <w:tc>
          <w:tcPr>
            <w:tcW w:w="2596" w:type="dxa"/>
            <w:vMerge/>
          </w:tcPr>
          <w:p>
            <w:pPr>
              <w:spacing w:line="312" w:lineRule="auto"/>
              <w:rPr>
                <w:rFonts w:ascii="Times New Roman" w:hAnsi="Times New Roman"/>
                <w:noProof/>
                <w:color w:val="000000"/>
                <w:sz w:val="18"/>
                <w:szCs w:val="16"/>
                <w:lang w:val="en-GB" w:eastAsia="fr-FR"/>
              </w:rPr>
            </w:pP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Maintain, improve and animate the Joinup platform for better user engagement and community building.</w:t>
            </w:r>
          </w:p>
        </w:tc>
        <w:tc>
          <w:tcPr>
            <w:tcW w:w="1150"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2017-2020</w:t>
            </w:r>
          </w:p>
        </w:tc>
        <w:tc>
          <w:tcPr>
            <w:tcW w:w="1768"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EC, MS</w:t>
            </w:r>
          </w:p>
        </w:tc>
      </w:tr>
      <w:tr>
        <w:trPr>
          <w:jc w:val="center"/>
        </w:trPr>
        <w:tc>
          <w:tcPr>
            <w:tcW w:w="2596"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To guide the design and development of public services based on users’ needs.</w:t>
            </w: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Identify or introduce means of user engagement in the development of digital public services.</w:t>
            </w:r>
          </w:p>
        </w:tc>
        <w:tc>
          <w:tcPr>
            <w:tcW w:w="1150"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2018-2020</w:t>
            </w:r>
          </w:p>
        </w:tc>
        <w:tc>
          <w:tcPr>
            <w:tcW w:w="1768"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EC, MS</w:t>
            </w:r>
          </w:p>
        </w:tc>
      </w:tr>
      <w:tr>
        <w:trPr>
          <w:jc w:val="center"/>
        </w:trPr>
        <w:tc>
          <w:tcPr>
            <w:tcW w:w="9443" w:type="dxa"/>
            <w:gridSpan w:val="4"/>
            <w:shd w:val="clear" w:color="auto" w:fill="A6A6A6" w:themeFill="background1" w:themeFillShade="A6"/>
          </w:tcPr>
          <w:p>
            <w:pPr>
              <w:spacing w:line="312" w:lineRule="auto"/>
              <w:rPr>
                <w:rFonts w:ascii="Times New Roman" w:hAnsi="Times New Roman"/>
                <w:b/>
                <w:noProof/>
                <w:color w:val="FFFFFF"/>
                <w:sz w:val="18"/>
                <w:szCs w:val="16"/>
                <w:lang w:val="en-GB" w:eastAsia="fr-FR"/>
              </w:rPr>
            </w:pPr>
            <w:r>
              <w:rPr>
                <w:rFonts w:ascii="Times New Roman" w:hAnsi="Times New Roman"/>
                <w:b/>
                <w:noProof/>
                <w:color w:val="FFFFFF"/>
                <w:sz w:val="18"/>
                <w:szCs w:val="16"/>
                <w:lang w:val="en-GB" w:eastAsia="fr-FR"/>
              </w:rPr>
              <w:t>Focus area 4. Develop, maintain and promote key interoperability enablers</w:t>
            </w:r>
          </w:p>
        </w:tc>
      </w:tr>
      <w:tr>
        <w:trPr>
          <w:jc w:val="center"/>
        </w:trPr>
        <w:tc>
          <w:tcPr>
            <w:tcW w:w="2596" w:type="dxa"/>
            <w:vMerge w:val="restart"/>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To define, develop, improve, operationalise, maintain and promote interoperable services and tools, standards and specifications.</w:t>
            </w: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Define and implement common specifications on the terms and conditions for accessing and managing base registries.</w:t>
            </w:r>
          </w:p>
          <w:p>
            <w:p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Extend the cartography of existing solutions to the area of base registries.</w:t>
            </w:r>
          </w:p>
        </w:tc>
        <w:tc>
          <w:tcPr>
            <w:tcW w:w="1150"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2017-2020</w:t>
            </w:r>
          </w:p>
        </w:tc>
        <w:tc>
          <w:tcPr>
            <w:tcW w:w="1768"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EC, MS</w:t>
            </w:r>
          </w:p>
        </w:tc>
      </w:tr>
      <w:tr>
        <w:trPr>
          <w:jc w:val="center"/>
        </w:trPr>
        <w:tc>
          <w:tcPr>
            <w:tcW w:w="2596" w:type="dxa"/>
            <w:vMerge/>
          </w:tcPr>
          <w:p>
            <w:pPr>
              <w:spacing w:line="312" w:lineRule="auto"/>
              <w:rPr>
                <w:rFonts w:ascii="Times New Roman" w:hAnsi="Times New Roman"/>
                <w:noProof/>
                <w:color w:val="000000"/>
                <w:sz w:val="18"/>
                <w:szCs w:val="16"/>
                <w:lang w:val="en-GB" w:eastAsia="fr-FR"/>
              </w:rPr>
            </w:pP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Implement and promote common models for describing and cataloguing public services across the EU.</w:t>
            </w:r>
          </w:p>
        </w:tc>
        <w:tc>
          <w:tcPr>
            <w:tcW w:w="1150"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2017-2020</w:t>
            </w:r>
          </w:p>
        </w:tc>
        <w:tc>
          <w:tcPr>
            <w:tcW w:w="1768"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EC, MS</w:t>
            </w:r>
          </w:p>
        </w:tc>
      </w:tr>
      <w:tr>
        <w:trPr>
          <w:trHeight w:val="537"/>
          <w:jc w:val="center"/>
        </w:trPr>
        <w:tc>
          <w:tcPr>
            <w:tcW w:w="2596" w:type="dxa"/>
            <w:vMerge/>
          </w:tcPr>
          <w:p>
            <w:pPr>
              <w:spacing w:line="312" w:lineRule="auto"/>
              <w:rPr>
                <w:rFonts w:ascii="Times New Roman" w:hAnsi="Times New Roman"/>
                <w:noProof/>
                <w:color w:val="000000"/>
                <w:sz w:val="18"/>
                <w:szCs w:val="16"/>
                <w:lang w:val="en-GB" w:eastAsia="fr-FR"/>
              </w:rPr>
            </w:pP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Develop data specifications and tools to support ‘open data’ initiatives.</w:t>
            </w:r>
          </w:p>
        </w:tc>
        <w:tc>
          <w:tcPr>
            <w:tcW w:w="1150"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2018-2020</w:t>
            </w:r>
          </w:p>
        </w:tc>
        <w:tc>
          <w:tcPr>
            <w:tcW w:w="1768"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EC, MS</w:t>
            </w:r>
          </w:p>
        </w:tc>
      </w:tr>
      <w:tr>
        <w:trPr>
          <w:jc w:val="center"/>
        </w:trPr>
        <w:tc>
          <w:tcPr>
            <w:tcW w:w="2596" w:type="dxa"/>
            <w:vMerge/>
          </w:tcPr>
          <w:p>
            <w:pPr>
              <w:spacing w:line="312" w:lineRule="auto"/>
              <w:rPr>
                <w:rFonts w:ascii="Times New Roman" w:hAnsi="Times New Roman"/>
                <w:noProof/>
                <w:color w:val="000000"/>
                <w:sz w:val="18"/>
                <w:szCs w:val="16"/>
                <w:lang w:val="en-GB" w:eastAsia="fr-FR"/>
              </w:rPr>
            </w:pP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Identify measures to build trust in the delivery of European digital public services.</w:t>
            </w:r>
          </w:p>
          <w:p>
            <w:p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In this context, accelerate the take-up of eIDAS services, including eID and eSignature.</w:t>
            </w:r>
          </w:p>
        </w:tc>
        <w:tc>
          <w:tcPr>
            <w:tcW w:w="1150"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2018-2020</w:t>
            </w:r>
          </w:p>
        </w:tc>
        <w:tc>
          <w:tcPr>
            <w:tcW w:w="1768"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EC, MS</w:t>
            </w:r>
          </w:p>
        </w:tc>
      </w:tr>
      <w:tr>
        <w:trPr>
          <w:jc w:val="center"/>
        </w:trPr>
        <w:tc>
          <w:tcPr>
            <w:tcW w:w="2596" w:type="dxa"/>
            <w:vMerge/>
          </w:tcPr>
          <w:p>
            <w:pPr>
              <w:spacing w:line="312" w:lineRule="auto"/>
              <w:rPr>
                <w:rFonts w:ascii="Times New Roman" w:hAnsi="Times New Roman"/>
                <w:noProof/>
                <w:color w:val="000000"/>
                <w:sz w:val="18"/>
                <w:szCs w:val="16"/>
                <w:lang w:val="en-GB" w:eastAsia="fr-FR"/>
              </w:rPr>
            </w:pP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Analyse the data content of and existing metadata schemas for public administrations’ information (including documents) used in a cross-border or cross-sector context. Identify obstacles for mutual recognition, develop mappings and support harmonisation efforts.</w:t>
            </w:r>
          </w:p>
        </w:tc>
        <w:tc>
          <w:tcPr>
            <w:tcW w:w="1150" w:type="dxa"/>
          </w:tcPr>
          <w:p>
            <w:pPr>
              <w:spacing w:line="312" w:lineRule="auto"/>
              <w:rPr>
                <w:rFonts w:ascii="Times New Roman" w:eastAsia="Arial" w:hAnsi="Times New Roman"/>
                <w:noProof/>
                <w:sz w:val="18"/>
                <w:szCs w:val="16"/>
                <w:lang w:val="en-GB"/>
              </w:rPr>
            </w:pPr>
            <w:r>
              <w:rPr>
                <w:rFonts w:ascii="Times New Roman" w:hAnsi="Times New Roman"/>
                <w:noProof/>
                <w:color w:val="000000"/>
                <w:sz w:val="18"/>
                <w:szCs w:val="16"/>
                <w:lang w:val="en-GB" w:eastAsia="fr-FR"/>
              </w:rPr>
              <w:t>2018-2020</w:t>
            </w:r>
          </w:p>
        </w:tc>
        <w:tc>
          <w:tcPr>
            <w:tcW w:w="1768" w:type="dxa"/>
          </w:tcPr>
          <w:p>
            <w:pPr>
              <w:spacing w:line="312" w:lineRule="auto"/>
              <w:rPr>
                <w:rFonts w:ascii="Times New Roman" w:eastAsia="Arial" w:hAnsi="Times New Roman"/>
                <w:noProof/>
                <w:sz w:val="18"/>
                <w:szCs w:val="16"/>
                <w:lang w:val="en-GB"/>
              </w:rPr>
            </w:pPr>
            <w:r>
              <w:rPr>
                <w:rFonts w:ascii="Times New Roman" w:eastAsia="Arial" w:hAnsi="Times New Roman"/>
                <w:noProof/>
                <w:sz w:val="18"/>
                <w:szCs w:val="16"/>
                <w:lang w:val="en-GB"/>
              </w:rPr>
              <w:t>EC, MS</w:t>
            </w:r>
          </w:p>
        </w:tc>
      </w:tr>
      <w:tr>
        <w:trPr>
          <w:jc w:val="center"/>
        </w:trPr>
        <w:tc>
          <w:tcPr>
            <w:tcW w:w="2596" w:type="dxa"/>
            <w:vMerge/>
          </w:tcPr>
          <w:p>
            <w:pPr>
              <w:spacing w:line="312" w:lineRule="auto"/>
              <w:rPr>
                <w:rFonts w:ascii="Times New Roman" w:hAnsi="Times New Roman"/>
                <w:noProof/>
                <w:color w:val="000000"/>
                <w:sz w:val="18"/>
                <w:szCs w:val="16"/>
                <w:lang w:val="en-GB" w:eastAsia="fr-FR"/>
              </w:rPr>
            </w:pP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Further support the implementation and enhancement of the INSPIRE Directive though the use of geospatial data in digital public services.</w:t>
            </w:r>
          </w:p>
        </w:tc>
        <w:tc>
          <w:tcPr>
            <w:tcW w:w="1150"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2017-2020</w:t>
            </w:r>
          </w:p>
        </w:tc>
        <w:tc>
          <w:tcPr>
            <w:tcW w:w="1768"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EC, MS</w:t>
            </w:r>
          </w:p>
        </w:tc>
      </w:tr>
      <w:tr>
        <w:trPr>
          <w:jc w:val="center"/>
        </w:trPr>
        <w:tc>
          <w:tcPr>
            <w:tcW w:w="2596" w:type="dxa"/>
            <w:vMerge/>
          </w:tcPr>
          <w:p>
            <w:pPr>
              <w:spacing w:line="312" w:lineRule="auto"/>
              <w:rPr>
                <w:rFonts w:ascii="Times New Roman" w:hAnsi="Times New Roman"/>
                <w:noProof/>
                <w:color w:val="000000"/>
                <w:sz w:val="18"/>
                <w:szCs w:val="16"/>
                <w:lang w:val="en-GB" w:eastAsia="fr-FR"/>
              </w:rPr>
            </w:pP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Liaise with the Commission initiatives on the ‘cloud’ and other initiatives related to ‘building a data economy’ of the Digital Single Market (as far as government services are concerned) and provide the necessary interoperability recommendations and specifications in due consideration of the Communication on ICT Standardisation Priorities for the Digital Single Market (COM(2016)176).</w:t>
            </w:r>
          </w:p>
        </w:tc>
        <w:tc>
          <w:tcPr>
            <w:tcW w:w="1150"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2018-2020</w:t>
            </w:r>
          </w:p>
        </w:tc>
        <w:tc>
          <w:tcPr>
            <w:tcW w:w="1768"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EC, MS</w:t>
            </w:r>
          </w:p>
        </w:tc>
      </w:tr>
      <w:tr>
        <w:trPr>
          <w:jc w:val="center"/>
        </w:trPr>
        <w:tc>
          <w:tcPr>
            <w:tcW w:w="9443" w:type="dxa"/>
            <w:gridSpan w:val="4"/>
            <w:shd w:val="clear" w:color="auto" w:fill="A6A6A6" w:themeFill="background1" w:themeFillShade="A6"/>
          </w:tcPr>
          <w:p>
            <w:pPr>
              <w:spacing w:line="312" w:lineRule="auto"/>
              <w:rPr>
                <w:rFonts w:ascii="Times New Roman" w:hAnsi="Times New Roman"/>
                <w:b/>
                <w:noProof/>
                <w:color w:val="FFFFFF"/>
                <w:sz w:val="18"/>
                <w:szCs w:val="16"/>
                <w:lang w:val="en-GB" w:eastAsia="fr-FR"/>
              </w:rPr>
            </w:pPr>
            <w:r>
              <w:rPr>
                <w:rFonts w:ascii="Times New Roman" w:hAnsi="Times New Roman"/>
                <w:b/>
                <w:noProof/>
                <w:color w:val="FFFFFF"/>
                <w:sz w:val="18"/>
                <w:szCs w:val="16"/>
                <w:lang w:val="en-GB" w:eastAsia="fr-FR"/>
              </w:rPr>
              <w:t>Focus area 5. Develop, maintain and promote supporting instruments for interoperability</w:t>
            </w:r>
          </w:p>
        </w:tc>
      </w:tr>
      <w:tr>
        <w:trPr>
          <w:jc w:val="center"/>
        </w:trPr>
        <w:tc>
          <w:tcPr>
            <w:tcW w:w="2596" w:type="dxa"/>
            <w:vMerge w:val="restart"/>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To define, develop, improve, operationalise, maintain and promote instruments that support the implementation, assessment and monitoring of interoperability activities.</w:t>
            </w: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Develop a method to assess the possible ICT impact of legislation at EU or, if possible, national levels; identify legislation that hampers interoperability (including legal screening); perform digital checks on proposed or existing policies and legislation; support actions facilitating the preparation and coherence of legislation.</w:t>
            </w:r>
          </w:p>
        </w:tc>
        <w:tc>
          <w:tcPr>
            <w:tcW w:w="1150" w:type="dxa"/>
          </w:tcPr>
          <w:p>
            <w:pPr>
              <w:spacing w:line="312" w:lineRule="auto"/>
              <w:ind w:left="-43"/>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2017-2020</w:t>
            </w:r>
          </w:p>
        </w:tc>
        <w:tc>
          <w:tcPr>
            <w:tcW w:w="1768"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EC, MS</w:t>
            </w:r>
          </w:p>
        </w:tc>
      </w:tr>
      <w:tr>
        <w:trPr>
          <w:jc w:val="center"/>
        </w:trPr>
        <w:tc>
          <w:tcPr>
            <w:tcW w:w="2596" w:type="dxa"/>
            <w:vMerge/>
          </w:tcPr>
          <w:p>
            <w:pPr>
              <w:spacing w:line="312" w:lineRule="auto"/>
              <w:rPr>
                <w:rFonts w:ascii="Times New Roman" w:hAnsi="Times New Roman"/>
                <w:noProof/>
                <w:color w:val="000000"/>
                <w:sz w:val="18"/>
                <w:szCs w:val="16"/>
                <w:lang w:val="en-GB" w:eastAsia="fr-FR"/>
              </w:rPr>
            </w:pP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 xml:space="preserve">Develop, maintain and use mechanisms and tools assessing the maturity, costs and benefits of interoperability. </w:t>
            </w:r>
          </w:p>
        </w:tc>
        <w:tc>
          <w:tcPr>
            <w:tcW w:w="1150" w:type="dxa"/>
          </w:tcPr>
          <w:p>
            <w:pPr>
              <w:spacing w:line="312" w:lineRule="auto"/>
              <w:ind w:left="-43"/>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2017-2020</w:t>
            </w:r>
          </w:p>
        </w:tc>
        <w:tc>
          <w:tcPr>
            <w:tcW w:w="1768"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EC, MS</w:t>
            </w:r>
          </w:p>
        </w:tc>
      </w:tr>
      <w:tr>
        <w:trPr>
          <w:jc w:val="center"/>
        </w:trPr>
        <w:tc>
          <w:tcPr>
            <w:tcW w:w="2596" w:type="dxa"/>
            <w:vMerge/>
          </w:tcPr>
          <w:p>
            <w:pPr>
              <w:spacing w:line="312" w:lineRule="auto"/>
              <w:rPr>
                <w:rFonts w:ascii="Times New Roman" w:hAnsi="Times New Roman"/>
                <w:noProof/>
                <w:color w:val="000000"/>
                <w:sz w:val="18"/>
                <w:szCs w:val="16"/>
                <w:lang w:val="en-GB" w:eastAsia="fr-FR"/>
              </w:rPr>
            </w:pP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Maintain and promote the ‘sharing and reuse framework for IT solutions’ (including open source) developed in the context of the ISA² programme.</w:t>
            </w:r>
          </w:p>
        </w:tc>
        <w:tc>
          <w:tcPr>
            <w:tcW w:w="1150" w:type="dxa"/>
          </w:tcPr>
          <w:p>
            <w:pPr>
              <w:spacing w:line="312" w:lineRule="auto"/>
              <w:ind w:left="-43"/>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2017-2020</w:t>
            </w:r>
          </w:p>
        </w:tc>
        <w:tc>
          <w:tcPr>
            <w:tcW w:w="1768"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EC, MS</w:t>
            </w:r>
          </w:p>
        </w:tc>
      </w:tr>
      <w:tr>
        <w:trPr>
          <w:jc w:val="center"/>
        </w:trPr>
        <w:tc>
          <w:tcPr>
            <w:tcW w:w="2596" w:type="dxa"/>
            <w:vMerge/>
          </w:tcPr>
          <w:p>
            <w:pPr>
              <w:spacing w:line="312" w:lineRule="auto"/>
              <w:rPr>
                <w:rFonts w:ascii="Times New Roman" w:hAnsi="Times New Roman"/>
                <w:noProof/>
                <w:color w:val="000000"/>
                <w:sz w:val="18"/>
                <w:szCs w:val="16"/>
                <w:lang w:val="en-GB" w:eastAsia="fr-FR"/>
              </w:rPr>
            </w:pPr>
          </w:p>
        </w:tc>
        <w:tc>
          <w:tcPr>
            <w:tcW w:w="3929" w:type="dxa"/>
          </w:tcPr>
          <w:p>
            <w:pPr>
              <w:numPr>
                <w:ilvl w:val="0"/>
                <w:numId w:val="20"/>
              </w:numPr>
              <w:spacing w:before="120" w:after="120" w:line="312" w:lineRule="auto"/>
              <w:ind w:left="318"/>
              <w:contextualSpacing/>
              <w:rPr>
                <w:rFonts w:ascii="Times New Roman" w:eastAsia="Arial" w:hAnsi="Times New Roman"/>
                <w:noProof/>
                <w:sz w:val="18"/>
                <w:szCs w:val="16"/>
                <w:lang w:val="en-GB"/>
              </w:rPr>
            </w:pPr>
            <w:r>
              <w:rPr>
                <w:rFonts w:ascii="Times New Roman" w:eastAsia="Arial" w:hAnsi="Times New Roman"/>
                <w:noProof/>
                <w:sz w:val="18"/>
                <w:szCs w:val="16"/>
                <w:lang w:val="en-GB"/>
              </w:rPr>
              <w:t>Ensure the maintenance, improvement and promotion of the European Interoperability Reference Architecture (EIRA) and the European Interoperability Cartography (EIC) as instruments to facilitate reuse of existing interoperability solutions in a national or cross-border context.</w:t>
            </w:r>
          </w:p>
        </w:tc>
        <w:tc>
          <w:tcPr>
            <w:tcW w:w="1150" w:type="dxa"/>
          </w:tcPr>
          <w:p>
            <w:pPr>
              <w:spacing w:line="312" w:lineRule="auto"/>
              <w:ind w:left="-43"/>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2017-2020</w:t>
            </w:r>
          </w:p>
        </w:tc>
        <w:tc>
          <w:tcPr>
            <w:tcW w:w="1768" w:type="dxa"/>
          </w:tcPr>
          <w:p>
            <w:pPr>
              <w:spacing w:line="312" w:lineRule="auto"/>
              <w:rPr>
                <w:rFonts w:ascii="Times New Roman" w:hAnsi="Times New Roman"/>
                <w:noProof/>
                <w:color w:val="000000"/>
                <w:sz w:val="18"/>
                <w:szCs w:val="16"/>
                <w:lang w:val="en-GB" w:eastAsia="fr-FR"/>
              </w:rPr>
            </w:pPr>
            <w:r>
              <w:rPr>
                <w:rFonts w:ascii="Times New Roman" w:hAnsi="Times New Roman"/>
                <w:noProof/>
                <w:color w:val="000000"/>
                <w:sz w:val="18"/>
                <w:szCs w:val="16"/>
                <w:lang w:val="en-GB" w:eastAsia="fr-FR"/>
              </w:rPr>
              <w:t>EC, MS</w:t>
            </w:r>
          </w:p>
          <w:p>
            <w:pPr>
              <w:spacing w:line="312" w:lineRule="auto"/>
              <w:rPr>
                <w:rFonts w:ascii="Times New Roman" w:hAnsi="Times New Roman"/>
                <w:noProof/>
                <w:color w:val="000000"/>
                <w:sz w:val="18"/>
                <w:szCs w:val="16"/>
                <w:lang w:val="en-GB" w:eastAsia="fr-FR"/>
              </w:rPr>
            </w:pPr>
          </w:p>
          <w:p>
            <w:pPr>
              <w:spacing w:line="312" w:lineRule="auto"/>
              <w:rPr>
                <w:rFonts w:ascii="Times New Roman" w:hAnsi="Times New Roman"/>
                <w:noProof/>
                <w:color w:val="000000"/>
                <w:sz w:val="18"/>
                <w:szCs w:val="16"/>
                <w:lang w:val="en-GB" w:eastAsia="fr-FR"/>
              </w:rPr>
            </w:pP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8"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311474"/>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4</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lang w:val="en-GB"/>
        </w:rPr>
      </w:pPr>
      <w:r>
        <w:rPr>
          <w:rStyle w:val="FootnoteReference"/>
          <w:lang w:val="en-GB"/>
        </w:rPr>
        <w:footnoteRef/>
      </w:r>
      <w:r>
        <w:rPr>
          <w:lang w:val="en-GB"/>
        </w:rPr>
        <w:t xml:space="preserve"> Interoperability causes are mentioned in the main text of the Communication. There is not a one-to-one correspondence between the focus areas and the underlying causes; however, the causes are all addressed by one or a combination of the proposed actions.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2548D4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DAA80E4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D19498AA"/>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6B40EB36"/>
    <w:name w:val="0,503835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2D315A89"/>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9">
    <w:nsid w:val="417A14E6"/>
    <w:multiLevelType w:val="hybridMultilevel"/>
    <w:tmpl w:val="D2C4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04936E5"/>
    <w:multiLevelType w:val="multilevel"/>
    <w:tmpl w:val="9F9A5336"/>
    <w:numStyleLink w:val="NumbLstBTBullet"/>
  </w:abstractNum>
  <w:abstractNum w:abstractNumId="14">
    <w:nsid w:val="512C4D21"/>
    <w:multiLevelType w:val="hybridMultilevel"/>
    <w:tmpl w:val="587CEBC2"/>
    <w:lvl w:ilvl="0" w:tplc="223E3058">
      <w:start w:val="1"/>
      <w:numFmt w:val="decimal"/>
      <w:lvlText w:val="%1."/>
      <w:lvlJc w:val="left"/>
      <w:pPr>
        <w:ind w:left="4079" w:hanging="360"/>
      </w:pPr>
      <w:rPr>
        <w:rFonts w:ascii="Times New Roman" w:hAnsi="Times New Roman" w:cs="Times New Roman" w:hint="default"/>
      </w:rPr>
    </w:lvl>
    <w:lvl w:ilvl="1" w:tplc="08090019" w:tentative="1">
      <w:start w:val="1"/>
      <w:numFmt w:val="lowerLetter"/>
      <w:lvlText w:val="%2."/>
      <w:lvlJc w:val="left"/>
      <w:pPr>
        <w:ind w:left="4799" w:hanging="360"/>
      </w:pPr>
    </w:lvl>
    <w:lvl w:ilvl="2" w:tplc="0809001B" w:tentative="1">
      <w:start w:val="1"/>
      <w:numFmt w:val="lowerRoman"/>
      <w:lvlText w:val="%3."/>
      <w:lvlJc w:val="right"/>
      <w:pPr>
        <w:ind w:left="5519" w:hanging="180"/>
      </w:pPr>
    </w:lvl>
    <w:lvl w:ilvl="3" w:tplc="0809000F" w:tentative="1">
      <w:start w:val="1"/>
      <w:numFmt w:val="decimal"/>
      <w:lvlText w:val="%4."/>
      <w:lvlJc w:val="left"/>
      <w:pPr>
        <w:ind w:left="6239" w:hanging="360"/>
      </w:pPr>
    </w:lvl>
    <w:lvl w:ilvl="4" w:tplc="08090019" w:tentative="1">
      <w:start w:val="1"/>
      <w:numFmt w:val="lowerLetter"/>
      <w:lvlText w:val="%5."/>
      <w:lvlJc w:val="left"/>
      <w:pPr>
        <w:ind w:left="6959" w:hanging="360"/>
      </w:pPr>
    </w:lvl>
    <w:lvl w:ilvl="5" w:tplc="0809001B" w:tentative="1">
      <w:start w:val="1"/>
      <w:numFmt w:val="lowerRoman"/>
      <w:lvlText w:val="%6."/>
      <w:lvlJc w:val="right"/>
      <w:pPr>
        <w:ind w:left="7679" w:hanging="180"/>
      </w:pPr>
    </w:lvl>
    <w:lvl w:ilvl="6" w:tplc="0809000F" w:tentative="1">
      <w:start w:val="1"/>
      <w:numFmt w:val="decimal"/>
      <w:lvlText w:val="%7."/>
      <w:lvlJc w:val="left"/>
      <w:pPr>
        <w:ind w:left="8399" w:hanging="360"/>
      </w:pPr>
    </w:lvl>
    <w:lvl w:ilvl="7" w:tplc="08090019" w:tentative="1">
      <w:start w:val="1"/>
      <w:numFmt w:val="lowerLetter"/>
      <w:lvlText w:val="%8."/>
      <w:lvlJc w:val="left"/>
      <w:pPr>
        <w:ind w:left="9119" w:hanging="360"/>
      </w:pPr>
    </w:lvl>
    <w:lvl w:ilvl="8" w:tplc="0809001B" w:tentative="1">
      <w:start w:val="1"/>
      <w:numFmt w:val="lowerRoman"/>
      <w:lvlText w:val="%9."/>
      <w:lvlJc w:val="right"/>
      <w:pPr>
        <w:ind w:left="9839" w:hanging="180"/>
      </w:p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992"/>
        </w:tabs>
        <w:ind w:left="992" w:hanging="850"/>
      </w:pPr>
    </w:lvl>
  </w:abstractNum>
  <w:abstractNum w:abstractNumId="19">
    <w:nsid w:val="65DA35C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0"/>
  </w:num>
  <w:num w:numId="3">
    <w:abstractNumId w:val="20"/>
  </w:num>
  <w:num w:numId="4">
    <w:abstractNumId w:val="7"/>
  </w:num>
  <w:num w:numId="5">
    <w:abstractNumId w:val="11"/>
  </w:num>
  <w:num w:numId="6">
    <w:abstractNumId w:val="5"/>
  </w:num>
  <w:num w:numId="7">
    <w:abstractNumId w:val="4"/>
  </w:num>
  <w:num w:numId="8">
    <w:abstractNumId w:val="12"/>
  </w:num>
  <w:num w:numId="9">
    <w:abstractNumId w:val="16"/>
  </w:num>
  <w:num w:numId="10">
    <w:abstractNumId w:val="17"/>
  </w:num>
  <w:num w:numId="11">
    <w:abstractNumId w:val="6"/>
  </w:num>
  <w:num w:numId="12">
    <w:abstractNumId w:val="15"/>
  </w:num>
  <w:num w:numId="13">
    <w:abstractNumId w:val="21"/>
  </w:num>
  <w:num w:numId="14">
    <w:abstractNumId w:val="3"/>
  </w:num>
  <w:num w:numId="15">
    <w:abstractNumId w:val="2"/>
  </w:num>
  <w:num w:numId="16">
    <w:abstractNumId w:val="1"/>
  </w:num>
  <w:num w:numId="17">
    <w:abstractNumId w:val="0"/>
  </w:num>
  <w:num w:numId="18">
    <w:abstractNumId w:val="8"/>
  </w:num>
  <w:num w:numId="19">
    <w:abstractNumId w:val="13"/>
    <w:lvlOverride w:ilvl="0">
      <w:lvl w:ilvl="0">
        <w:start w:val="1"/>
        <w:numFmt w:val="bullet"/>
        <w:pStyle w:val="BTBullet1"/>
        <w:lvlText w:val="■"/>
        <w:lvlJc w:val="left"/>
        <w:pPr>
          <w:tabs>
            <w:tab w:val="num" w:pos="1191"/>
          </w:tabs>
          <w:ind w:left="1191" w:hanging="340"/>
        </w:pPr>
        <w:rPr>
          <w:rFonts w:ascii="Arial" w:hAnsi="Arial" w:hint="default"/>
          <w:color w:val="0067AC"/>
          <w:sz w:val="14"/>
        </w:rPr>
      </w:lvl>
    </w:lvlOverride>
  </w:num>
  <w:num w:numId="20">
    <w:abstractNumId w:val="14"/>
  </w:num>
  <w:num w:numId="21">
    <w:abstractNumId w:val="19"/>
  </w:num>
  <w:num w:numId="22">
    <w:abstractNumId w:val="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E677BA596D0245C3B905BF0521824CAC"/>
    <w:docVar w:name="LW_CROSSREFERENCE" w:val="{SWD(2017) 112 final}_x000b_{SWD(2017) 113 final}"/>
    <w:docVar w:name="LW_DocType" w:val="NORMAL"/>
    <w:docVar w:name="LW_EMISSION" w:val="23.3.2017"/>
    <w:docVar w:name="LW_EMISSION_ISODATE" w:val="2017-03-23"/>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European Interoperability Framework - Implementation Strategy_x000b__x000b_Interoperability Action Plan"/>
    <w:docVar w:name="LW_PART_NBR" w:val="1"/>
    <w:docVar w:name="LW_PART_NBR_TOTAL" w:val="1"/>
    <w:docVar w:name="LW_REF.INST.NEW" w:val="COM"/>
    <w:docVar w:name="LW_REF.INST.NEW_ADOPTED" w:val="final"/>
    <w:docVar w:name="LW_REF.INST.NEW_TEXT" w:val="(2017) 134"/>
    <w:docVar w:name="LW_REF.INTERNE" w:val="&lt;UNUSED&gt;"/>
    <w:docVar w:name="LW_SUPERTITRE" w:val="&lt;UNUSED&gt;"/>
    <w:docVar w:name="LW_TITRE.OBJ.CP" w:val=" to the _x000b_COMMUNICATION FROM THE COMMISSION TO THE EUROPEAN PARLIAMENT, THE COUNCIL, THE EUROPEAN ECONOMIC AND SOCIAL COMMITTEE AND THE COMMITTEE OF THE REGIONS"/>
    <w:docVar w:name="LW_TYPE.DOC.CP" w:val="ANNEX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endnote reference" w:uiPriority="0"/>
    <w:lsdException w:name="List Bullet" w:uiPriority="0"/>
    <w:lsdException w:name="List Bullet 2" w:uiPriority="0"/>
    <w:lsdException w:name="List Bullet 3" w:uiPriority="29"/>
    <w:lsdException w:name="List Bullet 4"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1"/>
      </w:numPr>
      <w:spacing w:before="360" w:after="24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autoRedefine/>
    <w:uiPriority w:val="9"/>
    <w:qFormat/>
    <w:pPr>
      <w:keepNext/>
      <w:numPr>
        <w:ilvl w:val="1"/>
        <w:numId w:val="21"/>
      </w:numPr>
      <w:spacing w:before="240" w:after="24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21"/>
      </w:numPr>
      <w:spacing w:before="120" w:after="120" w:line="240" w:lineRule="auto"/>
      <w:jc w:val="both"/>
      <w:outlineLvl w:val="2"/>
    </w:pPr>
    <w:rPr>
      <w:rFonts w:ascii="Times New Roman" w:eastAsia="Times New Roman" w:hAnsi="Times New Roman" w:cs="Times New Roman"/>
      <w:b/>
      <w:bCs/>
      <w:sz w:val="24"/>
      <w:szCs w:val="26"/>
    </w:rPr>
  </w:style>
  <w:style w:type="paragraph" w:styleId="Heading4">
    <w:name w:val="heading 4"/>
    <w:basedOn w:val="Normal"/>
    <w:next w:val="Text1"/>
    <w:link w:val="Heading4Char"/>
    <w:qFormat/>
    <w:pPr>
      <w:keepNext/>
      <w:numPr>
        <w:ilvl w:val="3"/>
        <w:numId w:val="21"/>
      </w:numPr>
      <w:spacing w:before="120" w:after="120" w:line="240" w:lineRule="auto"/>
      <w:jc w:val="both"/>
      <w:outlineLvl w:val="3"/>
    </w:pPr>
    <w:rPr>
      <w:rFonts w:ascii="Times New Roman" w:eastAsia="Times New Roman" w:hAnsi="Times New Roman" w:cs="Times New Roman"/>
      <w:bCs/>
      <w:sz w:val="24"/>
      <w:szCs w:val="28"/>
      <w:lang w:val="x-none"/>
    </w:rPr>
  </w:style>
  <w:style w:type="paragraph" w:styleId="Heading5">
    <w:name w:val="heading 5"/>
    <w:basedOn w:val="Normal"/>
    <w:next w:val="Normal"/>
    <w:link w:val="Heading5Char"/>
    <w:uiPriority w:val="9"/>
    <w:semiHidden/>
    <w:unhideWhenUsed/>
    <w:qFormat/>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x-none"/>
    </w:rPr>
  </w:style>
  <w:style w:type="paragraph" w:styleId="FootnoteText">
    <w:name w:val="footnote text"/>
    <w:basedOn w:val="Normal"/>
    <w:uiPriority w:val="99"/>
    <w:qFormat/>
    <w:pPr>
      <w:tabs>
        <w:tab w:val="left" w:pos="0"/>
      </w:tabs>
      <w:spacing w:after="0" w:line="240" w:lineRule="auto"/>
    </w:pPr>
    <w:rPr>
      <w:rFonts w:ascii="Times New Roman" w:eastAsia="Times New Roman" w:hAnsi="Times New Roman" w:cs="Times New Roman"/>
      <w:sz w:val="16"/>
      <w:szCs w:val="20"/>
      <w:lang w:val="x-none"/>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uiPriority w:val="99"/>
    <w:rPr>
      <w:rFonts w:ascii="Times New Roman" w:eastAsia="Times New Roman" w:hAnsi="Times New Roman" w:cs="Times New Roman"/>
      <w:sz w:val="16"/>
      <w:szCs w:val="20"/>
      <w:lang w:val="x-none"/>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noProof/>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link w:val="FootnotesymbolCarZchn"/>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uiPriority w:val="29"/>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b/>
      <w:bCs/>
      <w:sz w:val="24"/>
      <w:szCs w:val="24"/>
      <w:lang w:eastAsia="en-GB"/>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x-none"/>
    </w:rPr>
  </w:style>
  <w:style w:type="paragraph" w:styleId="BalloonText">
    <w:name w:val="Balloon Text"/>
    <w:basedOn w:val="Normal"/>
    <w:link w:val="BalloonTextChar"/>
    <w:pPr>
      <w:spacing w:after="0" w:line="240" w:lineRule="auto"/>
      <w:jc w:val="both"/>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Pr>
      <w:rFonts w:ascii="Tahoma" w:eastAsia="Times New Roman" w:hAnsi="Tahoma" w:cs="Times New Roman"/>
      <w:sz w:val="16"/>
      <w:szCs w:val="16"/>
      <w:lang w:val="x-none"/>
    </w:rPr>
  </w:style>
  <w:style w:type="paragraph" w:customStyle="1" w:styleId="Headinsh2">
    <w:name w:val="Headinsh 2"/>
    <w:basedOn w:val="Text1"/>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pPr>
      <w:spacing w:before="120" w:after="120" w:line="240" w:lineRule="auto"/>
      <w:ind w:left="708"/>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line="240" w:lineRule="auto"/>
      <w:jc w:val="both"/>
    </w:pPr>
    <w:rPr>
      <w:rFonts w:ascii="Times New Roman" w:eastAsia="Times New Roman" w:hAnsi="Times New Roman" w:cs="Times New Roman"/>
      <w:b/>
      <w:sz w:val="24"/>
      <w:szCs w:val="24"/>
      <w:lang w:eastAsia="en-GB"/>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paragraph" w:styleId="EndnoteText">
    <w:name w:val="endnote text"/>
    <w:basedOn w:val="Normal"/>
    <w:link w:val="EndnoteTextChar1"/>
    <w:uiPriority w:val="99"/>
    <w:unhideWhenUsed/>
    <w:pPr>
      <w:spacing w:after="0" w:line="240" w:lineRule="auto"/>
      <w:jc w:val="both"/>
    </w:pPr>
    <w:rPr>
      <w:rFonts w:ascii="Times New Roman" w:eastAsia="Calibri" w:hAnsi="Times New Roman" w:cs="Times New Roman"/>
      <w:sz w:val="20"/>
      <w:szCs w:val="20"/>
      <w:lang w:val="x-none" w:eastAsia="x-none"/>
    </w:rPr>
  </w:style>
  <w:style w:type="character" w:customStyle="1" w:styleId="EndnoteTextChar">
    <w:name w:val="Endnote Text Char"/>
    <w:basedOn w:val="DefaultParagraphFont"/>
    <w:rPr>
      <w:sz w:val="20"/>
      <w:szCs w:val="20"/>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rFonts w:ascii="Times New Roman" w:eastAsia="Calibri" w:hAnsi="Times New Roman" w:cs="Times New Roman"/>
      <w:sz w:val="20"/>
      <w:szCs w:val="20"/>
      <w:lang w:val="x-none" w:eastAsia="x-none"/>
    </w:rPr>
  </w:style>
  <w:style w:type="paragraph" w:customStyle="1" w:styleId="Heaing2">
    <w:name w:val="Heaing 2"/>
    <w:basedOn w:val="Heading3"/>
    <w:rPr>
      <w:b w:val="0"/>
      <w:i/>
      <w:lang w:eastAsia="en-GB"/>
    </w:rPr>
  </w:style>
  <w:style w:type="paragraph" w:customStyle="1" w:styleId="Headung3">
    <w:name w:val="Headung 3"/>
    <w:basedOn w:val="Normal"/>
    <w:rPr>
      <w:rFonts w:ascii="Times New Roman" w:eastAsia="Calibri" w:hAnsi="Times New Roman" w:cs="Times New Roman"/>
      <w:color w:val="000000"/>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BTBullet1">
    <w:name w:val="BTBullet1"/>
    <w:basedOn w:val="Normal"/>
    <w:uiPriority w:val="6"/>
    <w:qFormat/>
    <w:pPr>
      <w:numPr>
        <w:numId w:val="19"/>
      </w:numPr>
      <w:spacing w:after="0" w:line="240" w:lineRule="atLeast"/>
    </w:pPr>
    <w:rPr>
      <w:rFonts w:ascii="Arial" w:eastAsia="Calibri" w:hAnsi="Arial" w:cs="Times New Roman"/>
      <w:sz w:val="20"/>
      <w:szCs w:val="24"/>
    </w:rPr>
  </w:style>
  <w:style w:type="paragraph" w:customStyle="1" w:styleId="BTBullet2">
    <w:name w:val="BTBullet2"/>
    <w:basedOn w:val="Normal"/>
    <w:uiPriority w:val="6"/>
    <w:qFormat/>
    <w:pPr>
      <w:numPr>
        <w:ilvl w:val="1"/>
        <w:numId w:val="19"/>
      </w:numPr>
      <w:spacing w:after="0" w:line="240" w:lineRule="atLeast"/>
    </w:pPr>
    <w:rPr>
      <w:rFonts w:ascii="Arial" w:eastAsia="Calibri" w:hAnsi="Arial" w:cs="Times New Roman"/>
      <w:sz w:val="20"/>
      <w:szCs w:val="24"/>
    </w:rPr>
  </w:style>
  <w:style w:type="paragraph" w:customStyle="1" w:styleId="BTBullet3">
    <w:name w:val="BTBullet3"/>
    <w:basedOn w:val="Normal"/>
    <w:uiPriority w:val="6"/>
    <w:qFormat/>
    <w:pPr>
      <w:numPr>
        <w:ilvl w:val="2"/>
        <w:numId w:val="19"/>
      </w:numPr>
      <w:spacing w:after="0" w:line="240" w:lineRule="atLeast"/>
    </w:pPr>
    <w:rPr>
      <w:rFonts w:ascii="Arial" w:eastAsia="Calibri" w:hAnsi="Arial" w:cs="Times New Roman"/>
      <w:sz w:val="20"/>
      <w:szCs w:val="24"/>
    </w:rPr>
  </w:style>
  <w:style w:type="numbering" w:customStyle="1" w:styleId="NumbLstBTBullet">
    <w:name w:val="NumbLstBTBullet"/>
    <w:uiPriority w:val="99"/>
    <w:pPr>
      <w:numPr>
        <w:numId w:val="18"/>
      </w:numPr>
    </w:p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rPr>
      <w:vertAlign w:val="superscript"/>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iPriority w:val="35"/>
    <w:unhideWhenUsed/>
    <w:qFormat/>
    <w:pPr>
      <w:keepNext/>
      <w:keepLines/>
      <w:widowControl w:val="0"/>
      <w:spacing w:before="240" w:after="120" w:line="360" w:lineRule="auto"/>
      <w:contextualSpacing/>
      <w:jc w:val="center"/>
    </w:pPr>
    <w:rPr>
      <w:rFonts w:eastAsia="Times New Roman" w:cstheme="minorHAnsi"/>
      <w:b/>
      <w:bCs/>
      <w:color w:val="002060"/>
      <w:sz w:val="18"/>
      <w:szCs w:val="18"/>
      <w:lang w:eastAsia="fr-FR"/>
    </w:rPr>
  </w:style>
  <w:style w:type="table" w:customStyle="1" w:styleId="EuropeanCommissionstyle">
    <w:name w:val="European Commission style"/>
    <w:basedOn w:val="TableNormal"/>
    <w:uiPriority w:val="99"/>
    <w:pPr>
      <w:spacing w:after="0" w:line="240" w:lineRule="auto"/>
    </w:pPr>
    <w:rPr>
      <w:rFonts w:ascii="Verdana" w:eastAsia="Times New Roman" w:hAnsi="Verdana" w:cs="Times New Roman"/>
      <w:sz w:val="12"/>
      <w:szCs w:val="20"/>
      <w:lang w:val="en-US"/>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hemeFill="background1" w:themeFillShade="F2"/>
    </w:tcPr>
    <w:tblStylePr w:type="firstRow">
      <w:rPr>
        <w:rFonts w:ascii="Verdana" w:hAnsi="Verdana"/>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uiPriority w:val="35"/>
    <w:locked/>
    <w:rPr>
      <w:rFonts w:eastAsia="Times New Roman" w:cstheme="minorHAnsi"/>
      <w:b/>
      <w:bCs/>
      <w:color w:val="002060"/>
      <w:sz w:val="18"/>
      <w:szCs w:val="18"/>
      <w:lang w:eastAsia="fr-FR"/>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MAINPARAGRAPH">
    <w:name w:val="MAIN PARAGRAPH"/>
    <w:basedOn w:val="Normal"/>
    <w:link w:val="MAINPARAGRAPHChar"/>
    <w:qFormat/>
    <w:pPr>
      <w:spacing w:before="120" w:after="120" w:line="360" w:lineRule="auto"/>
      <w:jc w:val="both"/>
    </w:pPr>
    <w:rPr>
      <w:rFonts w:ascii="Arial" w:eastAsia="Times New Roman" w:hAnsi="Arial" w:cs="Times New Roman"/>
      <w:color w:val="000000" w:themeColor="text1"/>
      <w:sz w:val="19"/>
      <w:szCs w:val="19"/>
      <w:lang w:eastAsia="fr-FR"/>
    </w:rPr>
  </w:style>
  <w:style w:type="character" w:customStyle="1" w:styleId="MAINPARAGRAPHChar">
    <w:name w:val="MAIN PARAGRAPH Char"/>
    <w:basedOn w:val="DefaultParagraphFont"/>
    <w:link w:val="MAINPARAGRAPH"/>
    <w:rPr>
      <w:rFonts w:ascii="Arial" w:eastAsia="Times New Roman" w:hAnsi="Arial" w:cs="Times New Roman"/>
      <w:color w:val="000000" w:themeColor="text1"/>
      <w:sz w:val="19"/>
      <w:szCs w:val="19"/>
      <w:lang w:eastAsia="fr-FR"/>
    </w:rPr>
  </w:style>
  <w:style w:type="character" w:styleId="Strong">
    <w:name w:val="Strong"/>
    <w:basedOn w:val="DefaultParagraphFont"/>
    <w:uiPriority w:val="22"/>
    <w:qFormat/>
    <w:rPr>
      <w:rFonts w:ascii="Times New Roman" w:hAnsi="Times New Roman" w:cs="Times New Roman" w:hint="default"/>
      <w:b/>
      <w:bCs/>
    </w:rPr>
  </w:style>
  <w:style w:type="table" w:styleId="LightShading-Accent5">
    <w:name w:val="Light Shading Accent 5"/>
    <w:basedOn w:val="TableNormal"/>
    <w:uiPriority w:val="6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after="0" w:line="0" w:lineRule="atLeast"/>
    </w:pPr>
  </w:style>
  <w:style w:type="table" w:customStyle="1" w:styleId="LightShading-Accent51">
    <w:name w:val="Light Shading - Accent 51"/>
    <w:basedOn w:val="TableNormal"/>
    <w:next w:val="LightShading-Accent5"/>
    <w:uiPriority w:val="6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qFormat/>
    <w:pPr>
      <w:numPr>
        <w:ilvl w:val="1"/>
      </w:numPr>
      <w:spacing w:before="120" w:after="160" w:line="240" w:lineRule="auto"/>
      <w:jc w:val="both"/>
    </w:pPr>
    <w:rPr>
      <w:rFonts w:eastAsiaTheme="minorEastAsia"/>
      <w:color w:val="5A5A5A" w:themeColor="text1" w:themeTint="A5"/>
      <w:spacing w:val="15"/>
    </w:rPr>
  </w:style>
  <w:style w:type="character" w:customStyle="1" w:styleId="SubtitleChar">
    <w:name w:val="Subtitle Char"/>
    <w:basedOn w:val="DefaultParagraphFont"/>
    <w:link w:val="Subtitle"/>
    <w:rPr>
      <w:rFonts w:eastAsiaTheme="minorEastAsia"/>
      <w:color w:val="5A5A5A" w:themeColor="text1" w:themeTint="A5"/>
      <w:spacing w:val="15"/>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IntenseEmphasis">
    <w:name w:val="Intense Emphasis"/>
    <w:basedOn w:val="DefaultParagraphFont"/>
    <w:uiPriority w:val="21"/>
    <w:qFormat/>
    <w:rPr>
      <w:i/>
      <w:iCs/>
      <w:color w:val="4F81BD" w:themeColor="accent1"/>
    </w:rPr>
  </w:style>
  <w:style w:type="paragraph" w:styleId="TableofFigures">
    <w:name w:val="table of figures"/>
    <w:basedOn w:val="Normal"/>
    <w:next w:val="Normal"/>
    <w:uiPriority w:val="99"/>
    <w:unhideWhenUsed/>
    <w:pPr>
      <w:spacing w:after="0"/>
    </w:pPr>
  </w:style>
  <w:style w:type="table" w:customStyle="1" w:styleId="EuropeanCommissionstyle1">
    <w:name w:val="European Commission style1"/>
    <w:basedOn w:val="TableNormal"/>
    <w:uiPriority w:val="99"/>
    <w:pPr>
      <w:spacing w:after="0" w:line="240" w:lineRule="auto"/>
    </w:pPr>
    <w:rPr>
      <w:rFonts w:ascii="Verdana" w:eastAsia="Times New Roman" w:hAnsi="Verdana" w:cs="Times New Roman"/>
      <w:sz w:val="12"/>
      <w:szCs w:val="20"/>
      <w:lang w:val="en-US"/>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cPr>
    <w:tblStylePr w:type="firstRow">
      <w:rPr>
        <w:rFonts w:ascii="Times" w:hAnsi="Times"/>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endnote reference" w:uiPriority="0"/>
    <w:lsdException w:name="List Bullet" w:uiPriority="0"/>
    <w:lsdException w:name="List Bullet 2" w:uiPriority="0"/>
    <w:lsdException w:name="List Bullet 3" w:uiPriority="29"/>
    <w:lsdException w:name="List Bullet 4"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1"/>
      </w:numPr>
      <w:spacing w:before="360" w:after="24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autoRedefine/>
    <w:uiPriority w:val="9"/>
    <w:qFormat/>
    <w:pPr>
      <w:keepNext/>
      <w:numPr>
        <w:ilvl w:val="1"/>
        <w:numId w:val="21"/>
      </w:numPr>
      <w:spacing w:before="240" w:after="24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21"/>
      </w:numPr>
      <w:spacing w:before="120" w:after="120" w:line="240" w:lineRule="auto"/>
      <w:jc w:val="both"/>
      <w:outlineLvl w:val="2"/>
    </w:pPr>
    <w:rPr>
      <w:rFonts w:ascii="Times New Roman" w:eastAsia="Times New Roman" w:hAnsi="Times New Roman" w:cs="Times New Roman"/>
      <w:b/>
      <w:bCs/>
      <w:sz w:val="24"/>
      <w:szCs w:val="26"/>
    </w:rPr>
  </w:style>
  <w:style w:type="paragraph" w:styleId="Heading4">
    <w:name w:val="heading 4"/>
    <w:basedOn w:val="Normal"/>
    <w:next w:val="Text1"/>
    <w:link w:val="Heading4Char"/>
    <w:qFormat/>
    <w:pPr>
      <w:keepNext/>
      <w:numPr>
        <w:ilvl w:val="3"/>
        <w:numId w:val="21"/>
      </w:numPr>
      <w:spacing w:before="120" w:after="120" w:line="240" w:lineRule="auto"/>
      <w:jc w:val="both"/>
      <w:outlineLvl w:val="3"/>
    </w:pPr>
    <w:rPr>
      <w:rFonts w:ascii="Times New Roman" w:eastAsia="Times New Roman" w:hAnsi="Times New Roman" w:cs="Times New Roman"/>
      <w:bCs/>
      <w:sz w:val="24"/>
      <w:szCs w:val="28"/>
      <w:lang w:val="x-none"/>
    </w:rPr>
  </w:style>
  <w:style w:type="paragraph" w:styleId="Heading5">
    <w:name w:val="heading 5"/>
    <w:basedOn w:val="Normal"/>
    <w:next w:val="Normal"/>
    <w:link w:val="Heading5Char"/>
    <w:uiPriority w:val="9"/>
    <w:semiHidden/>
    <w:unhideWhenUsed/>
    <w:qFormat/>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x-none"/>
    </w:rPr>
  </w:style>
  <w:style w:type="paragraph" w:styleId="FootnoteText">
    <w:name w:val="footnote text"/>
    <w:basedOn w:val="Normal"/>
    <w:uiPriority w:val="99"/>
    <w:qFormat/>
    <w:pPr>
      <w:tabs>
        <w:tab w:val="left" w:pos="0"/>
      </w:tabs>
      <w:spacing w:after="0" w:line="240" w:lineRule="auto"/>
    </w:pPr>
    <w:rPr>
      <w:rFonts w:ascii="Times New Roman" w:eastAsia="Times New Roman" w:hAnsi="Times New Roman" w:cs="Times New Roman"/>
      <w:sz w:val="16"/>
      <w:szCs w:val="20"/>
      <w:lang w:val="x-none"/>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uiPriority w:val="99"/>
    <w:rPr>
      <w:rFonts w:ascii="Times New Roman" w:eastAsia="Times New Roman" w:hAnsi="Times New Roman" w:cs="Times New Roman"/>
      <w:sz w:val="16"/>
      <w:szCs w:val="20"/>
      <w:lang w:val="x-none"/>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noProof/>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link w:val="FootnotesymbolCarZchn"/>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uiPriority w:val="29"/>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b/>
      <w:bCs/>
      <w:sz w:val="24"/>
      <w:szCs w:val="24"/>
      <w:lang w:eastAsia="en-GB"/>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x-none"/>
    </w:rPr>
  </w:style>
  <w:style w:type="paragraph" w:styleId="BalloonText">
    <w:name w:val="Balloon Text"/>
    <w:basedOn w:val="Normal"/>
    <w:link w:val="BalloonTextChar"/>
    <w:pPr>
      <w:spacing w:after="0" w:line="240" w:lineRule="auto"/>
      <w:jc w:val="both"/>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Pr>
      <w:rFonts w:ascii="Tahoma" w:eastAsia="Times New Roman" w:hAnsi="Tahoma" w:cs="Times New Roman"/>
      <w:sz w:val="16"/>
      <w:szCs w:val="16"/>
      <w:lang w:val="x-none"/>
    </w:rPr>
  </w:style>
  <w:style w:type="paragraph" w:customStyle="1" w:styleId="Headinsh2">
    <w:name w:val="Headinsh 2"/>
    <w:basedOn w:val="Text1"/>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pPr>
      <w:spacing w:before="120" w:after="120" w:line="240" w:lineRule="auto"/>
      <w:ind w:left="708"/>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line="240" w:lineRule="auto"/>
      <w:jc w:val="both"/>
    </w:pPr>
    <w:rPr>
      <w:rFonts w:ascii="Times New Roman" w:eastAsia="Times New Roman" w:hAnsi="Times New Roman" w:cs="Times New Roman"/>
      <w:b/>
      <w:sz w:val="24"/>
      <w:szCs w:val="24"/>
      <w:lang w:eastAsia="en-GB"/>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paragraph" w:styleId="EndnoteText">
    <w:name w:val="endnote text"/>
    <w:basedOn w:val="Normal"/>
    <w:link w:val="EndnoteTextChar1"/>
    <w:uiPriority w:val="99"/>
    <w:unhideWhenUsed/>
    <w:pPr>
      <w:spacing w:after="0" w:line="240" w:lineRule="auto"/>
      <w:jc w:val="both"/>
    </w:pPr>
    <w:rPr>
      <w:rFonts w:ascii="Times New Roman" w:eastAsia="Calibri" w:hAnsi="Times New Roman" w:cs="Times New Roman"/>
      <w:sz w:val="20"/>
      <w:szCs w:val="20"/>
      <w:lang w:val="x-none" w:eastAsia="x-none"/>
    </w:rPr>
  </w:style>
  <w:style w:type="character" w:customStyle="1" w:styleId="EndnoteTextChar">
    <w:name w:val="Endnote Text Char"/>
    <w:basedOn w:val="DefaultParagraphFont"/>
    <w:rPr>
      <w:sz w:val="20"/>
      <w:szCs w:val="20"/>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rFonts w:ascii="Times New Roman" w:eastAsia="Calibri" w:hAnsi="Times New Roman" w:cs="Times New Roman"/>
      <w:sz w:val="20"/>
      <w:szCs w:val="20"/>
      <w:lang w:val="x-none" w:eastAsia="x-none"/>
    </w:rPr>
  </w:style>
  <w:style w:type="paragraph" w:customStyle="1" w:styleId="Heaing2">
    <w:name w:val="Heaing 2"/>
    <w:basedOn w:val="Heading3"/>
    <w:rPr>
      <w:b w:val="0"/>
      <w:i/>
      <w:lang w:eastAsia="en-GB"/>
    </w:rPr>
  </w:style>
  <w:style w:type="paragraph" w:customStyle="1" w:styleId="Headung3">
    <w:name w:val="Headung 3"/>
    <w:basedOn w:val="Normal"/>
    <w:rPr>
      <w:rFonts w:ascii="Times New Roman" w:eastAsia="Calibri" w:hAnsi="Times New Roman" w:cs="Times New Roman"/>
      <w:color w:val="000000"/>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BTBullet1">
    <w:name w:val="BTBullet1"/>
    <w:basedOn w:val="Normal"/>
    <w:uiPriority w:val="6"/>
    <w:qFormat/>
    <w:pPr>
      <w:numPr>
        <w:numId w:val="19"/>
      </w:numPr>
      <w:spacing w:after="0" w:line="240" w:lineRule="atLeast"/>
    </w:pPr>
    <w:rPr>
      <w:rFonts w:ascii="Arial" w:eastAsia="Calibri" w:hAnsi="Arial" w:cs="Times New Roman"/>
      <w:sz w:val="20"/>
      <w:szCs w:val="24"/>
    </w:rPr>
  </w:style>
  <w:style w:type="paragraph" w:customStyle="1" w:styleId="BTBullet2">
    <w:name w:val="BTBullet2"/>
    <w:basedOn w:val="Normal"/>
    <w:uiPriority w:val="6"/>
    <w:qFormat/>
    <w:pPr>
      <w:numPr>
        <w:ilvl w:val="1"/>
        <w:numId w:val="19"/>
      </w:numPr>
      <w:spacing w:after="0" w:line="240" w:lineRule="atLeast"/>
    </w:pPr>
    <w:rPr>
      <w:rFonts w:ascii="Arial" w:eastAsia="Calibri" w:hAnsi="Arial" w:cs="Times New Roman"/>
      <w:sz w:val="20"/>
      <w:szCs w:val="24"/>
    </w:rPr>
  </w:style>
  <w:style w:type="paragraph" w:customStyle="1" w:styleId="BTBullet3">
    <w:name w:val="BTBullet3"/>
    <w:basedOn w:val="Normal"/>
    <w:uiPriority w:val="6"/>
    <w:qFormat/>
    <w:pPr>
      <w:numPr>
        <w:ilvl w:val="2"/>
        <w:numId w:val="19"/>
      </w:numPr>
      <w:spacing w:after="0" w:line="240" w:lineRule="atLeast"/>
    </w:pPr>
    <w:rPr>
      <w:rFonts w:ascii="Arial" w:eastAsia="Calibri" w:hAnsi="Arial" w:cs="Times New Roman"/>
      <w:sz w:val="20"/>
      <w:szCs w:val="24"/>
    </w:rPr>
  </w:style>
  <w:style w:type="numbering" w:customStyle="1" w:styleId="NumbLstBTBullet">
    <w:name w:val="NumbLstBTBullet"/>
    <w:uiPriority w:val="99"/>
    <w:pPr>
      <w:numPr>
        <w:numId w:val="18"/>
      </w:numPr>
    </w:p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rPr>
      <w:vertAlign w:val="superscript"/>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iPriority w:val="35"/>
    <w:unhideWhenUsed/>
    <w:qFormat/>
    <w:pPr>
      <w:keepNext/>
      <w:keepLines/>
      <w:widowControl w:val="0"/>
      <w:spacing w:before="240" w:after="120" w:line="360" w:lineRule="auto"/>
      <w:contextualSpacing/>
      <w:jc w:val="center"/>
    </w:pPr>
    <w:rPr>
      <w:rFonts w:eastAsia="Times New Roman" w:cstheme="minorHAnsi"/>
      <w:b/>
      <w:bCs/>
      <w:color w:val="002060"/>
      <w:sz w:val="18"/>
      <w:szCs w:val="18"/>
      <w:lang w:eastAsia="fr-FR"/>
    </w:rPr>
  </w:style>
  <w:style w:type="table" w:customStyle="1" w:styleId="EuropeanCommissionstyle">
    <w:name w:val="European Commission style"/>
    <w:basedOn w:val="TableNormal"/>
    <w:uiPriority w:val="99"/>
    <w:pPr>
      <w:spacing w:after="0" w:line="240" w:lineRule="auto"/>
    </w:pPr>
    <w:rPr>
      <w:rFonts w:ascii="Verdana" w:eastAsia="Times New Roman" w:hAnsi="Verdana" w:cs="Times New Roman"/>
      <w:sz w:val="12"/>
      <w:szCs w:val="20"/>
      <w:lang w:val="en-US"/>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hemeFill="background1" w:themeFillShade="F2"/>
    </w:tcPr>
    <w:tblStylePr w:type="firstRow">
      <w:rPr>
        <w:rFonts w:ascii="Verdana" w:hAnsi="Verdana"/>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uiPriority w:val="35"/>
    <w:locked/>
    <w:rPr>
      <w:rFonts w:eastAsia="Times New Roman" w:cstheme="minorHAnsi"/>
      <w:b/>
      <w:bCs/>
      <w:color w:val="002060"/>
      <w:sz w:val="18"/>
      <w:szCs w:val="18"/>
      <w:lang w:eastAsia="fr-FR"/>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MAINPARAGRAPH">
    <w:name w:val="MAIN PARAGRAPH"/>
    <w:basedOn w:val="Normal"/>
    <w:link w:val="MAINPARAGRAPHChar"/>
    <w:qFormat/>
    <w:pPr>
      <w:spacing w:before="120" w:after="120" w:line="360" w:lineRule="auto"/>
      <w:jc w:val="both"/>
    </w:pPr>
    <w:rPr>
      <w:rFonts w:ascii="Arial" w:eastAsia="Times New Roman" w:hAnsi="Arial" w:cs="Times New Roman"/>
      <w:color w:val="000000" w:themeColor="text1"/>
      <w:sz w:val="19"/>
      <w:szCs w:val="19"/>
      <w:lang w:eastAsia="fr-FR"/>
    </w:rPr>
  </w:style>
  <w:style w:type="character" w:customStyle="1" w:styleId="MAINPARAGRAPHChar">
    <w:name w:val="MAIN PARAGRAPH Char"/>
    <w:basedOn w:val="DefaultParagraphFont"/>
    <w:link w:val="MAINPARAGRAPH"/>
    <w:rPr>
      <w:rFonts w:ascii="Arial" w:eastAsia="Times New Roman" w:hAnsi="Arial" w:cs="Times New Roman"/>
      <w:color w:val="000000" w:themeColor="text1"/>
      <w:sz w:val="19"/>
      <w:szCs w:val="19"/>
      <w:lang w:eastAsia="fr-FR"/>
    </w:rPr>
  </w:style>
  <w:style w:type="character" w:styleId="Strong">
    <w:name w:val="Strong"/>
    <w:basedOn w:val="DefaultParagraphFont"/>
    <w:uiPriority w:val="22"/>
    <w:qFormat/>
    <w:rPr>
      <w:rFonts w:ascii="Times New Roman" w:hAnsi="Times New Roman" w:cs="Times New Roman" w:hint="default"/>
      <w:b/>
      <w:bCs/>
    </w:rPr>
  </w:style>
  <w:style w:type="table" w:styleId="LightShading-Accent5">
    <w:name w:val="Light Shading Accent 5"/>
    <w:basedOn w:val="TableNormal"/>
    <w:uiPriority w:val="6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after="0" w:line="0" w:lineRule="atLeast"/>
    </w:pPr>
  </w:style>
  <w:style w:type="table" w:customStyle="1" w:styleId="LightShading-Accent51">
    <w:name w:val="Light Shading - Accent 51"/>
    <w:basedOn w:val="TableNormal"/>
    <w:next w:val="LightShading-Accent5"/>
    <w:uiPriority w:val="6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qFormat/>
    <w:pPr>
      <w:numPr>
        <w:ilvl w:val="1"/>
      </w:numPr>
      <w:spacing w:before="120" w:after="160" w:line="240" w:lineRule="auto"/>
      <w:jc w:val="both"/>
    </w:pPr>
    <w:rPr>
      <w:rFonts w:eastAsiaTheme="minorEastAsia"/>
      <w:color w:val="5A5A5A" w:themeColor="text1" w:themeTint="A5"/>
      <w:spacing w:val="15"/>
    </w:rPr>
  </w:style>
  <w:style w:type="character" w:customStyle="1" w:styleId="SubtitleChar">
    <w:name w:val="Subtitle Char"/>
    <w:basedOn w:val="DefaultParagraphFont"/>
    <w:link w:val="Subtitle"/>
    <w:rPr>
      <w:rFonts w:eastAsiaTheme="minorEastAsia"/>
      <w:color w:val="5A5A5A" w:themeColor="text1" w:themeTint="A5"/>
      <w:spacing w:val="15"/>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IntenseEmphasis">
    <w:name w:val="Intense Emphasis"/>
    <w:basedOn w:val="DefaultParagraphFont"/>
    <w:uiPriority w:val="21"/>
    <w:qFormat/>
    <w:rPr>
      <w:i/>
      <w:iCs/>
      <w:color w:val="4F81BD" w:themeColor="accent1"/>
    </w:rPr>
  </w:style>
  <w:style w:type="paragraph" w:styleId="TableofFigures">
    <w:name w:val="table of figures"/>
    <w:basedOn w:val="Normal"/>
    <w:next w:val="Normal"/>
    <w:uiPriority w:val="99"/>
    <w:unhideWhenUsed/>
    <w:pPr>
      <w:spacing w:after="0"/>
    </w:pPr>
  </w:style>
  <w:style w:type="table" w:customStyle="1" w:styleId="EuropeanCommissionstyle1">
    <w:name w:val="European Commission style1"/>
    <w:basedOn w:val="TableNormal"/>
    <w:uiPriority w:val="99"/>
    <w:pPr>
      <w:spacing w:after="0" w:line="240" w:lineRule="auto"/>
    </w:pPr>
    <w:rPr>
      <w:rFonts w:ascii="Verdana" w:eastAsia="Times New Roman" w:hAnsi="Verdana" w:cs="Times New Roman"/>
      <w:sz w:val="12"/>
      <w:szCs w:val="20"/>
      <w:lang w:val="en-US"/>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cPr>
    <w:tblStylePr w:type="firstRow">
      <w:rPr>
        <w:rFonts w:ascii="Times" w:hAnsi="Times"/>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EB806-EAAB-46A0-854F-DBB50CFF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889</Words>
  <Characters>5517</Characters>
  <Application>Microsoft Office Word</Application>
  <DocSecurity>0</DocSecurity>
  <Lines>229</Lines>
  <Paragraphs>101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BOVALIS Konstantinos (DIGIT)</dc:creator>
  <cp:lastModifiedBy>DIGIT/A3</cp:lastModifiedBy>
  <cp:revision>8</cp:revision>
  <cp:lastPrinted>2016-10-26T10:21:00Z</cp:lastPrinted>
  <dcterms:created xsi:type="dcterms:W3CDTF">2017-03-13T14:13:00Z</dcterms:created>
  <dcterms:modified xsi:type="dcterms:W3CDTF">2017-03-15T10:58:00Z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_NewReviewCycle">
    <vt:lpwstr/>
  </property>
  <property fmtid="{D5CDD505-2E9C-101B-9397-08002B2CF9AE}" pid="7" name="First annex">
    <vt:lpwstr>1</vt:lpwstr>
  </property>
  <property fmtid="{D5CDD505-2E9C-101B-9397-08002B2CF9AE}" pid="8" name="Last annex">
    <vt:lpwstr>1</vt:lpwstr>
  </property>
</Properties>
</file>