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99" w:rsidRDefault="00BB61F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7378278F98640D7900295A4E360AD1C" style="width:450.8pt;height:459.55pt">
            <v:imagedata r:id="rId9" o:title=""/>
          </v:shape>
        </w:pict>
      </w:r>
    </w:p>
    <w:bookmarkEnd w:id="0"/>
    <w:p w:rsidR="004B2C99" w:rsidRDefault="004B2C99">
      <w:pPr>
        <w:rPr>
          <w:rFonts w:ascii="Times New Roman" w:hAnsi="Times New Roman" w:cs="Times New Roman"/>
          <w:noProof/>
        </w:rPr>
        <w:sectPr w:rsidR="004B2C9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4B2C99" w:rsidRDefault="00BB61FE">
      <w:pPr>
        <w:pStyle w:val="Heading1"/>
        <w:numPr>
          <w:ilvl w:val="0"/>
          <w:numId w:val="0"/>
        </w:numPr>
        <w:ind w:left="432" w:hanging="432"/>
        <w:rPr>
          <w:noProof/>
        </w:rPr>
      </w:pPr>
      <w:bookmarkStart w:id="1" w:name="_Toc463449749"/>
      <w:bookmarkStart w:id="2" w:name="_Toc463451501"/>
      <w:bookmarkStart w:id="3" w:name="_Toc463452155"/>
      <w:bookmarkStart w:id="4" w:name="_Toc463458193"/>
      <w:bookmarkStart w:id="5" w:name="_Toc464028091"/>
      <w:bookmarkEnd w:id="1"/>
      <w:bookmarkEnd w:id="2"/>
      <w:bookmarkEnd w:id="3"/>
      <w:bookmarkEnd w:id="4"/>
      <w:r>
        <w:rPr>
          <w:noProof/>
        </w:rPr>
        <w:lastRenderedPageBreak/>
        <w:t>Plan d’action</w:t>
      </w:r>
      <w:bookmarkEnd w:id="5"/>
      <w:r>
        <w:rPr>
          <w:noProof/>
        </w:rPr>
        <w:t xml:space="preserve"> pour l’interopérabilité</w:t>
      </w:r>
    </w:p>
    <w:p w:rsidR="004B2C99" w:rsidRDefault="00BB61FE">
      <w:pPr>
        <w:pStyle w:val="FootnoteText"/>
        <w:spacing w:line="312" w:lineRule="auto"/>
        <w:jc w:val="both"/>
        <w:rPr>
          <w:noProof/>
          <w:sz w:val="24"/>
          <w:szCs w:val="24"/>
        </w:rPr>
      </w:pPr>
      <w:r>
        <w:rPr>
          <w:noProof/>
          <w:sz w:val="24"/>
        </w:rPr>
        <w:t>Le plan d’action pour l’interopérabilité s’attaque aux causes</w:t>
      </w:r>
      <w:r>
        <w:rPr>
          <w:rStyle w:val="FootnoteReference"/>
          <w:noProof/>
          <w:sz w:val="24"/>
        </w:rPr>
        <w:footnoteReference w:id="1"/>
      </w:r>
      <w:r>
        <w:rPr>
          <w:noProof/>
          <w:sz w:val="24"/>
        </w:rPr>
        <w:t xml:space="preserve"> des problèmes existants en matière d’interopérabilité et n’est pas contraignant. Il peut faire l'objet de mises à jour visant à y intégrer des actions supplémentaires qui auraient été définies ou à supprimer des actions qui y figuraient. La Commission eur</w:t>
      </w:r>
      <w:r>
        <w:rPr>
          <w:noProof/>
          <w:sz w:val="24"/>
        </w:rPr>
        <w:t>opéenne peut à tout moment proposer des modifications, qu’elle doit dûment justifier, par exemple à l’aide de constatations issues du suivi des actions pour l’interopérabilité. La Commission, en consultation avec le comité du programme ISA² ou, le cas éché</w:t>
      </w:r>
      <w:r>
        <w:rPr>
          <w:noProof/>
          <w:sz w:val="24"/>
        </w:rPr>
        <w:t>ant, avec les organismes directeurs des initiatives qui soutiennent le plan d’action pour l’interopérabilité, est responsable de toute éventuelle décision de mise à jour de la liste.</w:t>
      </w:r>
    </w:p>
    <w:p w:rsidR="004B2C99" w:rsidRDefault="004B2C99">
      <w:pPr>
        <w:pStyle w:val="FootnoteText"/>
        <w:jc w:val="both"/>
        <w:rPr>
          <w:b/>
          <w:noProof/>
        </w:rPr>
      </w:pPr>
    </w:p>
    <w:tbl>
      <w:tblPr>
        <w:tblStyle w:val="EuropeanCommissionstyle1"/>
        <w:tblW w:w="9443" w:type="dxa"/>
        <w:jc w:val="center"/>
        <w:tblLook w:val="04A0" w:firstRow="1" w:lastRow="0" w:firstColumn="1" w:lastColumn="0" w:noHBand="0" w:noVBand="1"/>
      </w:tblPr>
      <w:tblGrid>
        <w:gridCol w:w="2596"/>
        <w:gridCol w:w="3929"/>
        <w:gridCol w:w="1150"/>
        <w:gridCol w:w="1768"/>
      </w:tblGrid>
      <w:tr w:rsidR="004B2C99" w:rsidTr="004B2C99">
        <w:trPr>
          <w:cnfStyle w:val="100000000000" w:firstRow="1" w:lastRow="0" w:firstColumn="0" w:lastColumn="0" w:oddVBand="0" w:evenVBand="0" w:oddHBand="0" w:evenHBand="0" w:firstRowFirstColumn="0" w:firstRowLastColumn="0" w:lastRowFirstColumn="0" w:lastRowLastColumn="0"/>
          <w:trHeight w:val="225"/>
          <w:tblHeader/>
          <w:jc w:val="center"/>
        </w:trPr>
        <w:tc>
          <w:tcPr>
            <w:tcW w:w="2596" w:type="dxa"/>
          </w:tcPr>
          <w:p w:rsidR="004B2C99" w:rsidRDefault="00BB61FE">
            <w:pPr>
              <w:widowControl w:val="0"/>
              <w:spacing w:line="312" w:lineRule="auto"/>
              <w:jc w:val="center"/>
              <w:rPr>
                <w:rFonts w:ascii="Times New Roman" w:hAnsi="Times New Roman"/>
                <w:noProof/>
                <w:sz w:val="18"/>
                <w:szCs w:val="16"/>
              </w:rPr>
            </w:pPr>
            <w:r>
              <w:rPr>
                <w:rFonts w:ascii="Times New Roman" w:hAnsi="Times New Roman"/>
                <w:noProof/>
                <w:sz w:val="18"/>
              </w:rPr>
              <w:t>Objectifs</w:t>
            </w:r>
          </w:p>
        </w:tc>
        <w:tc>
          <w:tcPr>
            <w:tcW w:w="3929" w:type="dxa"/>
          </w:tcPr>
          <w:p w:rsidR="004B2C99" w:rsidRDefault="00BB61FE">
            <w:pPr>
              <w:widowControl w:val="0"/>
              <w:spacing w:line="312" w:lineRule="auto"/>
              <w:jc w:val="center"/>
              <w:rPr>
                <w:rFonts w:ascii="Times New Roman" w:hAnsi="Times New Roman"/>
                <w:noProof/>
                <w:sz w:val="18"/>
                <w:szCs w:val="16"/>
              </w:rPr>
            </w:pPr>
            <w:r>
              <w:rPr>
                <w:rFonts w:ascii="Times New Roman" w:hAnsi="Times New Roman"/>
                <w:noProof/>
                <w:sz w:val="18"/>
              </w:rPr>
              <w:t>Actions</w:t>
            </w:r>
          </w:p>
        </w:tc>
        <w:tc>
          <w:tcPr>
            <w:tcW w:w="1150" w:type="dxa"/>
          </w:tcPr>
          <w:p w:rsidR="004B2C99" w:rsidRDefault="00BB61FE">
            <w:pPr>
              <w:widowControl w:val="0"/>
              <w:spacing w:line="312" w:lineRule="auto"/>
              <w:jc w:val="center"/>
              <w:rPr>
                <w:rFonts w:ascii="Times New Roman" w:hAnsi="Times New Roman"/>
                <w:noProof/>
                <w:sz w:val="18"/>
                <w:szCs w:val="16"/>
              </w:rPr>
            </w:pPr>
            <w:r>
              <w:rPr>
                <w:rFonts w:ascii="Times New Roman" w:hAnsi="Times New Roman"/>
                <w:noProof/>
                <w:sz w:val="18"/>
              </w:rPr>
              <w:t>Calendrier</w:t>
            </w:r>
          </w:p>
        </w:tc>
        <w:tc>
          <w:tcPr>
            <w:tcW w:w="1768" w:type="dxa"/>
          </w:tcPr>
          <w:p w:rsidR="004B2C99" w:rsidRDefault="00BB61FE">
            <w:pPr>
              <w:widowControl w:val="0"/>
              <w:spacing w:line="312" w:lineRule="auto"/>
              <w:jc w:val="center"/>
              <w:rPr>
                <w:rFonts w:ascii="Times New Roman" w:hAnsi="Times New Roman"/>
                <w:noProof/>
                <w:sz w:val="18"/>
                <w:szCs w:val="16"/>
              </w:rPr>
            </w:pPr>
            <w:r>
              <w:rPr>
                <w:rFonts w:ascii="Times New Roman" w:hAnsi="Times New Roman"/>
                <w:noProof/>
                <w:sz w:val="18"/>
              </w:rPr>
              <w:t>Responsabilité</w:t>
            </w:r>
          </w:p>
        </w:tc>
      </w:tr>
      <w:tr w:rsidR="004B2C99" w:rsidTr="004B2C99">
        <w:trPr>
          <w:jc w:val="center"/>
        </w:trPr>
        <w:tc>
          <w:tcPr>
            <w:tcW w:w="9443" w:type="dxa"/>
            <w:gridSpan w:val="4"/>
            <w:shd w:val="clear" w:color="auto" w:fill="989898" w:themeFill="background1" w:themeFillShade="A6"/>
          </w:tcPr>
          <w:p w:rsidR="004B2C99" w:rsidRDefault="00BB61FE">
            <w:pPr>
              <w:spacing w:line="312" w:lineRule="auto"/>
              <w:rPr>
                <w:rFonts w:ascii="Times New Roman" w:hAnsi="Times New Roman"/>
                <w:b/>
                <w:noProof/>
                <w:color w:val="FFFFFF"/>
                <w:sz w:val="18"/>
                <w:szCs w:val="16"/>
              </w:rPr>
            </w:pPr>
            <w:r>
              <w:rPr>
                <w:rFonts w:ascii="Times New Roman" w:hAnsi="Times New Roman"/>
                <w:b/>
                <w:noProof/>
                <w:color w:val="FFFFFF"/>
                <w:sz w:val="18"/>
              </w:rPr>
              <w:t xml:space="preserve">Domaine d'action 1: </w:t>
            </w:r>
            <w:r>
              <w:rPr>
                <w:rFonts w:ascii="Times New Roman" w:hAnsi="Times New Roman"/>
                <w:b/>
                <w:noProof/>
                <w:color w:val="FFFFFF"/>
                <w:sz w:val="18"/>
              </w:rPr>
              <w:t>Garantir la gouvernance, la coordination et le partage d’initiatives d’interopérabilité</w:t>
            </w:r>
          </w:p>
        </w:tc>
      </w:tr>
      <w:tr w:rsidR="004B2C99" w:rsidTr="004B2C99">
        <w:trPr>
          <w:trHeight w:val="904"/>
          <w:jc w:val="center"/>
        </w:trPr>
        <w:tc>
          <w:tcPr>
            <w:tcW w:w="2596" w:type="dxa"/>
            <w:vMerge w:val="restart"/>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Assurer la gouvernance et la coordination des initiatives d’interopérabilité au niveau national et de l’Union.</w:t>
            </w:r>
          </w:p>
        </w:tc>
        <w:tc>
          <w:tcPr>
            <w:tcW w:w="3929" w:type="dxa"/>
          </w:tcPr>
          <w:p w:rsidR="004B2C99" w:rsidRDefault="00BB61FE">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 xml:space="preserve">Recenser et relier à d’autres politiques pertinentes et </w:t>
            </w:r>
            <w:r>
              <w:rPr>
                <w:rFonts w:ascii="Times New Roman" w:hAnsi="Times New Roman"/>
                <w:noProof/>
                <w:sz w:val="18"/>
              </w:rPr>
              <w:t>à leurs structures de gouvernance au niveau national et européen (y compris les comités sectoriels).</w:t>
            </w:r>
          </w:p>
        </w:tc>
        <w:tc>
          <w:tcPr>
            <w:tcW w:w="1150"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2017-2020</w:t>
            </w:r>
          </w:p>
        </w:tc>
        <w:tc>
          <w:tcPr>
            <w:tcW w:w="1768"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Commission européenne (CE),</w:t>
            </w:r>
          </w:p>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États membres (EM)</w:t>
            </w:r>
          </w:p>
        </w:tc>
      </w:tr>
      <w:tr w:rsidR="004B2C99" w:rsidTr="004B2C99">
        <w:trPr>
          <w:jc w:val="center"/>
        </w:trPr>
        <w:tc>
          <w:tcPr>
            <w:tcW w:w="2596" w:type="dxa"/>
            <w:vMerge/>
          </w:tcPr>
          <w:p w:rsidR="004B2C99" w:rsidRDefault="004B2C99">
            <w:pPr>
              <w:spacing w:line="312" w:lineRule="auto"/>
              <w:rPr>
                <w:rFonts w:ascii="Times New Roman" w:hAnsi="Times New Roman"/>
                <w:noProof/>
                <w:color w:val="000000"/>
                <w:sz w:val="18"/>
                <w:szCs w:val="16"/>
              </w:rPr>
            </w:pPr>
          </w:p>
        </w:tc>
        <w:tc>
          <w:tcPr>
            <w:tcW w:w="3929" w:type="dxa"/>
          </w:tcPr>
          <w:p w:rsidR="004B2C99" w:rsidRDefault="00BB61FE">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 xml:space="preserve">Recenser et décrire les structures de gouvernance et les bonnes pratiques pour la coordination </w:t>
            </w:r>
            <w:r>
              <w:rPr>
                <w:rFonts w:ascii="Times New Roman" w:hAnsi="Times New Roman"/>
                <w:noProof/>
                <w:sz w:val="18"/>
              </w:rPr>
              <w:t>de l’interopérabilité.</w:t>
            </w:r>
          </w:p>
        </w:tc>
        <w:tc>
          <w:tcPr>
            <w:tcW w:w="1150" w:type="dxa"/>
          </w:tcPr>
          <w:p w:rsidR="004B2C99" w:rsidRDefault="00BB61FE">
            <w:pPr>
              <w:spacing w:line="312" w:lineRule="auto"/>
              <w:rPr>
                <w:rFonts w:ascii="Times New Roman" w:eastAsia="Arial" w:hAnsi="Times New Roman"/>
                <w:noProof/>
                <w:sz w:val="18"/>
                <w:szCs w:val="16"/>
              </w:rPr>
            </w:pPr>
            <w:r>
              <w:rPr>
                <w:rFonts w:ascii="Times New Roman" w:hAnsi="Times New Roman"/>
                <w:noProof/>
                <w:sz w:val="18"/>
              </w:rPr>
              <w:t>2017-2020</w:t>
            </w:r>
          </w:p>
        </w:tc>
        <w:tc>
          <w:tcPr>
            <w:tcW w:w="1768" w:type="dxa"/>
          </w:tcPr>
          <w:p w:rsidR="004B2C99" w:rsidRDefault="00BB61FE">
            <w:pPr>
              <w:spacing w:line="312" w:lineRule="auto"/>
              <w:rPr>
                <w:rFonts w:ascii="Times New Roman" w:eastAsia="Arial" w:hAnsi="Times New Roman"/>
                <w:noProof/>
                <w:sz w:val="18"/>
                <w:szCs w:val="16"/>
              </w:rPr>
            </w:pPr>
            <w:r>
              <w:rPr>
                <w:rFonts w:ascii="Times New Roman" w:hAnsi="Times New Roman"/>
                <w:noProof/>
                <w:sz w:val="18"/>
              </w:rPr>
              <w:t>CE, EM</w:t>
            </w:r>
          </w:p>
        </w:tc>
      </w:tr>
      <w:tr w:rsidR="004B2C99" w:rsidTr="004B2C99">
        <w:trPr>
          <w:jc w:val="center"/>
        </w:trPr>
        <w:tc>
          <w:tcPr>
            <w:tcW w:w="2596" w:type="dxa"/>
            <w:vMerge/>
          </w:tcPr>
          <w:p w:rsidR="004B2C99" w:rsidRDefault="004B2C99">
            <w:pPr>
              <w:spacing w:line="312" w:lineRule="auto"/>
              <w:rPr>
                <w:rFonts w:ascii="Times New Roman" w:hAnsi="Times New Roman"/>
                <w:noProof/>
                <w:color w:val="000000"/>
                <w:sz w:val="18"/>
                <w:szCs w:val="16"/>
              </w:rPr>
            </w:pPr>
          </w:p>
        </w:tc>
        <w:tc>
          <w:tcPr>
            <w:tcW w:w="3929" w:type="dxa"/>
          </w:tcPr>
          <w:p w:rsidR="004B2C99" w:rsidRDefault="00BB61FE">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Garantir que l’interopérabilité est prise en compte lors de l'élaboration des instruments législatifs et que les références pertinentes sont dûment incluses.</w:t>
            </w:r>
          </w:p>
        </w:tc>
        <w:tc>
          <w:tcPr>
            <w:tcW w:w="1150" w:type="dxa"/>
          </w:tcPr>
          <w:p w:rsidR="004B2C99" w:rsidRDefault="00BB61FE">
            <w:pPr>
              <w:spacing w:line="312" w:lineRule="auto"/>
              <w:rPr>
                <w:rFonts w:ascii="Times New Roman" w:eastAsia="Arial" w:hAnsi="Times New Roman"/>
                <w:noProof/>
                <w:sz w:val="18"/>
                <w:szCs w:val="16"/>
              </w:rPr>
            </w:pPr>
            <w:r>
              <w:rPr>
                <w:rFonts w:ascii="Times New Roman" w:hAnsi="Times New Roman"/>
                <w:noProof/>
                <w:sz w:val="18"/>
              </w:rPr>
              <w:t>2017-2020</w:t>
            </w:r>
          </w:p>
        </w:tc>
        <w:tc>
          <w:tcPr>
            <w:tcW w:w="1768" w:type="dxa"/>
          </w:tcPr>
          <w:p w:rsidR="004B2C99" w:rsidRDefault="00BB61FE">
            <w:pPr>
              <w:spacing w:line="312" w:lineRule="auto"/>
              <w:rPr>
                <w:rFonts w:ascii="Times New Roman" w:eastAsia="Arial" w:hAnsi="Times New Roman"/>
                <w:noProof/>
                <w:sz w:val="18"/>
                <w:szCs w:val="16"/>
              </w:rPr>
            </w:pPr>
            <w:r>
              <w:rPr>
                <w:rFonts w:ascii="Times New Roman" w:hAnsi="Times New Roman"/>
                <w:noProof/>
                <w:sz w:val="18"/>
              </w:rPr>
              <w:t>CE, EM</w:t>
            </w:r>
          </w:p>
        </w:tc>
      </w:tr>
      <w:tr w:rsidR="004B2C99" w:rsidTr="004B2C99">
        <w:trPr>
          <w:jc w:val="center"/>
        </w:trPr>
        <w:tc>
          <w:tcPr>
            <w:tcW w:w="2596" w:type="dxa"/>
            <w:vMerge w:val="restart"/>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Garantir l’exécution et le suivi de la</w:t>
            </w:r>
            <w:r>
              <w:rPr>
                <w:rFonts w:ascii="Times New Roman" w:hAnsi="Times New Roman"/>
                <w:noProof/>
                <w:color w:val="000000"/>
                <w:sz w:val="18"/>
              </w:rPr>
              <w:t xml:space="preserve"> mise en œuvre de l’EIF.</w:t>
            </w:r>
          </w:p>
        </w:tc>
        <w:tc>
          <w:tcPr>
            <w:tcW w:w="3929" w:type="dxa"/>
          </w:tcPr>
          <w:p w:rsidR="004B2C99" w:rsidRDefault="00BB61FE">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Développer et conserver l’observatoire des NIF afin de contrôler la mise en œuvre de l’EIF et la conformité des stratégies/cadres d’interopérabilité nationaux avec l’EIF.</w:t>
            </w:r>
          </w:p>
          <w:p w:rsidR="004B2C99" w:rsidRDefault="00BB61FE">
            <w:p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Également, contrôler et évaluer la mise en œuvre du plan d’a</w:t>
            </w:r>
            <w:r>
              <w:rPr>
                <w:rFonts w:ascii="Times New Roman" w:hAnsi="Times New Roman"/>
                <w:noProof/>
                <w:sz w:val="18"/>
              </w:rPr>
              <w:t>ction pour l’interopérabilité.</w:t>
            </w:r>
          </w:p>
        </w:tc>
        <w:tc>
          <w:tcPr>
            <w:tcW w:w="1150"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2017-2020</w:t>
            </w:r>
          </w:p>
        </w:tc>
        <w:tc>
          <w:tcPr>
            <w:tcW w:w="1768"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CE, EM</w:t>
            </w:r>
          </w:p>
        </w:tc>
      </w:tr>
      <w:tr w:rsidR="004B2C99" w:rsidTr="004B2C99">
        <w:trPr>
          <w:jc w:val="center"/>
        </w:trPr>
        <w:tc>
          <w:tcPr>
            <w:tcW w:w="2596" w:type="dxa"/>
            <w:vMerge/>
          </w:tcPr>
          <w:p w:rsidR="004B2C99" w:rsidRDefault="004B2C99">
            <w:pPr>
              <w:spacing w:line="312" w:lineRule="auto"/>
              <w:rPr>
                <w:rFonts w:ascii="Times New Roman" w:hAnsi="Times New Roman"/>
                <w:noProof/>
                <w:color w:val="000000"/>
                <w:sz w:val="18"/>
                <w:szCs w:val="16"/>
              </w:rPr>
            </w:pPr>
          </w:p>
        </w:tc>
        <w:tc>
          <w:tcPr>
            <w:tcW w:w="3929" w:type="dxa"/>
          </w:tcPr>
          <w:p w:rsidR="004B2C99" w:rsidRDefault="00BB61FE">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Fournir un soutien et une formation ad hoc aux administrations publiques des États membres afin d’assurer la mise en œuvre de l’EIF à tous les niveaux de leurs administrations nationales.</w:t>
            </w:r>
          </w:p>
        </w:tc>
        <w:tc>
          <w:tcPr>
            <w:tcW w:w="1150"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2017-2020</w:t>
            </w:r>
          </w:p>
        </w:tc>
        <w:tc>
          <w:tcPr>
            <w:tcW w:w="1768"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CE, EM</w:t>
            </w:r>
          </w:p>
        </w:tc>
      </w:tr>
    </w:tbl>
    <w:p w:rsidR="004B2C99" w:rsidRDefault="00BB61FE">
      <w:pPr>
        <w:rPr>
          <w:noProof/>
        </w:rPr>
      </w:pPr>
      <w:r>
        <w:rPr>
          <w:noProof/>
        </w:rPr>
        <w:br w:type="page"/>
      </w:r>
    </w:p>
    <w:tbl>
      <w:tblPr>
        <w:tblStyle w:val="EuropeanCommissionstyle1"/>
        <w:tblW w:w="9443" w:type="dxa"/>
        <w:jc w:val="center"/>
        <w:tblLook w:val="04A0" w:firstRow="1" w:lastRow="0" w:firstColumn="1" w:lastColumn="0" w:noHBand="0" w:noVBand="1"/>
      </w:tblPr>
      <w:tblGrid>
        <w:gridCol w:w="2596"/>
        <w:gridCol w:w="3929"/>
        <w:gridCol w:w="1150"/>
        <w:gridCol w:w="1768"/>
      </w:tblGrid>
      <w:tr w:rsidR="004B2C99" w:rsidTr="004B2C99">
        <w:trPr>
          <w:cnfStyle w:val="100000000000" w:firstRow="1" w:lastRow="0" w:firstColumn="0" w:lastColumn="0" w:oddVBand="0" w:evenVBand="0" w:oddHBand="0" w:evenHBand="0" w:firstRowFirstColumn="0" w:firstRowLastColumn="0" w:lastRowFirstColumn="0" w:lastRowLastColumn="0"/>
          <w:jc w:val="center"/>
        </w:trPr>
        <w:tc>
          <w:tcPr>
            <w:tcW w:w="9443" w:type="dxa"/>
            <w:gridSpan w:val="4"/>
            <w:shd w:val="clear" w:color="auto" w:fill="989898" w:themeFill="background1" w:themeFillShade="A6"/>
          </w:tcPr>
          <w:p w:rsidR="004B2C99" w:rsidRDefault="00BB61FE">
            <w:pPr>
              <w:spacing w:line="312" w:lineRule="auto"/>
              <w:rPr>
                <w:rFonts w:ascii="Times New Roman" w:hAnsi="Times New Roman"/>
                <w:b w:val="0"/>
                <w:noProof/>
                <w:sz w:val="18"/>
                <w:szCs w:val="16"/>
              </w:rPr>
            </w:pPr>
            <w:r>
              <w:rPr>
                <w:rFonts w:ascii="Times New Roman" w:hAnsi="Times New Roman"/>
                <w:noProof/>
                <w:sz w:val="18"/>
              </w:rPr>
              <w:lastRenderedPageBreak/>
              <w:t>Domaine d'action 2: Développer des solutions d’interopérabilité organisationnelles.</w:t>
            </w:r>
          </w:p>
        </w:tc>
      </w:tr>
      <w:tr w:rsidR="004B2C99" w:rsidTr="004B2C99">
        <w:trPr>
          <w:jc w:val="center"/>
        </w:trPr>
        <w:tc>
          <w:tcPr>
            <w:tcW w:w="2596" w:type="dxa"/>
            <w:vMerge w:val="restart"/>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Fournir et utiliser les facteurs (par ex. accords d’interopérabilité) et les instruments (par ex. les modèles de processus opérationnels) pertinents.</w:t>
            </w:r>
          </w:p>
        </w:tc>
        <w:tc>
          <w:tcPr>
            <w:tcW w:w="3929" w:type="dxa"/>
          </w:tcPr>
          <w:p w:rsidR="004B2C99" w:rsidRDefault="00BB61FE">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Clarifier et propos</w:t>
            </w:r>
            <w:r>
              <w:rPr>
                <w:rFonts w:ascii="Times New Roman" w:hAnsi="Times New Roman"/>
                <w:noProof/>
                <w:sz w:val="18"/>
              </w:rPr>
              <w:t>er des manières de formaliser les relations organisationnelles des administrations publiques dans le cadre de l’établissement des services publics européens. Définir et développer des modèles de processus communs afin de décrire les processus opérationnels</w:t>
            </w:r>
            <w:r>
              <w:rPr>
                <w:rFonts w:ascii="Times New Roman" w:hAnsi="Times New Roman"/>
                <w:noProof/>
                <w:sz w:val="18"/>
              </w:rPr>
              <w:t>. Recenser les bonnes pratiques.</w:t>
            </w:r>
          </w:p>
        </w:tc>
        <w:tc>
          <w:tcPr>
            <w:tcW w:w="1150"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2017-2020</w:t>
            </w:r>
          </w:p>
        </w:tc>
        <w:tc>
          <w:tcPr>
            <w:tcW w:w="1768"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CE, EM</w:t>
            </w:r>
          </w:p>
        </w:tc>
      </w:tr>
      <w:tr w:rsidR="004B2C99" w:rsidTr="004B2C99">
        <w:trPr>
          <w:jc w:val="center"/>
        </w:trPr>
        <w:tc>
          <w:tcPr>
            <w:tcW w:w="2596" w:type="dxa"/>
            <w:vMerge/>
          </w:tcPr>
          <w:p w:rsidR="004B2C99" w:rsidRDefault="004B2C99">
            <w:pPr>
              <w:spacing w:line="312" w:lineRule="auto"/>
              <w:rPr>
                <w:rFonts w:ascii="Times New Roman" w:hAnsi="Times New Roman"/>
                <w:noProof/>
                <w:color w:val="000000"/>
                <w:sz w:val="18"/>
                <w:szCs w:val="16"/>
              </w:rPr>
            </w:pPr>
          </w:p>
        </w:tc>
        <w:tc>
          <w:tcPr>
            <w:tcW w:w="3929" w:type="dxa"/>
          </w:tcPr>
          <w:p w:rsidR="004B2C99" w:rsidRDefault="00BB61FE">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 xml:space="preserve">Déterminer les processus opérationnels transfrontières clés impliquant des échanges d’informations administratives (y compris des documents) ainsi que leur mise en œuvre dans les différents États membres </w:t>
            </w:r>
            <w:r>
              <w:rPr>
                <w:rFonts w:ascii="Times New Roman" w:hAnsi="Times New Roman"/>
                <w:noProof/>
                <w:sz w:val="18"/>
              </w:rPr>
              <w:t>et élaborer des lignes directrices concernant la manière d’améliorer leur adéquation et leur simplification.</w:t>
            </w:r>
          </w:p>
        </w:tc>
        <w:tc>
          <w:tcPr>
            <w:tcW w:w="1150" w:type="dxa"/>
          </w:tcPr>
          <w:p w:rsidR="004B2C99" w:rsidRDefault="00BB61FE">
            <w:pPr>
              <w:spacing w:line="312" w:lineRule="auto"/>
              <w:rPr>
                <w:rFonts w:ascii="Times New Roman" w:eastAsia="Arial" w:hAnsi="Times New Roman"/>
                <w:noProof/>
                <w:sz w:val="18"/>
                <w:szCs w:val="16"/>
              </w:rPr>
            </w:pPr>
            <w:r>
              <w:rPr>
                <w:rFonts w:ascii="Times New Roman" w:hAnsi="Times New Roman"/>
                <w:noProof/>
                <w:sz w:val="18"/>
              </w:rPr>
              <w:t>2017-2020</w:t>
            </w:r>
          </w:p>
        </w:tc>
        <w:tc>
          <w:tcPr>
            <w:tcW w:w="1768" w:type="dxa"/>
          </w:tcPr>
          <w:p w:rsidR="004B2C99" w:rsidRDefault="00BB61FE">
            <w:pPr>
              <w:spacing w:line="312" w:lineRule="auto"/>
              <w:rPr>
                <w:rFonts w:ascii="Times New Roman" w:eastAsia="Arial" w:hAnsi="Times New Roman"/>
                <w:noProof/>
                <w:sz w:val="18"/>
                <w:szCs w:val="16"/>
              </w:rPr>
            </w:pPr>
            <w:r>
              <w:rPr>
                <w:rFonts w:ascii="Times New Roman" w:hAnsi="Times New Roman"/>
                <w:noProof/>
                <w:sz w:val="18"/>
              </w:rPr>
              <w:t>CE, EM</w:t>
            </w:r>
          </w:p>
        </w:tc>
      </w:tr>
      <w:tr w:rsidR="004B2C99" w:rsidTr="004B2C99">
        <w:trPr>
          <w:jc w:val="center"/>
        </w:trPr>
        <w:tc>
          <w:tcPr>
            <w:tcW w:w="9443" w:type="dxa"/>
            <w:gridSpan w:val="4"/>
            <w:shd w:val="clear" w:color="auto" w:fill="989898" w:themeFill="background1" w:themeFillShade="A6"/>
          </w:tcPr>
          <w:p w:rsidR="004B2C99" w:rsidRDefault="00BB61FE">
            <w:pPr>
              <w:spacing w:line="312" w:lineRule="auto"/>
              <w:rPr>
                <w:rFonts w:ascii="Times New Roman" w:hAnsi="Times New Roman"/>
                <w:b/>
                <w:noProof/>
                <w:color w:val="FFFFFF"/>
                <w:sz w:val="18"/>
                <w:szCs w:val="16"/>
              </w:rPr>
            </w:pPr>
            <w:r>
              <w:rPr>
                <w:rFonts w:ascii="Times New Roman" w:hAnsi="Times New Roman"/>
                <w:b/>
                <w:noProof/>
                <w:color w:val="FFFFFF"/>
                <w:sz w:val="18"/>
              </w:rPr>
              <w:t>Domaine d'action 3: Impliquer les parties prenantes et sensibiliser davantage à l’interopérabilité</w:t>
            </w:r>
          </w:p>
        </w:tc>
      </w:tr>
      <w:tr w:rsidR="004B2C99" w:rsidTr="004B2C99">
        <w:trPr>
          <w:jc w:val="center"/>
        </w:trPr>
        <w:tc>
          <w:tcPr>
            <w:tcW w:w="2596" w:type="dxa"/>
            <w:vMerge w:val="restart"/>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 xml:space="preserve">Encourager les </w:t>
            </w:r>
            <w:r>
              <w:rPr>
                <w:rFonts w:ascii="Times New Roman" w:hAnsi="Times New Roman"/>
                <w:noProof/>
                <w:color w:val="000000"/>
                <w:sz w:val="18"/>
              </w:rPr>
              <w:t>administrations publiques à utiliser les solutions d’interopérabilité existantes et nouvelles, tout en appliquant les principes, recommandations et modèles de l’EIF. Définir, mesurer et indiquer les bénéfices principaux qui pourraient être obtenus en appli</w:t>
            </w:r>
            <w:r>
              <w:rPr>
                <w:rFonts w:ascii="Times New Roman" w:hAnsi="Times New Roman"/>
                <w:noProof/>
                <w:color w:val="000000"/>
                <w:sz w:val="18"/>
              </w:rPr>
              <w:t>quant les principes, recommandations et modèles de l’EIF.</w:t>
            </w:r>
          </w:p>
          <w:p w:rsidR="004B2C99" w:rsidRDefault="004B2C99">
            <w:pPr>
              <w:spacing w:line="312" w:lineRule="auto"/>
              <w:rPr>
                <w:rFonts w:ascii="Times New Roman" w:hAnsi="Times New Roman"/>
                <w:noProof/>
                <w:color w:val="000000"/>
                <w:sz w:val="18"/>
                <w:szCs w:val="16"/>
              </w:rPr>
            </w:pPr>
          </w:p>
        </w:tc>
        <w:tc>
          <w:tcPr>
            <w:tcW w:w="3929" w:type="dxa"/>
          </w:tcPr>
          <w:p w:rsidR="004B2C99" w:rsidRDefault="00BB61FE">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Concevoir et réaliser des campagnes de communication promouvant l’importance de l’interopérabilité et les avantages découlant de l’application de l’EIF.</w:t>
            </w:r>
          </w:p>
        </w:tc>
        <w:tc>
          <w:tcPr>
            <w:tcW w:w="1150"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2017-2020</w:t>
            </w:r>
          </w:p>
          <w:p w:rsidR="004B2C99" w:rsidRDefault="00BB61FE">
            <w:pPr>
              <w:tabs>
                <w:tab w:val="left" w:pos="664"/>
              </w:tabs>
              <w:rPr>
                <w:rFonts w:ascii="Times New Roman" w:hAnsi="Times New Roman"/>
                <w:noProof/>
                <w:sz w:val="18"/>
                <w:szCs w:val="16"/>
              </w:rPr>
            </w:pPr>
            <w:r>
              <w:rPr>
                <w:noProof/>
              </w:rPr>
              <w:tab/>
            </w:r>
          </w:p>
        </w:tc>
        <w:tc>
          <w:tcPr>
            <w:tcW w:w="1768"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CE, EM</w:t>
            </w:r>
          </w:p>
        </w:tc>
      </w:tr>
      <w:tr w:rsidR="004B2C99" w:rsidTr="004B2C99">
        <w:trPr>
          <w:jc w:val="center"/>
        </w:trPr>
        <w:tc>
          <w:tcPr>
            <w:tcW w:w="2596" w:type="dxa"/>
            <w:vMerge/>
          </w:tcPr>
          <w:p w:rsidR="004B2C99" w:rsidRDefault="004B2C99">
            <w:pPr>
              <w:spacing w:line="312" w:lineRule="auto"/>
              <w:rPr>
                <w:rFonts w:ascii="Times New Roman" w:hAnsi="Times New Roman"/>
                <w:noProof/>
                <w:color w:val="000000"/>
                <w:sz w:val="18"/>
                <w:szCs w:val="16"/>
              </w:rPr>
            </w:pPr>
          </w:p>
        </w:tc>
        <w:tc>
          <w:tcPr>
            <w:tcW w:w="3929" w:type="dxa"/>
          </w:tcPr>
          <w:p w:rsidR="004B2C99" w:rsidRDefault="00BB61FE">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Assurer la liaison avec</w:t>
            </w:r>
            <w:r>
              <w:rPr>
                <w:rFonts w:ascii="Times New Roman" w:hAnsi="Times New Roman"/>
                <w:noProof/>
                <w:sz w:val="18"/>
              </w:rPr>
              <w:t xml:space="preserve"> les bureaux de représentation des pays de l’Union (par ex. soutenir l’établissement d’une structure de gouvernance, la mise en œuvre de solutions, encourager la participation à des programmes pilotes de l’Union).</w:t>
            </w:r>
          </w:p>
        </w:tc>
        <w:tc>
          <w:tcPr>
            <w:tcW w:w="1150"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2018-2020</w:t>
            </w:r>
          </w:p>
        </w:tc>
        <w:tc>
          <w:tcPr>
            <w:tcW w:w="1768"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CE, EM</w:t>
            </w:r>
          </w:p>
        </w:tc>
      </w:tr>
      <w:tr w:rsidR="004B2C99" w:rsidTr="004B2C99">
        <w:trPr>
          <w:jc w:val="center"/>
        </w:trPr>
        <w:tc>
          <w:tcPr>
            <w:tcW w:w="2596" w:type="dxa"/>
            <w:vMerge/>
          </w:tcPr>
          <w:p w:rsidR="004B2C99" w:rsidRDefault="004B2C99">
            <w:pPr>
              <w:spacing w:line="312" w:lineRule="auto"/>
              <w:rPr>
                <w:rFonts w:ascii="Times New Roman" w:hAnsi="Times New Roman"/>
                <w:noProof/>
                <w:color w:val="000000"/>
                <w:sz w:val="18"/>
                <w:szCs w:val="16"/>
              </w:rPr>
            </w:pPr>
          </w:p>
        </w:tc>
        <w:tc>
          <w:tcPr>
            <w:tcW w:w="3929" w:type="dxa"/>
          </w:tcPr>
          <w:p w:rsidR="004B2C99" w:rsidRDefault="00BB61FE">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 xml:space="preserve">Entretenir, améliorer </w:t>
            </w:r>
            <w:r>
              <w:rPr>
                <w:rFonts w:ascii="Times New Roman" w:hAnsi="Times New Roman"/>
                <w:noProof/>
                <w:sz w:val="18"/>
              </w:rPr>
              <w:t>et animer la plateforme Joinup pour une meilleure participation des utilisateurs et la création de communautés.</w:t>
            </w:r>
          </w:p>
        </w:tc>
        <w:tc>
          <w:tcPr>
            <w:tcW w:w="1150"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2017-2020</w:t>
            </w:r>
          </w:p>
        </w:tc>
        <w:tc>
          <w:tcPr>
            <w:tcW w:w="1768"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CE, EM</w:t>
            </w:r>
          </w:p>
        </w:tc>
      </w:tr>
      <w:tr w:rsidR="004B2C99" w:rsidTr="004B2C99">
        <w:trPr>
          <w:jc w:val="center"/>
        </w:trPr>
        <w:tc>
          <w:tcPr>
            <w:tcW w:w="2596"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Orienter la conception et le développement de services publics en fonction des besoins des utilisateurs.</w:t>
            </w:r>
          </w:p>
        </w:tc>
        <w:tc>
          <w:tcPr>
            <w:tcW w:w="3929" w:type="dxa"/>
          </w:tcPr>
          <w:p w:rsidR="004B2C99" w:rsidRDefault="00BB61FE">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Identifier ou introdu</w:t>
            </w:r>
            <w:r>
              <w:rPr>
                <w:rFonts w:ascii="Times New Roman" w:hAnsi="Times New Roman"/>
                <w:noProof/>
                <w:sz w:val="18"/>
              </w:rPr>
              <w:t>ire des moyens de faire participer les utilisateurs au développement des services publics numériques.</w:t>
            </w:r>
          </w:p>
        </w:tc>
        <w:tc>
          <w:tcPr>
            <w:tcW w:w="1150"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2018-2020</w:t>
            </w:r>
          </w:p>
        </w:tc>
        <w:tc>
          <w:tcPr>
            <w:tcW w:w="1768"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CE, EM</w:t>
            </w:r>
          </w:p>
        </w:tc>
      </w:tr>
      <w:tr w:rsidR="004B2C99" w:rsidTr="004B2C99">
        <w:trPr>
          <w:jc w:val="center"/>
        </w:trPr>
        <w:tc>
          <w:tcPr>
            <w:tcW w:w="9443" w:type="dxa"/>
            <w:gridSpan w:val="4"/>
            <w:shd w:val="clear" w:color="auto" w:fill="989898" w:themeFill="background1" w:themeFillShade="A6"/>
          </w:tcPr>
          <w:p w:rsidR="004B2C99" w:rsidRDefault="00BB61FE">
            <w:pPr>
              <w:spacing w:line="312" w:lineRule="auto"/>
              <w:rPr>
                <w:rFonts w:ascii="Times New Roman" w:hAnsi="Times New Roman"/>
                <w:b/>
                <w:noProof/>
                <w:color w:val="FFFFFF"/>
                <w:sz w:val="18"/>
                <w:szCs w:val="16"/>
              </w:rPr>
            </w:pPr>
            <w:r>
              <w:rPr>
                <w:rFonts w:ascii="Times New Roman" w:hAnsi="Times New Roman"/>
                <w:b/>
                <w:noProof/>
                <w:color w:val="FFFFFF"/>
                <w:sz w:val="18"/>
              </w:rPr>
              <w:t>Domaine d'action 4: Développer, entretenir et promouvoir les facteurs d’interopérabilité clés</w:t>
            </w:r>
          </w:p>
        </w:tc>
      </w:tr>
      <w:tr w:rsidR="004B2C99" w:rsidTr="004B2C99">
        <w:trPr>
          <w:jc w:val="center"/>
        </w:trPr>
        <w:tc>
          <w:tcPr>
            <w:tcW w:w="2596" w:type="dxa"/>
            <w:vMerge w:val="restart"/>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 xml:space="preserve">Définir, développer, améliorer, faire </w:t>
            </w:r>
            <w:r>
              <w:rPr>
                <w:rFonts w:ascii="Times New Roman" w:hAnsi="Times New Roman"/>
                <w:noProof/>
                <w:color w:val="000000"/>
                <w:sz w:val="18"/>
              </w:rPr>
              <w:t>fonctionner, entretenir et promouvoir des services, outils, normes et spécifications interopérables.</w:t>
            </w:r>
          </w:p>
        </w:tc>
        <w:tc>
          <w:tcPr>
            <w:tcW w:w="3929" w:type="dxa"/>
          </w:tcPr>
          <w:p w:rsidR="004B2C99" w:rsidRDefault="00BB61FE">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Définir et mettre en œuvre des spécifications communes concernant les conditions générales d’accès et de gestion de registres de base.</w:t>
            </w:r>
          </w:p>
          <w:p w:rsidR="004B2C99" w:rsidRDefault="00BB61FE">
            <w:p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 xml:space="preserve">Étendre la </w:t>
            </w:r>
            <w:r>
              <w:rPr>
                <w:rFonts w:ascii="Times New Roman" w:hAnsi="Times New Roman"/>
                <w:noProof/>
                <w:sz w:val="18"/>
              </w:rPr>
              <w:t>cartographie des solutions existantes au domaine des registres de base.</w:t>
            </w:r>
          </w:p>
        </w:tc>
        <w:tc>
          <w:tcPr>
            <w:tcW w:w="1150"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2017-2020</w:t>
            </w:r>
          </w:p>
        </w:tc>
        <w:tc>
          <w:tcPr>
            <w:tcW w:w="1768"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CE, EM</w:t>
            </w:r>
          </w:p>
        </w:tc>
      </w:tr>
      <w:tr w:rsidR="004B2C99" w:rsidTr="004B2C99">
        <w:trPr>
          <w:jc w:val="center"/>
        </w:trPr>
        <w:tc>
          <w:tcPr>
            <w:tcW w:w="2596" w:type="dxa"/>
            <w:vMerge/>
          </w:tcPr>
          <w:p w:rsidR="004B2C99" w:rsidRDefault="004B2C99">
            <w:pPr>
              <w:spacing w:line="312" w:lineRule="auto"/>
              <w:rPr>
                <w:rFonts w:ascii="Times New Roman" w:hAnsi="Times New Roman"/>
                <w:noProof/>
                <w:color w:val="000000"/>
                <w:sz w:val="18"/>
                <w:szCs w:val="16"/>
              </w:rPr>
            </w:pPr>
          </w:p>
        </w:tc>
        <w:tc>
          <w:tcPr>
            <w:tcW w:w="3929" w:type="dxa"/>
          </w:tcPr>
          <w:p w:rsidR="004B2C99" w:rsidRDefault="00BB61FE">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Mettre en œuvre et promouvoir des modèles communs pour décrire et cataloguer les services publics dans toute l’Union.</w:t>
            </w:r>
          </w:p>
        </w:tc>
        <w:tc>
          <w:tcPr>
            <w:tcW w:w="1150"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2017-2020</w:t>
            </w:r>
          </w:p>
        </w:tc>
        <w:tc>
          <w:tcPr>
            <w:tcW w:w="1768"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CE, EM</w:t>
            </w:r>
          </w:p>
        </w:tc>
      </w:tr>
      <w:tr w:rsidR="004B2C99" w:rsidTr="004B2C99">
        <w:trPr>
          <w:trHeight w:val="537"/>
          <w:jc w:val="center"/>
        </w:trPr>
        <w:tc>
          <w:tcPr>
            <w:tcW w:w="2596" w:type="dxa"/>
            <w:vMerge/>
          </w:tcPr>
          <w:p w:rsidR="004B2C99" w:rsidRDefault="004B2C99">
            <w:pPr>
              <w:spacing w:line="312" w:lineRule="auto"/>
              <w:rPr>
                <w:rFonts w:ascii="Times New Roman" w:hAnsi="Times New Roman"/>
                <w:noProof/>
                <w:color w:val="000000"/>
                <w:sz w:val="18"/>
                <w:szCs w:val="16"/>
              </w:rPr>
            </w:pPr>
          </w:p>
        </w:tc>
        <w:tc>
          <w:tcPr>
            <w:tcW w:w="3929" w:type="dxa"/>
          </w:tcPr>
          <w:p w:rsidR="004B2C99" w:rsidRDefault="00BB61FE">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 xml:space="preserve">Développer des </w:t>
            </w:r>
            <w:r>
              <w:rPr>
                <w:rFonts w:ascii="Times New Roman" w:hAnsi="Times New Roman"/>
                <w:noProof/>
                <w:sz w:val="18"/>
              </w:rPr>
              <w:t>spécifications sur les données et des outils pour soutenir les initiatives relatives aux données ouvertes.</w:t>
            </w:r>
          </w:p>
        </w:tc>
        <w:tc>
          <w:tcPr>
            <w:tcW w:w="1150"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2018-2020</w:t>
            </w:r>
          </w:p>
        </w:tc>
        <w:tc>
          <w:tcPr>
            <w:tcW w:w="1768"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CE, EM</w:t>
            </w:r>
          </w:p>
        </w:tc>
      </w:tr>
      <w:tr w:rsidR="004B2C99" w:rsidTr="004B2C99">
        <w:trPr>
          <w:jc w:val="center"/>
        </w:trPr>
        <w:tc>
          <w:tcPr>
            <w:tcW w:w="2596" w:type="dxa"/>
            <w:vMerge/>
          </w:tcPr>
          <w:p w:rsidR="004B2C99" w:rsidRDefault="004B2C99">
            <w:pPr>
              <w:spacing w:line="312" w:lineRule="auto"/>
              <w:rPr>
                <w:rFonts w:ascii="Times New Roman" w:hAnsi="Times New Roman"/>
                <w:noProof/>
                <w:color w:val="000000"/>
                <w:sz w:val="18"/>
                <w:szCs w:val="16"/>
              </w:rPr>
            </w:pPr>
          </w:p>
        </w:tc>
        <w:tc>
          <w:tcPr>
            <w:tcW w:w="3929" w:type="dxa"/>
          </w:tcPr>
          <w:p w:rsidR="004B2C99" w:rsidRDefault="00BB61FE">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Recenser des mesures permettant de renforcer la confiance accordée à la fourniture de services publics numériques européens.</w:t>
            </w:r>
          </w:p>
          <w:p w:rsidR="004B2C99" w:rsidRDefault="00BB61FE">
            <w:p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 xml:space="preserve">Dans </w:t>
            </w:r>
            <w:r>
              <w:rPr>
                <w:rFonts w:ascii="Times New Roman" w:hAnsi="Times New Roman"/>
                <w:noProof/>
                <w:sz w:val="18"/>
              </w:rPr>
              <w:t>ce contexte, accélérer l’adoption de services eIDAS tels que l’identification et les signatures électroniques.</w:t>
            </w:r>
          </w:p>
        </w:tc>
        <w:tc>
          <w:tcPr>
            <w:tcW w:w="1150"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2018-2020</w:t>
            </w:r>
          </w:p>
        </w:tc>
        <w:tc>
          <w:tcPr>
            <w:tcW w:w="1768"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CE, EM</w:t>
            </w:r>
          </w:p>
        </w:tc>
      </w:tr>
      <w:tr w:rsidR="004B2C99" w:rsidTr="004B2C99">
        <w:trPr>
          <w:jc w:val="center"/>
        </w:trPr>
        <w:tc>
          <w:tcPr>
            <w:tcW w:w="2596" w:type="dxa"/>
            <w:vMerge/>
          </w:tcPr>
          <w:p w:rsidR="004B2C99" w:rsidRDefault="004B2C99">
            <w:pPr>
              <w:spacing w:line="312" w:lineRule="auto"/>
              <w:rPr>
                <w:rFonts w:ascii="Times New Roman" w:hAnsi="Times New Roman"/>
                <w:noProof/>
                <w:color w:val="000000"/>
                <w:sz w:val="18"/>
                <w:szCs w:val="16"/>
              </w:rPr>
            </w:pPr>
          </w:p>
        </w:tc>
        <w:tc>
          <w:tcPr>
            <w:tcW w:w="3929" w:type="dxa"/>
          </w:tcPr>
          <w:p w:rsidR="004B2C99" w:rsidRDefault="00BB61FE">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 xml:space="preserve">Analyser le contenu des données informations (y compris les documents) des administrations publiques utilisées dans un cadre </w:t>
            </w:r>
            <w:r>
              <w:rPr>
                <w:rFonts w:ascii="Times New Roman" w:hAnsi="Times New Roman"/>
                <w:noProof/>
                <w:sz w:val="18"/>
              </w:rPr>
              <w:t>transfrontière ou intersectoriel et les schémas de métadonnées existants qui s'y rapportent . Identifier les obstacles empêchant la reconnaissance mutuelle, établir des correspondances et soutenir les efforts d’harmonisation.</w:t>
            </w:r>
          </w:p>
        </w:tc>
        <w:tc>
          <w:tcPr>
            <w:tcW w:w="1150" w:type="dxa"/>
          </w:tcPr>
          <w:p w:rsidR="004B2C99" w:rsidRDefault="00BB61FE">
            <w:pPr>
              <w:spacing w:line="312" w:lineRule="auto"/>
              <w:rPr>
                <w:rFonts w:ascii="Times New Roman" w:eastAsia="Arial" w:hAnsi="Times New Roman"/>
                <w:noProof/>
                <w:sz w:val="18"/>
                <w:szCs w:val="16"/>
              </w:rPr>
            </w:pPr>
            <w:r>
              <w:rPr>
                <w:rFonts w:ascii="Times New Roman" w:hAnsi="Times New Roman"/>
                <w:noProof/>
                <w:color w:val="000000"/>
                <w:sz w:val="18"/>
              </w:rPr>
              <w:t>2018-2020</w:t>
            </w:r>
          </w:p>
        </w:tc>
        <w:tc>
          <w:tcPr>
            <w:tcW w:w="1768" w:type="dxa"/>
          </w:tcPr>
          <w:p w:rsidR="004B2C99" w:rsidRDefault="00BB61FE">
            <w:pPr>
              <w:spacing w:line="312" w:lineRule="auto"/>
              <w:rPr>
                <w:rFonts w:ascii="Times New Roman" w:eastAsia="Arial" w:hAnsi="Times New Roman"/>
                <w:noProof/>
                <w:sz w:val="18"/>
                <w:szCs w:val="16"/>
              </w:rPr>
            </w:pPr>
            <w:r>
              <w:rPr>
                <w:rFonts w:ascii="Times New Roman" w:hAnsi="Times New Roman"/>
                <w:noProof/>
                <w:sz w:val="18"/>
              </w:rPr>
              <w:t>CE, EM</w:t>
            </w:r>
          </w:p>
        </w:tc>
      </w:tr>
      <w:tr w:rsidR="004B2C99" w:rsidTr="004B2C99">
        <w:trPr>
          <w:jc w:val="center"/>
        </w:trPr>
        <w:tc>
          <w:tcPr>
            <w:tcW w:w="2596" w:type="dxa"/>
            <w:vMerge/>
          </w:tcPr>
          <w:p w:rsidR="004B2C99" w:rsidRDefault="004B2C99">
            <w:pPr>
              <w:spacing w:line="312" w:lineRule="auto"/>
              <w:rPr>
                <w:rFonts w:ascii="Times New Roman" w:hAnsi="Times New Roman"/>
                <w:noProof/>
                <w:color w:val="000000"/>
                <w:sz w:val="18"/>
                <w:szCs w:val="16"/>
              </w:rPr>
            </w:pPr>
          </w:p>
        </w:tc>
        <w:tc>
          <w:tcPr>
            <w:tcW w:w="3929" w:type="dxa"/>
          </w:tcPr>
          <w:p w:rsidR="004B2C99" w:rsidRDefault="00BB61FE">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 xml:space="preserve">Poursuivre </w:t>
            </w:r>
            <w:r>
              <w:rPr>
                <w:rFonts w:ascii="Times New Roman" w:hAnsi="Times New Roman"/>
                <w:noProof/>
                <w:sz w:val="18"/>
              </w:rPr>
              <w:t>le soutien apporté à la mise en œuvre et à l’amélioration de la directive INSPIRE en utilisant des données géospatiales dans les services publics numériques.</w:t>
            </w:r>
          </w:p>
        </w:tc>
        <w:tc>
          <w:tcPr>
            <w:tcW w:w="1150"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2017-2020</w:t>
            </w:r>
          </w:p>
        </w:tc>
        <w:tc>
          <w:tcPr>
            <w:tcW w:w="1768"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CE, EM</w:t>
            </w:r>
          </w:p>
        </w:tc>
      </w:tr>
      <w:tr w:rsidR="004B2C99" w:rsidTr="004B2C99">
        <w:trPr>
          <w:jc w:val="center"/>
        </w:trPr>
        <w:tc>
          <w:tcPr>
            <w:tcW w:w="2596" w:type="dxa"/>
            <w:vMerge/>
          </w:tcPr>
          <w:p w:rsidR="004B2C99" w:rsidRDefault="004B2C99">
            <w:pPr>
              <w:spacing w:line="312" w:lineRule="auto"/>
              <w:rPr>
                <w:rFonts w:ascii="Times New Roman" w:hAnsi="Times New Roman"/>
                <w:noProof/>
                <w:color w:val="000000"/>
                <w:sz w:val="18"/>
                <w:szCs w:val="16"/>
              </w:rPr>
            </w:pPr>
          </w:p>
        </w:tc>
        <w:tc>
          <w:tcPr>
            <w:tcW w:w="3929" w:type="dxa"/>
          </w:tcPr>
          <w:p w:rsidR="004B2C99" w:rsidRDefault="00BB61FE">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 xml:space="preserve">Assurer la liaison avec les initiatives de la Commission concernant le «nuage» </w:t>
            </w:r>
            <w:r>
              <w:rPr>
                <w:rFonts w:ascii="Times New Roman" w:hAnsi="Times New Roman"/>
                <w:noProof/>
                <w:sz w:val="18"/>
              </w:rPr>
              <w:t>et les autres initiatives liées à la «création d’une économie fondées sur les données» du marché unique numérique (dans la mesure où les services publics sont concernés) et fournir les recommandations et spécifications nécessaires en matière d’interopérabi</w:t>
            </w:r>
            <w:r>
              <w:rPr>
                <w:rFonts w:ascii="Times New Roman" w:hAnsi="Times New Roman"/>
                <w:noProof/>
                <w:sz w:val="18"/>
              </w:rPr>
              <w:t>lité, en tenant dûment compte de la communication sur les priorités pour la normalisation en matière de TIC dans le marché unique numérique [COM(2016) 176].</w:t>
            </w:r>
          </w:p>
        </w:tc>
        <w:tc>
          <w:tcPr>
            <w:tcW w:w="1150"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2018-2020</w:t>
            </w:r>
          </w:p>
        </w:tc>
        <w:tc>
          <w:tcPr>
            <w:tcW w:w="1768"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CE, EM</w:t>
            </w:r>
          </w:p>
        </w:tc>
      </w:tr>
      <w:tr w:rsidR="004B2C99" w:rsidTr="004B2C99">
        <w:trPr>
          <w:jc w:val="center"/>
        </w:trPr>
        <w:tc>
          <w:tcPr>
            <w:tcW w:w="9443" w:type="dxa"/>
            <w:gridSpan w:val="4"/>
            <w:shd w:val="clear" w:color="auto" w:fill="989898" w:themeFill="background1" w:themeFillShade="A6"/>
          </w:tcPr>
          <w:p w:rsidR="004B2C99" w:rsidRDefault="00BB61FE">
            <w:pPr>
              <w:spacing w:line="312" w:lineRule="auto"/>
              <w:rPr>
                <w:rFonts w:ascii="Times New Roman" w:hAnsi="Times New Roman"/>
                <w:b/>
                <w:noProof/>
                <w:color w:val="FFFFFF"/>
                <w:sz w:val="18"/>
                <w:szCs w:val="16"/>
              </w:rPr>
            </w:pPr>
            <w:r>
              <w:rPr>
                <w:rFonts w:ascii="Times New Roman" w:hAnsi="Times New Roman"/>
                <w:b/>
                <w:noProof/>
                <w:color w:val="FFFFFF"/>
                <w:sz w:val="18"/>
              </w:rPr>
              <w:t>Domaine d'action 5: Développer, entretenir et promouvoir des instruments qui sout</w:t>
            </w:r>
            <w:r>
              <w:rPr>
                <w:rFonts w:ascii="Times New Roman" w:hAnsi="Times New Roman"/>
                <w:b/>
                <w:noProof/>
                <w:color w:val="FFFFFF"/>
                <w:sz w:val="18"/>
              </w:rPr>
              <w:t>iennent l’interopérabilité</w:t>
            </w:r>
          </w:p>
        </w:tc>
      </w:tr>
      <w:tr w:rsidR="004B2C99" w:rsidTr="004B2C99">
        <w:trPr>
          <w:jc w:val="center"/>
        </w:trPr>
        <w:tc>
          <w:tcPr>
            <w:tcW w:w="2596" w:type="dxa"/>
            <w:vMerge w:val="restart"/>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Définir, développer, améliorer, faire fonctionner, entretenir et promouvoir des instruments qui soutiennent la mise en œuvre, l’évaluation et le suivi des activités pour l’interopérabilité.</w:t>
            </w:r>
          </w:p>
        </w:tc>
        <w:tc>
          <w:tcPr>
            <w:tcW w:w="3929" w:type="dxa"/>
          </w:tcPr>
          <w:p w:rsidR="004B2C99" w:rsidRDefault="00BB61FE">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 xml:space="preserve">Développer une méthode afin d’évaluer </w:t>
            </w:r>
            <w:r>
              <w:rPr>
                <w:rFonts w:ascii="Times New Roman" w:hAnsi="Times New Roman"/>
                <w:noProof/>
                <w:sz w:val="18"/>
              </w:rPr>
              <w:t>l’impact sur les TIC de la législation au niveau européen ou, si possible, au niveau national; recenser les actes législatifs qui entravent l’interopérabilité (y compris le contrôle juridique); soumettre les politiques et la législation existantes ou propo</w:t>
            </w:r>
            <w:r>
              <w:rPr>
                <w:rFonts w:ascii="Times New Roman" w:hAnsi="Times New Roman"/>
                <w:noProof/>
                <w:sz w:val="18"/>
              </w:rPr>
              <w:t>sées à des contrôles numériques; soutenir les actions qui facilitent la préparation et la cohérence de la législation.</w:t>
            </w:r>
          </w:p>
        </w:tc>
        <w:tc>
          <w:tcPr>
            <w:tcW w:w="1150" w:type="dxa"/>
          </w:tcPr>
          <w:p w:rsidR="004B2C99" w:rsidRDefault="00BB61FE">
            <w:pPr>
              <w:spacing w:line="312" w:lineRule="auto"/>
              <w:ind w:left="-43"/>
              <w:rPr>
                <w:rFonts w:ascii="Times New Roman" w:hAnsi="Times New Roman"/>
                <w:noProof/>
                <w:color w:val="000000"/>
                <w:sz w:val="18"/>
                <w:szCs w:val="16"/>
              </w:rPr>
            </w:pPr>
            <w:r>
              <w:rPr>
                <w:rFonts w:ascii="Times New Roman" w:hAnsi="Times New Roman"/>
                <w:noProof/>
                <w:color w:val="000000"/>
                <w:sz w:val="18"/>
              </w:rPr>
              <w:t>2017-2020</w:t>
            </w:r>
          </w:p>
        </w:tc>
        <w:tc>
          <w:tcPr>
            <w:tcW w:w="1768"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CE, EM</w:t>
            </w:r>
          </w:p>
        </w:tc>
      </w:tr>
      <w:tr w:rsidR="004B2C99" w:rsidTr="004B2C99">
        <w:trPr>
          <w:jc w:val="center"/>
        </w:trPr>
        <w:tc>
          <w:tcPr>
            <w:tcW w:w="2596" w:type="dxa"/>
            <w:vMerge/>
          </w:tcPr>
          <w:p w:rsidR="004B2C99" w:rsidRDefault="004B2C99">
            <w:pPr>
              <w:spacing w:line="312" w:lineRule="auto"/>
              <w:rPr>
                <w:rFonts w:ascii="Times New Roman" w:hAnsi="Times New Roman"/>
                <w:noProof/>
                <w:color w:val="000000"/>
                <w:sz w:val="18"/>
                <w:szCs w:val="16"/>
              </w:rPr>
            </w:pPr>
          </w:p>
        </w:tc>
        <w:tc>
          <w:tcPr>
            <w:tcW w:w="3929" w:type="dxa"/>
          </w:tcPr>
          <w:p w:rsidR="004B2C99" w:rsidRDefault="00BB61FE">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Développer, entretenir et utiliser des mécanismes et outils permettant d’évaluer le degré de maturité, les coûts et le</w:t>
            </w:r>
            <w:r>
              <w:rPr>
                <w:rFonts w:ascii="Times New Roman" w:hAnsi="Times New Roman"/>
                <w:noProof/>
                <w:sz w:val="18"/>
              </w:rPr>
              <w:t xml:space="preserve">s avantages de l’interopérabilité. </w:t>
            </w:r>
          </w:p>
        </w:tc>
        <w:tc>
          <w:tcPr>
            <w:tcW w:w="1150" w:type="dxa"/>
          </w:tcPr>
          <w:p w:rsidR="004B2C99" w:rsidRDefault="00BB61FE">
            <w:pPr>
              <w:spacing w:line="312" w:lineRule="auto"/>
              <w:ind w:left="-43"/>
              <w:rPr>
                <w:rFonts w:ascii="Times New Roman" w:hAnsi="Times New Roman"/>
                <w:noProof/>
                <w:color w:val="000000"/>
                <w:sz w:val="18"/>
                <w:szCs w:val="16"/>
              </w:rPr>
            </w:pPr>
            <w:r>
              <w:rPr>
                <w:rFonts w:ascii="Times New Roman" w:hAnsi="Times New Roman"/>
                <w:noProof/>
                <w:color w:val="000000"/>
                <w:sz w:val="18"/>
              </w:rPr>
              <w:t>2017-2020</w:t>
            </w:r>
          </w:p>
        </w:tc>
        <w:tc>
          <w:tcPr>
            <w:tcW w:w="1768"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CE, EM</w:t>
            </w:r>
          </w:p>
        </w:tc>
      </w:tr>
      <w:tr w:rsidR="004B2C99" w:rsidTr="004B2C99">
        <w:trPr>
          <w:jc w:val="center"/>
        </w:trPr>
        <w:tc>
          <w:tcPr>
            <w:tcW w:w="2596" w:type="dxa"/>
            <w:vMerge/>
          </w:tcPr>
          <w:p w:rsidR="004B2C99" w:rsidRDefault="004B2C99">
            <w:pPr>
              <w:spacing w:line="312" w:lineRule="auto"/>
              <w:rPr>
                <w:rFonts w:ascii="Times New Roman" w:hAnsi="Times New Roman"/>
                <w:noProof/>
                <w:color w:val="000000"/>
                <w:sz w:val="18"/>
                <w:szCs w:val="16"/>
              </w:rPr>
            </w:pPr>
          </w:p>
        </w:tc>
        <w:tc>
          <w:tcPr>
            <w:tcW w:w="3929" w:type="dxa"/>
          </w:tcPr>
          <w:p w:rsidR="004B2C99" w:rsidRDefault="00BB61FE">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Entretenir et promouvoir le «cadre pour le partage et la réutilisation des solutions informatiques» (y compris le code source ouvert) mis au point dans le contexte du programme ISA².</w:t>
            </w:r>
          </w:p>
        </w:tc>
        <w:tc>
          <w:tcPr>
            <w:tcW w:w="1150" w:type="dxa"/>
          </w:tcPr>
          <w:p w:rsidR="004B2C99" w:rsidRDefault="00BB61FE">
            <w:pPr>
              <w:spacing w:line="312" w:lineRule="auto"/>
              <w:ind w:left="-43"/>
              <w:rPr>
                <w:rFonts w:ascii="Times New Roman" w:hAnsi="Times New Roman"/>
                <w:noProof/>
                <w:color w:val="000000"/>
                <w:sz w:val="18"/>
                <w:szCs w:val="16"/>
              </w:rPr>
            </w:pPr>
            <w:r>
              <w:rPr>
                <w:rFonts w:ascii="Times New Roman" w:hAnsi="Times New Roman"/>
                <w:noProof/>
                <w:color w:val="000000"/>
                <w:sz w:val="18"/>
              </w:rPr>
              <w:t>2017-2020</w:t>
            </w:r>
          </w:p>
        </w:tc>
        <w:tc>
          <w:tcPr>
            <w:tcW w:w="1768"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CE, EM</w:t>
            </w:r>
          </w:p>
        </w:tc>
      </w:tr>
      <w:tr w:rsidR="004B2C99" w:rsidTr="004B2C99">
        <w:trPr>
          <w:jc w:val="center"/>
        </w:trPr>
        <w:tc>
          <w:tcPr>
            <w:tcW w:w="2596" w:type="dxa"/>
            <w:vMerge/>
          </w:tcPr>
          <w:p w:rsidR="004B2C99" w:rsidRDefault="004B2C99">
            <w:pPr>
              <w:spacing w:line="312" w:lineRule="auto"/>
              <w:rPr>
                <w:rFonts w:ascii="Times New Roman" w:hAnsi="Times New Roman"/>
                <w:noProof/>
                <w:color w:val="000000"/>
                <w:sz w:val="18"/>
                <w:szCs w:val="16"/>
              </w:rPr>
            </w:pPr>
          </w:p>
        </w:tc>
        <w:tc>
          <w:tcPr>
            <w:tcW w:w="3929" w:type="dxa"/>
          </w:tcPr>
          <w:p w:rsidR="004B2C99" w:rsidRDefault="00BB61FE">
            <w:pPr>
              <w:numPr>
                <w:ilvl w:val="0"/>
                <w:numId w:val="20"/>
              </w:numPr>
              <w:spacing w:before="120" w:after="120" w:line="312" w:lineRule="auto"/>
              <w:ind w:left="318"/>
              <w:contextualSpacing/>
              <w:rPr>
                <w:rFonts w:ascii="Times New Roman" w:eastAsia="Arial" w:hAnsi="Times New Roman"/>
                <w:noProof/>
                <w:sz w:val="18"/>
                <w:szCs w:val="16"/>
              </w:rPr>
            </w:pPr>
            <w:r>
              <w:rPr>
                <w:rFonts w:ascii="Times New Roman" w:hAnsi="Times New Roman"/>
                <w:noProof/>
                <w:sz w:val="18"/>
              </w:rPr>
              <w:t>Assurer l’entretien, l’amélioration et la promotion de l’architecture de référence de l’interopérabilité européenne (ARIE) et de la cartographie de l’interopérabilité européenne (CIE) en tant qu’instruments visant à faciliter la réutilisation de solutions</w:t>
            </w:r>
            <w:r>
              <w:rPr>
                <w:rFonts w:ascii="Times New Roman" w:hAnsi="Times New Roman"/>
                <w:noProof/>
                <w:sz w:val="18"/>
              </w:rPr>
              <w:t xml:space="preserve"> d’interopérabilité existantes dans un contexte national ou transfrontière.</w:t>
            </w:r>
          </w:p>
        </w:tc>
        <w:tc>
          <w:tcPr>
            <w:tcW w:w="1150" w:type="dxa"/>
          </w:tcPr>
          <w:p w:rsidR="004B2C99" w:rsidRDefault="00BB61FE">
            <w:pPr>
              <w:spacing w:line="312" w:lineRule="auto"/>
              <w:ind w:left="-43"/>
              <w:rPr>
                <w:rFonts w:ascii="Times New Roman" w:hAnsi="Times New Roman"/>
                <w:noProof/>
                <w:color w:val="000000"/>
                <w:sz w:val="18"/>
                <w:szCs w:val="16"/>
              </w:rPr>
            </w:pPr>
            <w:r>
              <w:rPr>
                <w:rFonts w:ascii="Times New Roman" w:hAnsi="Times New Roman"/>
                <w:noProof/>
                <w:color w:val="000000"/>
                <w:sz w:val="18"/>
              </w:rPr>
              <w:t>2017-2020</w:t>
            </w:r>
          </w:p>
        </w:tc>
        <w:tc>
          <w:tcPr>
            <w:tcW w:w="1768" w:type="dxa"/>
          </w:tcPr>
          <w:p w:rsidR="004B2C99" w:rsidRDefault="00BB61FE">
            <w:pPr>
              <w:spacing w:line="312" w:lineRule="auto"/>
              <w:rPr>
                <w:rFonts w:ascii="Times New Roman" w:hAnsi="Times New Roman"/>
                <w:noProof/>
                <w:color w:val="000000"/>
                <w:sz w:val="18"/>
                <w:szCs w:val="16"/>
              </w:rPr>
            </w:pPr>
            <w:r>
              <w:rPr>
                <w:rFonts w:ascii="Times New Roman" w:hAnsi="Times New Roman"/>
                <w:noProof/>
                <w:color w:val="000000"/>
                <w:sz w:val="18"/>
              </w:rPr>
              <w:t>CE, EM</w:t>
            </w:r>
          </w:p>
          <w:p w:rsidR="004B2C99" w:rsidRDefault="004B2C99">
            <w:pPr>
              <w:spacing w:line="312" w:lineRule="auto"/>
              <w:rPr>
                <w:rFonts w:ascii="Times New Roman" w:hAnsi="Times New Roman"/>
                <w:noProof/>
                <w:color w:val="000000"/>
                <w:sz w:val="18"/>
                <w:szCs w:val="16"/>
              </w:rPr>
            </w:pPr>
          </w:p>
          <w:p w:rsidR="004B2C99" w:rsidRDefault="004B2C99">
            <w:pPr>
              <w:spacing w:line="312" w:lineRule="auto"/>
              <w:rPr>
                <w:rFonts w:ascii="Times New Roman" w:hAnsi="Times New Roman"/>
                <w:noProof/>
                <w:color w:val="000000"/>
                <w:sz w:val="18"/>
                <w:szCs w:val="16"/>
              </w:rPr>
            </w:pPr>
          </w:p>
        </w:tc>
      </w:tr>
    </w:tbl>
    <w:p w:rsidR="004B2C99" w:rsidRDefault="004B2C99" w:rsidP="00A65B2E">
      <w:pPr>
        <w:rPr>
          <w:noProof/>
        </w:rPr>
      </w:pPr>
      <w:bookmarkStart w:id="6" w:name="_GoBack"/>
      <w:bookmarkEnd w:id="6"/>
    </w:p>
    <w:sectPr w:rsidR="004B2C99">
      <w:headerReference w:type="even" r:id="rId16"/>
      <w:headerReference w:type="default" r:id="rId17"/>
      <w:footerReference w:type="even" r:id="rId18"/>
      <w:footerReference w:type="default" r:id="rId19"/>
      <w:headerReference w:type="first" r:id="rId20"/>
      <w:footerReference w:type="first" r:id="rId21"/>
      <w:pgSz w:w="11907" w:h="16839"/>
      <w:pgMar w:top="1134" w:right="1418"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1FE" w:rsidRDefault="00BB61FE">
      <w:pPr>
        <w:spacing w:after="0" w:line="240" w:lineRule="auto"/>
      </w:pPr>
      <w:r>
        <w:separator/>
      </w:r>
    </w:p>
  </w:endnote>
  <w:endnote w:type="continuationSeparator" w:id="0">
    <w:p w:rsidR="00BB61FE" w:rsidRDefault="00BB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2E" w:rsidRDefault="00A65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C99" w:rsidRDefault="00BB61FE">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2E" w:rsidRDefault="00A65B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C99" w:rsidRDefault="004B2C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311474"/>
      <w:docPartObj>
        <w:docPartGallery w:val="Page Numbers (Bottom of Page)"/>
        <w:docPartUnique/>
      </w:docPartObj>
    </w:sdtPr>
    <w:sdtEndPr/>
    <w:sdtContent>
      <w:p w:rsidR="004B2C99" w:rsidRDefault="00BB61FE">
        <w:pPr>
          <w:pStyle w:val="Footer"/>
          <w:jc w:val="center"/>
        </w:pPr>
        <w:r>
          <w:fldChar w:fldCharType="begin"/>
        </w:r>
        <w:r>
          <w:instrText xml:space="preserve"> PAGE   \* MERGEFORMAT </w:instrText>
        </w:r>
        <w:r>
          <w:fldChar w:fldCharType="separate"/>
        </w:r>
        <w:r w:rsidR="00A65B2E">
          <w:rPr>
            <w:noProof/>
          </w:rPr>
          <w:t>5</w:t>
        </w:r>
        <w:r>
          <w:fldChar w:fldCharType="end"/>
        </w:r>
      </w:p>
    </w:sdtContent>
  </w:sdt>
  <w:p w:rsidR="004B2C99" w:rsidRDefault="004B2C9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C99" w:rsidRDefault="00BB61FE">
    <w:pPr>
      <w:pStyle w:val="Footer"/>
      <w:jc w:val="center"/>
    </w:pPr>
    <w:r>
      <w:fldChar w:fldCharType="begin"/>
    </w:r>
    <w:r>
      <w:instrText xml:space="preserve"> PAGE   \* MERGEFORMAT </w:instrText>
    </w:r>
    <w:r>
      <w:fldChar w:fldCharType="separate"/>
    </w:r>
    <w:r w:rsidR="00A65B2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1FE" w:rsidRDefault="00BB61FE">
      <w:pPr>
        <w:spacing w:after="0" w:line="240" w:lineRule="auto"/>
      </w:pPr>
      <w:r>
        <w:separator/>
      </w:r>
    </w:p>
  </w:footnote>
  <w:footnote w:type="continuationSeparator" w:id="0">
    <w:p w:rsidR="00BB61FE" w:rsidRDefault="00BB61FE">
      <w:pPr>
        <w:spacing w:after="0" w:line="240" w:lineRule="auto"/>
      </w:pPr>
      <w:r>
        <w:continuationSeparator/>
      </w:r>
    </w:p>
  </w:footnote>
  <w:footnote w:id="1">
    <w:p w:rsidR="004B2C99" w:rsidRDefault="00BB61FE">
      <w:pPr>
        <w:pStyle w:val="FootnoteText"/>
        <w:jc w:val="both"/>
      </w:pPr>
      <w:r>
        <w:rPr>
          <w:rStyle w:val="FootnoteReference"/>
        </w:rPr>
        <w:footnoteRef/>
      </w:r>
      <w:r>
        <w:t xml:space="preserve"> Les causes d’interopérabilité sont mentionnées dans le texte principal de la Communication. Il n’existe pas de correspondance univoque entre les domaines d'action et les causes sous-jacentes; les causes sont cependant toutes traitées par l’une ou plusieur</w:t>
      </w:r>
      <w:r>
        <w:t xml:space="preserve">s des actions proposées.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2E" w:rsidRDefault="00A65B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2E" w:rsidRDefault="00A6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2E" w:rsidRDefault="00A65B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C99" w:rsidRDefault="004B2C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C99" w:rsidRDefault="004B2C9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C99" w:rsidRDefault="004B2C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2548D4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DAA80E4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D19498AA"/>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6B40EB36"/>
    <w:name w:val="0,503835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2D315A89"/>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9">
    <w:nsid w:val="417A14E6"/>
    <w:multiLevelType w:val="hybridMultilevel"/>
    <w:tmpl w:val="D2C45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04936E5"/>
    <w:multiLevelType w:val="multilevel"/>
    <w:tmpl w:val="9F9A5336"/>
    <w:numStyleLink w:val="NumbLstBTBullet"/>
  </w:abstractNum>
  <w:abstractNum w:abstractNumId="14">
    <w:nsid w:val="512C4D21"/>
    <w:multiLevelType w:val="hybridMultilevel"/>
    <w:tmpl w:val="587CEBC2"/>
    <w:lvl w:ilvl="0" w:tplc="223E3058">
      <w:start w:val="1"/>
      <w:numFmt w:val="decimal"/>
      <w:lvlText w:val="%1."/>
      <w:lvlJc w:val="left"/>
      <w:pPr>
        <w:ind w:left="4079" w:hanging="360"/>
      </w:pPr>
      <w:rPr>
        <w:rFonts w:ascii="Times New Roman" w:hAnsi="Times New Roman" w:cs="Times New Roman" w:hint="default"/>
      </w:rPr>
    </w:lvl>
    <w:lvl w:ilvl="1" w:tplc="08090019" w:tentative="1">
      <w:start w:val="1"/>
      <w:numFmt w:val="lowerLetter"/>
      <w:lvlText w:val="%2."/>
      <w:lvlJc w:val="left"/>
      <w:pPr>
        <w:ind w:left="4799" w:hanging="360"/>
      </w:pPr>
    </w:lvl>
    <w:lvl w:ilvl="2" w:tplc="0809001B" w:tentative="1">
      <w:start w:val="1"/>
      <w:numFmt w:val="lowerRoman"/>
      <w:lvlText w:val="%3."/>
      <w:lvlJc w:val="right"/>
      <w:pPr>
        <w:ind w:left="5519" w:hanging="180"/>
      </w:pPr>
    </w:lvl>
    <w:lvl w:ilvl="3" w:tplc="0809000F" w:tentative="1">
      <w:start w:val="1"/>
      <w:numFmt w:val="decimal"/>
      <w:lvlText w:val="%4."/>
      <w:lvlJc w:val="left"/>
      <w:pPr>
        <w:ind w:left="6239" w:hanging="360"/>
      </w:pPr>
    </w:lvl>
    <w:lvl w:ilvl="4" w:tplc="08090019" w:tentative="1">
      <w:start w:val="1"/>
      <w:numFmt w:val="lowerLetter"/>
      <w:lvlText w:val="%5."/>
      <w:lvlJc w:val="left"/>
      <w:pPr>
        <w:ind w:left="6959" w:hanging="360"/>
      </w:pPr>
    </w:lvl>
    <w:lvl w:ilvl="5" w:tplc="0809001B" w:tentative="1">
      <w:start w:val="1"/>
      <w:numFmt w:val="lowerRoman"/>
      <w:lvlText w:val="%6."/>
      <w:lvlJc w:val="right"/>
      <w:pPr>
        <w:ind w:left="7679" w:hanging="180"/>
      </w:pPr>
    </w:lvl>
    <w:lvl w:ilvl="6" w:tplc="0809000F" w:tentative="1">
      <w:start w:val="1"/>
      <w:numFmt w:val="decimal"/>
      <w:lvlText w:val="%7."/>
      <w:lvlJc w:val="left"/>
      <w:pPr>
        <w:ind w:left="8399" w:hanging="360"/>
      </w:pPr>
    </w:lvl>
    <w:lvl w:ilvl="7" w:tplc="08090019" w:tentative="1">
      <w:start w:val="1"/>
      <w:numFmt w:val="lowerLetter"/>
      <w:lvlText w:val="%8."/>
      <w:lvlJc w:val="left"/>
      <w:pPr>
        <w:ind w:left="9119" w:hanging="360"/>
      </w:pPr>
    </w:lvl>
    <w:lvl w:ilvl="8" w:tplc="0809001B" w:tentative="1">
      <w:start w:val="1"/>
      <w:numFmt w:val="lowerRoman"/>
      <w:lvlText w:val="%9."/>
      <w:lvlJc w:val="right"/>
      <w:pPr>
        <w:ind w:left="9839" w:hanging="180"/>
      </w:p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992"/>
        </w:tabs>
        <w:ind w:left="992" w:hanging="850"/>
      </w:pPr>
    </w:lvl>
  </w:abstractNum>
  <w:abstractNum w:abstractNumId="19">
    <w:nsid w:val="65DA35C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0"/>
  </w:num>
  <w:num w:numId="3">
    <w:abstractNumId w:val="20"/>
  </w:num>
  <w:num w:numId="4">
    <w:abstractNumId w:val="7"/>
  </w:num>
  <w:num w:numId="5">
    <w:abstractNumId w:val="11"/>
  </w:num>
  <w:num w:numId="6">
    <w:abstractNumId w:val="5"/>
  </w:num>
  <w:num w:numId="7">
    <w:abstractNumId w:val="4"/>
  </w:num>
  <w:num w:numId="8">
    <w:abstractNumId w:val="12"/>
  </w:num>
  <w:num w:numId="9">
    <w:abstractNumId w:val="16"/>
  </w:num>
  <w:num w:numId="10">
    <w:abstractNumId w:val="17"/>
  </w:num>
  <w:num w:numId="11">
    <w:abstractNumId w:val="6"/>
  </w:num>
  <w:num w:numId="12">
    <w:abstractNumId w:val="15"/>
  </w:num>
  <w:num w:numId="13">
    <w:abstractNumId w:val="21"/>
  </w:num>
  <w:num w:numId="14">
    <w:abstractNumId w:val="3"/>
  </w:num>
  <w:num w:numId="15">
    <w:abstractNumId w:val="2"/>
  </w:num>
  <w:num w:numId="16">
    <w:abstractNumId w:val="1"/>
  </w:num>
  <w:num w:numId="17">
    <w:abstractNumId w:val="0"/>
  </w:num>
  <w:num w:numId="18">
    <w:abstractNumId w:val="8"/>
  </w:num>
  <w:num w:numId="19">
    <w:abstractNumId w:val="13"/>
    <w:lvlOverride w:ilvl="0">
      <w:lvl w:ilvl="0">
        <w:start w:val="1"/>
        <w:numFmt w:val="bullet"/>
        <w:pStyle w:val="BTBullet1"/>
        <w:lvlText w:val="■"/>
        <w:lvlJc w:val="left"/>
        <w:pPr>
          <w:tabs>
            <w:tab w:val="num" w:pos="1191"/>
          </w:tabs>
          <w:ind w:left="1191" w:hanging="340"/>
        </w:pPr>
        <w:rPr>
          <w:rFonts w:ascii="Arial" w:hAnsi="Arial" w:hint="default"/>
          <w:color w:val="0067AC"/>
          <w:sz w:val="14"/>
        </w:rPr>
      </w:lvl>
    </w:lvlOverride>
  </w:num>
  <w:num w:numId="20">
    <w:abstractNumId w:val="14"/>
  </w:num>
  <w:num w:numId="21">
    <w:abstractNumId w:val="19"/>
  </w:num>
  <w:num w:numId="22">
    <w:abstractNumId w:val="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COVERPAGE_EXISTS" w:val="True"/>
    <w:docVar w:name="DocStatus" w:val="Green"/>
    <w:docVar w:name="LW_ACCOMPAGNANT.CP" w:val="&lt;UNUSED&gt;"/>
    <w:docVar w:name="LW_ANNEX_NBR_FIRST" w:val="1"/>
    <w:docVar w:name="LW_ANNEX_NBR_LAST" w:val="1"/>
    <w:docVar w:name="LW_CONFIDENCE" w:val=" "/>
    <w:docVar w:name="LW_CONST_RESTREINT_UE" w:val="RESTREINT UE"/>
    <w:docVar w:name="LW_CORRIGENDUM" w:val="&lt;UNUSED&gt;"/>
    <w:docVar w:name="LW_COVERPAGE_GUID" w:val="17378278F98640D7900295A4E360AD1C"/>
    <w:docVar w:name="LW_CROSSREFERENCE" w:val="{SWD(2017) 112 final}_x000b_{SWD(2017) 113 final}"/>
    <w:docVar w:name="LW_DocType" w:val="NORMAL"/>
    <w:docVar w:name="LW_EMISSION" w:val="23.3.2017"/>
    <w:docVar w:name="LW_EMISSION_ISODATE" w:val="2017-03-23"/>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Cadre d\u8217?interopérabilité européen\u8211? Stratégie de mise en oeuvre_x000b__x000b_Plan d\u8217?action pour l\u8217?interopérabilité"/>
    <w:docVar w:name="LW_PART_NBR" w:val="1"/>
    <w:docVar w:name="LW_PART_NBR_TOTAL" w:val="1"/>
    <w:docVar w:name="LW_REF.INST.NEW" w:val="COM"/>
    <w:docVar w:name="LW_REF.INST.NEW_ADOPTED" w:val="final"/>
    <w:docVar w:name="LW_REF.INST.NEW_TEXT" w:val="(2017) 134"/>
    <w:docVar w:name="LW_REF.INTERNE" w:val="&lt;UNUSED&gt;"/>
    <w:docVar w:name="LW_SUPERTITRE" w:val="&lt;UNUSED&gt;"/>
    <w:docVar w:name="LW_TITRE.OBJ.CP" w:val="de la_x000b_COMMUNICATION DE LA COMMISSION AU PARLEMENT EUROPÉEN, AU CONSEIL, AU COMITÉ ÉCONOMIQUE ET SOCIAL EUROPÉEN ET AU COMITÉ DES RÉGIONS"/>
    <w:docVar w:name="LW_TYPE.DOC.CP" w:val="ANNEXE_x000b_"/>
    <w:docVar w:name="LW_TYPEACTEPRINCIPAL.CP" w:val="&lt;UNUSED&gt;"/>
  </w:docVars>
  <w:rsids>
    <w:rsidRoot w:val="004B2C99"/>
    <w:rsid w:val="004B2C99"/>
    <w:rsid w:val="00A65B2E"/>
    <w:rsid w:val="00BB6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endnote reference" w:uiPriority="0"/>
    <w:lsdException w:name="List Bullet" w:uiPriority="0"/>
    <w:lsdException w:name="List Bullet 2" w:uiPriority="0"/>
    <w:lsdException w:name="List Bullet 3" w:uiPriority="29"/>
    <w:lsdException w:name="List Bullet 4"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1"/>
      </w:numPr>
      <w:spacing w:before="360" w:after="24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autoRedefine/>
    <w:uiPriority w:val="9"/>
    <w:qFormat/>
    <w:pPr>
      <w:keepNext/>
      <w:numPr>
        <w:ilvl w:val="1"/>
        <w:numId w:val="21"/>
      </w:numPr>
      <w:spacing w:before="240" w:after="24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21"/>
      </w:numPr>
      <w:spacing w:before="120" w:after="120" w:line="240" w:lineRule="auto"/>
      <w:jc w:val="both"/>
      <w:outlineLvl w:val="2"/>
    </w:pPr>
    <w:rPr>
      <w:rFonts w:ascii="Times New Roman" w:eastAsia="Times New Roman" w:hAnsi="Times New Roman" w:cs="Times New Roman"/>
      <w:b/>
      <w:bCs/>
      <w:sz w:val="24"/>
      <w:szCs w:val="26"/>
    </w:rPr>
  </w:style>
  <w:style w:type="paragraph" w:styleId="Heading4">
    <w:name w:val="heading 4"/>
    <w:basedOn w:val="Normal"/>
    <w:next w:val="Text1"/>
    <w:link w:val="Heading4Char"/>
    <w:qFormat/>
    <w:pPr>
      <w:keepNext/>
      <w:numPr>
        <w:ilvl w:val="3"/>
        <w:numId w:val="21"/>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uiPriority w:val="9"/>
    <w:semiHidden/>
    <w:unhideWhenUsed/>
    <w:qFormat/>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fr-FR"/>
    </w:rPr>
  </w:style>
  <w:style w:type="paragraph" w:styleId="FootnoteText">
    <w:name w:val="footnote text"/>
    <w:basedOn w:val="Normal"/>
    <w:uiPriority w:val="99"/>
    <w:qFormat/>
    <w:pPr>
      <w:tabs>
        <w:tab w:val="left" w:pos="0"/>
      </w:tabs>
      <w:spacing w:after="0" w:line="240" w:lineRule="auto"/>
    </w:pPr>
    <w:rPr>
      <w:rFonts w:ascii="Times New Roman" w:eastAsia="Times New Roman" w:hAnsi="Times New Roman" w:cs="Times New Roman"/>
      <w:sz w:val="16"/>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uiPriority w:val="99"/>
    <w:rPr>
      <w:rFonts w:ascii="Times New Roman" w:eastAsia="Times New Roman" w:hAnsi="Times New Roman" w:cs="Times New Roman"/>
      <w:sz w:val="16"/>
      <w:szCs w:val="20"/>
      <w:lang w:val="fr-FR"/>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noProof/>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BVI f"/>
    <w:link w:val="FootnotesymbolCarZchn"/>
    <w:uiPriority w:val="99"/>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uiPriority w:val="29"/>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b/>
      <w:bCs/>
      <w:sz w:val="24"/>
      <w:szCs w:val="24"/>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rPr>
  </w:style>
  <w:style w:type="paragraph" w:styleId="BalloonText">
    <w:name w:val="Balloon Text"/>
    <w:basedOn w:val="Normal"/>
    <w:link w:val="BalloonTextChar"/>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lang w:val="fr-FR"/>
    </w:rPr>
  </w:style>
  <w:style w:type="paragraph" w:customStyle="1" w:styleId="Headinsh2">
    <w:name w:val="Headinsh 2"/>
    <w:basedOn w:val="Text1"/>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pPr>
      <w:spacing w:before="120" w:after="120" w:line="240" w:lineRule="auto"/>
      <w:ind w:left="708"/>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line="240" w:lineRule="auto"/>
      <w:jc w:val="both"/>
    </w:pPr>
    <w:rPr>
      <w:rFonts w:ascii="Times New Roman" w:eastAsia="Times New Roman" w:hAnsi="Times New Roman" w:cs="Times New Roman"/>
      <w:b/>
      <w:sz w:val="24"/>
      <w:szCs w:val="24"/>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paragraph" w:styleId="EndnoteText">
    <w:name w:val="endnote text"/>
    <w:basedOn w:val="Normal"/>
    <w:link w:val="EndnoteTextChar1"/>
    <w:uiPriority w:val="99"/>
    <w:unhideWhenUsed/>
    <w:pPr>
      <w:spacing w:after="0" w:line="240" w:lineRule="auto"/>
      <w:jc w:val="both"/>
    </w:pPr>
    <w:rPr>
      <w:rFonts w:ascii="Times New Roman" w:eastAsia="Calibri" w:hAnsi="Times New Roman" w:cs="Times New Roman"/>
      <w:sz w:val="20"/>
      <w:szCs w:val="20"/>
    </w:rPr>
  </w:style>
  <w:style w:type="character" w:customStyle="1" w:styleId="EndnoteTextChar">
    <w:name w:val="Endnote Text Char"/>
    <w:basedOn w:val="DefaultParagraphFont"/>
    <w:rPr>
      <w:sz w:val="20"/>
      <w:szCs w:val="20"/>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rFonts w:ascii="Times New Roman" w:eastAsia="Calibri" w:hAnsi="Times New Roman" w:cs="Times New Roman"/>
      <w:sz w:val="20"/>
      <w:szCs w:val="20"/>
      <w:lang w:val="fr-FR" w:eastAsia="fr-FR"/>
    </w:rPr>
  </w:style>
  <w:style w:type="paragraph" w:customStyle="1" w:styleId="Heaing2">
    <w:name w:val="Heaing 2"/>
    <w:basedOn w:val="Heading3"/>
    <w:rPr>
      <w:b w:val="0"/>
      <w:i/>
    </w:rPr>
  </w:style>
  <w:style w:type="paragraph" w:customStyle="1" w:styleId="Headung3">
    <w:name w:val="Headung 3"/>
    <w:basedOn w:val="Normal"/>
    <w:rPr>
      <w:rFonts w:ascii="Times New Roman" w:eastAsia="Calibri" w:hAnsi="Times New Roman" w:cs="Times New Roman"/>
      <w:color w:val="000000"/>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customStyle="1" w:styleId="BTBullet1">
    <w:name w:val="BTBullet1"/>
    <w:basedOn w:val="Normal"/>
    <w:uiPriority w:val="6"/>
    <w:qFormat/>
    <w:pPr>
      <w:numPr>
        <w:numId w:val="19"/>
      </w:numPr>
      <w:spacing w:after="0" w:line="240" w:lineRule="atLeast"/>
    </w:pPr>
    <w:rPr>
      <w:rFonts w:ascii="Arial" w:eastAsia="Calibri" w:hAnsi="Arial" w:cs="Times New Roman"/>
      <w:sz w:val="20"/>
      <w:szCs w:val="24"/>
    </w:rPr>
  </w:style>
  <w:style w:type="paragraph" w:customStyle="1" w:styleId="BTBullet2">
    <w:name w:val="BTBullet2"/>
    <w:basedOn w:val="Normal"/>
    <w:uiPriority w:val="6"/>
    <w:qFormat/>
    <w:pPr>
      <w:numPr>
        <w:ilvl w:val="1"/>
        <w:numId w:val="19"/>
      </w:numPr>
      <w:spacing w:after="0" w:line="240" w:lineRule="atLeast"/>
    </w:pPr>
    <w:rPr>
      <w:rFonts w:ascii="Arial" w:eastAsia="Calibri" w:hAnsi="Arial" w:cs="Times New Roman"/>
      <w:sz w:val="20"/>
      <w:szCs w:val="24"/>
    </w:rPr>
  </w:style>
  <w:style w:type="paragraph" w:customStyle="1" w:styleId="BTBullet3">
    <w:name w:val="BTBullet3"/>
    <w:basedOn w:val="Normal"/>
    <w:uiPriority w:val="6"/>
    <w:qFormat/>
    <w:pPr>
      <w:numPr>
        <w:ilvl w:val="2"/>
        <w:numId w:val="19"/>
      </w:numPr>
      <w:spacing w:after="0" w:line="240" w:lineRule="atLeast"/>
    </w:pPr>
    <w:rPr>
      <w:rFonts w:ascii="Arial" w:eastAsia="Calibri" w:hAnsi="Arial" w:cs="Times New Roman"/>
      <w:sz w:val="20"/>
      <w:szCs w:val="24"/>
    </w:rPr>
  </w:style>
  <w:style w:type="numbering" w:customStyle="1" w:styleId="NumbLstBTBullet">
    <w:name w:val="NumbLstBTBullet"/>
    <w:uiPriority w:val="99"/>
    <w:pPr>
      <w:numPr>
        <w:numId w:val="18"/>
      </w:numPr>
    </w:p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Pr>
      <w:vertAlign w:val="superscript"/>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iPriority w:val="35"/>
    <w:unhideWhenUsed/>
    <w:qFormat/>
    <w:pPr>
      <w:keepNext/>
      <w:keepLines/>
      <w:widowControl w:val="0"/>
      <w:spacing w:before="240" w:after="120" w:line="360" w:lineRule="auto"/>
      <w:contextualSpacing/>
      <w:jc w:val="center"/>
    </w:pPr>
    <w:rPr>
      <w:rFonts w:eastAsia="Times New Roman" w:cstheme="minorHAnsi"/>
      <w:b/>
      <w:bCs/>
      <w:color w:val="002060"/>
      <w:sz w:val="18"/>
      <w:szCs w:val="18"/>
    </w:rPr>
  </w:style>
  <w:style w:type="table" w:customStyle="1" w:styleId="EuropeanCommissionstyle">
    <w:name w:val="European Commission style"/>
    <w:basedOn w:val="TableNormal"/>
    <w:uiPriority w:val="99"/>
    <w:pPr>
      <w:spacing w:after="0" w:line="240" w:lineRule="auto"/>
    </w:pPr>
    <w:rPr>
      <w:rFonts w:ascii="Verdana" w:eastAsia="Times New Roman" w:hAnsi="Verdana" w:cs="Times New Roman"/>
      <w:sz w:val="12"/>
      <w:szCs w:val="20"/>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DFDFDF" w:themeFill="background1" w:themeFillShade="F2"/>
    </w:tcPr>
    <w:tblStylePr w:type="firstRow">
      <w:rPr>
        <w:rFonts w:ascii="Verdana" w:hAnsi="Verdana"/>
        <w:b/>
        <w:color w:val="EBEBEB"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uiPriority w:val="35"/>
    <w:locked/>
    <w:rPr>
      <w:rFonts w:eastAsia="Times New Roman" w:cstheme="minorHAnsi"/>
      <w:b/>
      <w:bCs/>
      <w:color w:val="002060"/>
      <w:sz w:val="18"/>
      <w:szCs w:val="18"/>
      <w:lang w:eastAsia="fr-FR"/>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MAINPARAGRAPH">
    <w:name w:val="MAIN PARAGRAPH"/>
    <w:basedOn w:val="Normal"/>
    <w:link w:val="MAINPARAGRAPHChar"/>
    <w:qFormat/>
    <w:pPr>
      <w:spacing w:before="120" w:after="120" w:line="360" w:lineRule="auto"/>
      <w:jc w:val="both"/>
    </w:pPr>
    <w:rPr>
      <w:rFonts w:ascii="Arial" w:eastAsia="Times New Roman" w:hAnsi="Arial" w:cs="Times New Roman"/>
      <w:color w:val="000000" w:themeColor="text1"/>
      <w:sz w:val="19"/>
      <w:szCs w:val="19"/>
    </w:rPr>
  </w:style>
  <w:style w:type="character" w:customStyle="1" w:styleId="MAINPARAGRAPHChar">
    <w:name w:val="MAIN PARAGRAPH Char"/>
    <w:basedOn w:val="DefaultParagraphFont"/>
    <w:link w:val="MAINPARAGRAPH"/>
    <w:rPr>
      <w:rFonts w:ascii="Arial" w:eastAsia="Times New Roman" w:hAnsi="Arial" w:cs="Times New Roman"/>
      <w:color w:val="000000" w:themeColor="text1"/>
      <w:sz w:val="19"/>
      <w:szCs w:val="19"/>
      <w:lang w:eastAsia="fr-FR"/>
    </w:rPr>
  </w:style>
  <w:style w:type="character" w:styleId="Strong">
    <w:name w:val="Strong"/>
    <w:basedOn w:val="DefaultParagraphFont"/>
    <w:uiPriority w:val="22"/>
    <w:qFormat/>
    <w:rPr>
      <w:rFonts w:ascii="Times New Roman" w:hAnsi="Times New Roman" w:cs="Times New Roman" w:hint="default"/>
      <w:b/>
      <w:bCs/>
    </w:rPr>
  </w:style>
  <w:style w:type="table" w:styleId="LightShading-Accent5">
    <w:name w:val="Light Shading Accent 5"/>
    <w:basedOn w:val="TableNormal"/>
    <w:uiPriority w:val="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after="0" w:line="0" w:lineRule="atLeast"/>
    </w:pPr>
  </w:style>
  <w:style w:type="table" w:customStyle="1" w:styleId="LightShading-Accent51">
    <w:name w:val="Light Shading - Accent 51"/>
    <w:basedOn w:val="TableNormal"/>
    <w:next w:val="LightShading-Accent5"/>
    <w:uiPriority w:val="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4">
    <w:name w:val="Table Grid4"/>
    <w:basedOn w:val="TableNormal"/>
    <w:next w:val="TableGrid"/>
    <w:uiPriority w:val="5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paragraph" w:styleId="Subtitle">
    <w:name w:val="Subtitle"/>
    <w:basedOn w:val="Normal"/>
    <w:next w:val="Normal"/>
    <w:link w:val="SubtitleChar"/>
    <w:qFormat/>
    <w:pPr>
      <w:numPr>
        <w:ilvl w:val="1"/>
      </w:numPr>
      <w:spacing w:before="120" w:after="160" w:line="240" w:lineRule="auto"/>
      <w:jc w:val="both"/>
    </w:pPr>
    <w:rPr>
      <w:rFonts w:eastAsiaTheme="minorEastAsia"/>
      <w:color w:val="5A5A5A" w:themeColor="text1" w:themeTint="A5"/>
      <w:spacing w:val="15"/>
    </w:rPr>
  </w:style>
  <w:style w:type="character" w:customStyle="1" w:styleId="SubtitleChar">
    <w:name w:val="Subtitle Char"/>
    <w:basedOn w:val="DefaultParagraphFont"/>
    <w:link w:val="Subtitle"/>
    <w:rPr>
      <w:rFonts w:eastAsiaTheme="minorEastAsia"/>
      <w:color w:val="5A5A5A" w:themeColor="text1" w:themeTint="A5"/>
      <w:spacing w:val="15"/>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IntenseEmphasis">
    <w:name w:val="Intense Emphasis"/>
    <w:basedOn w:val="DefaultParagraphFont"/>
    <w:uiPriority w:val="21"/>
    <w:qFormat/>
    <w:rPr>
      <w:i/>
      <w:iCs/>
      <w:color w:val="4F81BD" w:themeColor="accent1"/>
    </w:rPr>
  </w:style>
  <w:style w:type="paragraph" w:styleId="TableofFigures">
    <w:name w:val="table of figures"/>
    <w:basedOn w:val="Normal"/>
    <w:next w:val="Normal"/>
    <w:uiPriority w:val="99"/>
    <w:unhideWhenUsed/>
    <w:pPr>
      <w:spacing w:after="0"/>
    </w:pPr>
  </w:style>
  <w:style w:type="table" w:customStyle="1" w:styleId="EuropeanCommissionstyle1">
    <w:name w:val="European Commission style1"/>
    <w:basedOn w:val="TableNormal"/>
    <w:uiPriority w:val="99"/>
    <w:pPr>
      <w:spacing w:after="0" w:line="240" w:lineRule="auto"/>
    </w:pPr>
    <w:rPr>
      <w:rFonts w:ascii="Verdana" w:eastAsia="Times New Roman" w:hAnsi="Verdana" w:cs="Times New Roman"/>
      <w:sz w:val="12"/>
      <w:szCs w:val="20"/>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cPr>
    <w:tblStylePr w:type="firstRow">
      <w:rPr>
        <w:rFonts w:ascii="Times" w:hAnsi="Times"/>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endnote reference" w:uiPriority="0"/>
    <w:lsdException w:name="List Bullet" w:uiPriority="0"/>
    <w:lsdException w:name="List Bullet 2" w:uiPriority="0"/>
    <w:lsdException w:name="List Bullet 3" w:uiPriority="29"/>
    <w:lsdException w:name="List Bullet 4"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rsid w:val="00832841"/>
    <w:pPr>
      <w:keepNext/>
      <w:numPr>
        <w:numId w:val="21"/>
      </w:numPr>
      <w:spacing w:before="360" w:after="24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autoRedefine/>
    <w:uiPriority w:val="9"/>
    <w:qFormat/>
    <w:rsid w:val="00ED2C58"/>
    <w:pPr>
      <w:keepNext/>
      <w:numPr>
        <w:ilvl w:val="1"/>
        <w:numId w:val="21"/>
      </w:numPr>
      <w:spacing w:before="240" w:after="24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rsid w:val="00264150"/>
    <w:pPr>
      <w:keepNext/>
      <w:numPr>
        <w:ilvl w:val="2"/>
        <w:numId w:val="21"/>
      </w:numPr>
      <w:spacing w:before="120" w:after="120" w:line="240" w:lineRule="auto"/>
      <w:jc w:val="both"/>
      <w:outlineLvl w:val="2"/>
    </w:pPr>
    <w:rPr>
      <w:rFonts w:ascii="Times New Roman" w:eastAsia="Times New Roman" w:hAnsi="Times New Roman" w:cs="Times New Roman"/>
      <w:b/>
      <w:bCs/>
      <w:sz w:val="24"/>
      <w:szCs w:val="26"/>
    </w:rPr>
  </w:style>
  <w:style w:type="paragraph" w:styleId="Heading4">
    <w:name w:val="heading 4"/>
    <w:basedOn w:val="Normal"/>
    <w:next w:val="Text1"/>
    <w:link w:val="Heading4Char"/>
    <w:qFormat/>
    <w:rsid w:val="00264150"/>
    <w:pPr>
      <w:keepNext/>
      <w:numPr>
        <w:ilvl w:val="3"/>
        <w:numId w:val="21"/>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uiPriority w:val="9"/>
    <w:semiHidden/>
    <w:unhideWhenUsed/>
    <w:qFormat/>
    <w:rsid w:val="00832841"/>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2841"/>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2841"/>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2841"/>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32841"/>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DD50A6"/>
    <w:rPr>
      <w:color w:val="0000FF"/>
      <w:shd w:val="clear" w:color="auto" w:fill="auto"/>
    </w:rPr>
  </w:style>
  <w:style w:type="paragraph" w:customStyle="1" w:styleId="Pagedecouverture">
    <w:name w:val="Page de couverture"/>
    <w:basedOn w:val="Normal"/>
    <w:next w:val="Normal"/>
    <w:rsid w:val="00DD50A6"/>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DD50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50A6"/>
  </w:style>
  <w:style w:type="paragraph" w:styleId="Footer">
    <w:name w:val="footer"/>
    <w:basedOn w:val="Normal"/>
    <w:link w:val="FooterChar"/>
    <w:uiPriority w:val="99"/>
    <w:unhideWhenUsed/>
    <w:rsid w:val="00DD50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50A6"/>
  </w:style>
  <w:style w:type="paragraph" w:customStyle="1" w:styleId="FooterCoverPage">
    <w:name w:val="Footer Cover Page"/>
    <w:basedOn w:val="Normal"/>
    <w:link w:val="FooterCoverPageChar"/>
    <w:rsid w:val="00DD50A6"/>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DD50A6"/>
    <w:rPr>
      <w:rFonts w:ascii="Times New Roman" w:hAnsi="Times New Roman" w:cs="Times New Roman"/>
      <w:sz w:val="24"/>
    </w:rPr>
  </w:style>
  <w:style w:type="paragraph" w:customStyle="1" w:styleId="HeaderCoverPage">
    <w:name w:val="Header Cover Page"/>
    <w:basedOn w:val="Normal"/>
    <w:link w:val="HeaderCoverPageChar"/>
    <w:rsid w:val="00DD50A6"/>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DD50A6"/>
    <w:rPr>
      <w:rFonts w:ascii="Times New Roman" w:hAnsi="Times New Roman" w:cs="Times New Roman"/>
      <w:sz w:val="24"/>
    </w:rPr>
  </w:style>
  <w:style w:type="character" w:customStyle="1" w:styleId="Heading1Char">
    <w:name w:val="Heading 1 Char"/>
    <w:basedOn w:val="DefaultParagraphFont"/>
    <w:link w:val="Heading1"/>
    <w:rsid w:val="0083284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sid w:val="00ED2C58"/>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sid w:val="00264150"/>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sid w:val="00264150"/>
    <w:rPr>
      <w:rFonts w:ascii="Times New Roman" w:eastAsia="Times New Roman" w:hAnsi="Times New Roman" w:cs="Times New Roman"/>
      <w:bCs/>
      <w:sz w:val="24"/>
      <w:szCs w:val="28"/>
      <w:lang w:val="fr-FR"/>
    </w:rPr>
  </w:style>
  <w:style w:type="paragraph" w:styleId="FootnoteText">
    <w:name w:val="footnote text"/>
    <w:basedOn w:val="Normal"/>
    <w:uiPriority w:val="99"/>
    <w:qFormat/>
    <w:rsid w:val="00264150"/>
    <w:pPr>
      <w:tabs>
        <w:tab w:val="left" w:pos="0"/>
      </w:tabs>
      <w:spacing w:after="0" w:line="240" w:lineRule="auto"/>
    </w:pPr>
    <w:rPr>
      <w:rFonts w:ascii="Times New Roman" w:eastAsia="Times New Roman" w:hAnsi="Times New Roman" w:cs="Times New Roman"/>
      <w:sz w:val="16"/>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uiPriority w:val="99"/>
    <w:rsid w:val="00264150"/>
    <w:rPr>
      <w:rFonts w:ascii="Times New Roman" w:eastAsia="Times New Roman" w:hAnsi="Times New Roman" w:cs="Times New Roman"/>
      <w:sz w:val="16"/>
      <w:szCs w:val="20"/>
      <w:lang w:val="fr-FR"/>
    </w:rPr>
  </w:style>
  <w:style w:type="paragraph" w:styleId="TOC1">
    <w:name w:val="toc 1"/>
    <w:basedOn w:val="Normal"/>
    <w:next w:val="Normal"/>
    <w:uiPriority w:val="39"/>
    <w:qFormat/>
    <w:rsid w:val="00264150"/>
    <w:pPr>
      <w:tabs>
        <w:tab w:val="right" w:leader="dot" w:pos="9071"/>
      </w:tabs>
      <w:spacing w:before="60" w:after="120" w:line="240" w:lineRule="auto"/>
      <w:ind w:left="850" w:hanging="850"/>
    </w:pPr>
    <w:rPr>
      <w:rFonts w:ascii="Times New Roman" w:eastAsia="Times New Roman" w:hAnsi="Times New Roman" w:cs="Times New Roman"/>
      <w:noProof/>
      <w:sz w:val="24"/>
      <w:szCs w:val="24"/>
    </w:rPr>
  </w:style>
  <w:style w:type="paragraph" w:styleId="TOC2">
    <w:name w:val="toc 2"/>
    <w:basedOn w:val="Normal"/>
    <w:next w:val="Normal"/>
    <w:uiPriority w:val="39"/>
    <w:qFormat/>
    <w:rsid w:val="00264150"/>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rsid w:val="00264150"/>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rsid w:val="00264150"/>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rsid w:val="00264150"/>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rsid w:val="00264150"/>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rsid w:val="00264150"/>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rsid w:val="00264150"/>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rsid w:val="00264150"/>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rsid w:val="00264150"/>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rsid w:val="00264150"/>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BVI f"/>
    <w:link w:val="FootnotesymbolCarZchn"/>
    <w:uiPriority w:val="99"/>
    <w:qFormat/>
    <w:rsid w:val="00264150"/>
    <w:rPr>
      <w:vertAlign w:val="superscript"/>
    </w:rPr>
  </w:style>
  <w:style w:type="paragraph" w:customStyle="1" w:styleId="Text1">
    <w:name w:val="Text 1"/>
    <w:basedOn w:val="Normal"/>
    <w:rsid w:val="00264150"/>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rsid w:val="00264150"/>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rsid w:val="00264150"/>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rsid w:val="00264150"/>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rsid w:val="00264150"/>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rsid w:val="00264150"/>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rsid w:val="00264150"/>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rsid w:val="00264150"/>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rsid w:val="00264150"/>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rsid w:val="00264150"/>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rsid w:val="00264150"/>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rsid w:val="00264150"/>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rsid w:val="00264150"/>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rsid w:val="00264150"/>
    <w:pPr>
      <w:numPr>
        <w:numId w:val="1"/>
      </w:numPr>
    </w:pPr>
  </w:style>
  <w:style w:type="paragraph" w:customStyle="1" w:styleId="Tiret1">
    <w:name w:val="Tiret 1"/>
    <w:basedOn w:val="Point1"/>
    <w:rsid w:val="00264150"/>
    <w:pPr>
      <w:numPr>
        <w:numId w:val="2"/>
      </w:numPr>
    </w:pPr>
  </w:style>
  <w:style w:type="paragraph" w:customStyle="1" w:styleId="Tiret2">
    <w:name w:val="Tiret 2"/>
    <w:basedOn w:val="Point2"/>
    <w:rsid w:val="00264150"/>
    <w:pPr>
      <w:numPr>
        <w:numId w:val="3"/>
      </w:numPr>
    </w:pPr>
  </w:style>
  <w:style w:type="paragraph" w:customStyle="1" w:styleId="Tiret3">
    <w:name w:val="Tiret 3"/>
    <w:basedOn w:val="Point3"/>
    <w:rsid w:val="00264150"/>
    <w:pPr>
      <w:numPr>
        <w:numId w:val="4"/>
      </w:numPr>
    </w:pPr>
  </w:style>
  <w:style w:type="paragraph" w:customStyle="1" w:styleId="Tiret4">
    <w:name w:val="Tiret 4"/>
    <w:basedOn w:val="Point4"/>
    <w:rsid w:val="00264150"/>
    <w:pPr>
      <w:numPr>
        <w:numId w:val="5"/>
      </w:numPr>
    </w:pPr>
  </w:style>
  <w:style w:type="paragraph" w:customStyle="1" w:styleId="PointDouble0">
    <w:name w:val="PointDouble 0"/>
    <w:basedOn w:val="Normal"/>
    <w:rsid w:val="00264150"/>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rsid w:val="00264150"/>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rsid w:val="00264150"/>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rsid w:val="00264150"/>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rsid w:val="00264150"/>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rsid w:val="00264150"/>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rsid w:val="00264150"/>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rsid w:val="00264150"/>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rsid w:val="00264150"/>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rsid w:val="00264150"/>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rsid w:val="00264150"/>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rsid w:val="00264150"/>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rsid w:val="00264150"/>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rsid w:val="00264150"/>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rsid w:val="00264150"/>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rsid w:val="00264150"/>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rsid w:val="00264150"/>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rsid w:val="00264150"/>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rsid w:val="00264150"/>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rsid w:val="00264150"/>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rsid w:val="00264150"/>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rsid w:val="00264150"/>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rsid w:val="00264150"/>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rsid w:val="00264150"/>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rsid w:val="00264150"/>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rsid w:val="00264150"/>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rsid w:val="00264150"/>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sid w:val="00264150"/>
    <w:rPr>
      <w:color w:val="008000"/>
      <w:shd w:val="clear" w:color="auto" w:fill="auto"/>
    </w:rPr>
  </w:style>
  <w:style w:type="character" w:customStyle="1" w:styleId="Marker2">
    <w:name w:val="Marker2"/>
    <w:rsid w:val="00264150"/>
    <w:rPr>
      <w:color w:val="FF0000"/>
      <w:shd w:val="clear" w:color="auto" w:fill="auto"/>
    </w:rPr>
  </w:style>
  <w:style w:type="paragraph" w:styleId="TOCHeading">
    <w:name w:val="TOC Heading"/>
    <w:basedOn w:val="Normal"/>
    <w:next w:val="Normal"/>
    <w:uiPriority w:val="39"/>
    <w:qFormat/>
    <w:rsid w:val="00264150"/>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rsid w:val="00264150"/>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rsid w:val="00264150"/>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rsid w:val="00264150"/>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rsid w:val="00264150"/>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rsid w:val="00264150"/>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rsid w:val="00264150"/>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rsid w:val="00264150"/>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rsid w:val="00264150"/>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rsid w:val="00264150"/>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rsid w:val="00264150"/>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rsid w:val="00264150"/>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rsid w:val="00264150"/>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rsid w:val="00264150"/>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rsid w:val="00264150"/>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rsid w:val="00264150"/>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rsid w:val="00264150"/>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rsid w:val="00264150"/>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rsid w:val="00264150"/>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rsid w:val="00264150"/>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rsid w:val="00264150"/>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rsid w:val="00264150"/>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rsid w:val="00264150"/>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rsid w:val="00264150"/>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rsid w:val="00264150"/>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rsid w:val="00264150"/>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rsid w:val="00264150"/>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rsid w:val="00264150"/>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rsid w:val="00264150"/>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rsid w:val="00264150"/>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rsid w:val="00264150"/>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rsid w:val="00264150"/>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rsid w:val="00264150"/>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rsid w:val="00264150"/>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rsid w:val="00264150"/>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rsid w:val="00264150"/>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rsid w:val="00264150"/>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rsid w:val="00264150"/>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rsid w:val="00264150"/>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rsid w:val="00264150"/>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rsid w:val="00264150"/>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rsid w:val="00264150"/>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rsid w:val="00264150"/>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sid w:val="00264150"/>
    <w:rPr>
      <w:b/>
      <w:u w:val="single"/>
      <w:shd w:val="clear" w:color="auto" w:fill="auto"/>
    </w:rPr>
  </w:style>
  <w:style w:type="character" w:customStyle="1" w:styleId="Deleted">
    <w:name w:val="Deleted"/>
    <w:rsid w:val="00264150"/>
    <w:rPr>
      <w:strike/>
      <w:shd w:val="clear" w:color="auto" w:fill="auto"/>
    </w:rPr>
  </w:style>
  <w:style w:type="paragraph" w:customStyle="1" w:styleId="Address">
    <w:name w:val="Address"/>
    <w:basedOn w:val="Normal"/>
    <w:next w:val="Normal"/>
    <w:rsid w:val="00264150"/>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rsid w:val="00264150"/>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rsid w:val="00264150"/>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rsid w:val="00264150"/>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rsid w:val="00264150"/>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rsid w:val="00264150"/>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rsid w:val="00264150"/>
  </w:style>
  <w:style w:type="paragraph" w:customStyle="1" w:styleId="RfrenceinterinstitutionnellePagedecouverture">
    <w:name w:val="Référence interinstitutionnelle (Page de couverture)"/>
    <w:basedOn w:val="Rfrenceinterinstitutionnelle"/>
    <w:next w:val="Confidentialit"/>
    <w:rsid w:val="00264150"/>
  </w:style>
  <w:style w:type="paragraph" w:customStyle="1" w:styleId="Sous-titreobjetPagedecouverture">
    <w:name w:val="Sous-titre objet (Page de couverture)"/>
    <w:basedOn w:val="Sous-titreobjet"/>
    <w:rsid w:val="00264150"/>
  </w:style>
  <w:style w:type="paragraph" w:customStyle="1" w:styleId="StatutPagedecouverture">
    <w:name w:val="Statut (Page de couverture)"/>
    <w:basedOn w:val="Statut"/>
    <w:next w:val="TypedudocumentPagedecouverture"/>
    <w:rsid w:val="00264150"/>
  </w:style>
  <w:style w:type="paragraph" w:customStyle="1" w:styleId="TitreobjetPagedecouverture">
    <w:name w:val="Titre objet (Page de couverture)"/>
    <w:basedOn w:val="Titreobjet"/>
    <w:next w:val="Sous-titreobjetPagedecouverture"/>
    <w:rsid w:val="00264150"/>
  </w:style>
  <w:style w:type="paragraph" w:customStyle="1" w:styleId="TypedudocumentPagedecouverture">
    <w:name w:val="Type du document (Page de couverture)"/>
    <w:basedOn w:val="Typedudocument"/>
    <w:next w:val="TitreobjetPagedecouverture"/>
    <w:rsid w:val="00264150"/>
  </w:style>
  <w:style w:type="paragraph" w:customStyle="1" w:styleId="Volume">
    <w:name w:val="Volume"/>
    <w:basedOn w:val="Normal"/>
    <w:next w:val="Confidentialit"/>
    <w:rsid w:val="00264150"/>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rsid w:val="00264150"/>
    <w:pPr>
      <w:spacing w:after="240"/>
    </w:pPr>
  </w:style>
  <w:style w:type="paragraph" w:customStyle="1" w:styleId="Accompagnant">
    <w:name w:val="Accompagnant"/>
    <w:basedOn w:val="Normal"/>
    <w:next w:val="Typeacteprincipal"/>
    <w:rsid w:val="00264150"/>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rsid w:val="00264150"/>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rsid w:val="00264150"/>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rsid w:val="00264150"/>
  </w:style>
  <w:style w:type="paragraph" w:customStyle="1" w:styleId="AccompagnantPagedecouverture">
    <w:name w:val="Accompagnant (Page de couverture)"/>
    <w:basedOn w:val="Accompagnant"/>
    <w:next w:val="TypeacteprincipalPagedecouverture"/>
    <w:rsid w:val="00264150"/>
  </w:style>
  <w:style w:type="paragraph" w:customStyle="1" w:styleId="TypeacteprincipalPagedecouverture">
    <w:name w:val="Type acte principal (Page de couverture)"/>
    <w:basedOn w:val="Typeacteprincipal"/>
    <w:next w:val="ObjetacteprincipalPagedecouverture"/>
    <w:rsid w:val="00264150"/>
  </w:style>
  <w:style w:type="paragraph" w:customStyle="1" w:styleId="ObjetacteprincipalPagedecouverture">
    <w:name w:val="Objet acte principal (Page de couverture)"/>
    <w:basedOn w:val="Objetacteprincipal"/>
    <w:next w:val="Rfrencecroise"/>
    <w:rsid w:val="00264150"/>
  </w:style>
  <w:style w:type="paragraph" w:customStyle="1" w:styleId="LanguesfaisantfoiPagedecouverture">
    <w:name w:val="Langues faisant foi (Page de couverture)"/>
    <w:basedOn w:val="Normal"/>
    <w:next w:val="Normal"/>
    <w:rsid w:val="00264150"/>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rsid w:val="00264150"/>
    <w:pPr>
      <w:numPr>
        <w:numId w:val="14"/>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rsid w:val="00264150"/>
    <w:pPr>
      <w:numPr>
        <w:numId w:val="15"/>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uiPriority w:val="29"/>
    <w:rsid w:val="00264150"/>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rsid w:val="00264150"/>
    <w:pPr>
      <w:numPr>
        <w:numId w:val="17"/>
      </w:numPr>
      <w:spacing w:before="120" w:after="120" w:line="240" w:lineRule="auto"/>
      <w:contextualSpacing/>
      <w:jc w:val="both"/>
    </w:pPr>
    <w:rPr>
      <w:rFonts w:ascii="Times New Roman" w:eastAsia="Times New Roman" w:hAnsi="Times New Roman" w:cs="Times New Roman"/>
      <w:sz w:val="24"/>
      <w:szCs w:val="24"/>
    </w:rPr>
  </w:style>
  <w:style w:type="table" w:styleId="TableGrid">
    <w:name w:val="Table Grid"/>
    <w:basedOn w:val="TableNormal"/>
    <w:uiPriority w:val="39"/>
    <w:rsid w:val="002641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15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standard3520normal">
    <w:name w:val="a_standard__35__20_normal"/>
    <w:basedOn w:val="Normal"/>
    <w:rsid w:val="00264150"/>
    <w:pPr>
      <w:spacing w:after="120" w:line="240" w:lineRule="auto"/>
      <w:ind w:right="57"/>
      <w:jc w:val="both"/>
    </w:pPr>
    <w:rPr>
      <w:rFonts w:ascii="Times New Roman" w:eastAsia="Times New Roman" w:hAnsi="Times New Roman" w:cs="Times New Roman"/>
      <w:b/>
      <w:bCs/>
      <w:sz w:val="24"/>
      <w:szCs w:val="24"/>
    </w:rPr>
  </w:style>
  <w:style w:type="character" w:customStyle="1" w:styleId="at21">
    <w:name w:val="a__t21"/>
    <w:rsid w:val="00264150"/>
    <w:rPr>
      <w:b w:val="0"/>
      <w:bCs w:val="0"/>
    </w:rPr>
  </w:style>
  <w:style w:type="character" w:customStyle="1" w:styleId="at12">
    <w:name w:val="a__t12"/>
    <w:rsid w:val="00264150"/>
    <w:rPr>
      <w:b w:val="0"/>
      <w:bCs w:val="0"/>
    </w:rPr>
  </w:style>
  <w:style w:type="character" w:styleId="CommentReference">
    <w:name w:val="annotation reference"/>
    <w:uiPriority w:val="99"/>
    <w:rsid w:val="00264150"/>
    <w:rPr>
      <w:sz w:val="16"/>
      <w:szCs w:val="16"/>
    </w:rPr>
  </w:style>
  <w:style w:type="paragraph" w:styleId="CommentText">
    <w:name w:val="annotation text"/>
    <w:basedOn w:val="Normal"/>
    <w:link w:val="CommentTextChar"/>
    <w:uiPriority w:val="99"/>
    <w:rsid w:val="00264150"/>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64150"/>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rsid w:val="00264150"/>
    <w:rPr>
      <w:b/>
      <w:bCs/>
    </w:rPr>
  </w:style>
  <w:style w:type="character" w:customStyle="1" w:styleId="CommentSubjectChar">
    <w:name w:val="Comment Subject Char"/>
    <w:basedOn w:val="CommentTextChar"/>
    <w:link w:val="CommentSubject"/>
    <w:rsid w:val="00264150"/>
    <w:rPr>
      <w:rFonts w:ascii="Times New Roman" w:eastAsia="Times New Roman" w:hAnsi="Times New Roman" w:cs="Times New Roman"/>
      <w:b/>
      <w:bCs/>
      <w:sz w:val="20"/>
      <w:szCs w:val="20"/>
      <w:lang w:val="fr-FR"/>
    </w:rPr>
  </w:style>
  <w:style w:type="paragraph" w:styleId="BalloonText">
    <w:name w:val="Balloon Text"/>
    <w:basedOn w:val="Normal"/>
    <w:link w:val="BalloonTextChar"/>
    <w:rsid w:val="00264150"/>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264150"/>
    <w:rPr>
      <w:rFonts w:ascii="Tahoma" w:eastAsia="Times New Roman" w:hAnsi="Tahoma" w:cs="Times New Roman"/>
      <w:sz w:val="16"/>
      <w:szCs w:val="16"/>
      <w:lang w:val="fr-FR"/>
    </w:rPr>
  </w:style>
  <w:style w:type="paragraph" w:customStyle="1" w:styleId="Headinsh2">
    <w:name w:val="Headinsh 2"/>
    <w:basedOn w:val="Text1"/>
    <w:rsid w:val="00264150"/>
  </w:style>
  <w:style w:type="paragraph" w:styleId="Revision">
    <w:name w:val="Revision"/>
    <w:hidden/>
    <w:uiPriority w:val="99"/>
    <w:semiHidden/>
    <w:rsid w:val="00264150"/>
    <w:pPr>
      <w:spacing w:after="0" w:line="240" w:lineRule="auto"/>
    </w:pPr>
    <w:rPr>
      <w:rFonts w:ascii="Times New Roman" w:eastAsia="Times New Roman" w:hAnsi="Times New Roman" w:cs="Times New Roman"/>
      <w:sz w:val="24"/>
      <w:szCs w:val="24"/>
    </w:rPr>
  </w:style>
  <w:style w:type="character" w:styleId="Hyperlink">
    <w:name w:val="Hyperlink"/>
    <w:uiPriority w:val="99"/>
    <w:rsid w:val="00264150"/>
    <w:rPr>
      <w:color w:val="0000FF"/>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rsid w:val="00264150"/>
    <w:pPr>
      <w:spacing w:before="120" w:after="120" w:line="240" w:lineRule="auto"/>
      <w:ind w:left="708"/>
      <w:jc w:val="both"/>
    </w:pPr>
    <w:rPr>
      <w:rFonts w:ascii="Times New Roman" w:eastAsia="Times New Roman" w:hAnsi="Times New Roman" w:cs="Times New Roman"/>
      <w:sz w:val="24"/>
      <w:szCs w:val="24"/>
    </w:rPr>
  </w:style>
  <w:style w:type="character" w:styleId="FollowedHyperlink">
    <w:name w:val="FollowedHyperlink"/>
    <w:rsid w:val="00264150"/>
    <w:rPr>
      <w:color w:val="800080"/>
      <w:u w:val="single"/>
    </w:rPr>
  </w:style>
  <w:style w:type="paragraph" w:customStyle="1" w:styleId="Headig4">
    <w:name w:val="Headig 4"/>
    <w:basedOn w:val="Normal"/>
    <w:rsid w:val="00264150"/>
    <w:pPr>
      <w:autoSpaceDE w:val="0"/>
      <w:autoSpaceDN w:val="0"/>
      <w:adjustRightInd w:val="0"/>
      <w:spacing w:after="166" w:line="240" w:lineRule="auto"/>
      <w:jc w:val="both"/>
    </w:pPr>
    <w:rPr>
      <w:rFonts w:ascii="Times New Roman" w:eastAsia="Times New Roman" w:hAnsi="Times New Roman" w:cs="Times New Roman"/>
      <w:b/>
      <w:sz w:val="24"/>
      <w:szCs w:val="24"/>
    </w:rPr>
  </w:style>
  <w:style w:type="character" w:styleId="HTMLCite">
    <w:name w:val="HTML Cite"/>
    <w:uiPriority w:val="99"/>
    <w:unhideWhenUsed/>
    <w:rsid w:val="00264150"/>
    <w:rPr>
      <w:i/>
      <w:iCs/>
    </w:rPr>
  </w:style>
  <w:style w:type="paragraph" w:styleId="NormalWeb">
    <w:name w:val="Normal (Web)"/>
    <w:basedOn w:val="Normal"/>
    <w:uiPriority w:val="99"/>
    <w:unhideWhenUsed/>
    <w:rsid w:val="002641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dates1">
    <w:name w:val="t-dates1"/>
    <w:rsid w:val="00264150"/>
    <w:rPr>
      <w:color w:val="414141"/>
    </w:rPr>
  </w:style>
  <w:style w:type="character" w:customStyle="1" w:styleId="FootnoteCharacters">
    <w:name w:val="Footnote Characters"/>
    <w:rsid w:val="00264150"/>
    <w:rPr>
      <w:rFonts w:cs="Times New Roman"/>
      <w:vertAlign w:val="superscript"/>
    </w:rPr>
  </w:style>
  <w:style w:type="character" w:customStyle="1" w:styleId="Odwoanieprzypisudolnego2">
    <w:name w:val="Odwołanie przypisu dolnego2"/>
    <w:rsid w:val="00264150"/>
    <w:rPr>
      <w:vertAlign w:val="superscript"/>
    </w:rPr>
  </w:style>
  <w:style w:type="paragraph" w:styleId="EndnoteText">
    <w:name w:val="endnote text"/>
    <w:basedOn w:val="Normal"/>
    <w:link w:val="EndnoteTextChar1"/>
    <w:uiPriority w:val="99"/>
    <w:unhideWhenUsed/>
    <w:rsid w:val="00264150"/>
    <w:pPr>
      <w:spacing w:after="0" w:line="240" w:lineRule="auto"/>
      <w:jc w:val="both"/>
    </w:pPr>
    <w:rPr>
      <w:rFonts w:ascii="Times New Roman" w:eastAsia="Calibri" w:hAnsi="Times New Roman" w:cs="Times New Roman"/>
      <w:sz w:val="20"/>
      <w:szCs w:val="20"/>
    </w:rPr>
  </w:style>
  <w:style w:type="character" w:customStyle="1" w:styleId="EndnoteTextChar">
    <w:name w:val="Endnote Text Char"/>
    <w:basedOn w:val="DefaultParagraphFont"/>
    <w:rsid w:val="00264150"/>
    <w:rPr>
      <w:sz w:val="20"/>
      <w:szCs w:val="20"/>
    </w:rPr>
  </w:style>
  <w:style w:type="character" w:customStyle="1" w:styleId="A7">
    <w:name w:val="A7"/>
    <w:uiPriority w:val="99"/>
    <w:rsid w:val="00264150"/>
    <w:rPr>
      <w:rFonts w:ascii="TradeGothic" w:hAnsi="TradeGothic" w:cs="TradeGothic" w:hint="default"/>
      <w:color w:val="000000"/>
      <w:sz w:val="17"/>
      <w:szCs w:val="17"/>
    </w:rPr>
  </w:style>
  <w:style w:type="character" w:customStyle="1" w:styleId="EndnoteTextChar1">
    <w:name w:val="Endnote Text Char1"/>
    <w:link w:val="EndnoteText"/>
    <w:uiPriority w:val="99"/>
    <w:locked/>
    <w:rsid w:val="00264150"/>
    <w:rPr>
      <w:rFonts w:ascii="Times New Roman" w:eastAsia="Calibri" w:hAnsi="Times New Roman" w:cs="Times New Roman"/>
      <w:sz w:val="20"/>
      <w:szCs w:val="20"/>
      <w:lang w:val="fr-FR" w:eastAsia="fr-FR"/>
    </w:rPr>
  </w:style>
  <w:style w:type="paragraph" w:customStyle="1" w:styleId="Heaing2">
    <w:name w:val="Heaing 2"/>
    <w:basedOn w:val="Heading3"/>
    <w:rsid w:val="00264150"/>
    <w:rPr>
      <w:b w:val="0"/>
      <w:i/>
    </w:rPr>
  </w:style>
  <w:style w:type="paragraph" w:customStyle="1" w:styleId="Headung3">
    <w:name w:val="Headung 3"/>
    <w:basedOn w:val="Normal"/>
    <w:rsid w:val="00264150"/>
    <w:rPr>
      <w:rFonts w:ascii="Times New Roman" w:eastAsia="Calibri" w:hAnsi="Times New Roman" w:cs="Times New Roman"/>
      <w:color w:val="000000"/>
      <w:sz w:val="24"/>
      <w:szCs w:val="24"/>
    </w:rPr>
  </w:style>
  <w:style w:type="paragraph" w:customStyle="1" w:styleId="ZDGName">
    <w:name w:val="Z_DGName"/>
    <w:basedOn w:val="Normal"/>
    <w:rsid w:val="00264150"/>
    <w:pPr>
      <w:widowControl w:val="0"/>
      <w:autoSpaceDE w:val="0"/>
      <w:autoSpaceDN w:val="0"/>
      <w:spacing w:after="0" w:line="240" w:lineRule="auto"/>
      <w:ind w:right="85"/>
    </w:pPr>
    <w:rPr>
      <w:rFonts w:ascii="Arial" w:eastAsia="Times New Roman" w:hAnsi="Arial" w:cs="Arial"/>
      <w:sz w:val="16"/>
      <w:szCs w:val="16"/>
    </w:rPr>
  </w:style>
  <w:style w:type="paragraph" w:customStyle="1" w:styleId="BTBullet1">
    <w:name w:val="BTBullet1"/>
    <w:basedOn w:val="Normal"/>
    <w:uiPriority w:val="6"/>
    <w:qFormat/>
    <w:rsid w:val="00264150"/>
    <w:pPr>
      <w:numPr>
        <w:numId w:val="19"/>
      </w:numPr>
      <w:spacing w:after="0" w:line="240" w:lineRule="atLeast"/>
    </w:pPr>
    <w:rPr>
      <w:rFonts w:ascii="Arial" w:eastAsia="Calibri" w:hAnsi="Arial" w:cs="Times New Roman"/>
      <w:sz w:val="20"/>
      <w:szCs w:val="24"/>
    </w:rPr>
  </w:style>
  <w:style w:type="paragraph" w:customStyle="1" w:styleId="BTBullet2">
    <w:name w:val="BTBullet2"/>
    <w:basedOn w:val="Normal"/>
    <w:uiPriority w:val="6"/>
    <w:qFormat/>
    <w:rsid w:val="00264150"/>
    <w:pPr>
      <w:numPr>
        <w:ilvl w:val="1"/>
        <w:numId w:val="19"/>
      </w:numPr>
      <w:spacing w:after="0" w:line="240" w:lineRule="atLeast"/>
    </w:pPr>
    <w:rPr>
      <w:rFonts w:ascii="Arial" w:eastAsia="Calibri" w:hAnsi="Arial" w:cs="Times New Roman"/>
      <w:sz w:val="20"/>
      <w:szCs w:val="24"/>
    </w:rPr>
  </w:style>
  <w:style w:type="paragraph" w:customStyle="1" w:styleId="BTBullet3">
    <w:name w:val="BTBullet3"/>
    <w:basedOn w:val="Normal"/>
    <w:uiPriority w:val="6"/>
    <w:qFormat/>
    <w:rsid w:val="00264150"/>
    <w:pPr>
      <w:numPr>
        <w:ilvl w:val="2"/>
        <w:numId w:val="19"/>
      </w:numPr>
      <w:spacing w:after="0" w:line="240" w:lineRule="atLeast"/>
    </w:pPr>
    <w:rPr>
      <w:rFonts w:ascii="Arial" w:eastAsia="Calibri" w:hAnsi="Arial" w:cs="Times New Roman"/>
      <w:sz w:val="20"/>
      <w:szCs w:val="24"/>
    </w:rPr>
  </w:style>
  <w:style w:type="numbering" w:customStyle="1" w:styleId="NumbLstBTBullet">
    <w:name w:val="NumbLstBTBullet"/>
    <w:uiPriority w:val="99"/>
    <w:rsid w:val="00264150"/>
    <w:pPr>
      <w:numPr>
        <w:numId w:val="18"/>
      </w:numPr>
    </w:pPr>
  </w:style>
  <w:style w:type="table" w:customStyle="1" w:styleId="TableGrid1">
    <w:name w:val="Table Grid1"/>
    <w:basedOn w:val="TableNormal"/>
    <w:next w:val="TableGrid"/>
    <w:uiPriority w:val="59"/>
    <w:rsid w:val="002641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41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641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264150"/>
    <w:rPr>
      <w:vertAlign w:val="superscript"/>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iPriority w:val="35"/>
    <w:unhideWhenUsed/>
    <w:qFormat/>
    <w:rsid w:val="00264150"/>
    <w:pPr>
      <w:keepNext/>
      <w:keepLines/>
      <w:widowControl w:val="0"/>
      <w:spacing w:before="240" w:after="120" w:line="360" w:lineRule="auto"/>
      <w:contextualSpacing/>
      <w:jc w:val="center"/>
    </w:pPr>
    <w:rPr>
      <w:rFonts w:eastAsia="Times New Roman" w:cstheme="minorHAnsi"/>
      <w:b/>
      <w:bCs/>
      <w:color w:val="002060"/>
      <w:sz w:val="18"/>
      <w:szCs w:val="18"/>
    </w:rPr>
  </w:style>
  <w:style w:type="table" w:customStyle="1" w:styleId="EuropeanCommissionstyle">
    <w:name w:val="European Commission style"/>
    <w:basedOn w:val="TableNormal"/>
    <w:uiPriority w:val="99"/>
    <w:rsid w:val="00264150"/>
    <w:pPr>
      <w:spacing w:after="0" w:line="240" w:lineRule="auto"/>
    </w:pPr>
    <w:rPr>
      <w:rFonts w:ascii="Verdana" w:eastAsia="Times New Roman" w:hAnsi="Verdana" w:cs="Times New Roman"/>
      <w:sz w:val="12"/>
      <w:szCs w:val="20"/>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DFDFDF" w:themeFill="background1" w:themeFillShade="F2"/>
    </w:tcPr>
    <w:tblStylePr w:type="firstRow">
      <w:rPr>
        <w:rFonts w:ascii="Verdana" w:hAnsi="Verdana"/>
        <w:b/>
        <w:color w:val="EBEBEB"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uiPriority w:val="35"/>
    <w:locked/>
    <w:rsid w:val="00264150"/>
    <w:rPr>
      <w:rFonts w:eastAsia="Times New Roman" w:cstheme="minorHAnsi"/>
      <w:b/>
      <w:bCs/>
      <w:color w:val="002060"/>
      <w:sz w:val="18"/>
      <w:szCs w:val="18"/>
      <w:lang w:eastAsia="fr-FR"/>
    </w:rPr>
  </w:style>
  <w:style w:type="character" w:customStyle="1" w:styleId="st">
    <w:name w:val="st"/>
    <w:basedOn w:val="DefaultParagraphFont"/>
    <w:rsid w:val="00264150"/>
  </w:style>
  <w:style w:type="character" w:styleId="Emphasis">
    <w:name w:val="Emphasis"/>
    <w:basedOn w:val="DefaultParagraphFont"/>
    <w:uiPriority w:val="20"/>
    <w:qFormat/>
    <w:rsid w:val="00264150"/>
    <w:rPr>
      <w:i/>
      <w:iCs/>
    </w:rPr>
  </w:style>
  <w:style w:type="paragraph" w:customStyle="1" w:styleId="MAINPARAGRAPH">
    <w:name w:val="MAIN PARAGRAPH"/>
    <w:basedOn w:val="Normal"/>
    <w:link w:val="MAINPARAGRAPHChar"/>
    <w:qFormat/>
    <w:rsid w:val="00264150"/>
    <w:pPr>
      <w:spacing w:before="120" w:after="120" w:line="360" w:lineRule="auto"/>
      <w:jc w:val="both"/>
    </w:pPr>
    <w:rPr>
      <w:rFonts w:ascii="Arial" w:eastAsia="Times New Roman" w:hAnsi="Arial" w:cs="Times New Roman"/>
      <w:color w:val="000000" w:themeColor="text1"/>
      <w:sz w:val="19"/>
      <w:szCs w:val="19"/>
    </w:rPr>
  </w:style>
  <w:style w:type="character" w:customStyle="1" w:styleId="MAINPARAGRAPHChar">
    <w:name w:val="MAIN PARAGRAPH Char"/>
    <w:basedOn w:val="DefaultParagraphFont"/>
    <w:link w:val="MAINPARAGRAPH"/>
    <w:rsid w:val="00264150"/>
    <w:rPr>
      <w:rFonts w:ascii="Arial" w:eastAsia="Times New Roman" w:hAnsi="Arial" w:cs="Times New Roman"/>
      <w:color w:val="000000" w:themeColor="text1"/>
      <w:sz w:val="19"/>
      <w:szCs w:val="19"/>
      <w:lang w:eastAsia="fr-FR"/>
    </w:rPr>
  </w:style>
  <w:style w:type="character" w:styleId="Strong">
    <w:name w:val="Strong"/>
    <w:basedOn w:val="DefaultParagraphFont"/>
    <w:uiPriority w:val="22"/>
    <w:qFormat/>
    <w:rsid w:val="00264150"/>
    <w:rPr>
      <w:rFonts w:ascii="Times New Roman" w:hAnsi="Times New Roman" w:cs="Times New Roman" w:hint="default"/>
      <w:b/>
      <w:bCs/>
    </w:rPr>
  </w:style>
  <w:style w:type="table" w:styleId="LightShading-Accent5">
    <w:name w:val="Light Shading Accent 5"/>
    <w:basedOn w:val="TableNormal"/>
    <w:uiPriority w:val="60"/>
    <w:rsid w:val="0026415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orpsdutexte">
    <w:name w:val="Corps du texte_"/>
    <w:basedOn w:val="DefaultParagraphFont"/>
    <w:link w:val="Corpsdutexte0"/>
    <w:rsid w:val="00264150"/>
    <w:rPr>
      <w:shd w:val="clear" w:color="auto" w:fill="FFFFFF"/>
    </w:rPr>
  </w:style>
  <w:style w:type="paragraph" w:customStyle="1" w:styleId="Corpsdutexte0">
    <w:name w:val="Corps du texte"/>
    <w:basedOn w:val="Normal"/>
    <w:link w:val="Corpsdutexte"/>
    <w:rsid w:val="00264150"/>
    <w:pPr>
      <w:widowControl w:val="0"/>
      <w:shd w:val="clear" w:color="auto" w:fill="FFFFFF"/>
      <w:spacing w:after="0" w:line="0" w:lineRule="atLeast"/>
    </w:pPr>
  </w:style>
  <w:style w:type="table" w:customStyle="1" w:styleId="LightShading-Accent51">
    <w:name w:val="Light Shading - Accent 51"/>
    <w:basedOn w:val="TableNormal"/>
    <w:next w:val="LightShading-Accent5"/>
    <w:uiPriority w:val="60"/>
    <w:rsid w:val="0026415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4">
    <w:name w:val="Table Grid4"/>
    <w:basedOn w:val="TableNormal"/>
    <w:next w:val="TableGrid"/>
    <w:uiPriority w:val="59"/>
    <w:rsid w:val="0026415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rsid w:val="00264150"/>
    <w:rPr>
      <w:rFonts w:ascii="Times New Roman" w:eastAsia="Times New Roman" w:hAnsi="Times New Roman" w:cs="Times New Roman"/>
      <w:sz w:val="24"/>
      <w:szCs w:val="24"/>
    </w:rPr>
  </w:style>
  <w:style w:type="character" w:customStyle="1" w:styleId="apple-converted-space">
    <w:name w:val="apple-converted-space"/>
    <w:basedOn w:val="DefaultParagraphFont"/>
    <w:rsid w:val="00264150"/>
  </w:style>
  <w:style w:type="character" w:styleId="PlaceholderText">
    <w:name w:val="Placeholder Text"/>
    <w:basedOn w:val="DefaultParagraphFont"/>
    <w:uiPriority w:val="99"/>
    <w:semiHidden/>
    <w:rsid w:val="00264150"/>
    <w:rPr>
      <w:color w:val="808080"/>
    </w:rPr>
  </w:style>
  <w:style w:type="paragraph" w:styleId="Subtitle">
    <w:name w:val="Subtitle"/>
    <w:basedOn w:val="Normal"/>
    <w:next w:val="Normal"/>
    <w:link w:val="SubtitleChar"/>
    <w:qFormat/>
    <w:rsid w:val="00264150"/>
    <w:pPr>
      <w:numPr>
        <w:ilvl w:val="1"/>
      </w:numPr>
      <w:spacing w:before="120" w:after="160" w:line="240" w:lineRule="auto"/>
      <w:jc w:val="both"/>
    </w:pPr>
    <w:rPr>
      <w:rFonts w:eastAsiaTheme="minorEastAsia"/>
      <w:color w:val="5A5A5A" w:themeColor="text1" w:themeTint="A5"/>
      <w:spacing w:val="15"/>
    </w:rPr>
  </w:style>
  <w:style w:type="character" w:customStyle="1" w:styleId="SubtitleChar">
    <w:name w:val="Subtitle Char"/>
    <w:basedOn w:val="DefaultParagraphFont"/>
    <w:link w:val="Subtitle"/>
    <w:rsid w:val="00264150"/>
    <w:rPr>
      <w:rFonts w:eastAsiaTheme="minorEastAsia"/>
      <w:color w:val="5A5A5A" w:themeColor="text1" w:themeTint="A5"/>
      <w:spacing w:val="15"/>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264150"/>
    <w:pPr>
      <w:spacing w:after="160" w:line="240" w:lineRule="exact"/>
      <w:jc w:val="both"/>
    </w:pPr>
    <w:rPr>
      <w:vertAlign w:val="superscript"/>
    </w:rPr>
  </w:style>
  <w:style w:type="character" w:styleId="IntenseEmphasis">
    <w:name w:val="Intense Emphasis"/>
    <w:basedOn w:val="DefaultParagraphFont"/>
    <w:uiPriority w:val="21"/>
    <w:qFormat/>
    <w:rsid w:val="00264150"/>
    <w:rPr>
      <w:i/>
      <w:iCs/>
      <w:color w:val="4F81BD" w:themeColor="accent1"/>
    </w:rPr>
  </w:style>
  <w:style w:type="paragraph" w:styleId="TableofFigures">
    <w:name w:val="table of figures"/>
    <w:basedOn w:val="Normal"/>
    <w:next w:val="Normal"/>
    <w:uiPriority w:val="99"/>
    <w:unhideWhenUsed/>
    <w:rsid w:val="002A23D6"/>
    <w:pPr>
      <w:spacing w:after="0"/>
    </w:pPr>
  </w:style>
  <w:style w:type="table" w:customStyle="1" w:styleId="EuropeanCommissionstyle1">
    <w:name w:val="European Commission style1"/>
    <w:basedOn w:val="TableNormal"/>
    <w:uiPriority w:val="99"/>
    <w:rsid w:val="0018680D"/>
    <w:pPr>
      <w:spacing w:after="0" w:line="240" w:lineRule="auto"/>
    </w:pPr>
    <w:rPr>
      <w:rFonts w:ascii="Verdana" w:eastAsia="Times New Roman" w:hAnsi="Verdana" w:cs="Times New Roman"/>
      <w:sz w:val="12"/>
      <w:szCs w:val="20"/>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cPr>
    <w:tblStylePr w:type="firstRow">
      <w:rPr>
        <w:rFonts w:ascii="Times" w:hAnsi="Times"/>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Heading5Char">
    <w:name w:val="Heading 5 Char"/>
    <w:basedOn w:val="DefaultParagraphFont"/>
    <w:link w:val="Heading5"/>
    <w:uiPriority w:val="9"/>
    <w:semiHidden/>
    <w:rsid w:val="008328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3284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328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328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3284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44924-E801-4E51-834D-B521BA9D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2017-02-13T16:05:00Z</dcterms:created>
  <dcterms:modified xsi:type="dcterms:W3CDTF">2017-03-15T11:25:00Z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First annex">
    <vt:lpwstr>1</vt:lpwstr>
  </property>
  <property fmtid="{D5CDD505-2E9C-101B-9397-08002B2CF9AE}" pid="4" name="Last annex">
    <vt:lpwstr>1</vt:lpwstr>
  </property>
  <property fmtid="{D5CDD505-2E9C-101B-9397-08002B2CF9AE}" pid="5" name="Part">
    <vt:lpwstr>1</vt:lpwstr>
  </property>
  <property fmtid="{D5CDD505-2E9C-101B-9397-08002B2CF9AE}" pid="6" name="Total parts">
    <vt:lpwstr>1</vt:lpwstr>
  </property>
  <property fmtid="{D5CDD505-2E9C-101B-9397-08002B2CF9AE}" pid="7" name="Classification">
    <vt:lpwstr> </vt:lpwstr>
  </property>
</Properties>
</file>