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MacBuGuideStaticData_2104V"/>
      <w:bookmarkStart w:id="1" w:name="_MacBuGuideStaticData_3024H"/>
      <w:bookmarkStart w:id="2"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2B919C75A83F43069AFF435BC3ADC270" style="width:450.35pt;height:432.7pt">
            <v:imagedata r:id="rId9" o:title=""/>
          </v:shape>
        </w:pict>
      </w:r>
    </w:p>
    <w:bookmarkEnd w:id="2"/>
    <w:p>
      <w:pPr>
        <w:rPr>
          <w:rFonts w:ascii="Times New Roman" w:hAnsi="Times New Roman"/>
          <w:noProof/>
        </w:rPr>
        <w:sectPr>
          <w:headerReference w:type="even" r:id="rId10"/>
          <w:headerReference w:type="default" r:id="rId11"/>
          <w:footerReference w:type="even" r:id="rId12"/>
          <w:footerReference w:type="default" r:id="rId13"/>
          <w:headerReference w:type="first" r:id="rId14"/>
          <w:footerReference w:type="first" r:id="rId15"/>
          <w:pgSz w:w="11905" w:h="16837" w:code="9"/>
          <w:pgMar w:top="1134" w:right="1417" w:bottom="1134" w:left="1417" w:header="709" w:footer="709" w:gutter="0"/>
          <w:pgNumType w:fmt="lowerRoman" w:start="1"/>
          <w:cols w:space="720"/>
          <w:docGrid w:linePitch="360"/>
        </w:sectPr>
      </w:pPr>
    </w:p>
    <w:p>
      <w:pPr>
        <w:rPr>
          <w:rFonts w:ascii="Times New Roman" w:eastAsia="Times New Roman" w:hAnsi="Times New Roman"/>
          <w:b/>
          <w:bCs/>
          <w:smallCaps/>
          <w:noProof/>
          <w:sz w:val="24"/>
          <w:szCs w:val="32"/>
          <w:lang w:eastAsia="en-US"/>
        </w:rPr>
      </w:pPr>
      <w:bookmarkStart w:id="3" w:name="_Toc454188959"/>
      <w:bookmarkStart w:id="4" w:name="_Toc454194655"/>
      <w:bookmarkStart w:id="5" w:name="_Toc454196209"/>
      <w:bookmarkStart w:id="6" w:name="_Toc469580859"/>
      <w:bookmarkStart w:id="7" w:name="_Toc202927875"/>
      <w:bookmarkStart w:id="8" w:name="_Ref203625482"/>
      <w:bookmarkStart w:id="9" w:name="_Toc206470450"/>
      <w:bookmarkStart w:id="10" w:name="_GoBack"/>
      <w:bookmarkEnd w:id="0"/>
      <w:bookmarkEnd w:id="1"/>
      <w:bookmarkEnd w:id="10"/>
      <w:r>
        <w:rPr>
          <w:smallCaps/>
          <w:noProof/>
          <w:lang w:eastAsia="en-US"/>
        </w:rPr>
        <w:lastRenderedPageBreak/>
        <w:br w:type="page"/>
      </w:r>
    </w:p>
    <w:sdt>
      <w:sdtPr>
        <w:rPr>
          <w:rFonts w:ascii="Times New Roman" w:eastAsia="MS Mincho" w:hAnsi="Times New Roman" w:cs="Times New Roman"/>
          <w:b w:val="0"/>
          <w:bCs w:val="0"/>
          <w:noProof/>
          <w:color w:val="auto"/>
          <w:sz w:val="24"/>
          <w:szCs w:val="24"/>
          <w:lang w:val="en-GB"/>
        </w:rPr>
        <w:id w:val="-2030014160"/>
        <w:docPartObj>
          <w:docPartGallery w:val="Table of Contents"/>
          <w:docPartUnique/>
        </w:docPartObj>
      </w:sdtPr>
      <w:sdtEndPr>
        <w:rPr>
          <w:rFonts w:ascii="Univers for KPMG" w:hAnsi="Univers for KPMG"/>
          <w:sz w:val="20"/>
        </w:rPr>
      </w:sdtEndPr>
      <w:sdtContent>
        <w:p>
          <w:pPr>
            <w:pStyle w:val="TOCHeading"/>
            <w:rPr>
              <w:rFonts w:ascii="Times New Roman" w:hAnsi="Times New Roman" w:cs="Times New Roman"/>
              <w:noProof/>
              <w:sz w:val="24"/>
              <w:szCs w:val="24"/>
            </w:rPr>
          </w:pPr>
          <w:r>
            <w:rPr>
              <w:rFonts w:ascii="Times New Roman" w:hAnsi="Times New Roman" w:cs="Times New Roman"/>
              <w:noProof/>
              <w:sz w:val="24"/>
              <w:szCs w:val="24"/>
            </w:rPr>
            <w:t>Contents</w:t>
          </w:r>
        </w:p>
        <w:p>
          <w:pPr>
            <w:pStyle w:val="TOC1"/>
            <w:tabs>
              <w:tab w:val="left" w:pos="400"/>
              <w:tab w:val="right" w:leader="dot" w:pos="9059"/>
            </w:tabs>
            <w:rPr>
              <w:rFonts w:asciiTheme="minorHAnsi" w:eastAsiaTheme="minorEastAsia" w:hAnsiTheme="minorHAnsi" w:cstheme="minorBidi"/>
              <w:b w:val="0"/>
              <w:bCs w:val="0"/>
              <w:caps w:val="0"/>
              <w:noProof/>
              <w:sz w:val="22"/>
              <w:szCs w:val="22"/>
              <w:lang w:eastAsia="en-GB"/>
            </w:rPr>
          </w:pPr>
          <w:r>
            <w:rPr>
              <w:b w:val="0"/>
              <w:bCs w:val="0"/>
              <w:caps w:val="0"/>
              <w:noProof/>
            </w:rPr>
            <w:fldChar w:fldCharType="begin"/>
          </w:r>
          <w:r>
            <w:rPr>
              <w:b w:val="0"/>
              <w:bCs w:val="0"/>
              <w:caps w:val="0"/>
              <w:noProof/>
            </w:rPr>
            <w:instrText xml:space="preserve"> TOC \o "1-2" \h \z \u </w:instrText>
          </w:r>
          <w:r>
            <w:rPr>
              <w:b w:val="0"/>
              <w:bCs w:val="0"/>
              <w:caps w:val="0"/>
              <w:noProof/>
            </w:rPr>
            <w:fldChar w:fldCharType="separate"/>
          </w:r>
          <w:hyperlink w:anchor="_Toc469902784" w:history="1">
            <w:r>
              <w:rPr>
                <w:rStyle w:val="Hyperlink"/>
                <w:smallCaps/>
                <w:noProof/>
                <w:lang w:eastAsia="en-US"/>
              </w:rPr>
              <w:t>1</w:t>
            </w:r>
            <w:r>
              <w:rPr>
                <w:rFonts w:asciiTheme="minorHAnsi" w:eastAsiaTheme="minorEastAsia" w:hAnsiTheme="minorHAnsi" w:cstheme="minorBidi"/>
                <w:b w:val="0"/>
                <w:bCs w:val="0"/>
                <w:caps w:val="0"/>
                <w:noProof/>
                <w:sz w:val="22"/>
                <w:szCs w:val="22"/>
                <w:lang w:eastAsia="en-GB"/>
              </w:rPr>
              <w:tab/>
            </w:r>
            <w:r>
              <w:rPr>
                <w:rStyle w:val="Hyperlink"/>
                <w:smallCaps/>
                <w:noProof/>
                <w:lang w:eastAsia="en-US"/>
              </w:rPr>
              <w:t>Introduction</w:t>
            </w:r>
            <w:r>
              <w:rPr>
                <w:noProof/>
                <w:webHidden/>
              </w:rPr>
              <w:tab/>
            </w:r>
            <w:r>
              <w:rPr>
                <w:noProof/>
                <w:webHidden/>
              </w:rPr>
              <w:fldChar w:fldCharType="begin"/>
            </w:r>
            <w:r>
              <w:rPr>
                <w:noProof/>
                <w:webHidden/>
              </w:rPr>
              <w:instrText xml:space="preserve"> PAGEREF _Toc469902784 \h </w:instrText>
            </w:r>
            <w:r>
              <w:rPr>
                <w:noProof/>
                <w:webHidden/>
              </w:rPr>
            </w:r>
            <w:r>
              <w:rPr>
                <w:noProof/>
                <w:webHidden/>
              </w:rPr>
              <w:fldChar w:fldCharType="separate"/>
            </w:r>
            <w:r>
              <w:rPr>
                <w:noProof/>
                <w:webHidden/>
              </w:rPr>
              <w:t>4</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785" w:history="1">
            <w:r>
              <w:rPr>
                <w:rStyle w:val="Hyperlink"/>
                <w:noProof/>
              </w:rPr>
              <w:t>1.1</w:t>
            </w:r>
            <w:r>
              <w:rPr>
                <w:rFonts w:asciiTheme="minorHAnsi" w:eastAsiaTheme="minorEastAsia" w:hAnsiTheme="minorHAnsi" w:cstheme="minorBidi"/>
                <w:b w:val="0"/>
                <w:bCs w:val="0"/>
                <w:noProof/>
                <w:szCs w:val="22"/>
                <w:lang w:eastAsia="en-GB"/>
              </w:rPr>
              <w:tab/>
            </w:r>
            <w:r>
              <w:rPr>
                <w:rStyle w:val="Hyperlink"/>
                <w:noProof/>
              </w:rPr>
              <w:t>Definitions</w:t>
            </w:r>
            <w:r>
              <w:rPr>
                <w:noProof/>
                <w:webHidden/>
              </w:rPr>
              <w:tab/>
            </w:r>
            <w:r>
              <w:rPr>
                <w:noProof/>
                <w:webHidden/>
              </w:rPr>
              <w:fldChar w:fldCharType="begin"/>
            </w:r>
            <w:r>
              <w:rPr>
                <w:noProof/>
                <w:webHidden/>
              </w:rPr>
              <w:instrText xml:space="preserve"> PAGEREF _Toc469902785 \h </w:instrText>
            </w:r>
            <w:r>
              <w:rPr>
                <w:noProof/>
                <w:webHidden/>
              </w:rPr>
            </w:r>
            <w:r>
              <w:rPr>
                <w:noProof/>
                <w:webHidden/>
              </w:rPr>
              <w:fldChar w:fldCharType="separate"/>
            </w:r>
            <w:r>
              <w:rPr>
                <w:noProof/>
                <w:webHidden/>
              </w:rPr>
              <w:t>4</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786" w:history="1">
            <w:r>
              <w:rPr>
                <w:rStyle w:val="Hyperlink"/>
                <w:noProof/>
              </w:rPr>
              <w:t>1.2</w:t>
            </w:r>
            <w:r>
              <w:rPr>
                <w:rFonts w:asciiTheme="minorHAnsi" w:eastAsiaTheme="minorEastAsia" w:hAnsiTheme="minorHAnsi" w:cstheme="minorBidi"/>
                <w:b w:val="0"/>
                <w:bCs w:val="0"/>
                <w:noProof/>
                <w:szCs w:val="22"/>
                <w:lang w:eastAsia="en-GB"/>
              </w:rPr>
              <w:tab/>
            </w:r>
            <w:r>
              <w:rPr>
                <w:rStyle w:val="Hyperlink"/>
                <w:noProof/>
              </w:rPr>
              <w:t>The EIF’s purpose and legal framework</w:t>
            </w:r>
            <w:r>
              <w:rPr>
                <w:noProof/>
                <w:webHidden/>
              </w:rPr>
              <w:tab/>
            </w:r>
            <w:r>
              <w:rPr>
                <w:noProof/>
                <w:webHidden/>
              </w:rPr>
              <w:fldChar w:fldCharType="begin"/>
            </w:r>
            <w:r>
              <w:rPr>
                <w:noProof/>
                <w:webHidden/>
              </w:rPr>
              <w:instrText xml:space="preserve"> PAGEREF _Toc469902786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787" w:history="1">
            <w:r>
              <w:rPr>
                <w:rStyle w:val="Hyperlink"/>
                <w:noProof/>
              </w:rPr>
              <w:t>1.3</w:t>
            </w:r>
            <w:r>
              <w:rPr>
                <w:rFonts w:asciiTheme="minorHAnsi" w:eastAsiaTheme="minorEastAsia" w:hAnsiTheme="minorHAnsi" w:cstheme="minorBidi"/>
                <w:b w:val="0"/>
                <w:bCs w:val="0"/>
                <w:noProof/>
                <w:szCs w:val="22"/>
                <w:lang w:eastAsia="en-GB"/>
              </w:rPr>
              <w:tab/>
            </w:r>
            <w:r>
              <w:rPr>
                <w:rStyle w:val="Hyperlink"/>
                <w:noProof/>
              </w:rPr>
              <w:t>Scope, readership and usage of the EIF</w:t>
            </w:r>
            <w:r>
              <w:rPr>
                <w:noProof/>
                <w:webHidden/>
              </w:rPr>
              <w:tab/>
            </w:r>
            <w:r>
              <w:rPr>
                <w:noProof/>
                <w:webHidden/>
              </w:rPr>
              <w:fldChar w:fldCharType="begin"/>
            </w:r>
            <w:r>
              <w:rPr>
                <w:noProof/>
                <w:webHidden/>
              </w:rPr>
              <w:instrText xml:space="preserve"> PAGEREF _Toc469902787 \h </w:instrText>
            </w:r>
            <w:r>
              <w:rPr>
                <w:noProof/>
                <w:webHidden/>
              </w:rPr>
            </w:r>
            <w:r>
              <w:rPr>
                <w:noProof/>
                <w:webHidden/>
              </w:rPr>
              <w:fldChar w:fldCharType="separate"/>
            </w:r>
            <w:r>
              <w:rPr>
                <w:noProof/>
                <w:webHidden/>
              </w:rPr>
              <w:t>6</w:t>
            </w:r>
            <w:r>
              <w:rPr>
                <w:noProof/>
                <w:webHidden/>
              </w:rPr>
              <w:fldChar w:fldCharType="end"/>
            </w:r>
          </w:hyperlink>
        </w:p>
        <w:p>
          <w:pPr>
            <w:pStyle w:val="TOC1"/>
            <w:tabs>
              <w:tab w:val="left" w:pos="400"/>
              <w:tab w:val="right" w:leader="dot" w:pos="9059"/>
            </w:tabs>
            <w:rPr>
              <w:rFonts w:asciiTheme="minorHAnsi" w:eastAsiaTheme="minorEastAsia" w:hAnsiTheme="minorHAnsi" w:cstheme="minorBidi"/>
              <w:b w:val="0"/>
              <w:bCs w:val="0"/>
              <w:caps w:val="0"/>
              <w:noProof/>
              <w:sz w:val="22"/>
              <w:szCs w:val="22"/>
              <w:lang w:eastAsia="en-GB"/>
            </w:rPr>
          </w:pPr>
          <w:hyperlink w:anchor="_Toc469902788" w:history="1">
            <w:r>
              <w:rPr>
                <w:rStyle w:val="Hyperlink"/>
                <w:smallCaps/>
                <w:noProof/>
                <w:lang w:eastAsia="en-US"/>
              </w:rPr>
              <w:t>2</w:t>
            </w:r>
            <w:r>
              <w:rPr>
                <w:rFonts w:asciiTheme="minorHAnsi" w:eastAsiaTheme="minorEastAsia" w:hAnsiTheme="minorHAnsi" w:cstheme="minorBidi"/>
                <w:b w:val="0"/>
                <w:bCs w:val="0"/>
                <w:caps w:val="0"/>
                <w:noProof/>
                <w:sz w:val="22"/>
                <w:szCs w:val="22"/>
                <w:lang w:eastAsia="en-GB"/>
              </w:rPr>
              <w:tab/>
            </w:r>
            <w:r>
              <w:rPr>
                <w:rStyle w:val="Hyperlink"/>
                <w:smallCaps/>
                <w:noProof/>
                <w:lang w:eastAsia="en-US"/>
              </w:rPr>
              <w:t>Underlying principles of European public services</w:t>
            </w:r>
            <w:r>
              <w:rPr>
                <w:noProof/>
                <w:webHidden/>
              </w:rPr>
              <w:tab/>
            </w:r>
            <w:r>
              <w:rPr>
                <w:noProof/>
                <w:webHidden/>
              </w:rPr>
              <w:fldChar w:fldCharType="begin"/>
            </w:r>
            <w:r>
              <w:rPr>
                <w:noProof/>
                <w:webHidden/>
              </w:rPr>
              <w:instrText xml:space="preserve"> PAGEREF _Toc469902788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789" w:history="1">
            <w:r>
              <w:rPr>
                <w:rStyle w:val="Hyperlink"/>
                <w:noProof/>
              </w:rPr>
              <w:t>2.1</w:t>
            </w:r>
            <w:r>
              <w:rPr>
                <w:rFonts w:asciiTheme="minorHAnsi" w:eastAsiaTheme="minorEastAsia" w:hAnsiTheme="minorHAnsi" w:cstheme="minorBidi"/>
                <w:b w:val="0"/>
                <w:bCs w:val="0"/>
                <w:noProof/>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_Toc469902789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790" w:history="1">
            <w:r>
              <w:rPr>
                <w:rStyle w:val="Hyperlink"/>
                <w:noProof/>
              </w:rPr>
              <w:t>2.2</w:t>
            </w:r>
            <w:r>
              <w:rPr>
                <w:rFonts w:asciiTheme="minorHAnsi" w:eastAsiaTheme="minorEastAsia" w:hAnsiTheme="minorHAnsi" w:cstheme="minorBidi"/>
                <w:b w:val="0"/>
                <w:bCs w:val="0"/>
                <w:noProof/>
                <w:szCs w:val="22"/>
                <w:lang w:eastAsia="en-GB"/>
              </w:rPr>
              <w:tab/>
            </w:r>
            <w:r>
              <w:rPr>
                <w:rStyle w:val="Hyperlink"/>
                <w:noProof/>
              </w:rPr>
              <w:t>Underlying principle 1: subsidiarity and proportionality</w:t>
            </w:r>
            <w:r>
              <w:rPr>
                <w:noProof/>
                <w:webHidden/>
              </w:rPr>
              <w:tab/>
            </w:r>
            <w:r>
              <w:rPr>
                <w:noProof/>
                <w:webHidden/>
              </w:rPr>
              <w:fldChar w:fldCharType="begin"/>
            </w:r>
            <w:r>
              <w:rPr>
                <w:noProof/>
                <w:webHidden/>
              </w:rPr>
              <w:instrText xml:space="preserve"> PAGEREF _Toc469902790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791" w:history="1">
            <w:r>
              <w:rPr>
                <w:rStyle w:val="Hyperlink"/>
                <w:noProof/>
              </w:rPr>
              <w:t>2.3</w:t>
            </w:r>
            <w:r>
              <w:rPr>
                <w:rFonts w:asciiTheme="minorHAnsi" w:eastAsiaTheme="minorEastAsia" w:hAnsiTheme="minorHAnsi" w:cstheme="minorBidi"/>
                <w:b w:val="0"/>
                <w:bCs w:val="0"/>
                <w:noProof/>
                <w:szCs w:val="22"/>
                <w:lang w:eastAsia="en-GB"/>
              </w:rPr>
              <w:tab/>
            </w:r>
            <w:r>
              <w:rPr>
                <w:rStyle w:val="Hyperlink"/>
                <w:noProof/>
              </w:rPr>
              <w:t>Underlying principle 2: openness</w:t>
            </w:r>
            <w:r>
              <w:rPr>
                <w:noProof/>
                <w:webHidden/>
              </w:rPr>
              <w:tab/>
            </w:r>
            <w:r>
              <w:rPr>
                <w:noProof/>
                <w:webHidden/>
              </w:rPr>
              <w:fldChar w:fldCharType="begin"/>
            </w:r>
            <w:r>
              <w:rPr>
                <w:noProof/>
                <w:webHidden/>
              </w:rPr>
              <w:instrText xml:space="preserve"> PAGEREF _Toc469902791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792" w:history="1">
            <w:r>
              <w:rPr>
                <w:rStyle w:val="Hyperlink"/>
                <w:noProof/>
              </w:rPr>
              <w:t>2.4</w:t>
            </w:r>
            <w:r>
              <w:rPr>
                <w:rFonts w:asciiTheme="minorHAnsi" w:eastAsiaTheme="minorEastAsia" w:hAnsiTheme="minorHAnsi" w:cstheme="minorBidi"/>
                <w:b w:val="0"/>
                <w:bCs w:val="0"/>
                <w:noProof/>
                <w:szCs w:val="22"/>
                <w:lang w:eastAsia="en-GB"/>
              </w:rPr>
              <w:tab/>
            </w:r>
            <w:r>
              <w:rPr>
                <w:rStyle w:val="Hyperlink"/>
                <w:noProof/>
              </w:rPr>
              <w:t>Underlying principle 3: transparency</w:t>
            </w:r>
            <w:r>
              <w:rPr>
                <w:noProof/>
                <w:webHidden/>
              </w:rPr>
              <w:tab/>
            </w:r>
            <w:r>
              <w:rPr>
                <w:noProof/>
                <w:webHidden/>
              </w:rPr>
              <w:fldChar w:fldCharType="begin"/>
            </w:r>
            <w:r>
              <w:rPr>
                <w:noProof/>
                <w:webHidden/>
              </w:rPr>
              <w:instrText xml:space="preserve"> PAGEREF _Toc469902792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793" w:history="1">
            <w:r>
              <w:rPr>
                <w:rStyle w:val="Hyperlink"/>
                <w:noProof/>
              </w:rPr>
              <w:t>2.5</w:t>
            </w:r>
            <w:r>
              <w:rPr>
                <w:rFonts w:asciiTheme="minorHAnsi" w:eastAsiaTheme="minorEastAsia" w:hAnsiTheme="minorHAnsi" w:cstheme="minorBidi"/>
                <w:b w:val="0"/>
                <w:bCs w:val="0"/>
                <w:noProof/>
                <w:szCs w:val="22"/>
                <w:lang w:eastAsia="en-GB"/>
              </w:rPr>
              <w:tab/>
            </w:r>
            <w:r>
              <w:rPr>
                <w:rStyle w:val="Hyperlink"/>
                <w:noProof/>
              </w:rPr>
              <w:t>Underlying principle 4: reusability</w:t>
            </w:r>
            <w:r>
              <w:rPr>
                <w:noProof/>
                <w:webHidden/>
              </w:rPr>
              <w:tab/>
            </w:r>
            <w:r>
              <w:rPr>
                <w:noProof/>
                <w:webHidden/>
              </w:rPr>
              <w:fldChar w:fldCharType="begin"/>
            </w:r>
            <w:r>
              <w:rPr>
                <w:noProof/>
                <w:webHidden/>
              </w:rPr>
              <w:instrText xml:space="preserve"> PAGEREF _Toc469902793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794" w:history="1">
            <w:r>
              <w:rPr>
                <w:rStyle w:val="Hyperlink"/>
                <w:noProof/>
              </w:rPr>
              <w:t>2.6</w:t>
            </w:r>
            <w:r>
              <w:rPr>
                <w:rFonts w:asciiTheme="minorHAnsi" w:eastAsiaTheme="minorEastAsia" w:hAnsiTheme="minorHAnsi" w:cstheme="minorBidi"/>
                <w:b w:val="0"/>
                <w:bCs w:val="0"/>
                <w:noProof/>
                <w:szCs w:val="22"/>
                <w:lang w:eastAsia="en-GB"/>
              </w:rPr>
              <w:tab/>
            </w:r>
            <w:r>
              <w:rPr>
                <w:rStyle w:val="Hyperlink"/>
                <w:noProof/>
              </w:rPr>
              <w:t>Underlying principle 5: technological neutrality and data portability</w:t>
            </w:r>
            <w:r>
              <w:rPr>
                <w:noProof/>
                <w:webHidden/>
              </w:rPr>
              <w:tab/>
            </w:r>
            <w:r>
              <w:rPr>
                <w:noProof/>
                <w:webHidden/>
              </w:rPr>
              <w:fldChar w:fldCharType="begin"/>
            </w:r>
            <w:r>
              <w:rPr>
                <w:noProof/>
                <w:webHidden/>
              </w:rPr>
              <w:instrText xml:space="preserve"> PAGEREF _Toc469902794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795" w:history="1">
            <w:r>
              <w:rPr>
                <w:rStyle w:val="Hyperlink"/>
                <w:noProof/>
              </w:rPr>
              <w:t>2.7</w:t>
            </w:r>
            <w:r>
              <w:rPr>
                <w:rFonts w:asciiTheme="minorHAnsi" w:eastAsiaTheme="minorEastAsia" w:hAnsiTheme="minorHAnsi" w:cstheme="minorBidi"/>
                <w:b w:val="0"/>
                <w:bCs w:val="0"/>
                <w:noProof/>
                <w:szCs w:val="22"/>
                <w:lang w:eastAsia="en-GB"/>
              </w:rPr>
              <w:tab/>
            </w:r>
            <w:r>
              <w:rPr>
                <w:rStyle w:val="Hyperlink"/>
                <w:noProof/>
              </w:rPr>
              <w:t>Underlying principle 6: user-centricity</w:t>
            </w:r>
            <w:r>
              <w:rPr>
                <w:noProof/>
                <w:webHidden/>
              </w:rPr>
              <w:tab/>
            </w:r>
            <w:r>
              <w:rPr>
                <w:noProof/>
                <w:webHidden/>
              </w:rPr>
              <w:fldChar w:fldCharType="begin"/>
            </w:r>
            <w:r>
              <w:rPr>
                <w:noProof/>
                <w:webHidden/>
              </w:rPr>
              <w:instrText xml:space="preserve"> PAGEREF _Toc469902795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796" w:history="1">
            <w:r>
              <w:rPr>
                <w:rStyle w:val="Hyperlink"/>
                <w:noProof/>
              </w:rPr>
              <w:t>2.8</w:t>
            </w:r>
            <w:r>
              <w:rPr>
                <w:rFonts w:asciiTheme="minorHAnsi" w:eastAsiaTheme="minorEastAsia" w:hAnsiTheme="minorHAnsi" w:cstheme="minorBidi"/>
                <w:b w:val="0"/>
                <w:bCs w:val="0"/>
                <w:noProof/>
                <w:szCs w:val="22"/>
                <w:lang w:eastAsia="en-GB"/>
              </w:rPr>
              <w:tab/>
            </w:r>
            <w:r>
              <w:rPr>
                <w:rStyle w:val="Hyperlink"/>
                <w:noProof/>
              </w:rPr>
              <w:t>Underlying principle 7: inclusion and accessibility</w:t>
            </w:r>
            <w:r>
              <w:rPr>
                <w:noProof/>
                <w:webHidden/>
              </w:rPr>
              <w:tab/>
            </w:r>
            <w:r>
              <w:rPr>
                <w:noProof/>
                <w:webHidden/>
              </w:rPr>
              <w:fldChar w:fldCharType="begin"/>
            </w:r>
            <w:r>
              <w:rPr>
                <w:noProof/>
                <w:webHidden/>
              </w:rPr>
              <w:instrText xml:space="preserve"> PAGEREF _Toc469902796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797" w:history="1">
            <w:r>
              <w:rPr>
                <w:rStyle w:val="Hyperlink"/>
                <w:noProof/>
              </w:rPr>
              <w:t>2.9</w:t>
            </w:r>
            <w:r>
              <w:rPr>
                <w:rFonts w:asciiTheme="minorHAnsi" w:eastAsiaTheme="minorEastAsia" w:hAnsiTheme="minorHAnsi" w:cstheme="minorBidi"/>
                <w:b w:val="0"/>
                <w:bCs w:val="0"/>
                <w:noProof/>
                <w:szCs w:val="22"/>
                <w:lang w:eastAsia="en-GB"/>
              </w:rPr>
              <w:tab/>
            </w:r>
            <w:r>
              <w:rPr>
                <w:rStyle w:val="Hyperlink"/>
                <w:noProof/>
              </w:rPr>
              <w:t>Underlying principle 8: security and privacy</w:t>
            </w:r>
            <w:r>
              <w:rPr>
                <w:noProof/>
                <w:webHidden/>
              </w:rPr>
              <w:tab/>
            </w:r>
            <w:r>
              <w:rPr>
                <w:noProof/>
                <w:webHidden/>
              </w:rPr>
              <w:fldChar w:fldCharType="begin"/>
            </w:r>
            <w:r>
              <w:rPr>
                <w:noProof/>
                <w:webHidden/>
              </w:rPr>
              <w:instrText xml:space="preserve"> PAGEREF _Toc469902797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798" w:history="1">
            <w:r>
              <w:rPr>
                <w:rStyle w:val="Hyperlink"/>
                <w:noProof/>
              </w:rPr>
              <w:t>2.10</w:t>
            </w:r>
            <w:r>
              <w:rPr>
                <w:rFonts w:asciiTheme="minorHAnsi" w:eastAsiaTheme="minorEastAsia" w:hAnsiTheme="minorHAnsi" w:cstheme="minorBidi"/>
                <w:b w:val="0"/>
                <w:bCs w:val="0"/>
                <w:noProof/>
                <w:szCs w:val="22"/>
                <w:lang w:eastAsia="en-GB"/>
              </w:rPr>
              <w:tab/>
            </w:r>
            <w:r>
              <w:rPr>
                <w:rStyle w:val="Hyperlink"/>
                <w:noProof/>
              </w:rPr>
              <w:t>Underlying principle 9: multilingualism</w:t>
            </w:r>
            <w:r>
              <w:rPr>
                <w:noProof/>
                <w:webHidden/>
              </w:rPr>
              <w:tab/>
            </w:r>
            <w:r>
              <w:rPr>
                <w:noProof/>
                <w:webHidden/>
              </w:rPr>
              <w:fldChar w:fldCharType="begin"/>
            </w:r>
            <w:r>
              <w:rPr>
                <w:noProof/>
                <w:webHidden/>
              </w:rPr>
              <w:instrText xml:space="preserve"> PAGEREF _Toc469902798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799" w:history="1">
            <w:r>
              <w:rPr>
                <w:rStyle w:val="Hyperlink"/>
                <w:noProof/>
              </w:rPr>
              <w:t>2.11</w:t>
            </w:r>
            <w:r>
              <w:rPr>
                <w:rFonts w:asciiTheme="minorHAnsi" w:eastAsiaTheme="minorEastAsia" w:hAnsiTheme="minorHAnsi" w:cstheme="minorBidi"/>
                <w:b w:val="0"/>
                <w:bCs w:val="0"/>
                <w:noProof/>
                <w:szCs w:val="22"/>
                <w:lang w:eastAsia="en-GB"/>
              </w:rPr>
              <w:tab/>
            </w:r>
            <w:r>
              <w:rPr>
                <w:rStyle w:val="Hyperlink"/>
                <w:noProof/>
              </w:rPr>
              <w:t>Underlying principle 10: administrative simplification</w:t>
            </w:r>
            <w:r>
              <w:rPr>
                <w:noProof/>
                <w:webHidden/>
              </w:rPr>
              <w:tab/>
            </w:r>
            <w:r>
              <w:rPr>
                <w:noProof/>
                <w:webHidden/>
              </w:rPr>
              <w:fldChar w:fldCharType="begin"/>
            </w:r>
            <w:r>
              <w:rPr>
                <w:noProof/>
                <w:webHidden/>
              </w:rPr>
              <w:instrText xml:space="preserve"> PAGEREF _Toc469902799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800" w:history="1">
            <w:r>
              <w:rPr>
                <w:rStyle w:val="Hyperlink"/>
                <w:noProof/>
              </w:rPr>
              <w:t>2.12</w:t>
            </w:r>
            <w:r>
              <w:rPr>
                <w:rFonts w:asciiTheme="minorHAnsi" w:eastAsiaTheme="minorEastAsia" w:hAnsiTheme="minorHAnsi" w:cstheme="minorBidi"/>
                <w:b w:val="0"/>
                <w:bCs w:val="0"/>
                <w:noProof/>
                <w:szCs w:val="22"/>
                <w:lang w:eastAsia="en-GB"/>
              </w:rPr>
              <w:tab/>
            </w:r>
            <w:r>
              <w:rPr>
                <w:rStyle w:val="Hyperlink"/>
                <w:noProof/>
              </w:rPr>
              <w:t>Underlying principle 11: preservation of information</w:t>
            </w:r>
            <w:r>
              <w:rPr>
                <w:noProof/>
                <w:webHidden/>
              </w:rPr>
              <w:tab/>
            </w:r>
            <w:r>
              <w:rPr>
                <w:noProof/>
                <w:webHidden/>
              </w:rPr>
              <w:fldChar w:fldCharType="begin"/>
            </w:r>
            <w:r>
              <w:rPr>
                <w:noProof/>
                <w:webHidden/>
              </w:rPr>
              <w:instrText xml:space="preserve"> PAGEREF _Toc469902800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801" w:history="1">
            <w:r>
              <w:rPr>
                <w:rStyle w:val="Hyperlink"/>
                <w:noProof/>
              </w:rPr>
              <w:t>2.13</w:t>
            </w:r>
            <w:r>
              <w:rPr>
                <w:rFonts w:asciiTheme="minorHAnsi" w:eastAsiaTheme="minorEastAsia" w:hAnsiTheme="minorHAnsi" w:cstheme="minorBidi"/>
                <w:b w:val="0"/>
                <w:bCs w:val="0"/>
                <w:noProof/>
                <w:szCs w:val="22"/>
                <w:lang w:eastAsia="en-GB"/>
              </w:rPr>
              <w:tab/>
            </w:r>
            <w:r>
              <w:rPr>
                <w:rStyle w:val="Hyperlink"/>
                <w:noProof/>
              </w:rPr>
              <w:t>Underlying principle 12: assessment of effectiveness and efficiency</w:t>
            </w:r>
            <w:r>
              <w:rPr>
                <w:noProof/>
                <w:webHidden/>
              </w:rPr>
              <w:tab/>
            </w:r>
            <w:r>
              <w:rPr>
                <w:noProof/>
                <w:webHidden/>
              </w:rPr>
              <w:fldChar w:fldCharType="begin"/>
            </w:r>
            <w:r>
              <w:rPr>
                <w:noProof/>
                <w:webHidden/>
              </w:rPr>
              <w:instrText xml:space="preserve"> PAGEREF _Toc469902801 \h </w:instrText>
            </w:r>
            <w:r>
              <w:rPr>
                <w:noProof/>
                <w:webHidden/>
              </w:rPr>
            </w:r>
            <w:r>
              <w:rPr>
                <w:noProof/>
                <w:webHidden/>
              </w:rPr>
              <w:fldChar w:fldCharType="separate"/>
            </w:r>
            <w:r>
              <w:rPr>
                <w:noProof/>
                <w:webHidden/>
              </w:rPr>
              <w:t>17</w:t>
            </w:r>
            <w:r>
              <w:rPr>
                <w:noProof/>
                <w:webHidden/>
              </w:rPr>
              <w:fldChar w:fldCharType="end"/>
            </w:r>
          </w:hyperlink>
        </w:p>
        <w:p>
          <w:pPr>
            <w:pStyle w:val="TOC1"/>
            <w:tabs>
              <w:tab w:val="left" w:pos="400"/>
              <w:tab w:val="right" w:leader="dot" w:pos="9059"/>
            </w:tabs>
            <w:rPr>
              <w:rFonts w:asciiTheme="minorHAnsi" w:eastAsiaTheme="minorEastAsia" w:hAnsiTheme="minorHAnsi" w:cstheme="minorBidi"/>
              <w:b w:val="0"/>
              <w:bCs w:val="0"/>
              <w:caps w:val="0"/>
              <w:noProof/>
              <w:sz w:val="22"/>
              <w:szCs w:val="22"/>
              <w:lang w:eastAsia="en-GB"/>
            </w:rPr>
          </w:pPr>
          <w:hyperlink w:anchor="_Toc469902802" w:history="1">
            <w:r>
              <w:rPr>
                <w:rStyle w:val="Hyperlink"/>
                <w:smallCaps/>
                <w:noProof/>
                <w:lang w:eastAsia="en-US"/>
              </w:rPr>
              <w:t>3</w:t>
            </w:r>
            <w:r>
              <w:rPr>
                <w:rFonts w:asciiTheme="minorHAnsi" w:eastAsiaTheme="minorEastAsia" w:hAnsiTheme="minorHAnsi" w:cstheme="minorBidi"/>
                <w:b w:val="0"/>
                <w:bCs w:val="0"/>
                <w:caps w:val="0"/>
                <w:noProof/>
                <w:sz w:val="22"/>
                <w:szCs w:val="22"/>
                <w:lang w:eastAsia="en-GB"/>
              </w:rPr>
              <w:tab/>
            </w:r>
            <w:r>
              <w:rPr>
                <w:rStyle w:val="Hyperlink"/>
                <w:smallCaps/>
                <w:noProof/>
                <w:lang w:eastAsia="en-US"/>
              </w:rPr>
              <w:t>Interoperability layers</w:t>
            </w:r>
            <w:r>
              <w:rPr>
                <w:noProof/>
                <w:webHidden/>
              </w:rPr>
              <w:tab/>
            </w:r>
            <w:r>
              <w:rPr>
                <w:noProof/>
                <w:webHidden/>
              </w:rPr>
              <w:fldChar w:fldCharType="begin"/>
            </w:r>
            <w:r>
              <w:rPr>
                <w:noProof/>
                <w:webHidden/>
              </w:rPr>
              <w:instrText xml:space="preserve"> PAGEREF _Toc469902802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803" w:history="1">
            <w:r>
              <w:rPr>
                <w:rStyle w:val="Hyperlink"/>
                <w:noProof/>
              </w:rPr>
              <w:t>3.1</w:t>
            </w:r>
            <w:r>
              <w:rPr>
                <w:rFonts w:asciiTheme="minorHAnsi" w:eastAsiaTheme="minorEastAsia" w:hAnsiTheme="minorHAnsi" w:cstheme="minorBidi"/>
                <w:b w:val="0"/>
                <w:bCs w:val="0"/>
                <w:noProof/>
                <w:szCs w:val="22"/>
                <w:lang w:eastAsia="en-GB"/>
              </w:rPr>
              <w:tab/>
            </w:r>
            <w:r>
              <w:rPr>
                <w:rStyle w:val="Hyperlink"/>
                <w:noProof/>
              </w:rPr>
              <w:t>Interoperability governance</w:t>
            </w:r>
            <w:r>
              <w:rPr>
                <w:noProof/>
                <w:webHidden/>
              </w:rPr>
              <w:tab/>
            </w:r>
            <w:r>
              <w:rPr>
                <w:noProof/>
                <w:webHidden/>
              </w:rPr>
              <w:fldChar w:fldCharType="begin"/>
            </w:r>
            <w:r>
              <w:rPr>
                <w:noProof/>
                <w:webHidden/>
              </w:rPr>
              <w:instrText xml:space="preserve"> PAGEREF _Toc469902803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804" w:history="1">
            <w:r>
              <w:rPr>
                <w:rStyle w:val="Hyperlink"/>
                <w:noProof/>
              </w:rPr>
              <w:t>3.2</w:t>
            </w:r>
            <w:r>
              <w:rPr>
                <w:rFonts w:asciiTheme="minorHAnsi" w:eastAsiaTheme="minorEastAsia" w:hAnsiTheme="minorHAnsi" w:cstheme="minorBidi"/>
                <w:b w:val="0"/>
                <w:bCs w:val="0"/>
                <w:noProof/>
                <w:szCs w:val="22"/>
                <w:lang w:eastAsia="en-GB"/>
              </w:rPr>
              <w:tab/>
            </w:r>
            <w:r>
              <w:rPr>
                <w:rStyle w:val="Hyperlink"/>
                <w:noProof/>
              </w:rPr>
              <w:t>Integrated public service governance</w:t>
            </w:r>
            <w:r>
              <w:rPr>
                <w:noProof/>
                <w:webHidden/>
              </w:rPr>
              <w:tab/>
            </w:r>
            <w:r>
              <w:rPr>
                <w:noProof/>
                <w:webHidden/>
              </w:rPr>
              <w:fldChar w:fldCharType="begin"/>
            </w:r>
            <w:r>
              <w:rPr>
                <w:noProof/>
                <w:webHidden/>
              </w:rPr>
              <w:instrText xml:space="preserve"> PAGEREF _Toc469902804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805" w:history="1">
            <w:r>
              <w:rPr>
                <w:rStyle w:val="Hyperlink"/>
                <w:noProof/>
              </w:rPr>
              <w:t>3.3</w:t>
            </w:r>
            <w:r>
              <w:rPr>
                <w:rFonts w:asciiTheme="minorHAnsi" w:eastAsiaTheme="minorEastAsia" w:hAnsiTheme="minorHAnsi" w:cstheme="minorBidi"/>
                <w:b w:val="0"/>
                <w:bCs w:val="0"/>
                <w:noProof/>
                <w:szCs w:val="22"/>
                <w:lang w:eastAsia="en-GB"/>
              </w:rPr>
              <w:tab/>
            </w:r>
            <w:r>
              <w:rPr>
                <w:rStyle w:val="Hyperlink"/>
                <w:noProof/>
              </w:rPr>
              <w:t>Legal interoperability</w:t>
            </w:r>
            <w:r>
              <w:rPr>
                <w:noProof/>
                <w:webHidden/>
              </w:rPr>
              <w:tab/>
            </w:r>
            <w:r>
              <w:rPr>
                <w:noProof/>
                <w:webHidden/>
              </w:rPr>
              <w:fldChar w:fldCharType="begin"/>
            </w:r>
            <w:r>
              <w:rPr>
                <w:noProof/>
                <w:webHidden/>
              </w:rPr>
              <w:instrText xml:space="preserve"> PAGEREF _Toc469902805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806" w:history="1">
            <w:r>
              <w:rPr>
                <w:rStyle w:val="Hyperlink"/>
                <w:noProof/>
              </w:rPr>
              <w:t>3.4</w:t>
            </w:r>
            <w:r>
              <w:rPr>
                <w:rFonts w:asciiTheme="minorHAnsi" w:eastAsiaTheme="minorEastAsia" w:hAnsiTheme="minorHAnsi" w:cstheme="minorBidi"/>
                <w:b w:val="0"/>
                <w:bCs w:val="0"/>
                <w:noProof/>
                <w:szCs w:val="22"/>
                <w:lang w:eastAsia="en-GB"/>
              </w:rPr>
              <w:tab/>
            </w:r>
            <w:r>
              <w:rPr>
                <w:rStyle w:val="Hyperlink"/>
                <w:noProof/>
              </w:rPr>
              <w:t>Organisational interoperability</w:t>
            </w:r>
            <w:r>
              <w:rPr>
                <w:noProof/>
                <w:webHidden/>
              </w:rPr>
              <w:tab/>
            </w:r>
            <w:r>
              <w:rPr>
                <w:noProof/>
                <w:webHidden/>
              </w:rPr>
              <w:fldChar w:fldCharType="begin"/>
            </w:r>
            <w:r>
              <w:rPr>
                <w:noProof/>
                <w:webHidden/>
              </w:rPr>
              <w:instrText xml:space="preserve"> PAGEREF _Toc469902806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807" w:history="1">
            <w:r>
              <w:rPr>
                <w:rStyle w:val="Hyperlink"/>
                <w:noProof/>
              </w:rPr>
              <w:t>3.5</w:t>
            </w:r>
            <w:r>
              <w:rPr>
                <w:rFonts w:asciiTheme="minorHAnsi" w:eastAsiaTheme="minorEastAsia" w:hAnsiTheme="minorHAnsi" w:cstheme="minorBidi"/>
                <w:b w:val="0"/>
                <w:bCs w:val="0"/>
                <w:noProof/>
                <w:szCs w:val="22"/>
                <w:lang w:eastAsia="en-GB"/>
              </w:rPr>
              <w:tab/>
            </w:r>
            <w:r>
              <w:rPr>
                <w:rStyle w:val="Hyperlink"/>
                <w:noProof/>
              </w:rPr>
              <w:t>Semantic interoperability</w:t>
            </w:r>
            <w:r>
              <w:rPr>
                <w:noProof/>
                <w:webHidden/>
              </w:rPr>
              <w:tab/>
            </w:r>
            <w:r>
              <w:rPr>
                <w:noProof/>
                <w:webHidden/>
              </w:rPr>
              <w:fldChar w:fldCharType="begin"/>
            </w:r>
            <w:r>
              <w:rPr>
                <w:noProof/>
                <w:webHidden/>
              </w:rPr>
              <w:instrText xml:space="preserve"> PAGEREF _Toc469902807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808" w:history="1">
            <w:r>
              <w:rPr>
                <w:rStyle w:val="Hyperlink"/>
                <w:noProof/>
              </w:rPr>
              <w:t>3.6</w:t>
            </w:r>
            <w:r>
              <w:rPr>
                <w:rFonts w:asciiTheme="minorHAnsi" w:eastAsiaTheme="minorEastAsia" w:hAnsiTheme="minorHAnsi" w:cstheme="minorBidi"/>
                <w:b w:val="0"/>
                <w:bCs w:val="0"/>
                <w:noProof/>
                <w:szCs w:val="22"/>
                <w:lang w:eastAsia="en-GB"/>
              </w:rPr>
              <w:tab/>
            </w:r>
            <w:r>
              <w:rPr>
                <w:rStyle w:val="Hyperlink"/>
                <w:noProof/>
              </w:rPr>
              <w:t>Technical interoperability</w:t>
            </w:r>
            <w:r>
              <w:rPr>
                <w:noProof/>
                <w:webHidden/>
              </w:rPr>
              <w:tab/>
            </w:r>
            <w:r>
              <w:rPr>
                <w:noProof/>
                <w:webHidden/>
              </w:rPr>
              <w:fldChar w:fldCharType="begin"/>
            </w:r>
            <w:r>
              <w:rPr>
                <w:noProof/>
                <w:webHidden/>
              </w:rPr>
              <w:instrText xml:space="preserve"> PAGEREF _Toc469902808 \h </w:instrText>
            </w:r>
            <w:r>
              <w:rPr>
                <w:noProof/>
                <w:webHidden/>
              </w:rPr>
            </w:r>
            <w:r>
              <w:rPr>
                <w:noProof/>
                <w:webHidden/>
              </w:rPr>
              <w:fldChar w:fldCharType="separate"/>
            </w:r>
            <w:r>
              <w:rPr>
                <w:noProof/>
                <w:webHidden/>
              </w:rPr>
              <w:t>27</w:t>
            </w:r>
            <w:r>
              <w:rPr>
                <w:noProof/>
                <w:webHidden/>
              </w:rPr>
              <w:fldChar w:fldCharType="end"/>
            </w:r>
          </w:hyperlink>
        </w:p>
        <w:p>
          <w:pPr>
            <w:pStyle w:val="TOC1"/>
            <w:tabs>
              <w:tab w:val="left" w:pos="400"/>
              <w:tab w:val="right" w:leader="dot" w:pos="9059"/>
            </w:tabs>
            <w:rPr>
              <w:noProof/>
            </w:rPr>
          </w:pPr>
        </w:p>
        <w:p>
          <w:pPr>
            <w:pStyle w:val="TOC1"/>
            <w:tabs>
              <w:tab w:val="left" w:pos="400"/>
              <w:tab w:val="right" w:leader="dot" w:pos="9059"/>
            </w:tabs>
            <w:rPr>
              <w:rFonts w:asciiTheme="minorHAnsi" w:eastAsiaTheme="minorEastAsia" w:hAnsiTheme="minorHAnsi" w:cstheme="minorBidi"/>
              <w:b w:val="0"/>
              <w:bCs w:val="0"/>
              <w:caps w:val="0"/>
              <w:noProof/>
              <w:sz w:val="22"/>
              <w:szCs w:val="22"/>
              <w:lang w:eastAsia="en-GB"/>
            </w:rPr>
          </w:pPr>
          <w:hyperlink w:anchor="_Toc469902809" w:history="1">
            <w:r>
              <w:rPr>
                <w:rStyle w:val="Hyperlink"/>
                <w:smallCaps/>
                <w:noProof/>
                <w:lang w:eastAsia="en-US"/>
              </w:rPr>
              <w:t>4</w:t>
            </w:r>
            <w:r>
              <w:rPr>
                <w:rFonts w:asciiTheme="minorHAnsi" w:eastAsiaTheme="minorEastAsia" w:hAnsiTheme="minorHAnsi" w:cstheme="minorBidi"/>
                <w:b w:val="0"/>
                <w:bCs w:val="0"/>
                <w:caps w:val="0"/>
                <w:noProof/>
                <w:sz w:val="22"/>
                <w:szCs w:val="22"/>
                <w:lang w:eastAsia="en-GB"/>
              </w:rPr>
              <w:tab/>
            </w:r>
            <w:r>
              <w:rPr>
                <w:rStyle w:val="Hyperlink"/>
                <w:smallCaps/>
                <w:noProof/>
                <w:lang w:eastAsia="en-US"/>
              </w:rPr>
              <w:t>The conceptual model for integrated public services provision</w:t>
            </w:r>
            <w:r>
              <w:rPr>
                <w:noProof/>
                <w:webHidden/>
              </w:rPr>
              <w:tab/>
            </w:r>
            <w:r>
              <w:rPr>
                <w:noProof/>
                <w:webHidden/>
              </w:rPr>
              <w:fldChar w:fldCharType="begin"/>
            </w:r>
            <w:r>
              <w:rPr>
                <w:noProof/>
                <w:webHidden/>
              </w:rPr>
              <w:instrText xml:space="preserve"> PAGEREF _Toc469902809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810" w:history="1">
            <w:r>
              <w:rPr>
                <w:rStyle w:val="Hyperlink"/>
                <w:noProof/>
              </w:rPr>
              <w:t>4.1</w:t>
            </w:r>
            <w:r>
              <w:rPr>
                <w:rFonts w:asciiTheme="minorHAnsi" w:eastAsiaTheme="minorEastAsia" w:hAnsiTheme="minorHAnsi" w:cstheme="minorBidi"/>
                <w:b w:val="0"/>
                <w:bCs w:val="0"/>
                <w:noProof/>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_Toc469902810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811" w:history="1">
            <w:r>
              <w:rPr>
                <w:rStyle w:val="Hyperlink"/>
                <w:noProof/>
              </w:rPr>
              <w:t>4.2</w:t>
            </w:r>
            <w:r>
              <w:rPr>
                <w:rFonts w:asciiTheme="minorHAnsi" w:eastAsiaTheme="minorEastAsia" w:hAnsiTheme="minorHAnsi" w:cstheme="minorBidi"/>
                <w:b w:val="0"/>
                <w:bCs w:val="0"/>
                <w:noProof/>
                <w:szCs w:val="22"/>
                <w:lang w:eastAsia="en-GB"/>
              </w:rPr>
              <w:tab/>
            </w:r>
            <w:r>
              <w:rPr>
                <w:rStyle w:val="Hyperlink"/>
                <w:noProof/>
              </w:rPr>
              <w:t>Model overview</w:t>
            </w:r>
            <w:r>
              <w:rPr>
                <w:noProof/>
                <w:webHidden/>
              </w:rPr>
              <w:tab/>
            </w:r>
            <w:r>
              <w:rPr>
                <w:noProof/>
                <w:webHidden/>
              </w:rPr>
              <w:fldChar w:fldCharType="begin"/>
            </w:r>
            <w:r>
              <w:rPr>
                <w:noProof/>
                <w:webHidden/>
              </w:rPr>
              <w:instrText xml:space="preserve"> PAGEREF _Toc469902811 \h </w:instrText>
            </w:r>
            <w:r>
              <w:rPr>
                <w:noProof/>
                <w:webHidden/>
              </w:rPr>
            </w:r>
            <w:r>
              <w:rPr>
                <w:noProof/>
                <w:webHidden/>
              </w:rPr>
              <w:fldChar w:fldCharType="separate"/>
            </w:r>
            <w:r>
              <w:rPr>
                <w:noProof/>
                <w:webHidden/>
              </w:rPr>
              <w:t>28</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812" w:history="1">
            <w:r>
              <w:rPr>
                <w:rStyle w:val="Hyperlink"/>
                <w:noProof/>
              </w:rPr>
              <w:t>4.3</w:t>
            </w:r>
            <w:r>
              <w:rPr>
                <w:rFonts w:asciiTheme="minorHAnsi" w:eastAsiaTheme="minorEastAsia" w:hAnsiTheme="minorHAnsi" w:cstheme="minorBidi"/>
                <w:b w:val="0"/>
                <w:bCs w:val="0"/>
                <w:noProof/>
                <w:szCs w:val="22"/>
                <w:lang w:eastAsia="en-GB"/>
              </w:rPr>
              <w:tab/>
            </w:r>
            <w:r>
              <w:rPr>
                <w:rStyle w:val="Hyperlink"/>
                <w:noProof/>
              </w:rPr>
              <w:t>Basic components</w:t>
            </w:r>
            <w:r>
              <w:rPr>
                <w:noProof/>
                <w:webHidden/>
              </w:rPr>
              <w:tab/>
            </w:r>
            <w:r>
              <w:rPr>
                <w:noProof/>
                <w:webHidden/>
              </w:rPr>
              <w:fldChar w:fldCharType="begin"/>
            </w:r>
            <w:r>
              <w:rPr>
                <w:noProof/>
                <w:webHidden/>
              </w:rPr>
              <w:instrText xml:space="preserve"> PAGEREF _Toc469902812 \h </w:instrText>
            </w:r>
            <w:r>
              <w:rPr>
                <w:noProof/>
                <w:webHidden/>
              </w:rPr>
            </w:r>
            <w:r>
              <w:rPr>
                <w:noProof/>
                <w:webHidden/>
              </w:rPr>
              <w:fldChar w:fldCharType="separate"/>
            </w:r>
            <w:r>
              <w:rPr>
                <w:noProof/>
                <w:webHidden/>
              </w:rPr>
              <w:t>29</w:t>
            </w:r>
            <w:r>
              <w:rPr>
                <w:noProof/>
                <w:webHidden/>
              </w:rPr>
              <w:fldChar w:fldCharType="end"/>
            </w:r>
          </w:hyperlink>
        </w:p>
        <w:p>
          <w:pPr>
            <w:pStyle w:val="TOC1"/>
            <w:tabs>
              <w:tab w:val="left" w:pos="400"/>
              <w:tab w:val="right" w:leader="dot" w:pos="9059"/>
            </w:tabs>
            <w:rPr>
              <w:rFonts w:asciiTheme="minorHAnsi" w:eastAsiaTheme="minorEastAsia" w:hAnsiTheme="minorHAnsi" w:cstheme="minorBidi"/>
              <w:b w:val="0"/>
              <w:bCs w:val="0"/>
              <w:caps w:val="0"/>
              <w:noProof/>
              <w:sz w:val="22"/>
              <w:szCs w:val="22"/>
              <w:lang w:eastAsia="en-GB"/>
            </w:rPr>
          </w:pPr>
          <w:hyperlink w:anchor="_Toc469902813" w:history="1">
            <w:r>
              <w:rPr>
                <w:rStyle w:val="Hyperlink"/>
                <w:smallCaps/>
                <w:noProof/>
                <w:lang w:eastAsia="en-US"/>
              </w:rPr>
              <w:t>5</w:t>
            </w:r>
            <w:r>
              <w:rPr>
                <w:rFonts w:asciiTheme="minorHAnsi" w:eastAsiaTheme="minorEastAsia" w:hAnsiTheme="minorHAnsi" w:cstheme="minorBidi"/>
                <w:b w:val="0"/>
                <w:bCs w:val="0"/>
                <w:caps w:val="0"/>
                <w:noProof/>
                <w:sz w:val="22"/>
                <w:szCs w:val="22"/>
                <w:lang w:eastAsia="en-GB"/>
              </w:rPr>
              <w:tab/>
            </w:r>
            <w:r>
              <w:rPr>
                <w:rStyle w:val="Hyperlink"/>
                <w:smallCaps/>
                <w:noProof/>
                <w:lang w:eastAsia="en-US"/>
              </w:rPr>
              <w:t>Conclusion</w:t>
            </w:r>
            <w:r>
              <w:rPr>
                <w:noProof/>
                <w:webHidden/>
              </w:rPr>
              <w:tab/>
            </w:r>
            <w:r>
              <w:rPr>
                <w:noProof/>
                <w:webHidden/>
              </w:rPr>
              <w:fldChar w:fldCharType="begin"/>
            </w:r>
            <w:r>
              <w:rPr>
                <w:noProof/>
                <w:webHidden/>
              </w:rPr>
              <w:instrText xml:space="preserve"> PAGEREF _Toc469902813 \h </w:instrText>
            </w:r>
            <w:r>
              <w:rPr>
                <w:noProof/>
                <w:webHidden/>
              </w:rPr>
            </w:r>
            <w:r>
              <w:rPr>
                <w:noProof/>
                <w:webHidden/>
              </w:rPr>
              <w:fldChar w:fldCharType="separate"/>
            </w:r>
            <w:r>
              <w:rPr>
                <w:noProof/>
                <w:webHidden/>
              </w:rPr>
              <w:t>37</w:t>
            </w:r>
            <w:r>
              <w:rPr>
                <w:noProof/>
                <w:webHidden/>
              </w:rPr>
              <w:fldChar w:fldCharType="end"/>
            </w:r>
          </w:hyperlink>
        </w:p>
        <w:p>
          <w:pPr>
            <w:pStyle w:val="TOC1"/>
            <w:tabs>
              <w:tab w:val="left" w:pos="400"/>
              <w:tab w:val="right" w:leader="dot" w:pos="9059"/>
            </w:tabs>
            <w:rPr>
              <w:rFonts w:asciiTheme="minorHAnsi" w:eastAsiaTheme="minorEastAsia" w:hAnsiTheme="minorHAnsi" w:cstheme="minorBidi"/>
              <w:b w:val="0"/>
              <w:bCs w:val="0"/>
              <w:caps w:val="0"/>
              <w:noProof/>
              <w:sz w:val="22"/>
              <w:szCs w:val="22"/>
              <w:lang w:eastAsia="en-GB"/>
            </w:rPr>
          </w:pPr>
          <w:hyperlink w:anchor="_Toc469902814" w:history="1">
            <w:r>
              <w:rPr>
                <w:rStyle w:val="Hyperlink"/>
                <w:smallCaps/>
                <w:noProof/>
                <w:lang w:eastAsia="en-US"/>
              </w:rPr>
              <w:t>6</w:t>
            </w:r>
            <w:r>
              <w:rPr>
                <w:rFonts w:asciiTheme="minorHAnsi" w:eastAsiaTheme="minorEastAsia" w:hAnsiTheme="minorHAnsi" w:cstheme="minorBidi"/>
                <w:b w:val="0"/>
                <w:bCs w:val="0"/>
                <w:caps w:val="0"/>
                <w:noProof/>
                <w:sz w:val="22"/>
                <w:szCs w:val="22"/>
                <w:lang w:eastAsia="en-GB"/>
              </w:rPr>
              <w:tab/>
            </w:r>
            <w:r>
              <w:rPr>
                <w:rStyle w:val="Hyperlink"/>
                <w:smallCaps/>
                <w:noProof/>
                <w:lang w:eastAsia="en-US"/>
              </w:rPr>
              <w:t>Annex</w:t>
            </w:r>
            <w:r>
              <w:rPr>
                <w:noProof/>
                <w:webHidden/>
              </w:rPr>
              <w:tab/>
            </w:r>
            <w:r>
              <w:rPr>
                <w:noProof/>
                <w:webHidden/>
              </w:rPr>
              <w:fldChar w:fldCharType="begin"/>
            </w:r>
            <w:r>
              <w:rPr>
                <w:noProof/>
                <w:webHidden/>
              </w:rPr>
              <w:instrText xml:space="preserve"> PAGEREF _Toc469902814 \h </w:instrText>
            </w:r>
            <w:r>
              <w:rPr>
                <w:noProof/>
                <w:webHidden/>
              </w:rPr>
            </w:r>
            <w:r>
              <w:rPr>
                <w:noProof/>
                <w:webHidden/>
              </w:rPr>
              <w:fldChar w:fldCharType="separate"/>
            </w:r>
            <w:r>
              <w:rPr>
                <w:noProof/>
                <w:webHidden/>
              </w:rPr>
              <w:t>39</w:t>
            </w:r>
            <w:r>
              <w:rPr>
                <w:noProof/>
                <w:webHidden/>
              </w:rPr>
              <w:fldChar w:fldCharType="end"/>
            </w:r>
          </w:hyperlink>
        </w:p>
        <w:p>
          <w:pPr>
            <w:pStyle w:val="TOC2"/>
            <w:tabs>
              <w:tab w:val="left" w:pos="660"/>
              <w:tab w:val="right" w:leader="dot" w:pos="9059"/>
            </w:tabs>
            <w:rPr>
              <w:rFonts w:asciiTheme="minorHAnsi" w:eastAsiaTheme="minorEastAsia" w:hAnsiTheme="minorHAnsi" w:cstheme="minorBidi"/>
              <w:b w:val="0"/>
              <w:bCs w:val="0"/>
              <w:noProof/>
              <w:szCs w:val="22"/>
              <w:lang w:eastAsia="en-GB"/>
            </w:rPr>
          </w:pPr>
          <w:hyperlink w:anchor="_Toc469902815" w:history="1">
            <w:r>
              <w:rPr>
                <w:rStyle w:val="Hyperlink"/>
                <w:noProof/>
              </w:rPr>
              <w:t>6.1</w:t>
            </w:r>
            <w:r>
              <w:rPr>
                <w:rFonts w:asciiTheme="minorHAnsi" w:eastAsiaTheme="minorEastAsia" w:hAnsiTheme="minorHAnsi" w:cstheme="minorBidi"/>
                <w:b w:val="0"/>
                <w:bCs w:val="0"/>
                <w:noProof/>
                <w:szCs w:val="22"/>
                <w:lang w:eastAsia="en-GB"/>
              </w:rPr>
              <w:tab/>
            </w:r>
            <w:r>
              <w:rPr>
                <w:rStyle w:val="Hyperlink"/>
                <w:noProof/>
              </w:rPr>
              <w:t>Abbreviations</w:t>
            </w:r>
            <w:r>
              <w:rPr>
                <w:noProof/>
                <w:webHidden/>
              </w:rPr>
              <w:tab/>
            </w:r>
            <w:r>
              <w:rPr>
                <w:noProof/>
                <w:webHidden/>
              </w:rPr>
              <w:fldChar w:fldCharType="begin"/>
            </w:r>
            <w:r>
              <w:rPr>
                <w:noProof/>
                <w:webHidden/>
              </w:rPr>
              <w:instrText xml:space="preserve"> PAGEREF _Toc469902815 \h </w:instrText>
            </w:r>
            <w:r>
              <w:rPr>
                <w:noProof/>
                <w:webHidden/>
              </w:rPr>
            </w:r>
            <w:r>
              <w:rPr>
                <w:noProof/>
                <w:webHidden/>
              </w:rPr>
              <w:fldChar w:fldCharType="separate"/>
            </w:r>
            <w:r>
              <w:rPr>
                <w:noProof/>
                <w:webHidden/>
              </w:rPr>
              <w:t>39</w:t>
            </w:r>
            <w:r>
              <w:rPr>
                <w:noProof/>
                <w:webHidden/>
              </w:rPr>
              <w:fldChar w:fldCharType="end"/>
            </w:r>
          </w:hyperlink>
        </w:p>
        <w:p>
          <w:pPr>
            <w:rPr>
              <w:noProof/>
            </w:rPr>
          </w:pPr>
          <w:r>
            <w:rPr>
              <w:rFonts w:ascii="Times New Roman" w:hAnsi="Times New Roman"/>
              <w:b/>
              <w:bCs/>
              <w:caps/>
              <w:noProof/>
              <w:sz w:val="24"/>
            </w:rPr>
            <w:fldChar w:fldCharType="end"/>
          </w:r>
        </w:p>
      </w:sdtContent>
    </w:sdt>
    <w:p>
      <w:pPr>
        <w:rPr>
          <w:rFonts w:ascii="Times New Roman" w:eastAsia="Times New Roman" w:hAnsi="Times New Roman"/>
          <w:b/>
          <w:bCs/>
          <w:smallCaps/>
          <w:noProof/>
          <w:sz w:val="24"/>
          <w:szCs w:val="32"/>
          <w:lang w:eastAsia="en-US"/>
        </w:rPr>
      </w:pPr>
    </w:p>
    <w:p>
      <w:pPr>
        <w:jc w:val="center"/>
        <w:rPr>
          <w:rFonts w:ascii="Times New Roman" w:eastAsia="Times New Roman" w:hAnsi="Times New Roman"/>
          <w:b/>
          <w:bCs/>
          <w:smallCaps/>
          <w:noProof/>
          <w:sz w:val="24"/>
          <w:szCs w:val="32"/>
        </w:rPr>
      </w:pPr>
      <w:r>
        <w:rPr>
          <w:rFonts w:ascii="Times New Roman" w:eastAsia="Times New Roman" w:hAnsi="Times New Roman"/>
          <w:b/>
          <w:bCs/>
          <w:smallCaps/>
          <w:noProof/>
          <w:sz w:val="24"/>
          <w:szCs w:val="32"/>
        </w:rPr>
        <w:t>Table of figures</w:t>
      </w:r>
    </w:p>
    <w:p>
      <w:pPr>
        <w:rPr>
          <w:noProof/>
        </w:rPr>
      </w:pPr>
    </w:p>
    <w:p>
      <w:pPr>
        <w:pStyle w:val="TableofFigures"/>
        <w:tabs>
          <w:tab w:val="right" w:leader="dot" w:pos="9059"/>
        </w:tabs>
        <w:rPr>
          <w:rFonts w:asciiTheme="minorHAnsi" w:eastAsiaTheme="minorEastAsia" w:hAnsiTheme="minorHAnsi" w:cstheme="minorBidi"/>
          <w:noProof/>
          <w:sz w:val="22"/>
          <w:szCs w:val="22"/>
          <w:lang w:eastAsia="en-GB"/>
        </w:rPr>
      </w:pPr>
      <w:r>
        <w:rPr>
          <w:smallCaps/>
          <w:noProof/>
          <w:lang w:eastAsia="en-US"/>
        </w:rPr>
        <w:fldChar w:fldCharType="begin"/>
      </w:r>
      <w:r>
        <w:rPr>
          <w:smallCaps/>
          <w:noProof/>
          <w:lang w:eastAsia="en-US"/>
        </w:rPr>
        <w:instrText xml:space="preserve"> TOC \h \z \c "Figure" </w:instrText>
      </w:r>
      <w:r>
        <w:rPr>
          <w:smallCaps/>
          <w:noProof/>
          <w:lang w:eastAsia="en-US"/>
        </w:rPr>
        <w:fldChar w:fldCharType="separate"/>
      </w:r>
      <w:hyperlink w:anchor="_Toc469902816" w:history="1">
        <w:r>
          <w:rPr>
            <w:rStyle w:val="Hyperlink"/>
            <w:noProof/>
          </w:rPr>
          <w:t>Figure 1: Relationship between EIF, NIFs and DIFs</w:t>
        </w:r>
        <w:r>
          <w:rPr>
            <w:noProof/>
            <w:webHidden/>
          </w:rPr>
          <w:tab/>
        </w:r>
        <w:r>
          <w:rPr>
            <w:noProof/>
            <w:webHidden/>
          </w:rPr>
          <w:fldChar w:fldCharType="begin"/>
        </w:r>
        <w:r>
          <w:rPr>
            <w:noProof/>
            <w:webHidden/>
          </w:rPr>
          <w:instrText xml:space="preserve"> PAGEREF _Toc469902816 \h </w:instrText>
        </w:r>
        <w:r>
          <w:rPr>
            <w:noProof/>
            <w:webHidden/>
          </w:rPr>
        </w:r>
        <w:r>
          <w:rPr>
            <w:noProof/>
            <w:webHidden/>
          </w:rPr>
          <w:fldChar w:fldCharType="separate"/>
        </w:r>
        <w:r>
          <w:rPr>
            <w:noProof/>
            <w:webHidden/>
          </w:rPr>
          <w:t>6</w:t>
        </w:r>
        <w:r>
          <w:rPr>
            <w:noProof/>
            <w:webHidden/>
          </w:rPr>
          <w:fldChar w:fldCharType="end"/>
        </w:r>
      </w:hyperlink>
    </w:p>
    <w:p>
      <w:pPr>
        <w:pStyle w:val="TableofFigures"/>
        <w:tabs>
          <w:tab w:val="right" w:leader="dot" w:pos="9059"/>
        </w:tabs>
        <w:rPr>
          <w:rFonts w:asciiTheme="minorHAnsi" w:eastAsiaTheme="minorEastAsia" w:hAnsiTheme="minorHAnsi" w:cstheme="minorBidi"/>
          <w:noProof/>
          <w:sz w:val="22"/>
          <w:szCs w:val="22"/>
          <w:lang w:eastAsia="en-GB"/>
        </w:rPr>
      </w:pPr>
      <w:hyperlink w:anchor="_Toc469902817" w:history="1">
        <w:r>
          <w:rPr>
            <w:rStyle w:val="Hyperlink"/>
            <w:noProof/>
          </w:rPr>
          <w:t>Figure 2: Interoperability principles</w:t>
        </w:r>
        <w:r>
          <w:rPr>
            <w:noProof/>
            <w:webHidden/>
          </w:rPr>
          <w:tab/>
        </w:r>
        <w:r>
          <w:rPr>
            <w:noProof/>
            <w:webHidden/>
          </w:rPr>
          <w:fldChar w:fldCharType="begin"/>
        </w:r>
        <w:r>
          <w:rPr>
            <w:noProof/>
            <w:webHidden/>
          </w:rPr>
          <w:instrText xml:space="preserve"> PAGEREF _Toc469902817 \h </w:instrText>
        </w:r>
        <w:r>
          <w:rPr>
            <w:noProof/>
            <w:webHidden/>
          </w:rPr>
        </w:r>
        <w:r>
          <w:rPr>
            <w:noProof/>
            <w:webHidden/>
          </w:rPr>
          <w:fldChar w:fldCharType="separate"/>
        </w:r>
        <w:r>
          <w:rPr>
            <w:noProof/>
            <w:webHidden/>
          </w:rPr>
          <w:t>8</w:t>
        </w:r>
        <w:r>
          <w:rPr>
            <w:noProof/>
            <w:webHidden/>
          </w:rPr>
          <w:fldChar w:fldCharType="end"/>
        </w:r>
      </w:hyperlink>
    </w:p>
    <w:p>
      <w:pPr>
        <w:pStyle w:val="TableofFigures"/>
        <w:tabs>
          <w:tab w:val="right" w:leader="dot" w:pos="9059"/>
        </w:tabs>
        <w:rPr>
          <w:rFonts w:asciiTheme="minorHAnsi" w:eastAsiaTheme="minorEastAsia" w:hAnsiTheme="minorHAnsi" w:cstheme="minorBidi"/>
          <w:noProof/>
          <w:sz w:val="22"/>
          <w:szCs w:val="22"/>
          <w:lang w:eastAsia="en-GB"/>
        </w:rPr>
      </w:pPr>
      <w:hyperlink w:anchor="_Toc469902818" w:history="1">
        <w:r>
          <w:rPr>
            <w:rStyle w:val="Hyperlink"/>
            <w:noProof/>
          </w:rPr>
          <w:t>Figure 3: Interoperability model</w:t>
        </w:r>
        <w:r>
          <w:rPr>
            <w:noProof/>
            <w:webHidden/>
          </w:rPr>
          <w:tab/>
        </w:r>
        <w:r>
          <w:rPr>
            <w:noProof/>
            <w:webHidden/>
          </w:rPr>
          <w:fldChar w:fldCharType="begin"/>
        </w:r>
        <w:r>
          <w:rPr>
            <w:noProof/>
            <w:webHidden/>
          </w:rPr>
          <w:instrText xml:space="preserve"> PAGEREF _Toc469902818 \h </w:instrText>
        </w:r>
        <w:r>
          <w:rPr>
            <w:noProof/>
            <w:webHidden/>
          </w:rPr>
        </w:r>
        <w:r>
          <w:rPr>
            <w:noProof/>
            <w:webHidden/>
          </w:rPr>
          <w:fldChar w:fldCharType="separate"/>
        </w:r>
        <w:r>
          <w:rPr>
            <w:noProof/>
            <w:webHidden/>
          </w:rPr>
          <w:t>18</w:t>
        </w:r>
        <w:r>
          <w:rPr>
            <w:noProof/>
            <w:webHidden/>
          </w:rPr>
          <w:fldChar w:fldCharType="end"/>
        </w:r>
      </w:hyperlink>
    </w:p>
    <w:p>
      <w:pPr>
        <w:pStyle w:val="TableofFigures"/>
        <w:tabs>
          <w:tab w:val="right" w:leader="dot" w:pos="9059"/>
        </w:tabs>
        <w:rPr>
          <w:rFonts w:asciiTheme="minorHAnsi" w:eastAsiaTheme="minorEastAsia" w:hAnsiTheme="minorHAnsi" w:cstheme="minorBidi"/>
          <w:noProof/>
          <w:sz w:val="22"/>
          <w:szCs w:val="22"/>
          <w:lang w:eastAsia="en-GB"/>
        </w:rPr>
      </w:pPr>
      <w:hyperlink w:anchor="_Toc469902819" w:history="1">
        <w:r>
          <w:rPr>
            <w:rStyle w:val="Hyperlink"/>
            <w:noProof/>
          </w:rPr>
          <w:t>Figure 4: Conceptual model for integrated public services</w:t>
        </w:r>
        <w:r>
          <w:rPr>
            <w:noProof/>
            <w:webHidden/>
          </w:rPr>
          <w:tab/>
        </w:r>
        <w:r>
          <w:rPr>
            <w:noProof/>
            <w:webHidden/>
          </w:rPr>
          <w:fldChar w:fldCharType="begin"/>
        </w:r>
        <w:r>
          <w:rPr>
            <w:noProof/>
            <w:webHidden/>
          </w:rPr>
          <w:instrText xml:space="preserve"> PAGEREF _Toc469902819 \h </w:instrText>
        </w:r>
        <w:r>
          <w:rPr>
            <w:noProof/>
            <w:webHidden/>
          </w:rPr>
        </w:r>
        <w:r>
          <w:rPr>
            <w:noProof/>
            <w:webHidden/>
          </w:rPr>
          <w:fldChar w:fldCharType="separate"/>
        </w:r>
        <w:r>
          <w:rPr>
            <w:noProof/>
            <w:webHidden/>
          </w:rPr>
          <w:t>29</w:t>
        </w:r>
        <w:r>
          <w:rPr>
            <w:noProof/>
            <w:webHidden/>
          </w:rPr>
          <w:fldChar w:fldCharType="end"/>
        </w:r>
      </w:hyperlink>
    </w:p>
    <w:p>
      <w:pPr>
        <w:pStyle w:val="TableofFigures"/>
        <w:tabs>
          <w:tab w:val="right" w:leader="dot" w:pos="9059"/>
        </w:tabs>
        <w:rPr>
          <w:rFonts w:asciiTheme="minorHAnsi" w:eastAsiaTheme="minorEastAsia" w:hAnsiTheme="minorHAnsi" w:cstheme="minorBidi"/>
          <w:noProof/>
          <w:sz w:val="22"/>
          <w:szCs w:val="22"/>
          <w:lang w:eastAsia="en-GB"/>
        </w:rPr>
      </w:pPr>
      <w:hyperlink w:anchor="_Toc469902820" w:history="1">
        <w:r>
          <w:rPr>
            <w:rStyle w:val="Hyperlink"/>
            <w:noProof/>
          </w:rPr>
          <w:t>Figure 5: EIF conceptual model relations</w:t>
        </w:r>
        <w:r>
          <w:rPr>
            <w:noProof/>
            <w:webHidden/>
          </w:rPr>
          <w:tab/>
        </w:r>
        <w:r>
          <w:rPr>
            <w:noProof/>
            <w:webHidden/>
          </w:rPr>
          <w:fldChar w:fldCharType="begin"/>
        </w:r>
        <w:r>
          <w:rPr>
            <w:noProof/>
            <w:webHidden/>
          </w:rPr>
          <w:instrText xml:space="preserve"> PAGEREF _Toc469902820 \h </w:instrText>
        </w:r>
        <w:r>
          <w:rPr>
            <w:noProof/>
            <w:webHidden/>
          </w:rPr>
        </w:r>
        <w:r>
          <w:rPr>
            <w:noProof/>
            <w:webHidden/>
          </w:rPr>
          <w:fldChar w:fldCharType="separate"/>
        </w:r>
        <w:r>
          <w:rPr>
            <w:noProof/>
            <w:webHidden/>
          </w:rPr>
          <w:t>38</w:t>
        </w:r>
        <w:r>
          <w:rPr>
            <w:noProof/>
            <w:webHidden/>
          </w:rPr>
          <w:fldChar w:fldCharType="end"/>
        </w:r>
      </w:hyperlink>
    </w:p>
    <w:p>
      <w:pPr>
        <w:rPr>
          <w:rFonts w:ascii="Times New Roman" w:eastAsia="Times New Roman" w:hAnsi="Times New Roman"/>
          <w:b/>
          <w:bCs/>
          <w:smallCaps/>
          <w:noProof/>
          <w:sz w:val="24"/>
          <w:szCs w:val="32"/>
          <w:lang w:eastAsia="en-US"/>
        </w:rPr>
      </w:pPr>
      <w:r>
        <w:rPr>
          <w:rFonts w:ascii="Times New Roman" w:hAnsi="Times New Roman"/>
          <w:smallCaps/>
          <w:noProof/>
          <w:sz w:val="24"/>
          <w:lang w:eastAsia="en-US"/>
        </w:rPr>
        <w:fldChar w:fldCharType="end"/>
      </w:r>
    </w:p>
    <w:p>
      <w:pPr>
        <w:rPr>
          <w:rFonts w:ascii="Times New Roman" w:eastAsia="Times New Roman" w:hAnsi="Times New Roman"/>
          <w:b/>
          <w:bCs/>
          <w:smallCaps/>
          <w:noProof/>
          <w:sz w:val="24"/>
          <w:lang w:eastAsia="en-US"/>
        </w:rPr>
      </w:pPr>
      <w:r>
        <w:rPr>
          <w:rFonts w:ascii="Times New Roman" w:hAnsi="Times New Roman"/>
          <w:smallCaps/>
          <w:noProof/>
          <w:sz w:val="24"/>
          <w:lang w:eastAsia="en-US"/>
        </w:rPr>
        <w:br w:type="page"/>
      </w:r>
    </w:p>
    <w:p>
      <w:pPr>
        <w:pStyle w:val="Heading1"/>
        <w:pageBreakBefore w:val="0"/>
        <w:numPr>
          <w:ilvl w:val="0"/>
          <w:numId w:val="1"/>
        </w:numPr>
        <w:tabs>
          <w:tab w:val="clear" w:pos="851"/>
          <w:tab w:val="clear" w:pos="2133"/>
        </w:tabs>
        <w:spacing w:after="240" w:line="240" w:lineRule="auto"/>
        <w:ind w:left="567" w:hanging="567"/>
        <w:jc w:val="both"/>
        <w:rPr>
          <w:smallCaps/>
          <w:noProof/>
          <w:kern w:val="0"/>
          <w:lang w:eastAsia="en-US"/>
        </w:rPr>
      </w:pPr>
      <w:bookmarkStart w:id="11" w:name="_Toc469902784"/>
      <w:r>
        <w:rPr>
          <w:smallCaps/>
          <w:noProof/>
          <w:kern w:val="0"/>
          <w:lang w:eastAsia="en-US"/>
        </w:rPr>
        <w:t>Introduction</w:t>
      </w:r>
      <w:bookmarkEnd w:id="3"/>
      <w:bookmarkEnd w:id="4"/>
      <w:bookmarkEnd w:id="5"/>
      <w:bookmarkEnd w:id="6"/>
      <w:bookmarkEnd w:id="11"/>
    </w:p>
    <w:p>
      <w:pPr>
        <w:pStyle w:val="BodyText"/>
        <w:spacing w:after="200" w:line="312" w:lineRule="auto"/>
        <w:jc w:val="both"/>
        <w:rPr>
          <w:rFonts w:ascii="Times New Roman" w:hAnsi="Times New Roman"/>
          <w:noProof/>
          <w:sz w:val="24"/>
        </w:rPr>
      </w:pPr>
      <w:bookmarkStart w:id="12" w:name="_Toc445198713"/>
      <w:bookmarkStart w:id="13" w:name="_Toc446075990"/>
      <w:bookmarkStart w:id="14" w:name="_Toc446080127"/>
      <w:bookmarkStart w:id="15" w:name="_Toc446498965"/>
      <w:bookmarkStart w:id="16" w:name="_Toc446588597"/>
      <w:bookmarkStart w:id="17" w:name="_Toc446660873"/>
      <w:bookmarkStart w:id="18" w:name="_Toc445198714"/>
      <w:bookmarkStart w:id="19" w:name="_Toc446075991"/>
      <w:bookmarkStart w:id="20" w:name="_Toc446080128"/>
      <w:bookmarkStart w:id="21" w:name="_Toc446498966"/>
      <w:bookmarkStart w:id="22" w:name="_Toc446588598"/>
      <w:bookmarkStart w:id="23" w:name="_Toc446660874"/>
      <w:bookmarkStart w:id="24" w:name="_Toc445198715"/>
      <w:bookmarkStart w:id="25" w:name="_Toc446075992"/>
      <w:bookmarkStart w:id="26" w:name="_Toc446080129"/>
      <w:bookmarkStart w:id="27" w:name="_Toc446498967"/>
      <w:bookmarkStart w:id="28" w:name="_Toc446588599"/>
      <w:bookmarkStart w:id="29" w:name="_Toc446660875"/>
      <w:bookmarkStart w:id="30" w:name="_Background_[to_be"/>
      <w:bookmarkStart w:id="31" w:name="_Background_[under_revision"/>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Fonts w:ascii="Times New Roman" w:hAnsi="Times New Roman"/>
          <w:noProof/>
          <w:sz w:val="24"/>
        </w:rPr>
        <w:t>As stipulated in the Treaties of the European Union (EU), the EU’s internal market guarantees four ‘freedoms’ - the free movement of goods, capital, services and people between the 28 Member States. These freedoms are assured by common policies supported by interconnected, interoperable networks and systems. People are free to work and relocate and businesses are free to trade and operate in all EU Member States. In doing so, they inevitably have to interact electronically with Member State public administrations.</w:t>
      </w:r>
    </w:p>
    <w:p>
      <w:pPr>
        <w:pStyle w:val="BodyText"/>
        <w:spacing w:after="200" w:line="312" w:lineRule="auto"/>
        <w:jc w:val="both"/>
        <w:rPr>
          <w:rFonts w:ascii="Times New Roman" w:hAnsi="Times New Roman"/>
          <w:noProof/>
          <w:sz w:val="24"/>
        </w:rPr>
      </w:pPr>
      <w:r>
        <w:rPr>
          <w:rFonts w:ascii="Times New Roman" w:hAnsi="Times New Roman"/>
          <w:noProof/>
          <w:sz w:val="24"/>
        </w:rPr>
        <w:t xml:space="preserve">To make these interactions efficient, effective, timely and of high quality, and to help cut red-tape and reduce the cost and effort involved, Member States are modernising their public administrations by introducing digital public services. However, in doing so, they risk creating isolated digital environments and consequently electronic barriers that may prevent public administrations from connecting with each other, and citizens and businesses from identifying and using available digital public services in countries other than their own. For this reason, efforts to digitise the public sector should be well coordinated at European and national levels to avoid digital fragmentation of services and data, and help the EU’s digital single market to work smoothly. </w:t>
      </w:r>
    </w:p>
    <w:p>
      <w:pPr>
        <w:pStyle w:val="BodyText"/>
        <w:spacing w:after="200" w:line="312" w:lineRule="auto"/>
        <w:jc w:val="both"/>
        <w:rPr>
          <w:rFonts w:ascii="Times New Roman" w:hAnsi="Times New Roman"/>
          <w:noProof/>
          <w:sz w:val="24"/>
        </w:rPr>
      </w:pPr>
      <w:r>
        <w:rPr>
          <w:rFonts w:ascii="Times New Roman" w:hAnsi="Times New Roman"/>
          <w:noProof/>
          <w:sz w:val="24"/>
        </w:rPr>
        <w:t>At the same time, the challenges facing the Union require common policy responses from the Member States and the Commission, through EU legislation that requires interaction across borders and policy sectors. This also involves setting up and running interoperable systems. Such systems, as set out in the digital single market strategy,</w:t>
      </w:r>
      <w:r>
        <w:rPr>
          <w:rStyle w:val="FootnoteReference"/>
          <w:rFonts w:ascii="Times New Roman" w:hAnsi="Times New Roman"/>
          <w:noProof/>
          <w:sz w:val="24"/>
        </w:rPr>
        <w:footnoteReference w:id="1"/>
      </w:r>
      <w:r>
        <w:rPr>
          <w:noProof/>
          <w:sz w:val="24"/>
        </w:rPr>
        <w:t xml:space="preserve"> </w:t>
      </w:r>
      <w:r>
        <w:rPr>
          <w:rFonts w:ascii="Times New Roman" w:hAnsi="Times New Roman"/>
          <w:noProof/>
          <w:sz w:val="24"/>
        </w:rPr>
        <w:t>are intended to ensure effective communication between digital components such as devices, networks and data repositories. They also provide more efficient connections across borders, between communities and between public services and authorities.</w:t>
      </w:r>
    </w:p>
    <w:p>
      <w:pPr>
        <w:pStyle w:val="BodyText"/>
        <w:spacing w:after="200" w:line="312" w:lineRule="auto"/>
        <w:jc w:val="both"/>
        <w:rPr>
          <w:rFonts w:ascii="Times New Roman" w:hAnsi="Times New Roman"/>
          <w:noProof/>
          <w:sz w:val="24"/>
        </w:rPr>
      </w:pPr>
      <w:r>
        <w:rPr>
          <w:rFonts w:ascii="Times New Roman" w:hAnsi="Times New Roman"/>
          <w:noProof/>
          <w:sz w:val="24"/>
        </w:rPr>
        <w:t xml:space="preserve">The EIF gives guidance, through a set of recommendations, to public administrations on how to improve </w:t>
      </w:r>
      <w:r>
        <w:rPr>
          <w:rFonts w:ascii="Times New Roman" w:hAnsi="Times New Roman"/>
          <w:noProof/>
          <w:sz w:val="24"/>
          <w:shd w:val="clear" w:color="auto" w:fill="FFFFFF"/>
        </w:rPr>
        <w:t xml:space="preserve">governance of their interoperability activities, establish </w:t>
      </w:r>
      <w:r>
        <w:rPr>
          <w:rFonts w:ascii="Times New Roman" w:hAnsi="Times New Roman"/>
          <w:noProof/>
          <w:sz w:val="24"/>
        </w:rPr>
        <w:t xml:space="preserve">cross-organisational relationships, streamline processes supporting end-to-end digital services, and ensure that existing and new legislation do not compromise interoperability efforts. </w:t>
      </w:r>
    </w:p>
    <w:p>
      <w:pPr>
        <w:pStyle w:val="Heading2"/>
        <w:numPr>
          <w:ilvl w:val="1"/>
          <w:numId w:val="96"/>
        </w:numPr>
        <w:tabs>
          <w:tab w:val="clear" w:pos="4971"/>
          <w:tab w:val="num" w:pos="284"/>
        </w:tabs>
        <w:ind w:left="284" w:hanging="284"/>
        <w:rPr>
          <w:noProof/>
        </w:rPr>
      </w:pPr>
      <w:bookmarkStart w:id="32" w:name="_Toc454188960"/>
      <w:bookmarkStart w:id="33" w:name="_Toc454196210"/>
      <w:bookmarkStart w:id="34" w:name="_Toc469580860"/>
      <w:bookmarkStart w:id="35" w:name="_Toc469902785"/>
      <w:r>
        <w:rPr>
          <w:noProof/>
        </w:rPr>
        <w:t>Definitions</w:t>
      </w:r>
      <w:bookmarkEnd w:id="32"/>
      <w:bookmarkEnd w:id="33"/>
      <w:bookmarkEnd w:id="34"/>
      <w:bookmarkEnd w:id="35"/>
    </w:p>
    <w:p>
      <w:pPr>
        <w:pStyle w:val="Heading3"/>
        <w:rPr>
          <w:noProof/>
        </w:rPr>
      </w:pPr>
      <w:bookmarkStart w:id="36" w:name="_Toc454188961"/>
      <w:bookmarkStart w:id="37" w:name="_Toc454196211"/>
      <w:bookmarkStart w:id="38" w:name="_Toc454198159"/>
      <w:r>
        <w:rPr>
          <w:noProof/>
        </w:rPr>
        <w:t>Interoperability</w:t>
      </w:r>
      <w:bookmarkEnd w:id="36"/>
      <w:bookmarkEnd w:id="37"/>
      <w:bookmarkEnd w:id="38"/>
    </w:p>
    <w:p>
      <w:pPr>
        <w:pStyle w:val="BodyText"/>
        <w:spacing w:line="312" w:lineRule="auto"/>
        <w:jc w:val="both"/>
        <w:rPr>
          <w:rFonts w:ascii="Times New Roman" w:hAnsi="Times New Roman"/>
          <w:noProof/>
          <w:sz w:val="24"/>
        </w:rPr>
      </w:pPr>
      <w:r>
        <w:rPr>
          <w:rFonts w:ascii="Times New Roman" w:hAnsi="Times New Roman"/>
          <w:noProof/>
          <w:sz w:val="24"/>
        </w:rPr>
        <w:t>For the purpose of the EIF</w:t>
      </w:r>
      <w:r>
        <w:rPr>
          <w:rFonts w:ascii="Times New Roman" w:hAnsi="Times New Roman"/>
          <w:i/>
          <w:noProof/>
          <w:color w:val="000000" w:themeColor="text1"/>
          <w:sz w:val="24"/>
        </w:rPr>
        <w:t xml:space="preserve">, </w:t>
      </w:r>
      <w:r>
        <w:rPr>
          <w:rFonts w:ascii="Times New Roman" w:hAnsi="Times New Roman"/>
          <w:b/>
          <w:i/>
          <w:noProof/>
          <w:color w:val="000000" w:themeColor="text1"/>
          <w:sz w:val="24"/>
        </w:rPr>
        <w:t>interoperability</w:t>
      </w:r>
      <w:r>
        <w:rPr>
          <w:rFonts w:ascii="Times New Roman" w:hAnsi="Times New Roman"/>
          <w:i/>
          <w:noProof/>
          <w:color w:val="000000" w:themeColor="text1"/>
          <w:sz w:val="24"/>
        </w:rPr>
        <w:t xml:space="preserve"> </w:t>
      </w:r>
      <w:r>
        <w:rPr>
          <w:rFonts w:ascii="Times New Roman" w:hAnsi="Times New Roman"/>
          <w:noProof/>
          <w:color w:val="000000" w:themeColor="text1"/>
          <w:sz w:val="24"/>
        </w:rPr>
        <w:t xml:space="preserve">is </w:t>
      </w:r>
      <w:r>
        <w:rPr>
          <w:rFonts w:ascii="Times New Roman" w:hAnsi="Times New Roman"/>
          <w:noProof/>
          <w:sz w:val="24"/>
        </w:rPr>
        <w:t>the ability of organisations</w:t>
      </w:r>
      <w:r>
        <w:rPr>
          <w:rStyle w:val="FootnoteReference"/>
          <w:rFonts w:ascii="Times New Roman" w:hAnsi="Times New Roman"/>
          <w:noProof/>
          <w:sz w:val="24"/>
        </w:rPr>
        <w:footnoteReference w:id="2"/>
      </w:r>
      <w:r>
        <w:rPr>
          <w:rFonts w:ascii="Times New Roman" w:hAnsi="Times New Roman"/>
          <w:noProof/>
          <w:sz w:val="24"/>
        </w:rPr>
        <w:t xml:space="preserve"> to interact towards mutually beneficial goals, involving the sharing of information and knowledge between these organisations, through the business processes they support, by means of the exchange of data between their ICT systems</w:t>
      </w:r>
      <w:r>
        <w:rPr>
          <w:rFonts w:ascii="Times New Roman" w:hAnsi="Times New Roman"/>
          <w:iCs/>
          <w:noProof/>
          <w:sz w:val="24"/>
        </w:rPr>
        <w:t>.</w:t>
      </w:r>
    </w:p>
    <w:p>
      <w:pPr>
        <w:pStyle w:val="Heading3"/>
        <w:rPr>
          <w:noProof/>
        </w:rPr>
      </w:pPr>
      <w:bookmarkStart w:id="39" w:name="_Toc454188962"/>
      <w:bookmarkStart w:id="40" w:name="_Toc454196212"/>
      <w:bookmarkStart w:id="41" w:name="_Toc454198160"/>
      <w:r>
        <w:rPr>
          <w:noProof/>
        </w:rPr>
        <w:t>European public service</w:t>
      </w:r>
      <w:bookmarkEnd w:id="39"/>
      <w:bookmarkEnd w:id="40"/>
      <w:bookmarkEnd w:id="41"/>
    </w:p>
    <w:p>
      <w:pPr>
        <w:spacing w:line="312" w:lineRule="auto"/>
        <w:jc w:val="both"/>
        <w:rPr>
          <w:rFonts w:ascii="Times New Roman" w:hAnsi="Times New Roman"/>
          <w:noProof/>
          <w:sz w:val="24"/>
          <w:lang w:eastAsia="en-GB"/>
        </w:rPr>
      </w:pPr>
      <w:r>
        <w:rPr>
          <w:rFonts w:ascii="Times New Roman" w:hAnsi="Times New Roman"/>
          <w:noProof/>
          <w:sz w:val="24"/>
          <w:lang w:eastAsia="en-GB"/>
        </w:rPr>
        <w:t xml:space="preserve">A </w:t>
      </w:r>
      <w:r>
        <w:rPr>
          <w:rFonts w:ascii="Times New Roman" w:hAnsi="Times New Roman"/>
          <w:b/>
          <w:bCs/>
          <w:i/>
          <w:noProof/>
          <w:color w:val="000000" w:themeColor="text1"/>
          <w:sz w:val="24"/>
          <w:lang w:eastAsia="en-GB"/>
        </w:rPr>
        <w:t>European public service</w:t>
      </w:r>
      <w:r>
        <w:rPr>
          <w:rFonts w:ascii="Times New Roman" w:hAnsi="Times New Roman"/>
          <w:noProof/>
          <w:color w:val="000000" w:themeColor="text1"/>
          <w:sz w:val="24"/>
          <w:lang w:eastAsia="en-GB"/>
        </w:rPr>
        <w:t xml:space="preserve"> </w:t>
      </w:r>
      <w:r>
        <w:rPr>
          <w:rFonts w:ascii="Times New Roman" w:hAnsi="Times New Roman"/>
          <w:noProof/>
          <w:sz w:val="24"/>
          <w:lang w:eastAsia="en-GB"/>
        </w:rPr>
        <w:t>comprises any public sector service exposed to a cross-border dimension and supplied by public administrations, either to one another or to businesses and citizens in the Union.</w:t>
      </w:r>
    </w:p>
    <w:p>
      <w:pPr>
        <w:pStyle w:val="Heading3"/>
        <w:rPr>
          <w:noProof/>
        </w:rPr>
      </w:pPr>
      <w:bookmarkStart w:id="42" w:name="_Toc454188963"/>
      <w:bookmarkStart w:id="43" w:name="_Toc454196213"/>
      <w:bookmarkStart w:id="44" w:name="_Toc454198161"/>
      <w:r>
        <w:rPr>
          <w:noProof/>
        </w:rPr>
        <w:t>European interoperability framework</w:t>
      </w:r>
      <w:bookmarkEnd w:id="42"/>
      <w:bookmarkEnd w:id="43"/>
      <w:bookmarkEnd w:id="44"/>
    </w:p>
    <w:p>
      <w:pPr>
        <w:pStyle w:val="CommentText"/>
        <w:spacing w:line="312" w:lineRule="auto"/>
        <w:jc w:val="both"/>
        <w:rPr>
          <w:rFonts w:ascii="Times New Roman" w:hAnsi="Times New Roman"/>
          <w:noProof/>
          <w:sz w:val="22"/>
          <w:szCs w:val="22"/>
        </w:rPr>
      </w:pPr>
      <w:r>
        <w:rPr>
          <w:rFonts w:ascii="Times New Roman" w:hAnsi="Times New Roman"/>
          <w:noProof/>
          <w:sz w:val="24"/>
          <w:szCs w:val="24"/>
        </w:rPr>
        <w:t xml:space="preserve">The </w:t>
      </w:r>
      <w:r>
        <w:rPr>
          <w:rFonts w:ascii="Times New Roman" w:hAnsi="Times New Roman"/>
          <w:b/>
          <w:i/>
          <w:noProof/>
          <w:sz w:val="24"/>
          <w:szCs w:val="24"/>
        </w:rPr>
        <w:t>European</w:t>
      </w:r>
      <w:r>
        <w:rPr>
          <w:rFonts w:ascii="Times New Roman" w:hAnsi="Times New Roman"/>
          <w:b/>
          <w:noProof/>
          <w:sz w:val="24"/>
          <w:szCs w:val="24"/>
        </w:rPr>
        <w:t xml:space="preserve"> </w:t>
      </w:r>
      <w:r>
        <w:rPr>
          <w:rFonts w:ascii="Times New Roman" w:hAnsi="Times New Roman"/>
          <w:b/>
          <w:i/>
          <w:noProof/>
          <w:color w:val="000000" w:themeColor="text1"/>
          <w:sz w:val="24"/>
          <w:szCs w:val="24"/>
        </w:rPr>
        <w:t>interoperability framework</w:t>
      </w:r>
      <w:r>
        <w:rPr>
          <w:rFonts w:ascii="Times New Roman" w:hAnsi="Times New Roman"/>
          <w:i/>
          <w:noProof/>
          <w:color w:val="000000" w:themeColor="text1"/>
          <w:sz w:val="24"/>
          <w:szCs w:val="24"/>
        </w:rPr>
        <w:t xml:space="preserve"> </w:t>
      </w:r>
      <w:r>
        <w:rPr>
          <w:rFonts w:ascii="Times New Roman" w:hAnsi="Times New Roman"/>
          <w:noProof/>
          <w:sz w:val="24"/>
          <w:szCs w:val="24"/>
        </w:rPr>
        <w:t xml:space="preserve">is </w:t>
      </w:r>
      <w:r>
        <w:rPr>
          <w:rFonts w:ascii="Times New Roman" w:hAnsi="Times New Roman"/>
          <w:iCs/>
          <w:noProof/>
          <w:sz w:val="24"/>
          <w:szCs w:val="24"/>
        </w:rPr>
        <w:t xml:space="preserve">a commonly agreed approach to the delivery of European public services in an interoperable manner. </w:t>
      </w:r>
      <w:r>
        <w:rPr>
          <w:rFonts w:ascii="Times New Roman" w:hAnsi="Times New Roman"/>
          <w:noProof/>
          <w:sz w:val="24"/>
          <w:szCs w:val="24"/>
        </w:rPr>
        <w:t>It defines basic interoperability guidelines in the form of common principles, models and recommendations.</w:t>
      </w:r>
    </w:p>
    <w:p>
      <w:pPr>
        <w:pStyle w:val="Heading2"/>
        <w:rPr>
          <w:noProof/>
        </w:rPr>
      </w:pPr>
      <w:bookmarkStart w:id="45" w:name="_Toc445198721"/>
      <w:bookmarkStart w:id="46" w:name="_Toc446075998"/>
      <w:bookmarkStart w:id="47" w:name="_Toc446080135"/>
      <w:bookmarkStart w:id="48" w:name="_Toc446498973"/>
      <w:bookmarkStart w:id="49" w:name="_Toc446588605"/>
      <w:bookmarkStart w:id="50" w:name="_Toc446660881"/>
      <w:bookmarkStart w:id="51" w:name="_Toc445198722"/>
      <w:bookmarkStart w:id="52" w:name="_Toc446075999"/>
      <w:bookmarkStart w:id="53" w:name="_Toc446080136"/>
      <w:bookmarkStart w:id="54" w:name="_Toc446498974"/>
      <w:bookmarkStart w:id="55" w:name="_Toc446588606"/>
      <w:bookmarkStart w:id="56" w:name="_Toc446660882"/>
      <w:bookmarkStart w:id="57" w:name="_Toc446080137"/>
      <w:bookmarkStart w:id="58" w:name="_Toc446498975"/>
      <w:bookmarkStart w:id="59" w:name="_Toc446588607"/>
      <w:bookmarkStart w:id="60" w:name="_Toc446660883"/>
      <w:bookmarkStart w:id="61" w:name="_Toc445198724"/>
      <w:bookmarkStart w:id="62" w:name="_Toc446076001"/>
      <w:bookmarkStart w:id="63" w:name="_Toc446080138"/>
      <w:bookmarkStart w:id="64" w:name="_Toc446498976"/>
      <w:bookmarkStart w:id="65" w:name="_Toc446588608"/>
      <w:bookmarkStart w:id="66" w:name="_Toc446660884"/>
      <w:bookmarkStart w:id="67" w:name="_Toc445198725"/>
      <w:bookmarkStart w:id="68" w:name="_Toc446076002"/>
      <w:bookmarkStart w:id="69" w:name="_Toc446080139"/>
      <w:bookmarkStart w:id="70" w:name="_Toc446498977"/>
      <w:bookmarkStart w:id="71" w:name="_Toc446588609"/>
      <w:bookmarkStart w:id="72" w:name="_Toc446660885"/>
      <w:bookmarkStart w:id="73" w:name="_Toc445198726"/>
      <w:bookmarkStart w:id="74" w:name="_Toc446076003"/>
      <w:bookmarkStart w:id="75" w:name="_Toc446080140"/>
      <w:bookmarkStart w:id="76" w:name="_Toc446498978"/>
      <w:bookmarkStart w:id="77" w:name="_Toc446588610"/>
      <w:bookmarkStart w:id="78" w:name="_Toc446660886"/>
      <w:bookmarkStart w:id="79" w:name="_The_political_and"/>
      <w:bookmarkStart w:id="80" w:name="_Toc441574246"/>
      <w:bookmarkStart w:id="81" w:name="_Toc441575398"/>
      <w:bookmarkStart w:id="82" w:name="_Toc442276967"/>
      <w:bookmarkStart w:id="83" w:name="_Toc442277028"/>
      <w:bookmarkStart w:id="84" w:name="_Toc442363279"/>
      <w:bookmarkStart w:id="85" w:name="_Toc438125365"/>
      <w:bookmarkStart w:id="86" w:name="_Toc438134851"/>
      <w:bookmarkStart w:id="87" w:name="_Toc438136212"/>
      <w:bookmarkStart w:id="88" w:name="_Toc438141417"/>
      <w:bookmarkStart w:id="89" w:name="_The_revised_EIF"/>
      <w:bookmarkStart w:id="90" w:name="_Toc454188965"/>
      <w:bookmarkStart w:id="91" w:name="_Toc454196214"/>
      <w:bookmarkStart w:id="92" w:name="_Toc469580861"/>
      <w:bookmarkStart w:id="93" w:name="_Toc469902786"/>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Pr>
          <w:noProof/>
        </w:rPr>
        <w:t>The EIF’s purpose and legal framework</w:t>
      </w:r>
      <w:bookmarkEnd w:id="90"/>
      <w:bookmarkEnd w:id="91"/>
      <w:bookmarkEnd w:id="92"/>
      <w:bookmarkEnd w:id="93"/>
    </w:p>
    <w:p>
      <w:pPr>
        <w:pStyle w:val="BodyText"/>
        <w:spacing w:line="312" w:lineRule="auto"/>
        <w:jc w:val="both"/>
        <w:rPr>
          <w:rFonts w:ascii="Times New Roman" w:hAnsi="Times New Roman"/>
          <w:noProof/>
          <w:sz w:val="24"/>
        </w:rPr>
      </w:pPr>
      <w:r>
        <w:rPr>
          <w:rFonts w:ascii="Times New Roman" w:hAnsi="Times New Roman"/>
          <w:noProof/>
          <w:sz w:val="24"/>
        </w:rPr>
        <w:t>The purpose of the EIF is to:</w:t>
      </w:r>
    </w:p>
    <w:p>
      <w:pPr>
        <w:pStyle w:val="BodyText"/>
        <w:numPr>
          <w:ilvl w:val="0"/>
          <w:numId w:val="5"/>
        </w:numPr>
        <w:spacing w:after="200" w:line="312" w:lineRule="auto"/>
        <w:ind w:left="714" w:hanging="357"/>
        <w:jc w:val="both"/>
        <w:rPr>
          <w:rFonts w:ascii="Times New Roman" w:hAnsi="Times New Roman"/>
          <w:noProof/>
          <w:sz w:val="24"/>
        </w:rPr>
      </w:pPr>
      <w:r>
        <w:rPr>
          <w:rFonts w:ascii="Times New Roman" w:hAnsi="Times New Roman"/>
          <w:noProof/>
          <w:sz w:val="24"/>
        </w:rPr>
        <w:t>inspire European public administrations in their efforts to design and deliver seamless European public services to other public administrations, citizens and businesses which are to the degree possible, digital-by-default (i.e. providing services and data preferably via digital channels), cross-border-by-default (i.e. accessible for all citizens in the EU) and open-by-default (i.e. enabling reuse, participation/access and transparency);</w:t>
      </w:r>
    </w:p>
    <w:p>
      <w:pPr>
        <w:pStyle w:val="BodyText"/>
        <w:numPr>
          <w:ilvl w:val="0"/>
          <w:numId w:val="5"/>
        </w:numPr>
        <w:spacing w:after="200" w:line="312" w:lineRule="auto"/>
        <w:ind w:left="714" w:hanging="357"/>
        <w:jc w:val="both"/>
        <w:rPr>
          <w:rFonts w:ascii="Times New Roman" w:hAnsi="Times New Roman"/>
          <w:noProof/>
          <w:sz w:val="24"/>
        </w:rPr>
      </w:pPr>
      <w:r>
        <w:rPr>
          <w:rFonts w:ascii="Times New Roman" w:hAnsi="Times New Roman"/>
          <w:noProof/>
          <w:sz w:val="24"/>
        </w:rPr>
        <w:t>provide guidance to public administrations on the design and update of national interoperability frameworks (NIFs), or national policies, strategies and guidelines promoting interoperability;</w:t>
      </w:r>
    </w:p>
    <w:p>
      <w:pPr>
        <w:pStyle w:val="BodyText"/>
        <w:numPr>
          <w:ilvl w:val="0"/>
          <w:numId w:val="5"/>
        </w:numPr>
        <w:spacing w:after="200" w:line="312" w:lineRule="auto"/>
        <w:ind w:left="714" w:hanging="357"/>
        <w:jc w:val="both"/>
        <w:rPr>
          <w:rFonts w:ascii="Times New Roman" w:hAnsi="Times New Roman"/>
          <w:noProof/>
          <w:sz w:val="24"/>
        </w:rPr>
      </w:pPr>
      <w:r>
        <w:rPr>
          <w:rFonts w:ascii="Times New Roman" w:hAnsi="Times New Roman"/>
          <w:noProof/>
          <w:sz w:val="24"/>
        </w:rPr>
        <w:t>contribute to the establishment of the digital single market by fostering cross-border and cross-sectoral interoperability for the delivery of European public services.</w:t>
      </w:r>
    </w:p>
    <w:p>
      <w:pPr>
        <w:spacing w:after="200" w:line="312" w:lineRule="auto"/>
        <w:jc w:val="both"/>
        <w:rPr>
          <w:rFonts w:ascii="Times New Roman" w:hAnsi="Times New Roman"/>
          <w:noProof/>
          <w:sz w:val="24"/>
        </w:rPr>
      </w:pPr>
      <w:r>
        <w:rPr>
          <w:rFonts w:ascii="Times New Roman" w:hAnsi="Times New Roman"/>
          <w:noProof/>
          <w:sz w:val="24"/>
        </w:rPr>
        <w:t>The lack of interoperability is a major obstacle to progress on the digital single market. Using the EIF to steer European interoperability initiatives contributes to a coherent European interoperable environment, and facilitates the delivery of services that work together, within and across organisations or domains.</w:t>
      </w:r>
    </w:p>
    <w:p>
      <w:pPr>
        <w:pStyle w:val="BodyText"/>
        <w:spacing w:line="312" w:lineRule="auto"/>
        <w:jc w:val="both"/>
        <w:rPr>
          <w:rFonts w:ascii="Times New Roman" w:hAnsi="Times New Roman"/>
          <w:noProof/>
          <w:sz w:val="24"/>
        </w:rPr>
      </w:pPr>
      <w:r>
        <w:rPr>
          <w:rFonts w:ascii="Times New Roman" w:hAnsi="Times New Roman"/>
          <w:noProof/>
          <w:sz w:val="24"/>
          <w:lang w:eastAsia="nl-BE"/>
        </w:rPr>
        <w:t>The EIF</w:t>
      </w:r>
      <w:r>
        <w:rPr>
          <w:rFonts w:ascii="Times New Roman" w:hAnsi="Times New Roman"/>
          <w:noProof/>
          <w:sz w:val="24"/>
        </w:rPr>
        <w:t xml:space="preserve"> is principally promoted and maintained by the ISA² programme</w:t>
      </w:r>
      <w:r>
        <w:rPr>
          <w:rStyle w:val="FootnoteReference"/>
          <w:rFonts w:ascii="Times New Roman" w:hAnsi="Times New Roman"/>
          <w:noProof/>
          <w:sz w:val="24"/>
        </w:rPr>
        <w:footnoteReference w:id="3"/>
      </w:r>
      <w:r>
        <w:rPr>
          <w:rFonts w:ascii="Times New Roman" w:hAnsi="Times New Roman"/>
          <w:noProof/>
          <w:sz w:val="24"/>
        </w:rPr>
        <w:t xml:space="preserve"> in close cooperation between the Member States and the Commission in the spirit of Articles 26, 170 and 171 of the Treaty on the Functioning of the European Union</w:t>
      </w:r>
      <w:r>
        <w:rPr>
          <w:rStyle w:val="FootnoteReference"/>
          <w:rFonts w:ascii="Times New Roman" w:hAnsi="Times New Roman"/>
          <w:noProof/>
          <w:sz w:val="24"/>
        </w:rPr>
        <w:footnoteReference w:id="4"/>
      </w:r>
      <w:r>
        <w:rPr>
          <w:rFonts w:ascii="Times New Roman" w:hAnsi="Times New Roman"/>
          <w:noProof/>
          <w:sz w:val="24"/>
        </w:rPr>
        <w:t xml:space="preserve"> calling for the establishment of interoperable trans-European networks that will enable citizens to derive full benefit from a European internal market.</w:t>
      </w:r>
    </w:p>
    <w:p>
      <w:pPr>
        <w:pStyle w:val="Heading2"/>
        <w:rPr>
          <w:noProof/>
        </w:rPr>
      </w:pPr>
      <w:bookmarkStart w:id="94" w:name="_Scope,_readership_and"/>
      <w:bookmarkStart w:id="95" w:name="_Toc454188966"/>
      <w:bookmarkStart w:id="96" w:name="_Toc454196215"/>
      <w:bookmarkStart w:id="97" w:name="_Toc469580862"/>
      <w:bookmarkStart w:id="98" w:name="_Toc469902787"/>
      <w:bookmarkEnd w:id="94"/>
      <w:r>
        <w:rPr>
          <w:noProof/>
        </w:rPr>
        <w:t>Scope, readership and usage of the EIF</w:t>
      </w:r>
      <w:bookmarkEnd w:id="95"/>
      <w:bookmarkEnd w:id="96"/>
      <w:bookmarkEnd w:id="97"/>
      <w:bookmarkEnd w:id="98"/>
    </w:p>
    <w:p>
      <w:pPr>
        <w:spacing w:after="200" w:line="312" w:lineRule="auto"/>
        <w:jc w:val="both"/>
        <w:rPr>
          <w:rFonts w:ascii="Times New Roman" w:hAnsi="Times New Roman"/>
          <w:noProof/>
          <w:sz w:val="24"/>
          <w:lang w:eastAsia="ar-SA"/>
        </w:rPr>
      </w:pPr>
      <w:r>
        <w:rPr>
          <w:rFonts w:ascii="Times New Roman" w:hAnsi="Times New Roman"/>
          <w:noProof/>
          <w:sz w:val="24"/>
        </w:rPr>
        <w:t xml:space="preserve">The EIF is meant to be a </w:t>
      </w:r>
      <w:r>
        <w:rPr>
          <w:rFonts w:ascii="Times New Roman" w:hAnsi="Times New Roman"/>
          <w:b/>
          <w:noProof/>
          <w:color w:val="000000" w:themeColor="text1"/>
          <w:sz w:val="24"/>
        </w:rPr>
        <w:t>generic framework</w:t>
      </w:r>
      <w:r>
        <w:rPr>
          <w:rFonts w:ascii="Times New Roman" w:hAnsi="Times New Roman"/>
          <w:noProof/>
          <w:color w:val="000000" w:themeColor="text1"/>
          <w:sz w:val="24"/>
        </w:rPr>
        <w:t xml:space="preserve"> </w:t>
      </w:r>
      <w:r>
        <w:rPr>
          <w:rFonts w:ascii="Times New Roman" w:hAnsi="Times New Roman"/>
          <w:noProof/>
          <w:sz w:val="24"/>
        </w:rPr>
        <w:t xml:space="preserve">applicable </w:t>
      </w:r>
      <w:r>
        <w:rPr>
          <w:rFonts w:ascii="Times New Roman" w:eastAsia="Times New Roman" w:hAnsi="Times New Roman"/>
          <w:noProof/>
          <w:color w:val="000000" w:themeColor="text1"/>
          <w:sz w:val="24"/>
        </w:rPr>
        <w:t xml:space="preserve">to all public administrations in the </w:t>
      </w:r>
      <w:r>
        <w:rPr>
          <w:rFonts w:ascii="Times New Roman" w:hAnsi="Times New Roman"/>
          <w:noProof/>
          <w:sz w:val="24"/>
        </w:rPr>
        <w:t xml:space="preserve">EU. It lays out the basic conditions for achieving interoperability, acting as the common denominator for relevant initiatives at all levels including European, national, regional and local, embracing public administrations, citizens and businesses. </w:t>
      </w:r>
      <w:r>
        <w:rPr>
          <w:rFonts w:ascii="Times New Roman" w:hAnsi="Times New Roman"/>
          <w:noProof/>
          <w:sz w:val="24"/>
          <w:lang w:eastAsia="nl-BE"/>
        </w:rPr>
        <w:t>This document is addressed to all those involved in defining, designing, developing and delivering European public services.</w:t>
      </w:r>
    </w:p>
    <w:p>
      <w:pPr>
        <w:spacing w:after="200" w:line="312" w:lineRule="auto"/>
        <w:jc w:val="both"/>
        <w:rPr>
          <w:rFonts w:ascii="Times New Roman" w:hAnsi="Times New Roman"/>
          <w:noProof/>
          <w:sz w:val="24"/>
        </w:rPr>
      </w:pPr>
      <w:r>
        <w:rPr>
          <w:rFonts w:ascii="Times New Roman" w:hAnsi="Times New Roman"/>
          <w:noProof/>
          <w:sz w:val="24"/>
        </w:rPr>
        <w:t>As Member States have different administrative and political systems, national specificities have to be taken into account when transposing the EIF into the national context. EU and national policies (e.g. NIFs) are expected to build upon the EIF, by adding new or fine-tuning existing elements. In a similar way, domain-specific interoperability frameworks (DIFs)</w:t>
      </w:r>
      <w:r>
        <w:rPr>
          <w:rStyle w:val="FootnoteReference"/>
          <w:rFonts w:ascii="Times New Roman" w:hAnsi="Times New Roman"/>
          <w:noProof/>
          <w:sz w:val="24"/>
        </w:rPr>
        <w:footnoteReference w:id="5"/>
      </w:r>
      <w:r>
        <w:rPr>
          <w:rFonts w:ascii="Times New Roman" w:hAnsi="Times New Roman"/>
          <w:noProof/>
          <w:sz w:val="24"/>
        </w:rPr>
        <w:t xml:space="preserve"> should remain compatible with, and where necessary extend, the scope of the EIF to capture the specific interoperability requirements of the domain in question. This means that some of the EIF elements can be directly copied into a NIF or DIF, while others might need to be contextualised and further tailored to cover the particular needs.</w:t>
      </w:r>
    </w:p>
    <w:p>
      <w:pPr>
        <w:spacing w:after="200" w:line="312" w:lineRule="auto"/>
        <w:jc w:val="both"/>
        <w:rPr>
          <w:rFonts w:ascii="Times New Roman" w:hAnsi="Times New Roman"/>
          <w:noProof/>
          <w:sz w:val="24"/>
        </w:rPr>
      </w:pPr>
      <w:r>
        <w:rPr>
          <w:rFonts w:ascii="Times New Roman" w:hAnsi="Times New Roman"/>
          <w:noProof/>
          <w:sz w:val="24"/>
        </w:rPr>
        <w:t>The relationship among EIF, NIFs and DIFs is described in figure 1. The EIF provides a common core of interoperability elements to European NIFs and DIFs. Compliance with the EIF guarantees that NIFs and DIFs are developed in a coordinated and aligned way while providing the necessary flexibility to address specific requirements coming from national or domain-specific requirements.</w:t>
      </w:r>
    </w:p>
    <w:p>
      <w:pPr>
        <w:pStyle w:val="Caption"/>
        <w:spacing w:before="0" w:after="120"/>
        <w:rPr>
          <w:noProof/>
          <w:sz w:val="24"/>
        </w:rPr>
      </w:pPr>
      <w:bookmarkStart w:id="99" w:name="_Toc469580891"/>
      <w:bookmarkStart w:id="100" w:name="_Toc469902816"/>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szCs w:val="20"/>
        </w:rPr>
        <w:t>: Relationship between EIF, NIFs and DIFs</w:t>
      </w:r>
      <w:bookmarkEnd w:id="99"/>
      <w:bookmarkEnd w:id="100"/>
    </w:p>
    <w:p>
      <w:pPr>
        <w:jc w:val="center"/>
        <w:rPr>
          <w:rFonts w:ascii="Times New Roman" w:hAnsi="Times New Roman"/>
          <w:noProof/>
          <w:sz w:val="22"/>
          <w:szCs w:val="22"/>
        </w:rPr>
      </w:pPr>
      <w:r>
        <w:rPr>
          <w:rFonts w:ascii="Times New Roman" w:hAnsi="Times New Roman"/>
          <w:noProof/>
          <w:szCs w:val="20"/>
          <w:lang w:val="en-US" w:eastAsia="en-US"/>
        </w:rPr>
        <w:drawing>
          <wp:inline distT="0" distB="0" distL="0" distR="0">
            <wp:extent cx="4921532" cy="2476500"/>
            <wp:effectExtent l="0" t="0" r="0" b="0"/>
            <wp:docPr id="2" name="Picture 2" descr="C:\Users\gatteco\AppData\Local\Temp\1\7zOCB5248F8\SLIDE CE DEF B-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tteco\AppData\Local\Temp\1\7zOCB5248F8\SLIDE CE DEF B-N 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483"/>
                    <a:stretch/>
                  </pic:blipFill>
                  <pic:spPr bwMode="auto">
                    <a:xfrm>
                      <a:off x="0" y="0"/>
                      <a:ext cx="4930101" cy="248081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Default"/>
        <w:rPr>
          <w:rFonts w:ascii="Times New Roman" w:hAnsi="Times New Roman" w:cs="Times New Roman"/>
          <w:noProof/>
        </w:rPr>
      </w:pPr>
      <w:bookmarkStart w:id="101" w:name="OLE_LINK5"/>
      <w:bookmarkStart w:id="102" w:name="OLE_LINK6"/>
    </w:p>
    <w:p>
      <w:pPr>
        <w:spacing w:line="312" w:lineRule="auto"/>
        <w:jc w:val="both"/>
        <w:rPr>
          <w:rFonts w:ascii="Times New Roman" w:hAnsi="Times New Roman"/>
          <w:noProof/>
          <w:sz w:val="24"/>
          <w:lang w:eastAsia="nl-BE"/>
        </w:rPr>
      </w:pPr>
      <w:r>
        <w:rPr>
          <w:rFonts w:ascii="Times New Roman" w:hAnsi="Times New Roman"/>
          <w:noProof/>
          <w:sz w:val="24"/>
          <w:lang w:eastAsia="nl-BE"/>
        </w:rPr>
        <w:t>In general, the EIF provides value in two directions:</w:t>
      </w:r>
    </w:p>
    <w:p>
      <w:pPr>
        <w:pStyle w:val="BodyText"/>
        <w:numPr>
          <w:ilvl w:val="0"/>
          <w:numId w:val="5"/>
        </w:numPr>
        <w:spacing w:before="120" w:after="120" w:line="312" w:lineRule="auto"/>
        <w:ind w:left="714" w:hanging="357"/>
        <w:jc w:val="both"/>
        <w:rPr>
          <w:rFonts w:ascii="Times New Roman" w:hAnsi="Times New Roman"/>
          <w:noProof/>
          <w:sz w:val="24"/>
        </w:rPr>
      </w:pPr>
      <w:r>
        <w:rPr>
          <w:rFonts w:ascii="Times New Roman" w:eastAsia="MS Mincho" w:hAnsi="Times New Roman"/>
          <w:b/>
          <w:noProof/>
          <w:sz w:val="24"/>
          <w:lang w:eastAsia="ja-JP"/>
        </w:rPr>
        <w:t>bottom-up</w:t>
      </w:r>
      <w:r>
        <w:rPr>
          <w:rFonts w:ascii="Times New Roman" w:hAnsi="Times New Roman"/>
          <w:b/>
          <w:noProof/>
          <w:color w:val="000000" w:themeColor="text1"/>
          <w:sz w:val="24"/>
        </w:rPr>
        <w:t>:</w:t>
      </w:r>
      <w:r>
        <w:rPr>
          <w:rFonts w:ascii="Times New Roman" w:hAnsi="Times New Roman"/>
          <w:noProof/>
          <w:color w:val="000000" w:themeColor="text1"/>
          <w:sz w:val="24"/>
        </w:rPr>
        <w:t xml:space="preserve"> </w:t>
      </w:r>
      <w:r>
        <w:rPr>
          <w:rFonts w:ascii="Times New Roman" w:hAnsi="Times New Roman"/>
          <w:noProof/>
          <w:sz w:val="24"/>
        </w:rPr>
        <w:t>when a NIF aligned with the EIF is used for the implementation of public services at all levels of national administrations, it creates the interoperability conditions for extending the scope of these services across borders;</w:t>
      </w:r>
    </w:p>
    <w:p>
      <w:pPr>
        <w:pStyle w:val="BodyText"/>
        <w:numPr>
          <w:ilvl w:val="0"/>
          <w:numId w:val="5"/>
        </w:numPr>
        <w:spacing w:before="120" w:after="120" w:line="312" w:lineRule="auto"/>
        <w:ind w:left="714" w:hanging="357"/>
        <w:jc w:val="both"/>
        <w:rPr>
          <w:rFonts w:ascii="Times New Roman" w:hAnsi="Times New Roman"/>
          <w:noProof/>
          <w:sz w:val="24"/>
        </w:rPr>
      </w:pPr>
      <w:r>
        <w:rPr>
          <w:rFonts w:ascii="Times New Roman" w:eastAsia="MS Mincho" w:hAnsi="Times New Roman"/>
          <w:b/>
          <w:noProof/>
          <w:sz w:val="24"/>
          <w:lang w:eastAsia="ja-JP"/>
        </w:rPr>
        <w:t>top-down</w:t>
      </w:r>
      <w:r>
        <w:rPr>
          <w:rFonts w:ascii="Times New Roman" w:hAnsi="Times New Roman"/>
          <w:b/>
          <w:noProof/>
          <w:sz w:val="24"/>
        </w:rPr>
        <w:t>:</w:t>
      </w:r>
      <w:r>
        <w:rPr>
          <w:rFonts w:ascii="Times New Roman" w:hAnsi="Times New Roman"/>
          <w:noProof/>
          <w:sz w:val="24"/>
        </w:rPr>
        <w:t xml:space="preserve"> when the EIF is considered in EU legislation and policy domains, either through ad hoc references or more structurally using DIFs, it increases the interoperability potential of the follow-up national actions resulting from transposition.</w:t>
      </w:r>
    </w:p>
    <w:p>
      <w:pPr>
        <w:spacing w:line="312" w:lineRule="auto"/>
        <w:jc w:val="both"/>
        <w:rPr>
          <w:rFonts w:ascii="Times New Roman" w:hAnsi="Times New Roman"/>
          <w:noProof/>
          <w:sz w:val="24"/>
        </w:rPr>
      </w:pPr>
      <w:r>
        <w:rPr>
          <w:rFonts w:ascii="Times New Roman" w:hAnsi="Times New Roman"/>
          <w:noProof/>
          <w:sz w:val="24"/>
          <w:lang w:eastAsia="ar-SA"/>
        </w:rPr>
        <w:t xml:space="preserve">In both cases, the end result is the </w:t>
      </w:r>
      <w:r>
        <w:rPr>
          <w:rFonts w:ascii="Times New Roman" w:hAnsi="Times New Roman"/>
          <w:noProof/>
          <w:sz w:val="24"/>
        </w:rPr>
        <w:t>development of a European public services ecosystem in which owners and designers of systems and public services become aware of interoperability requirements, public administrations are ready to collaborate with each other and with businesses and citizens, and information flows seamlessly across borders to support a digital single market in Europe.</w:t>
      </w:r>
    </w:p>
    <w:p>
      <w:pPr>
        <w:pStyle w:val="Heading3"/>
        <w:rPr>
          <w:noProof/>
        </w:rPr>
      </w:pPr>
      <w:bookmarkStart w:id="103" w:name="_Toc437853255"/>
      <w:bookmarkStart w:id="104" w:name="_Toc437871518"/>
      <w:bookmarkStart w:id="105" w:name="_Toc437871635"/>
      <w:bookmarkStart w:id="106" w:name="_Toc437871752"/>
      <w:bookmarkStart w:id="107" w:name="_Toc437871869"/>
      <w:bookmarkStart w:id="108" w:name="_Toc437871986"/>
      <w:bookmarkStart w:id="109" w:name="_Toc437872102"/>
      <w:bookmarkStart w:id="110" w:name="_Toc438118794"/>
      <w:bookmarkStart w:id="111" w:name="_Toc438125369"/>
      <w:bookmarkStart w:id="112" w:name="_Toc438134855"/>
      <w:bookmarkStart w:id="113" w:name="_Toc438136216"/>
      <w:bookmarkStart w:id="114" w:name="_Toc438141421"/>
      <w:bookmarkStart w:id="115" w:name="_Toc437853256"/>
      <w:bookmarkStart w:id="116" w:name="_Toc437871519"/>
      <w:bookmarkStart w:id="117" w:name="_Toc437871636"/>
      <w:bookmarkStart w:id="118" w:name="_Toc437871753"/>
      <w:bookmarkStart w:id="119" w:name="_Toc437871870"/>
      <w:bookmarkStart w:id="120" w:name="_Toc437871987"/>
      <w:bookmarkStart w:id="121" w:name="_Toc437872103"/>
      <w:bookmarkStart w:id="122" w:name="_Toc438118795"/>
      <w:bookmarkStart w:id="123" w:name="_Toc438125370"/>
      <w:bookmarkStart w:id="124" w:name="_Toc438134856"/>
      <w:bookmarkStart w:id="125" w:name="_Toc438136217"/>
      <w:bookmarkStart w:id="126" w:name="_Toc438141422"/>
      <w:bookmarkStart w:id="127" w:name="_Toc437853257"/>
      <w:bookmarkStart w:id="128" w:name="_Toc437871520"/>
      <w:bookmarkStart w:id="129" w:name="_Toc437871637"/>
      <w:bookmarkStart w:id="130" w:name="_Toc437871754"/>
      <w:bookmarkStart w:id="131" w:name="_Toc437871871"/>
      <w:bookmarkStart w:id="132" w:name="_Toc437871988"/>
      <w:bookmarkStart w:id="133" w:name="_Toc437872104"/>
      <w:bookmarkStart w:id="134" w:name="_Toc438118796"/>
      <w:bookmarkStart w:id="135" w:name="_Toc438125371"/>
      <w:bookmarkStart w:id="136" w:name="_Toc438134857"/>
      <w:bookmarkStart w:id="137" w:name="_Toc438136218"/>
      <w:bookmarkStart w:id="138" w:name="_Toc438141423"/>
      <w:bookmarkStart w:id="139" w:name="_Toc437853258"/>
      <w:bookmarkStart w:id="140" w:name="_Toc437871521"/>
      <w:bookmarkStart w:id="141" w:name="_Toc437871638"/>
      <w:bookmarkStart w:id="142" w:name="_Toc437871755"/>
      <w:bookmarkStart w:id="143" w:name="_Toc437871872"/>
      <w:bookmarkStart w:id="144" w:name="_Toc437871989"/>
      <w:bookmarkStart w:id="145" w:name="_Toc437872105"/>
      <w:bookmarkStart w:id="146" w:name="_Toc438118797"/>
      <w:bookmarkStart w:id="147" w:name="_Toc438125372"/>
      <w:bookmarkStart w:id="148" w:name="_Toc438134858"/>
      <w:bookmarkStart w:id="149" w:name="_Toc438136219"/>
      <w:bookmarkStart w:id="150" w:name="_Toc438141424"/>
      <w:bookmarkStart w:id="151" w:name="_Toc437853259"/>
      <w:bookmarkStart w:id="152" w:name="_Toc437871522"/>
      <w:bookmarkStart w:id="153" w:name="_Toc437871639"/>
      <w:bookmarkStart w:id="154" w:name="_Toc437871756"/>
      <w:bookmarkStart w:id="155" w:name="_Toc437871873"/>
      <w:bookmarkStart w:id="156" w:name="_Toc437871990"/>
      <w:bookmarkStart w:id="157" w:name="_Toc437872106"/>
      <w:bookmarkStart w:id="158" w:name="_Toc438118798"/>
      <w:bookmarkStart w:id="159" w:name="_Toc438125373"/>
      <w:bookmarkStart w:id="160" w:name="_Toc438134859"/>
      <w:bookmarkStart w:id="161" w:name="_Toc438136220"/>
      <w:bookmarkStart w:id="162" w:name="_Toc438141425"/>
      <w:bookmarkStart w:id="163" w:name="_Toc437853260"/>
      <w:bookmarkStart w:id="164" w:name="_Toc437871523"/>
      <w:bookmarkStart w:id="165" w:name="_Toc437871640"/>
      <w:bookmarkStart w:id="166" w:name="_Toc437871757"/>
      <w:bookmarkStart w:id="167" w:name="_Toc437871874"/>
      <w:bookmarkStart w:id="168" w:name="_Toc437871991"/>
      <w:bookmarkStart w:id="169" w:name="_Toc437872107"/>
      <w:bookmarkStart w:id="170" w:name="_Toc438118799"/>
      <w:bookmarkStart w:id="171" w:name="_Toc438125374"/>
      <w:bookmarkStart w:id="172" w:name="_Toc438134860"/>
      <w:bookmarkStart w:id="173" w:name="_Toc438136221"/>
      <w:bookmarkStart w:id="174" w:name="_Toc438141426"/>
      <w:bookmarkStart w:id="175" w:name="_Toc437853261"/>
      <w:bookmarkStart w:id="176" w:name="_Toc437871524"/>
      <w:bookmarkStart w:id="177" w:name="_Toc437871641"/>
      <w:bookmarkStart w:id="178" w:name="_Toc437871758"/>
      <w:bookmarkStart w:id="179" w:name="_Toc437871875"/>
      <w:bookmarkStart w:id="180" w:name="_Toc437871992"/>
      <w:bookmarkStart w:id="181" w:name="_Toc437872108"/>
      <w:bookmarkStart w:id="182" w:name="_Toc438118800"/>
      <w:bookmarkStart w:id="183" w:name="_Toc438125375"/>
      <w:bookmarkStart w:id="184" w:name="_Toc438134861"/>
      <w:bookmarkStart w:id="185" w:name="_Toc438136222"/>
      <w:bookmarkStart w:id="186" w:name="_Toc438141427"/>
      <w:bookmarkStart w:id="187" w:name="_Toc454188967"/>
      <w:bookmarkStart w:id="188" w:name="_Toc454196216"/>
      <w:bookmarkStart w:id="189" w:name="_Toc454198164"/>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Pr>
          <w:noProof/>
        </w:rPr>
        <w:t>Interoperability areas</w:t>
      </w:r>
      <w:bookmarkEnd w:id="187"/>
      <w:bookmarkEnd w:id="188"/>
      <w:bookmarkEnd w:id="189"/>
    </w:p>
    <w:p>
      <w:pPr>
        <w:pStyle w:val="BodyText"/>
        <w:keepNext/>
        <w:jc w:val="both"/>
        <w:rPr>
          <w:rFonts w:ascii="Times New Roman" w:hAnsi="Times New Roman"/>
          <w:noProof/>
          <w:sz w:val="24"/>
        </w:rPr>
      </w:pPr>
      <w:r>
        <w:rPr>
          <w:rFonts w:ascii="Times New Roman" w:hAnsi="Times New Roman"/>
          <w:noProof/>
          <w:sz w:val="24"/>
        </w:rPr>
        <w:t>The EIF’s scope covers three types of interactions:</w:t>
      </w:r>
    </w:p>
    <w:p>
      <w:pPr>
        <w:pStyle w:val="BodyText"/>
        <w:numPr>
          <w:ilvl w:val="0"/>
          <w:numId w:val="19"/>
        </w:numPr>
        <w:spacing w:before="120" w:after="120"/>
        <w:ind w:left="714" w:hanging="357"/>
        <w:jc w:val="both"/>
        <w:rPr>
          <w:rFonts w:ascii="Times New Roman" w:hAnsi="Times New Roman"/>
          <w:noProof/>
          <w:sz w:val="24"/>
        </w:rPr>
      </w:pPr>
      <w:r>
        <w:rPr>
          <w:rFonts w:ascii="Times New Roman" w:hAnsi="Times New Roman"/>
          <w:noProof/>
          <w:sz w:val="24"/>
        </w:rPr>
        <w:t>A2A (administration to administration), which refers to interactions between public administrations (e.g. Member State or EU Institutions);</w:t>
      </w:r>
    </w:p>
    <w:p>
      <w:pPr>
        <w:pStyle w:val="BodyText"/>
        <w:numPr>
          <w:ilvl w:val="0"/>
          <w:numId w:val="19"/>
        </w:numPr>
        <w:spacing w:before="120" w:after="120"/>
        <w:ind w:left="714" w:hanging="357"/>
        <w:jc w:val="both"/>
        <w:rPr>
          <w:rFonts w:ascii="Times New Roman" w:hAnsi="Times New Roman"/>
          <w:b/>
          <w:noProof/>
          <w:sz w:val="24"/>
        </w:rPr>
      </w:pPr>
      <w:r>
        <w:rPr>
          <w:rFonts w:ascii="Times New Roman" w:hAnsi="Times New Roman"/>
          <w:noProof/>
          <w:sz w:val="24"/>
        </w:rPr>
        <w:t>A2B (administration to business), which refers to interactions between public administrations (in a Member State or an EU Institution) and businesses;</w:t>
      </w:r>
    </w:p>
    <w:p>
      <w:pPr>
        <w:pStyle w:val="BodyText"/>
        <w:numPr>
          <w:ilvl w:val="0"/>
          <w:numId w:val="19"/>
        </w:numPr>
        <w:spacing w:before="120" w:after="120"/>
        <w:ind w:left="714" w:hanging="357"/>
        <w:jc w:val="both"/>
        <w:rPr>
          <w:rFonts w:ascii="Times New Roman" w:hAnsi="Times New Roman"/>
          <w:noProof/>
          <w:sz w:val="24"/>
        </w:rPr>
      </w:pPr>
      <w:r>
        <w:rPr>
          <w:rFonts w:ascii="Times New Roman" w:hAnsi="Times New Roman"/>
          <w:noProof/>
          <w:sz w:val="24"/>
        </w:rPr>
        <w:t>A2C (administration to citizen), which refers to interactions between public administrations (in a Member State or an EU institution) and citizens.</w:t>
      </w:r>
    </w:p>
    <w:p>
      <w:pPr>
        <w:pStyle w:val="Heading3"/>
        <w:rPr>
          <w:noProof/>
        </w:rPr>
      </w:pPr>
      <w:bookmarkStart w:id="190" w:name="_Toc446076009"/>
      <w:bookmarkStart w:id="191" w:name="_Toc446080146"/>
      <w:bookmarkStart w:id="192" w:name="_Toc446498984"/>
      <w:bookmarkStart w:id="193" w:name="_Toc446588616"/>
      <w:bookmarkStart w:id="194" w:name="_Toc446660892"/>
      <w:bookmarkStart w:id="195" w:name="_Toc446076010"/>
      <w:bookmarkStart w:id="196" w:name="_Toc446080147"/>
      <w:bookmarkStart w:id="197" w:name="_Toc446498985"/>
      <w:bookmarkStart w:id="198" w:name="_Toc446588617"/>
      <w:bookmarkStart w:id="199" w:name="_Toc446660893"/>
      <w:bookmarkStart w:id="200" w:name="_Toc454188968"/>
      <w:bookmarkStart w:id="201" w:name="_Toc454196217"/>
      <w:bookmarkStart w:id="202" w:name="_Toc454198165"/>
      <w:bookmarkEnd w:id="190"/>
      <w:bookmarkEnd w:id="191"/>
      <w:bookmarkEnd w:id="192"/>
      <w:bookmarkEnd w:id="193"/>
      <w:bookmarkEnd w:id="194"/>
      <w:bookmarkEnd w:id="195"/>
      <w:bookmarkEnd w:id="196"/>
      <w:bookmarkEnd w:id="197"/>
      <w:bookmarkEnd w:id="198"/>
      <w:bookmarkEnd w:id="199"/>
      <w:r>
        <w:rPr>
          <w:noProof/>
        </w:rPr>
        <w:t>Content and structure</w:t>
      </w:r>
      <w:bookmarkEnd w:id="200"/>
      <w:bookmarkEnd w:id="201"/>
      <w:bookmarkEnd w:id="202"/>
    </w:p>
    <w:p>
      <w:pPr>
        <w:pStyle w:val="BodyText"/>
        <w:spacing w:line="312" w:lineRule="auto"/>
        <w:jc w:val="both"/>
        <w:rPr>
          <w:rFonts w:ascii="Times New Roman" w:hAnsi="Times New Roman"/>
          <w:noProof/>
          <w:sz w:val="24"/>
        </w:rPr>
      </w:pPr>
      <w:r>
        <w:rPr>
          <w:rFonts w:ascii="Times New Roman" w:hAnsi="Times New Roman"/>
          <w:noProof/>
          <w:sz w:val="24"/>
        </w:rPr>
        <w:t>The EIF content and structure is presented below:</w:t>
      </w:r>
    </w:p>
    <w:p>
      <w:pPr>
        <w:pStyle w:val="BodyText"/>
        <w:numPr>
          <w:ilvl w:val="0"/>
          <w:numId w:val="19"/>
        </w:numPr>
        <w:spacing w:line="312" w:lineRule="auto"/>
        <w:ind w:left="714" w:hanging="357"/>
        <w:jc w:val="both"/>
        <w:rPr>
          <w:rFonts w:ascii="Times New Roman" w:hAnsi="Times New Roman"/>
          <w:noProof/>
          <w:sz w:val="24"/>
        </w:rPr>
      </w:pPr>
      <w:r>
        <w:rPr>
          <w:rFonts w:ascii="Times New Roman" w:hAnsi="Times New Roman"/>
          <w:noProof/>
          <w:sz w:val="24"/>
        </w:rPr>
        <w:t xml:space="preserve">Chapter 2 presents a set of </w:t>
      </w:r>
      <w:r>
        <w:rPr>
          <w:rFonts w:ascii="Times New Roman" w:hAnsi="Times New Roman"/>
          <w:b/>
          <w:noProof/>
          <w:sz w:val="24"/>
        </w:rPr>
        <w:t xml:space="preserve">principles </w:t>
      </w:r>
      <w:r>
        <w:rPr>
          <w:rFonts w:ascii="Times New Roman" w:hAnsi="Times New Roman"/>
          <w:noProof/>
          <w:sz w:val="24"/>
        </w:rPr>
        <w:t>intended to establish general behaviours on interoperability;</w:t>
      </w:r>
    </w:p>
    <w:p>
      <w:pPr>
        <w:pStyle w:val="BodyText"/>
        <w:numPr>
          <w:ilvl w:val="0"/>
          <w:numId w:val="19"/>
        </w:numPr>
        <w:spacing w:line="312" w:lineRule="auto"/>
        <w:jc w:val="both"/>
        <w:rPr>
          <w:rFonts w:ascii="Times New Roman" w:hAnsi="Times New Roman"/>
          <w:noProof/>
          <w:sz w:val="24"/>
        </w:rPr>
      </w:pPr>
      <w:r>
        <w:rPr>
          <w:rFonts w:ascii="Times New Roman" w:hAnsi="Times New Roman"/>
          <w:noProof/>
          <w:sz w:val="24"/>
        </w:rPr>
        <w:t xml:space="preserve">Chapter 3 presents a layered </w:t>
      </w:r>
      <w:r>
        <w:rPr>
          <w:rFonts w:ascii="Times New Roman" w:hAnsi="Times New Roman"/>
          <w:b/>
          <w:noProof/>
          <w:sz w:val="24"/>
        </w:rPr>
        <w:t xml:space="preserve">interoperability model </w:t>
      </w:r>
      <w:r>
        <w:rPr>
          <w:rFonts w:ascii="Times New Roman" w:hAnsi="Times New Roman"/>
          <w:noProof/>
          <w:sz w:val="24"/>
        </w:rPr>
        <w:t>which organises in layers the different interoperability aspects to be addressed when designing European public services;</w:t>
      </w:r>
    </w:p>
    <w:p>
      <w:pPr>
        <w:pStyle w:val="BodyText"/>
        <w:numPr>
          <w:ilvl w:val="0"/>
          <w:numId w:val="19"/>
        </w:numPr>
        <w:spacing w:line="312" w:lineRule="auto"/>
        <w:jc w:val="both"/>
        <w:rPr>
          <w:rFonts w:ascii="Times New Roman" w:hAnsi="Times New Roman"/>
          <w:noProof/>
          <w:sz w:val="24"/>
        </w:rPr>
      </w:pPr>
      <w:r>
        <w:rPr>
          <w:rFonts w:ascii="Times New Roman" w:hAnsi="Times New Roman"/>
          <w:noProof/>
          <w:sz w:val="24"/>
        </w:rPr>
        <w:t xml:space="preserve">Chapter 4 outlines a conceptual </w:t>
      </w:r>
      <w:r>
        <w:rPr>
          <w:rFonts w:ascii="Times New Roman" w:hAnsi="Times New Roman"/>
          <w:b/>
          <w:noProof/>
          <w:sz w:val="24"/>
        </w:rPr>
        <w:t>model</w:t>
      </w:r>
      <w:r>
        <w:rPr>
          <w:rFonts w:ascii="Times New Roman" w:hAnsi="Times New Roman"/>
          <w:noProof/>
          <w:sz w:val="24"/>
        </w:rPr>
        <w:t xml:space="preserve"> </w:t>
      </w:r>
      <w:r>
        <w:rPr>
          <w:rFonts w:ascii="Times New Roman" w:hAnsi="Times New Roman"/>
          <w:b/>
          <w:noProof/>
          <w:sz w:val="24"/>
        </w:rPr>
        <w:t>for interoperable</w:t>
      </w:r>
      <w:r>
        <w:rPr>
          <w:rFonts w:ascii="Times New Roman" w:hAnsi="Times New Roman"/>
          <w:noProof/>
          <w:sz w:val="24"/>
        </w:rPr>
        <w:t xml:space="preserve"> </w:t>
      </w:r>
      <w:r>
        <w:rPr>
          <w:rFonts w:ascii="Times New Roman" w:hAnsi="Times New Roman"/>
          <w:b/>
          <w:noProof/>
          <w:sz w:val="24"/>
        </w:rPr>
        <w:t>public services</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The model</w:t>
      </w:r>
      <w:r>
        <w:rPr>
          <w:rFonts w:ascii="Times New Roman" w:hAnsi="Times New Roman"/>
          <w:b/>
          <w:noProof/>
          <w:sz w:val="24"/>
        </w:rPr>
        <w:t xml:space="preserve"> </w:t>
      </w:r>
      <w:r>
        <w:rPr>
          <w:rFonts w:ascii="Times New Roman" w:eastAsia="MS Mincho" w:hAnsi="Times New Roman"/>
          <w:noProof/>
          <w:sz w:val="24"/>
          <w:lang w:eastAsia="ja-JP"/>
        </w:rPr>
        <w:t>is aligned with the interoperability principles and promotes the idea of ‘interoperability by design’ as a standard approach for the design and operation of European public services</w:t>
      </w:r>
      <w:r>
        <w:rPr>
          <w:rFonts w:ascii="Times New Roman" w:hAnsi="Times New Roman"/>
          <w:noProof/>
          <w:sz w:val="24"/>
        </w:rPr>
        <w:t>;</w:t>
      </w:r>
    </w:p>
    <w:p>
      <w:pPr>
        <w:pStyle w:val="BodyText"/>
        <w:numPr>
          <w:ilvl w:val="0"/>
          <w:numId w:val="19"/>
        </w:numPr>
        <w:spacing w:line="312" w:lineRule="auto"/>
        <w:jc w:val="both"/>
        <w:rPr>
          <w:rFonts w:ascii="Times New Roman" w:hAnsi="Times New Roman"/>
          <w:b/>
          <w:noProof/>
          <w:sz w:val="24"/>
        </w:rPr>
      </w:pPr>
      <w:r>
        <w:rPr>
          <w:rFonts w:ascii="Times New Roman" w:hAnsi="Times New Roman"/>
          <w:noProof/>
          <w:sz w:val="24"/>
        </w:rPr>
        <w:t xml:space="preserve">Chapter 5 concludes the document by providing an overview and </w:t>
      </w:r>
      <w:r>
        <w:rPr>
          <w:rFonts w:ascii="Times New Roman" w:hAnsi="Times New Roman"/>
          <w:b/>
          <w:noProof/>
          <w:sz w:val="24"/>
        </w:rPr>
        <w:t>tying together the major elements of the EIF</w:t>
      </w:r>
      <w:r>
        <w:rPr>
          <w:rFonts w:ascii="Times New Roman" w:hAnsi="Times New Roman"/>
          <w:noProof/>
          <w:sz w:val="24"/>
        </w:rPr>
        <w:t>;</w:t>
      </w:r>
    </w:p>
    <w:p>
      <w:pPr>
        <w:pStyle w:val="BodyText"/>
        <w:numPr>
          <w:ilvl w:val="0"/>
          <w:numId w:val="19"/>
        </w:numPr>
        <w:spacing w:after="240" w:line="312" w:lineRule="auto"/>
        <w:ind w:left="714" w:hanging="357"/>
        <w:jc w:val="both"/>
        <w:rPr>
          <w:rFonts w:ascii="Times New Roman" w:hAnsi="Times New Roman"/>
          <w:noProof/>
          <w:sz w:val="24"/>
        </w:rPr>
      </w:pPr>
      <w:r>
        <w:rPr>
          <w:rFonts w:ascii="Times New Roman" w:hAnsi="Times New Roman"/>
          <w:noProof/>
          <w:sz w:val="24"/>
        </w:rPr>
        <w:t xml:space="preserve">A set of </w:t>
      </w:r>
      <w:r>
        <w:rPr>
          <w:rFonts w:ascii="Times New Roman" w:hAnsi="Times New Roman"/>
          <w:b/>
          <w:noProof/>
          <w:sz w:val="24"/>
        </w:rPr>
        <w:t>47</w:t>
      </w:r>
      <w:r>
        <w:rPr>
          <w:rFonts w:ascii="Times New Roman" w:hAnsi="Times New Roman"/>
          <w:noProof/>
          <w:sz w:val="24"/>
        </w:rPr>
        <w:t xml:space="preserve"> </w:t>
      </w:r>
      <w:r>
        <w:rPr>
          <w:rFonts w:ascii="Times New Roman" w:hAnsi="Times New Roman"/>
          <w:b/>
          <w:noProof/>
          <w:sz w:val="24"/>
        </w:rPr>
        <w:t>recommendations,</w:t>
      </w:r>
      <w:r>
        <w:rPr>
          <w:rFonts w:ascii="Times New Roman" w:hAnsi="Times New Roman"/>
          <w:noProof/>
          <w:sz w:val="24"/>
        </w:rPr>
        <w:t xml:space="preserve"> as actionable items to be implemented by public administrations, is discussed across the different chapters.</w:t>
      </w:r>
      <w:bookmarkStart w:id="203" w:name="_Toc221008033"/>
      <w:bookmarkStart w:id="204" w:name="_Toc242617113"/>
      <w:bookmarkStart w:id="205" w:name="_Toc454188969"/>
      <w:bookmarkStart w:id="206" w:name="_Toc454196218"/>
      <w:bookmarkEnd w:id="7"/>
      <w:bookmarkEnd w:id="8"/>
      <w:bookmarkEnd w:id="9"/>
    </w:p>
    <w:p>
      <w:pPr>
        <w:pStyle w:val="Heading1"/>
        <w:pageBreakBefore w:val="0"/>
        <w:numPr>
          <w:ilvl w:val="0"/>
          <w:numId w:val="1"/>
        </w:numPr>
        <w:tabs>
          <w:tab w:val="clear" w:pos="851"/>
          <w:tab w:val="clear" w:pos="2133"/>
        </w:tabs>
        <w:spacing w:after="240" w:line="240" w:lineRule="auto"/>
        <w:ind w:left="567" w:hanging="567"/>
        <w:jc w:val="both"/>
        <w:rPr>
          <w:smallCaps/>
          <w:noProof/>
          <w:kern w:val="0"/>
          <w:lang w:eastAsia="en-US"/>
        </w:rPr>
      </w:pPr>
      <w:bookmarkStart w:id="207" w:name="_Toc469580863"/>
      <w:bookmarkStart w:id="208" w:name="_Toc469902788"/>
      <w:r>
        <w:rPr>
          <w:smallCaps/>
          <w:noProof/>
          <w:kern w:val="0"/>
          <w:lang w:eastAsia="en-US"/>
        </w:rPr>
        <w:t>Underlying principles</w:t>
      </w:r>
      <w:bookmarkEnd w:id="203"/>
      <w:r>
        <w:rPr>
          <w:smallCaps/>
          <w:noProof/>
          <w:kern w:val="0"/>
          <w:lang w:eastAsia="en-US"/>
        </w:rPr>
        <w:t xml:space="preserve"> of European public services</w:t>
      </w:r>
      <w:bookmarkEnd w:id="204"/>
      <w:bookmarkEnd w:id="205"/>
      <w:bookmarkEnd w:id="206"/>
      <w:bookmarkEnd w:id="207"/>
      <w:bookmarkEnd w:id="208"/>
    </w:p>
    <w:p>
      <w:pPr>
        <w:pStyle w:val="Heading2"/>
        <w:rPr>
          <w:noProof/>
        </w:rPr>
      </w:pPr>
      <w:bookmarkStart w:id="209" w:name="_Toc199932895"/>
      <w:bookmarkStart w:id="210" w:name="_Toc200537579"/>
      <w:bookmarkStart w:id="211" w:name="_Toc202927901"/>
      <w:bookmarkStart w:id="212" w:name="_Toc221008034"/>
      <w:bookmarkStart w:id="213" w:name="_Toc242617114"/>
      <w:bookmarkStart w:id="214" w:name="_Toc454188970"/>
      <w:bookmarkStart w:id="215" w:name="_Toc454196219"/>
      <w:bookmarkStart w:id="216" w:name="_Toc469580864"/>
      <w:bookmarkStart w:id="217" w:name="_Toc469902789"/>
      <w:r>
        <w:rPr>
          <w:noProof/>
        </w:rPr>
        <w:t>Introduction</w:t>
      </w:r>
      <w:bookmarkEnd w:id="209"/>
      <w:bookmarkEnd w:id="210"/>
      <w:bookmarkEnd w:id="211"/>
      <w:bookmarkEnd w:id="212"/>
      <w:bookmarkEnd w:id="213"/>
      <w:bookmarkEnd w:id="214"/>
      <w:bookmarkEnd w:id="215"/>
      <w:bookmarkEnd w:id="216"/>
      <w:bookmarkEnd w:id="217"/>
    </w:p>
    <w:p>
      <w:pPr>
        <w:spacing w:after="200" w:line="312" w:lineRule="auto"/>
        <w:jc w:val="both"/>
        <w:rPr>
          <w:rFonts w:ascii="Times New Roman" w:eastAsia="Times New Roman" w:hAnsi="Times New Roman"/>
          <w:noProof/>
          <w:sz w:val="24"/>
          <w:lang w:eastAsia="ar-SA"/>
        </w:rPr>
      </w:pPr>
      <w:r>
        <w:rPr>
          <w:rFonts w:ascii="Times New Roman" w:hAnsi="Times New Roman"/>
          <w:noProof/>
          <w:sz w:val="24"/>
        </w:rPr>
        <w:t xml:space="preserve">The </w:t>
      </w:r>
      <w:r>
        <w:rPr>
          <w:rFonts w:ascii="Times New Roman" w:eastAsia="Times New Roman" w:hAnsi="Times New Roman"/>
          <w:b/>
          <w:i/>
          <w:noProof/>
          <w:color w:val="000000" w:themeColor="text1"/>
          <w:sz w:val="24"/>
          <w:lang w:eastAsia="ar-SA"/>
        </w:rPr>
        <w:t>interoperability principles</w:t>
      </w:r>
      <w:r>
        <w:rPr>
          <w:rFonts w:ascii="Times New Roman" w:hAnsi="Times New Roman"/>
          <w:noProof/>
          <w:color w:val="000000" w:themeColor="text1"/>
          <w:sz w:val="24"/>
        </w:rPr>
        <w:t xml:space="preserve"> </w:t>
      </w:r>
      <w:r>
        <w:rPr>
          <w:rFonts w:ascii="Times New Roman" w:hAnsi="Times New Roman"/>
          <w:noProof/>
          <w:sz w:val="24"/>
        </w:rPr>
        <w:t xml:space="preserve">are fundamental behavioural aspects to drive interoperability actions. </w:t>
      </w:r>
      <w:r>
        <w:rPr>
          <w:rFonts w:ascii="Times New Roman" w:eastAsia="Times New Roman" w:hAnsi="Times New Roman"/>
          <w:noProof/>
          <w:sz w:val="24"/>
          <w:lang w:eastAsia="ar-SA"/>
        </w:rPr>
        <w:t xml:space="preserve">This chapter sets out general interoperability principles which are relevant to the process of establishing interoperable European public services. They describe the context in which European public services are designed and implemented. </w:t>
      </w:r>
    </w:p>
    <w:p>
      <w:pPr>
        <w:pStyle w:val="BodyText"/>
        <w:spacing w:line="312" w:lineRule="auto"/>
        <w:jc w:val="both"/>
        <w:rPr>
          <w:rFonts w:ascii="Times New Roman" w:hAnsi="Times New Roman"/>
          <w:noProof/>
          <w:sz w:val="24"/>
        </w:rPr>
      </w:pPr>
      <w:r>
        <w:rPr>
          <w:rFonts w:ascii="Times New Roman" w:hAnsi="Times New Roman"/>
          <w:noProof/>
          <w:sz w:val="24"/>
        </w:rPr>
        <w:t>The twelve underlying principles</w:t>
      </w:r>
      <w:r>
        <w:rPr>
          <w:rStyle w:val="FootnoteReference"/>
          <w:rFonts w:ascii="Times New Roman" w:hAnsi="Times New Roman"/>
          <w:noProof/>
          <w:sz w:val="24"/>
        </w:rPr>
        <w:footnoteReference w:id="6"/>
      </w:r>
      <w:r>
        <w:rPr>
          <w:rFonts w:ascii="Times New Roman" w:hAnsi="Times New Roman"/>
          <w:noProof/>
          <w:sz w:val="24"/>
        </w:rPr>
        <w:t xml:space="preserve"> of the EIF are grouped into four categories:</w:t>
      </w:r>
    </w:p>
    <w:p>
      <w:pPr>
        <w:pStyle w:val="BodyText"/>
        <w:numPr>
          <w:ilvl w:val="0"/>
          <w:numId w:val="18"/>
        </w:numPr>
        <w:spacing w:before="120" w:after="120" w:line="312" w:lineRule="auto"/>
        <w:ind w:left="714" w:hanging="357"/>
        <w:jc w:val="both"/>
        <w:rPr>
          <w:rFonts w:ascii="Times New Roman" w:hAnsi="Times New Roman"/>
          <w:noProof/>
          <w:sz w:val="24"/>
        </w:rPr>
      </w:pPr>
      <w:r>
        <w:rPr>
          <w:rFonts w:ascii="Times New Roman" w:hAnsi="Times New Roman"/>
          <w:noProof/>
          <w:sz w:val="24"/>
        </w:rPr>
        <w:t>Principle setting the context for EU actions on interoperability (No 1);</w:t>
      </w:r>
    </w:p>
    <w:p>
      <w:pPr>
        <w:pStyle w:val="BodyText"/>
        <w:numPr>
          <w:ilvl w:val="0"/>
          <w:numId w:val="18"/>
        </w:numPr>
        <w:spacing w:before="120" w:after="120" w:line="312" w:lineRule="auto"/>
        <w:ind w:left="714" w:hanging="357"/>
        <w:jc w:val="both"/>
        <w:rPr>
          <w:rFonts w:ascii="Times New Roman" w:hAnsi="Times New Roman"/>
          <w:noProof/>
          <w:sz w:val="24"/>
        </w:rPr>
      </w:pPr>
      <w:r>
        <w:rPr>
          <w:rFonts w:ascii="Times New Roman" w:hAnsi="Times New Roman"/>
          <w:noProof/>
          <w:sz w:val="24"/>
        </w:rPr>
        <w:t>Core interoperability principles (Nos 2 to 5);</w:t>
      </w:r>
    </w:p>
    <w:p>
      <w:pPr>
        <w:pStyle w:val="BodyText"/>
        <w:numPr>
          <w:ilvl w:val="0"/>
          <w:numId w:val="18"/>
        </w:numPr>
        <w:spacing w:before="120" w:after="120" w:line="312" w:lineRule="auto"/>
        <w:jc w:val="both"/>
        <w:rPr>
          <w:rFonts w:ascii="Times New Roman" w:hAnsi="Times New Roman"/>
          <w:noProof/>
          <w:sz w:val="22"/>
          <w:szCs w:val="22"/>
        </w:rPr>
      </w:pPr>
      <w:r>
        <w:rPr>
          <w:rFonts w:ascii="Times New Roman" w:hAnsi="Times New Roman"/>
          <w:noProof/>
          <w:sz w:val="24"/>
        </w:rPr>
        <w:t>Principles related to generic user needs and expectations (Nos 6 to 9);</w:t>
      </w:r>
    </w:p>
    <w:p>
      <w:pPr>
        <w:pStyle w:val="BodyText"/>
        <w:numPr>
          <w:ilvl w:val="0"/>
          <w:numId w:val="18"/>
        </w:numPr>
        <w:spacing w:before="120" w:after="120" w:line="312" w:lineRule="auto"/>
        <w:jc w:val="both"/>
        <w:rPr>
          <w:rFonts w:ascii="Times New Roman" w:hAnsi="Times New Roman"/>
          <w:noProof/>
          <w:sz w:val="24"/>
        </w:rPr>
      </w:pPr>
      <w:r>
        <w:rPr>
          <w:rFonts w:ascii="Times New Roman" w:hAnsi="Times New Roman"/>
          <w:noProof/>
          <w:sz w:val="24"/>
        </w:rPr>
        <w:t>Foundation principles for cooperation among public administrations (Nos 10 to 12).</w:t>
      </w:r>
    </w:p>
    <w:p>
      <w:pPr>
        <w:pStyle w:val="BodyText"/>
        <w:spacing w:after="120" w:line="312" w:lineRule="auto"/>
        <w:ind w:left="357"/>
        <w:jc w:val="center"/>
        <w:rPr>
          <w:rFonts w:ascii="Times New Roman" w:hAnsi="Times New Roman"/>
          <w:noProof/>
          <w:sz w:val="24"/>
        </w:rPr>
      </w:pPr>
      <w:bookmarkStart w:id="218" w:name="_Toc469902817"/>
      <w:r>
        <w:rPr>
          <w:rFonts w:ascii="Times New Roman" w:hAnsi="Times New Roman"/>
          <w:noProof/>
        </w:rPr>
        <w:t xml:space="preserve">Figure </w:t>
      </w:r>
      <w:r>
        <w:rPr>
          <w:rFonts w:ascii="Times New Roman" w:hAnsi="Times New Roman"/>
          <w:noProof/>
        </w:rPr>
        <w:fldChar w:fldCharType="begin"/>
      </w:r>
      <w:r>
        <w:rPr>
          <w:rFonts w:ascii="Times New Roman" w:hAnsi="Times New Roman"/>
          <w:noProof/>
        </w:rPr>
        <w:instrText xml:space="preserve"> SEQ Figure \* ARABIC </w:instrText>
      </w:r>
      <w:r>
        <w:rPr>
          <w:rFonts w:ascii="Times New Roman" w:hAnsi="Times New Roman"/>
          <w:noProof/>
        </w:rPr>
        <w:fldChar w:fldCharType="separate"/>
      </w:r>
      <w:r>
        <w:rPr>
          <w:rFonts w:ascii="Times New Roman" w:hAnsi="Times New Roman"/>
          <w:noProof/>
        </w:rPr>
        <w:t>2</w:t>
      </w:r>
      <w:r>
        <w:rPr>
          <w:rFonts w:ascii="Times New Roman" w:hAnsi="Times New Roman"/>
          <w:noProof/>
        </w:rPr>
        <w:fldChar w:fldCharType="end"/>
      </w:r>
      <w:r>
        <w:rPr>
          <w:rFonts w:ascii="Times New Roman" w:hAnsi="Times New Roman"/>
          <w:noProof/>
        </w:rPr>
        <w:t>: Interoperability principles</w:t>
      </w:r>
      <w:bookmarkEnd w:id="218"/>
    </w:p>
    <w:p>
      <w:pPr>
        <w:pStyle w:val="BodyText"/>
        <w:spacing w:before="120" w:after="120" w:line="312" w:lineRule="auto"/>
        <w:ind w:left="720"/>
        <w:jc w:val="both"/>
        <w:rPr>
          <w:rFonts w:ascii="Times New Roman" w:hAnsi="Times New Roman"/>
          <w:noProof/>
          <w:sz w:val="22"/>
          <w:szCs w:val="22"/>
        </w:rPr>
      </w:pPr>
      <w:r>
        <w:rPr>
          <w:rFonts w:ascii="Times New Roman" w:hAnsi="Times New Roman"/>
          <w:noProof/>
          <w:lang w:val="en-US" w:eastAsia="en-US"/>
        </w:rPr>
        <w:drawing>
          <wp:inline distT="0" distB="0" distL="0" distR="0">
            <wp:extent cx="4520242" cy="3916393"/>
            <wp:effectExtent l="0" t="0" r="13970" b="0"/>
            <wp:docPr id="282" name="Diagram 2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pPr>
        <w:pStyle w:val="Heading2"/>
        <w:rPr>
          <w:noProof/>
          <w:color w:val="auto"/>
        </w:rPr>
      </w:pPr>
      <w:bookmarkStart w:id="219" w:name="_Toc469642542"/>
      <w:bookmarkStart w:id="220" w:name="_Toc199047198"/>
      <w:bookmarkStart w:id="221" w:name="_Toc199672094"/>
      <w:bookmarkStart w:id="222" w:name="_Toc199932897"/>
      <w:bookmarkStart w:id="223" w:name="_Toc200537581"/>
      <w:bookmarkStart w:id="224" w:name="_Toc202927902"/>
      <w:bookmarkStart w:id="225" w:name="_Toc221008035"/>
      <w:bookmarkStart w:id="226" w:name="_Toc242617115"/>
      <w:bookmarkStart w:id="227" w:name="_Toc454188971"/>
      <w:bookmarkStart w:id="228" w:name="_Toc454196220"/>
      <w:bookmarkStart w:id="229" w:name="_Toc469580865"/>
      <w:bookmarkStart w:id="230" w:name="_Toc469902790"/>
      <w:bookmarkEnd w:id="219"/>
      <w:r>
        <w:rPr>
          <w:noProof/>
        </w:rPr>
        <w:t xml:space="preserve">Underlying principle 1: subsidiarity and </w:t>
      </w:r>
      <w:bookmarkEnd w:id="220"/>
      <w:bookmarkEnd w:id="221"/>
      <w:bookmarkEnd w:id="222"/>
      <w:bookmarkEnd w:id="223"/>
      <w:bookmarkEnd w:id="224"/>
      <w:bookmarkEnd w:id="225"/>
      <w:r>
        <w:rPr>
          <w:noProof/>
        </w:rPr>
        <w:t>proportionality</w:t>
      </w:r>
      <w:bookmarkEnd w:id="226"/>
      <w:bookmarkEnd w:id="227"/>
      <w:bookmarkEnd w:id="228"/>
      <w:bookmarkEnd w:id="229"/>
      <w:bookmarkEnd w:id="230"/>
    </w:p>
    <w:p>
      <w:pPr>
        <w:pStyle w:val="BodyText"/>
        <w:spacing w:after="200" w:line="312" w:lineRule="auto"/>
        <w:jc w:val="both"/>
        <w:rPr>
          <w:rFonts w:ascii="Times New Roman" w:hAnsi="Times New Roman"/>
          <w:noProof/>
          <w:sz w:val="24"/>
        </w:rPr>
      </w:pPr>
      <w:r>
        <w:rPr>
          <w:rFonts w:ascii="Times New Roman" w:hAnsi="Times New Roman"/>
          <w:noProof/>
          <w:sz w:val="24"/>
        </w:rPr>
        <w:t xml:space="preserve">The </w:t>
      </w:r>
      <w:r>
        <w:rPr>
          <w:rFonts w:ascii="Times New Roman" w:hAnsi="Times New Roman"/>
          <w:b/>
          <w:noProof/>
          <w:sz w:val="24"/>
        </w:rPr>
        <w:t>subsidiarity</w:t>
      </w:r>
      <w:r>
        <w:rPr>
          <w:rFonts w:ascii="Times New Roman" w:hAnsi="Times New Roman"/>
          <w:noProof/>
          <w:sz w:val="24"/>
        </w:rPr>
        <w:t xml:space="preserve"> principle requires EU decisions to be taken as closely as possible to the citizen. In other words, the EU does not take action unless this is more effective than the same action taken at national level. The </w:t>
      </w:r>
      <w:r>
        <w:rPr>
          <w:rFonts w:ascii="Times New Roman" w:hAnsi="Times New Roman"/>
          <w:b/>
          <w:noProof/>
          <w:sz w:val="24"/>
        </w:rPr>
        <w:t>proportionality</w:t>
      </w:r>
      <w:r>
        <w:rPr>
          <w:rFonts w:ascii="Times New Roman" w:hAnsi="Times New Roman"/>
          <w:noProof/>
          <w:sz w:val="24"/>
        </w:rPr>
        <w:t xml:space="preserve"> principle limits EU actions to what is necessary to achieve the objectives of the Treaties.</w:t>
      </w:r>
    </w:p>
    <w:p>
      <w:pPr>
        <w:pStyle w:val="BodyText"/>
        <w:spacing w:after="200" w:line="312" w:lineRule="auto"/>
        <w:jc w:val="both"/>
        <w:rPr>
          <w:rFonts w:ascii="Times New Roman" w:hAnsi="Times New Roman"/>
          <w:noProof/>
          <w:sz w:val="24"/>
        </w:rPr>
      </w:pPr>
      <w:r>
        <w:rPr>
          <w:rFonts w:ascii="Times New Roman" w:hAnsi="Times New Roman"/>
          <w:noProof/>
          <w:sz w:val="24"/>
        </w:rPr>
        <w:t>Concerning interoperability, a European framework is justified to overcome differences in policies that result in heterogeneity and lack of interoperability and that put at risk the digital single market.</w:t>
      </w:r>
    </w:p>
    <w:p>
      <w:pPr>
        <w:pStyle w:val="BodyText"/>
        <w:spacing w:line="312" w:lineRule="auto"/>
        <w:jc w:val="both"/>
        <w:rPr>
          <w:rFonts w:ascii="Times New Roman" w:hAnsi="Times New Roman"/>
          <w:noProof/>
          <w:sz w:val="24"/>
        </w:rPr>
      </w:pPr>
      <w:r>
        <w:rPr>
          <w:rFonts w:ascii="Times New Roman" w:hAnsi="Times New Roman"/>
          <w:noProof/>
          <w:sz w:val="24"/>
        </w:rPr>
        <w:t xml:space="preserve">The EIF is envisaged as the </w:t>
      </w:r>
      <w:r>
        <w:rPr>
          <w:rFonts w:ascii="Times New Roman" w:hAnsi="Times New Roman"/>
          <w:b/>
          <w:noProof/>
          <w:sz w:val="24"/>
        </w:rPr>
        <w:t>‘common denominator’</w:t>
      </w:r>
      <w:r>
        <w:rPr>
          <w:rFonts w:ascii="Times New Roman" w:hAnsi="Times New Roman"/>
          <w:noProof/>
          <w:sz w:val="24"/>
        </w:rPr>
        <w:t xml:space="preserve"> of interoperability policies in Member States. Member States should enjoy sufficient freedom to develop their NIFs with respect to EIF recommendations. NIFs are expected to be tailored and extended in such a way that national specificities are properly addressed.</w:t>
      </w:r>
    </w:p>
    <w:p>
      <w:pPr>
        <w:pStyle w:val="BodyText"/>
        <w:jc w:val="both"/>
        <w:rPr>
          <w:rFonts w:ascii="Times New Roman" w:hAnsi="Times New Roman"/>
          <w:noProof/>
          <w:sz w:val="22"/>
          <w:szCs w:val="22"/>
        </w:rPr>
      </w:pPr>
    </w:p>
    <w:p>
      <w:pPr>
        <w:pStyle w:val="BodyText"/>
        <w:rPr>
          <w:rFonts w:ascii="Times New Roman" w:hAnsi="Times New Roman"/>
          <w:noProof/>
        </w:rPr>
      </w:pPr>
      <w:r>
        <w:rPr>
          <w:rFonts w:ascii="Times New Roman" w:hAnsi="Times New Roman"/>
          <w:noProof/>
          <w:lang w:val="en-US" w:eastAsia="en-US"/>
        </w:rPr>
        <mc:AlternateContent>
          <mc:Choice Requires="wps">
            <w:drawing>
              <wp:inline distT="0" distB="0" distL="0" distR="0">
                <wp:extent cx="5598543" cy="966158"/>
                <wp:effectExtent l="57150" t="38100" r="59690" b="8191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43" cy="966158"/>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Fonts w:ascii="Corbel" w:hAnsi="Corbel"/>
                                <w:i/>
                              </w:rPr>
                              <w:t xml:space="preserve"> </w:t>
                            </w:r>
                            <w:r>
                              <w:rPr>
                                <w:rStyle w:val="ListParagraphChar"/>
                                <w:rFonts w:ascii="Corbel" w:eastAsia="MS Mincho" w:hAnsi="Corbel"/>
                                <w:b w:val="0"/>
                                <w:i/>
                                <w:noProof w:val="0"/>
                                <w:sz w:val="24"/>
                                <w:u w:val="none"/>
                                <w:lang w:val="en-GB"/>
                              </w:rPr>
                              <w:t>Recommendation 1:</w:t>
                            </w:r>
                          </w:p>
                          <w:p>
                            <w:pPr>
                              <w:ind w:left="142"/>
                              <w:jc w:val="both"/>
                              <w:rPr>
                                <w:rFonts w:ascii="Corbel" w:hAnsi="Corbel"/>
                                <w:b/>
                                <w:sz w:val="24"/>
                              </w:rPr>
                            </w:pPr>
                            <w:r>
                              <w:rPr>
                                <w:rFonts w:ascii="Corbel" w:hAnsi="Corbel"/>
                                <w:b/>
                                <w:sz w:val="24"/>
                              </w:rPr>
                              <w:t>Ensure that national interoperability frameworks and interoperability strategies are aligned with the EIF and, if needed, tailor and extend them to address the national context and needs.</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40.85pt;height:7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Fonts w:ascii="Corbel" w:hAnsi="Corbel"/>
                          <w:i/>
                        </w:rPr>
                        <w:t xml:space="preserve"> </w:t>
                      </w:r>
                      <w:r>
                        <w:rPr>
                          <w:rStyle w:val="ListParagraphChar"/>
                          <w:rFonts w:ascii="Corbel" w:eastAsia="MS Mincho" w:hAnsi="Corbel"/>
                          <w:b w:val="0"/>
                          <w:i/>
                          <w:noProof w:val="0"/>
                          <w:sz w:val="24"/>
                          <w:u w:val="none"/>
                          <w:lang w:val="en-GB"/>
                        </w:rPr>
                        <w:t>Recommendation 1:</w:t>
                      </w:r>
                    </w:p>
                    <w:p>
                      <w:pPr>
                        <w:ind w:left="142"/>
                        <w:jc w:val="both"/>
                        <w:rPr>
                          <w:rFonts w:ascii="Corbel" w:hAnsi="Corbel"/>
                          <w:b/>
                          <w:sz w:val="24"/>
                        </w:rPr>
                      </w:pPr>
                      <w:r>
                        <w:rPr>
                          <w:rFonts w:ascii="Corbel" w:hAnsi="Corbel"/>
                          <w:b/>
                          <w:sz w:val="24"/>
                        </w:rPr>
                        <w:t>Ensure that national interoperability frameworks and interoperability strategies are aligned with the EIF and, if needed, tailor and extend them to address the national context and needs.</w:t>
                      </w:r>
                    </w:p>
                  </w:txbxContent>
                </v:textbox>
                <w10:anchorlock/>
              </v:shape>
            </w:pict>
          </mc:Fallback>
        </mc:AlternateContent>
      </w:r>
    </w:p>
    <w:p>
      <w:pPr>
        <w:pStyle w:val="Heading2"/>
        <w:rPr>
          <w:noProof/>
        </w:rPr>
      </w:pPr>
      <w:bookmarkStart w:id="231" w:name="_Toc438118848"/>
      <w:bookmarkStart w:id="232" w:name="_Toc438125423"/>
      <w:bookmarkStart w:id="233" w:name="_Toc438134909"/>
      <w:bookmarkStart w:id="234" w:name="_Toc438136270"/>
      <w:bookmarkStart w:id="235" w:name="_Toc438141475"/>
      <w:bookmarkStart w:id="236" w:name="_Toc438118849"/>
      <w:bookmarkStart w:id="237" w:name="_Toc438125424"/>
      <w:bookmarkStart w:id="238" w:name="_Toc438134910"/>
      <w:bookmarkStart w:id="239" w:name="_Toc438136271"/>
      <w:bookmarkStart w:id="240" w:name="_Toc438141476"/>
      <w:bookmarkStart w:id="241" w:name="_Toc438118850"/>
      <w:bookmarkStart w:id="242" w:name="_Toc438125425"/>
      <w:bookmarkStart w:id="243" w:name="_Toc438134911"/>
      <w:bookmarkStart w:id="244" w:name="_Toc438136272"/>
      <w:bookmarkStart w:id="245" w:name="_Toc438141477"/>
      <w:bookmarkStart w:id="246" w:name="_Toc438118851"/>
      <w:bookmarkStart w:id="247" w:name="_Toc438125426"/>
      <w:bookmarkStart w:id="248" w:name="_Toc438134912"/>
      <w:bookmarkStart w:id="249" w:name="_Toc438136273"/>
      <w:bookmarkStart w:id="250" w:name="_Toc438141478"/>
      <w:bookmarkStart w:id="251" w:name="_Toc454188972"/>
      <w:bookmarkStart w:id="252" w:name="_Toc454196221"/>
      <w:bookmarkStart w:id="253" w:name="_Toc469580866"/>
      <w:bookmarkStart w:id="254" w:name="_Toc469902791"/>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Pr>
          <w:noProof/>
        </w:rPr>
        <w:t>Underlying principle 2: openness</w:t>
      </w:r>
      <w:bookmarkEnd w:id="251"/>
      <w:bookmarkEnd w:id="252"/>
      <w:bookmarkEnd w:id="253"/>
      <w:bookmarkEnd w:id="254"/>
    </w:p>
    <w:p>
      <w:pPr>
        <w:pStyle w:val="BodyText"/>
        <w:spacing w:after="240" w:line="312" w:lineRule="auto"/>
        <w:jc w:val="both"/>
        <w:rPr>
          <w:rFonts w:ascii="Times New Roman" w:hAnsi="Times New Roman"/>
          <w:noProof/>
          <w:sz w:val="24"/>
        </w:rPr>
      </w:pPr>
      <w:r>
        <w:rPr>
          <w:rFonts w:ascii="Times New Roman" w:hAnsi="Times New Roman"/>
          <w:noProof/>
          <w:sz w:val="24"/>
        </w:rPr>
        <w:t xml:space="preserve">In the context of interoperable public services, the concept of </w:t>
      </w:r>
      <w:r>
        <w:rPr>
          <w:rFonts w:ascii="Times New Roman" w:hAnsi="Times New Roman"/>
          <w:b/>
          <w:noProof/>
          <w:sz w:val="24"/>
        </w:rPr>
        <w:t>openness</w:t>
      </w:r>
      <w:r>
        <w:rPr>
          <w:rFonts w:ascii="Times New Roman" w:hAnsi="Times New Roman"/>
          <w:noProof/>
          <w:sz w:val="24"/>
        </w:rPr>
        <w:t xml:space="preserve"> mainly relates to data, specifications and software.</w:t>
      </w:r>
    </w:p>
    <w:p>
      <w:pPr>
        <w:pStyle w:val="BodyText"/>
        <w:spacing w:after="200" w:line="312" w:lineRule="auto"/>
        <w:jc w:val="both"/>
        <w:rPr>
          <w:rFonts w:ascii="Times New Roman" w:hAnsi="Times New Roman"/>
          <w:noProof/>
          <w:sz w:val="24"/>
        </w:rPr>
      </w:pPr>
      <w:r>
        <w:rPr>
          <w:rFonts w:ascii="Times New Roman" w:hAnsi="Times New Roman"/>
          <w:noProof/>
          <w:sz w:val="24"/>
        </w:rPr>
        <w:t xml:space="preserve">Open government data (here simply referred </w:t>
      </w:r>
      <w:r>
        <w:rPr>
          <w:rFonts w:ascii="Times New Roman" w:hAnsi="Times New Roman"/>
          <w:b/>
          <w:noProof/>
          <w:sz w:val="24"/>
        </w:rPr>
        <w:t>‘open data’</w:t>
      </w:r>
      <w:r>
        <w:rPr>
          <w:rFonts w:ascii="Times New Roman" w:hAnsi="Times New Roman"/>
          <w:noProof/>
          <w:sz w:val="24"/>
        </w:rPr>
        <w:t>) refers to the idea that all public data should be freely available for use and reuse by others, unless restrictions apply e.g. for protection of personal data, confidentiality, or intellectual property rights. Public administrations collect and generate huge amounts of data. The Directive on the reuse of public sector information (PSI)</w:t>
      </w:r>
      <w:r>
        <w:rPr>
          <w:rStyle w:val="FootnoteReference"/>
          <w:rFonts w:ascii="Times New Roman" w:hAnsi="Times New Roman"/>
          <w:noProof/>
          <w:sz w:val="24"/>
        </w:rPr>
        <w:footnoteReference w:id="7"/>
      </w:r>
      <w:r>
        <w:rPr>
          <w:rFonts w:ascii="Times New Roman" w:hAnsi="Times New Roman"/>
          <w:noProof/>
          <w:sz w:val="24"/>
        </w:rPr>
        <w:t> encourages Member States to make public information available for access and reuse as open data. The INSPIRE Directive</w:t>
      </w:r>
      <w:r>
        <w:rPr>
          <w:rStyle w:val="FootnoteReference"/>
          <w:rFonts w:ascii="Times New Roman" w:hAnsi="Times New Roman"/>
          <w:noProof/>
          <w:sz w:val="24"/>
        </w:rPr>
        <w:footnoteReference w:id="8"/>
      </w:r>
      <w:r>
        <w:rPr>
          <w:rFonts w:ascii="Times New Roman" w:hAnsi="Times New Roman"/>
          <w:noProof/>
          <w:sz w:val="24"/>
        </w:rPr>
        <w:t xml:space="preserve"> requires, in addition, sharing of spatial datasets and services between public authorities with no restrictions or practical obstacles to its reuse. This data should be published with as few restrictions as possible and clear licences for its use to allow better scrutiny of administrations’ decision-making processes and realise transparency in practice. Open data is discussed in more detail in section 4.3.4.</w:t>
      </w:r>
    </w:p>
    <w:p>
      <w:pPr>
        <w:pStyle w:val="BodyText"/>
        <w:spacing w:line="312" w:lineRule="auto"/>
        <w:jc w:val="both"/>
        <w:rPr>
          <w:rFonts w:ascii="Times New Roman" w:hAnsi="Times New Roman"/>
          <w:noProof/>
          <w:color w:val="000000"/>
          <w:sz w:val="24"/>
        </w:rPr>
      </w:pPr>
      <w:r>
        <w:rPr>
          <w:rFonts w:ascii="Times New Roman" w:hAnsi="Times New Roman"/>
          <w:noProof/>
          <w:sz w:val="24"/>
          <w:lang w:val="en-US" w:eastAsia="en-US"/>
        </w:rPr>
        <mc:AlternateContent>
          <mc:Choice Requires="wps">
            <w:drawing>
              <wp:inline distT="0" distB="0" distL="0" distR="0">
                <wp:extent cx="5581291" cy="603849"/>
                <wp:effectExtent l="57150" t="38100" r="57785" b="82550"/>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291" cy="603849"/>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Times New Roman" w:hAnsi="Times New Roman"/>
                                <w:b/>
                                <w:i/>
                                <w:sz w:val="24"/>
                              </w:rPr>
                            </w:pPr>
                            <w:r>
                              <w:rPr>
                                <w:rFonts w:ascii="Corbel" w:hAnsi="Corbel"/>
                                <w:b/>
                              </w:rPr>
                              <w:t xml:space="preserve"> </w:t>
                            </w:r>
                            <w:r>
                              <w:rPr>
                                <w:rStyle w:val="ListParagraphChar"/>
                                <w:rFonts w:ascii="Times New Roman" w:eastAsia="MS Mincho" w:hAnsi="Times New Roman"/>
                                <w:b w:val="0"/>
                                <w:i/>
                                <w:noProof w:val="0"/>
                                <w:sz w:val="24"/>
                                <w:u w:val="none"/>
                                <w:lang w:val="en-GB"/>
                              </w:rPr>
                              <w:t>Recommendation 2:</w:t>
                            </w:r>
                          </w:p>
                          <w:p>
                            <w:pPr>
                              <w:ind w:left="142"/>
                              <w:jc w:val="both"/>
                              <w:rPr>
                                <w:rFonts w:ascii="Times New Roman" w:hAnsi="Times New Roman"/>
                                <w:b/>
                                <w:sz w:val="24"/>
                              </w:rPr>
                            </w:pPr>
                            <w:r>
                              <w:rPr>
                                <w:rFonts w:ascii="Times New Roman" w:hAnsi="Times New Roman"/>
                                <w:b/>
                                <w:sz w:val="24"/>
                              </w:rPr>
                              <w:t>Publish the data you own as open data unless certain restrictions apply.</w:t>
                            </w:r>
                          </w:p>
                        </w:txbxContent>
                      </wps:txbx>
                      <wps:bodyPr rot="0" vert="horz" wrap="square" lIns="91440" tIns="45720" rIns="91440" bIns="45720" anchor="t" anchorCtr="0">
                        <a:noAutofit/>
                      </wps:bodyPr>
                    </wps:wsp>
                  </a:graphicData>
                </a:graphic>
              </wp:inline>
            </w:drawing>
          </mc:Choice>
          <mc:Fallback>
            <w:pict>
              <v:shape id="_x0000_s1027" type="#_x0000_t202" style="width:439.45pt;height:4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Times New Roman" w:hAnsi="Times New Roman"/>
                          <w:b/>
                          <w:i/>
                          <w:sz w:val="24"/>
                        </w:rPr>
                      </w:pPr>
                      <w:r>
                        <w:rPr>
                          <w:rFonts w:ascii="Corbel" w:hAnsi="Corbel"/>
                          <w:b/>
                        </w:rPr>
                        <w:t xml:space="preserve"> </w:t>
                      </w:r>
                      <w:r>
                        <w:rPr>
                          <w:rStyle w:val="ListParagraphChar"/>
                          <w:rFonts w:ascii="Times New Roman" w:eastAsia="MS Mincho" w:hAnsi="Times New Roman"/>
                          <w:b w:val="0"/>
                          <w:i/>
                          <w:noProof w:val="0"/>
                          <w:sz w:val="24"/>
                          <w:u w:val="none"/>
                          <w:lang w:val="en-GB"/>
                        </w:rPr>
                        <w:t>Recommendation 2:</w:t>
                      </w:r>
                    </w:p>
                    <w:p>
                      <w:pPr>
                        <w:ind w:left="142"/>
                        <w:jc w:val="both"/>
                        <w:rPr>
                          <w:rFonts w:ascii="Times New Roman" w:hAnsi="Times New Roman"/>
                          <w:b/>
                          <w:sz w:val="24"/>
                        </w:rPr>
                      </w:pPr>
                      <w:r>
                        <w:rPr>
                          <w:rFonts w:ascii="Times New Roman" w:hAnsi="Times New Roman"/>
                          <w:b/>
                          <w:sz w:val="24"/>
                        </w:rPr>
                        <w:t>Publish the data you own as open data unless certain restrictions apply.</w:t>
                      </w:r>
                    </w:p>
                  </w:txbxContent>
                </v:textbox>
                <w10:anchorlock/>
              </v:shape>
            </w:pict>
          </mc:Fallback>
        </mc:AlternateContent>
      </w:r>
    </w:p>
    <w:p>
      <w:pPr>
        <w:pStyle w:val="BodyText"/>
        <w:spacing w:before="200" w:after="200" w:line="312" w:lineRule="auto"/>
        <w:jc w:val="both"/>
        <w:rPr>
          <w:rFonts w:ascii="Times New Roman" w:hAnsi="Times New Roman"/>
          <w:noProof/>
          <w:sz w:val="24"/>
        </w:rPr>
      </w:pPr>
      <w:r>
        <w:rPr>
          <w:rFonts w:ascii="Times New Roman" w:hAnsi="Times New Roman"/>
          <w:noProof/>
          <w:sz w:val="24"/>
        </w:rPr>
        <w:t>The use of</w:t>
      </w:r>
      <w:r>
        <w:rPr>
          <w:rFonts w:ascii="Times New Roman" w:hAnsi="Times New Roman"/>
          <w:b/>
          <w:bCs/>
          <w:noProof/>
          <w:sz w:val="24"/>
        </w:rPr>
        <w:t xml:space="preserve"> open source software technologies and products</w:t>
      </w:r>
      <w:r>
        <w:rPr>
          <w:rFonts w:ascii="Times New Roman" w:hAnsi="Times New Roman"/>
          <w:noProof/>
          <w:sz w:val="24"/>
        </w:rPr>
        <w:t xml:space="preserve"> can help save development cost, avoid a lock-in effect and allow fast adaptation to specific business needs because the developer communities that support them are constantly adapting them. Public administrations should not only use open source software but whenever possible contribute to the pertinent developer communities. Open source is an enabler of the underlying EIF principle on </w:t>
      </w:r>
      <w:r>
        <w:rPr>
          <w:rFonts w:ascii="Times New Roman" w:hAnsi="Times New Roman"/>
          <w:b/>
          <w:noProof/>
          <w:color w:val="000000" w:themeColor="text1"/>
          <w:sz w:val="24"/>
        </w:rPr>
        <w:t>reusability</w:t>
      </w:r>
      <w:r>
        <w:rPr>
          <w:rFonts w:ascii="Times New Roman" w:hAnsi="Times New Roman"/>
          <w:noProof/>
          <w:color w:val="000000" w:themeColor="text1"/>
          <w:sz w:val="24"/>
        </w:rPr>
        <w:t>.</w:t>
      </w:r>
      <w:r>
        <w:rPr>
          <w:rFonts w:ascii="Times New Roman" w:hAnsi="Times New Roman"/>
          <w:noProof/>
          <w:sz w:val="24"/>
        </w:rPr>
        <w:t xml:space="preserve">  </w:t>
      </w:r>
    </w:p>
    <w:p>
      <w:pPr>
        <w:pStyle w:val="BodyText"/>
        <w:spacing w:line="312" w:lineRule="auto"/>
        <w:jc w:val="both"/>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624423" cy="1043797"/>
                <wp:effectExtent l="57150" t="38100" r="52705" b="80645"/>
                <wp:docPr id="1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423" cy="1043797"/>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Fonts w:ascii="Corbel" w:hAnsi="Corbel"/>
                              </w:rPr>
                              <w:t xml:space="preserve"> </w:t>
                            </w:r>
                            <w:r>
                              <w:rPr>
                                <w:rStyle w:val="ListParagraphChar"/>
                                <w:rFonts w:ascii="Corbel" w:eastAsia="MS Mincho" w:hAnsi="Corbel"/>
                                <w:b w:val="0"/>
                                <w:i/>
                                <w:noProof w:val="0"/>
                                <w:sz w:val="24"/>
                                <w:u w:val="none"/>
                                <w:lang w:val="en-GB"/>
                              </w:rPr>
                              <w:t>Recommendation 3:</w:t>
                            </w:r>
                          </w:p>
                          <w:p>
                            <w:pPr>
                              <w:ind w:left="142"/>
                              <w:jc w:val="both"/>
                              <w:rPr>
                                <w:rFonts w:ascii="Corbel" w:hAnsi="Corbel"/>
                                <w:b/>
                                <w:sz w:val="24"/>
                              </w:rPr>
                            </w:pPr>
                            <w:r>
                              <w:rPr>
                                <w:rFonts w:ascii="Corbel" w:hAnsi="Corbel"/>
                                <w:b/>
                                <w:sz w:val="24"/>
                              </w:rPr>
                              <w:t>Ensure a level playing field for open source software and demonstrate active and fair consideration of using open source software, taking into account the total cost of ownership of the solution.</w:t>
                            </w:r>
                          </w:p>
                          <w:p>
                            <w:pPr>
                              <w:ind w:left="142"/>
                              <w:jc w:val="both"/>
                              <w:rPr>
                                <w:rFonts w:ascii="Corbel" w:hAnsi="Corbel"/>
                                <w:b/>
                                <w:sz w:val="22"/>
                                <w:szCs w:val="22"/>
                              </w:rPr>
                            </w:pPr>
                          </w:p>
                        </w:txbxContent>
                      </wps:txbx>
                      <wps:bodyPr rot="0" vert="horz" wrap="square" lIns="91440" tIns="45720" rIns="91440" bIns="45720" anchor="t" anchorCtr="0">
                        <a:noAutofit/>
                      </wps:bodyPr>
                    </wps:wsp>
                  </a:graphicData>
                </a:graphic>
              </wp:inline>
            </w:drawing>
          </mc:Choice>
          <mc:Fallback>
            <w:pict>
              <v:shape id="_x0000_s1028" type="#_x0000_t202" style="width:442.85pt;height: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Fonts w:ascii="Corbel" w:hAnsi="Corbel"/>
                        </w:rPr>
                        <w:t xml:space="preserve"> </w:t>
                      </w:r>
                      <w:r>
                        <w:rPr>
                          <w:rStyle w:val="ListParagraphChar"/>
                          <w:rFonts w:ascii="Corbel" w:eastAsia="MS Mincho" w:hAnsi="Corbel"/>
                          <w:b w:val="0"/>
                          <w:i/>
                          <w:noProof w:val="0"/>
                          <w:sz w:val="24"/>
                          <w:u w:val="none"/>
                          <w:lang w:val="en-GB"/>
                        </w:rPr>
                        <w:t>Recommendation 3:</w:t>
                      </w:r>
                    </w:p>
                    <w:p>
                      <w:pPr>
                        <w:ind w:left="142"/>
                        <w:jc w:val="both"/>
                        <w:rPr>
                          <w:rFonts w:ascii="Corbel" w:hAnsi="Corbel"/>
                          <w:b/>
                          <w:sz w:val="24"/>
                        </w:rPr>
                      </w:pPr>
                      <w:r>
                        <w:rPr>
                          <w:rFonts w:ascii="Corbel" w:hAnsi="Corbel"/>
                          <w:b/>
                          <w:sz w:val="24"/>
                        </w:rPr>
                        <w:t>Ensure a level playing field for open source software and demonstrate active and fair consideration of using open source software, taking into account the total cost of ownership of the solution.</w:t>
                      </w:r>
                    </w:p>
                    <w:p>
                      <w:pPr>
                        <w:ind w:left="142"/>
                        <w:jc w:val="both"/>
                        <w:rPr>
                          <w:rFonts w:ascii="Corbel" w:hAnsi="Corbel"/>
                          <w:b/>
                          <w:sz w:val="22"/>
                          <w:szCs w:val="22"/>
                        </w:rPr>
                      </w:pPr>
                    </w:p>
                  </w:txbxContent>
                </v:textbox>
                <w10:anchorlock/>
              </v:shape>
            </w:pict>
          </mc:Fallback>
        </mc:AlternateContent>
      </w:r>
    </w:p>
    <w:p>
      <w:pPr>
        <w:pStyle w:val="BodyText"/>
        <w:spacing w:before="200" w:line="312" w:lineRule="auto"/>
        <w:jc w:val="both"/>
        <w:rPr>
          <w:rFonts w:ascii="Times New Roman" w:hAnsi="Times New Roman"/>
          <w:noProof/>
          <w:sz w:val="24"/>
        </w:rPr>
      </w:pPr>
      <w:r>
        <w:rPr>
          <w:rFonts w:ascii="Times New Roman" w:hAnsi="Times New Roman"/>
          <w:noProof/>
          <w:sz w:val="24"/>
        </w:rPr>
        <w:t xml:space="preserve">The </w:t>
      </w:r>
      <w:r>
        <w:rPr>
          <w:rFonts w:ascii="Times New Roman" w:hAnsi="Times New Roman"/>
          <w:b/>
          <w:bCs/>
          <w:noProof/>
          <w:sz w:val="24"/>
        </w:rPr>
        <w:t>level of openness of a specification/standard</w:t>
      </w:r>
      <w:r>
        <w:rPr>
          <w:rFonts w:ascii="Times New Roman" w:hAnsi="Times New Roman"/>
          <w:noProof/>
          <w:sz w:val="24"/>
        </w:rPr>
        <w:t xml:space="preserve"> is decisive for the reuse of software components implementing that specification. This also applies when such components are used to introduce new European public services. If the </w:t>
      </w:r>
      <w:r>
        <w:rPr>
          <w:rFonts w:ascii="Times New Roman" w:hAnsi="Times New Roman"/>
          <w:b/>
          <w:bCs/>
          <w:noProof/>
          <w:sz w:val="24"/>
        </w:rPr>
        <w:t>openness</w:t>
      </w:r>
      <w:r>
        <w:rPr>
          <w:rFonts w:ascii="Times New Roman" w:hAnsi="Times New Roman"/>
          <w:noProof/>
          <w:sz w:val="24"/>
        </w:rPr>
        <w:t xml:space="preserve"> principle applies in full:</w:t>
      </w:r>
    </w:p>
    <w:p>
      <w:pPr>
        <w:pStyle w:val="BodyText"/>
        <w:numPr>
          <w:ilvl w:val="0"/>
          <w:numId w:val="119"/>
        </w:numPr>
        <w:suppressAutoHyphens w:val="0"/>
        <w:spacing w:line="312" w:lineRule="auto"/>
        <w:ind w:left="567" w:hanging="283"/>
        <w:jc w:val="both"/>
        <w:rPr>
          <w:rFonts w:ascii="Times New Roman" w:hAnsi="Times New Roman"/>
          <w:noProof/>
          <w:sz w:val="24"/>
        </w:rPr>
      </w:pPr>
      <w:r>
        <w:rPr>
          <w:rFonts w:ascii="Times New Roman" w:hAnsi="Times New Roman"/>
          <w:noProof/>
          <w:sz w:val="24"/>
        </w:rPr>
        <w:t>all stakeholders have the opportunity to contribute to the development of the specification and a public review is part of the decision-making process;</w:t>
      </w:r>
    </w:p>
    <w:p>
      <w:pPr>
        <w:pStyle w:val="BodyText"/>
        <w:numPr>
          <w:ilvl w:val="0"/>
          <w:numId w:val="119"/>
        </w:numPr>
        <w:suppressAutoHyphens w:val="0"/>
        <w:spacing w:line="312" w:lineRule="auto"/>
        <w:ind w:left="567" w:hanging="283"/>
        <w:jc w:val="both"/>
        <w:rPr>
          <w:rFonts w:ascii="Times New Roman" w:hAnsi="Times New Roman"/>
          <w:noProof/>
          <w:sz w:val="24"/>
        </w:rPr>
      </w:pPr>
      <w:r>
        <w:rPr>
          <w:rFonts w:ascii="Times New Roman" w:hAnsi="Times New Roman"/>
          <w:noProof/>
          <w:sz w:val="24"/>
        </w:rPr>
        <w:t>the specification is available for everyone to study;</w:t>
      </w:r>
    </w:p>
    <w:p>
      <w:pPr>
        <w:pStyle w:val="BodyText"/>
        <w:numPr>
          <w:ilvl w:val="0"/>
          <w:numId w:val="128"/>
        </w:numPr>
        <w:suppressAutoHyphens w:val="0"/>
        <w:spacing w:after="200" w:line="312" w:lineRule="auto"/>
        <w:ind w:left="568" w:hanging="284"/>
        <w:jc w:val="both"/>
        <w:rPr>
          <w:rFonts w:ascii="Times New Roman" w:hAnsi="Times New Roman"/>
          <w:noProof/>
          <w:sz w:val="24"/>
        </w:rPr>
      </w:pPr>
      <w:r>
        <w:rPr>
          <w:rFonts w:ascii="Times New Roman" w:hAnsi="Times New Roman"/>
          <w:noProof/>
          <w:sz w:val="24"/>
        </w:rPr>
        <w:t>intellectual property rights to the specification are licensed on FRAND</w:t>
      </w:r>
      <w:r>
        <w:rPr>
          <w:rStyle w:val="FootnoteReference"/>
          <w:rFonts w:ascii="Times New Roman" w:hAnsi="Times New Roman"/>
          <w:noProof/>
          <w:sz w:val="24"/>
        </w:rPr>
        <w:footnoteReference w:id="9"/>
      </w:r>
      <w:r>
        <w:rPr>
          <w:rFonts w:ascii="Times New Roman" w:hAnsi="Times New Roman"/>
          <w:noProof/>
          <w:sz w:val="24"/>
        </w:rPr>
        <w:t xml:space="preserve"> terms, in a way that allows implementation in both proprietary and open source software,</w:t>
      </w:r>
      <w:r>
        <w:rPr>
          <w:rStyle w:val="FootnoteReference"/>
          <w:rFonts w:ascii="Times New Roman" w:hAnsi="Times New Roman"/>
          <w:noProof/>
          <w:sz w:val="24"/>
        </w:rPr>
        <w:footnoteReference w:id="10"/>
      </w:r>
      <w:r>
        <w:rPr>
          <w:rFonts w:ascii="Times New Roman" w:hAnsi="Times New Roman"/>
          <w:noProof/>
          <w:sz w:val="24"/>
        </w:rPr>
        <w:t xml:space="preserve"> and preferably on a royalty-free basis.</w:t>
      </w:r>
    </w:p>
    <w:p>
      <w:pPr>
        <w:pStyle w:val="BodyText"/>
        <w:spacing w:after="200" w:line="312" w:lineRule="auto"/>
        <w:jc w:val="both"/>
        <w:rPr>
          <w:rFonts w:ascii="Times New Roman" w:hAnsi="Times New Roman"/>
          <w:noProof/>
          <w:sz w:val="24"/>
        </w:rPr>
      </w:pPr>
      <w:r>
        <w:rPr>
          <w:rFonts w:ascii="Times New Roman" w:hAnsi="Times New Roman"/>
          <w:noProof/>
          <w:sz w:val="24"/>
        </w:rPr>
        <w:t>Due to their positive effect on interoperability, the use of open specifications has been promoted in many policy statements and is encouraged for European public service delivery. The positive effect of open specifications is demonstrated by the internet ecosystem. However, public administrations may decide to use less open specifications if open ones do not exist or do not meet functional needs. In all cases, specifications should be mature and sufficiently supported by the market, unless they are being used to create innovative solutions.</w:t>
      </w:r>
    </w:p>
    <w:p>
      <w:pPr>
        <w:pStyle w:val="BodyText"/>
        <w:spacing w:line="312" w:lineRule="auto"/>
        <w:jc w:val="both"/>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624195" cy="854015"/>
                <wp:effectExtent l="57150" t="38100" r="52705" b="80010"/>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854015"/>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Fonts w:asciiTheme="minorHAnsi" w:hAnsiTheme="minorHAnsi"/>
                                <w:sz w:val="24"/>
                              </w:rPr>
                              <w:t xml:space="preserve"> </w:t>
                            </w:r>
                            <w:r>
                              <w:rPr>
                                <w:rStyle w:val="ListParagraphChar"/>
                                <w:rFonts w:ascii="Corbel" w:eastAsia="MS Mincho" w:hAnsi="Corbel"/>
                                <w:b w:val="0"/>
                                <w:i/>
                                <w:noProof w:val="0"/>
                                <w:sz w:val="24"/>
                                <w:u w:val="none"/>
                                <w:lang w:val="en-GB"/>
                              </w:rPr>
                              <w:t>Recommendation 4:</w:t>
                            </w:r>
                          </w:p>
                          <w:p>
                            <w:pPr>
                              <w:ind w:left="142"/>
                              <w:jc w:val="both"/>
                              <w:rPr>
                                <w:rFonts w:ascii="Corbel" w:hAnsi="Corbel"/>
                                <w:b/>
                                <w:sz w:val="24"/>
                              </w:rPr>
                            </w:pPr>
                            <w:r>
                              <w:rPr>
                                <w:rFonts w:ascii="Corbel" w:hAnsi="Corbel"/>
                                <w:b/>
                                <w:sz w:val="24"/>
                              </w:rPr>
                              <w:t>Give preference to open specifications, taking due account of the coverage of functional needs, maturity and market support and innovation.</w:t>
                            </w:r>
                          </w:p>
                        </w:txbxContent>
                      </wps:txbx>
                      <wps:bodyPr rot="0" vert="horz" wrap="square" lIns="91440" tIns="45720" rIns="91440" bIns="45720" anchor="t" anchorCtr="0">
                        <a:noAutofit/>
                      </wps:bodyPr>
                    </wps:wsp>
                  </a:graphicData>
                </a:graphic>
              </wp:inline>
            </w:drawing>
          </mc:Choice>
          <mc:Fallback>
            <w:pict>
              <v:shape id="_x0000_s1029" type="#_x0000_t202" style="width:442.85pt;height: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Fonts w:asciiTheme="minorHAnsi" w:hAnsiTheme="minorHAnsi"/>
                          <w:sz w:val="24"/>
                        </w:rPr>
                        <w:t xml:space="preserve"> </w:t>
                      </w:r>
                      <w:r>
                        <w:rPr>
                          <w:rStyle w:val="ListParagraphChar"/>
                          <w:rFonts w:ascii="Corbel" w:eastAsia="MS Mincho" w:hAnsi="Corbel"/>
                          <w:b w:val="0"/>
                          <w:i/>
                          <w:noProof w:val="0"/>
                          <w:sz w:val="24"/>
                          <w:u w:val="none"/>
                          <w:lang w:val="en-GB"/>
                        </w:rPr>
                        <w:t>Recommendation 4:</w:t>
                      </w:r>
                    </w:p>
                    <w:p>
                      <w:pPr>
                        <w:ind w:left="142"/>
                        <w:jc w:val="both"/>
                        <w:rPr>
                          <w:rFonts w:ascii="Corbel" w:hAnsi="Corbel"/>
                          <w:b/>
                          <w:sz w:val="24"/>
                        </w:rPr>
                      </w:pPr>
                      <w:r>
                        <w:rPr>
                          <w:rFonts w:ascii="Corbel" w:hAnsi="Corbel"/>
                          <w:b/>
                          <w:sz w:val="24"/>
                        </w:rPr>
                        <w:t>Give preference to open specifications, taking due account of the coverage of functional needs, maturity and market support and innovation.</w:t>
                      </w:r>
                    </w:p>
                  </w:txbxContent>
                </v:textbox>
                <w10:anchorlock/>
              </v:shape>
            </w:pict>
          </mc:Fallback>
        </mc:AlternateContent>
      </w:r>
    </w:p>
    <w:p>
      <w:pPr>
        <w:pStyle w:val="BodyText"/>
        <w:spacing w:before="200" w:line="312" w:lineRule="auto"/>
        <w:jc w:val="both"/>
        <w:rPr>
          <w:rFonts w:ascii="Times New Roman" w:hAnsi="Times New Roman"/>
          <w:noProof/>
          <w:sz w:val="24"/>
        </w:rPr>
      </w:pPr>
      <w:r>
        <w:rPr>
          <w:rFonts w:ascii="Times New Roman" w:hAnsi="Times New Roman"/>
          <w:noProof/>
          <w:sz w:val="24"/>
        </w:rPr>
        <w:t>Lastly, openness also means empowering citizens and businesses to get involved in the design of new services, to contribute to service improvement and to give feedback about the quality of the existing public services.</w:t>
      </w:r>
    </w:p>
    <w:p>
      <w:pPr>
        <w:pStyle w:val="Heading2"/>
        <w:rPr>
          <w:noProof/>
        </w:rPr>
      </w:pPr>
      <w:bookmarkStart w:id="255" w:name="_Toc454188973"/>
      <w:bookmarkStart w:id="256" w:name="_Toc454196222"/>
      <w:bookmarkStart w:id="257" w:name="_Toc469580867"/>
      <w:bookmarkStart w:id="258" w:name="_Toc469902792"/>
      <w:r>
        <w:rPr>
          <w:noProof/>
        </w:rPr>
        <w:t>Underlying principle 3: transparency</w:t>
      </w:r>
      <w:bookmarkEnd w:id="255"/>
      <w:bookmarkEnd w:id="256"/>
      <w:bookmarkEnd w:id="257"/>
      <w:bookmarkEnd w:id="258"/>
    </w:p>
    <w:p>
      <w:pPr>
        <w:pStyle w:val="BodyText"/>
        <w:keepNext/>
        <w:spacing w:before="200" w:after="200" w:line="312" w:lineRule="auto"/>
        <w:jc w:val="both"/>
        <w:rPr>
          <w:rFonts w:ascii="Times New Roman" w:hAnsi="Times New Roman"/>
          <w:noProof/>
          <w:sz w:val="24"/>
        </w:rPr>
      </w:pPr>
      <w:r>
        <w:rPr>
          <w:rFonts w:ascii="Times New Roman" w:hAnsi="Times New Roman"/>
          <w:b/>
          <w:noProof/>
          <w:sz w:val="24"/>
        </w:rPr>
        <w:t>Transparency</w:t>
      </w:r>
      <w:r>
        <w:rPr>
          <w:rFonts w:ascii="Times New Roman" w:hAnsi="Times New Roman"/>
          <w:noProof/>
          <w:sz w:val="24"/>
        </w:rPr>
        <w:t xml:space="preserve"> in the EIF context refers to:</w:t>
      </w:r>
    </w:p>
    <w:p>
      <w:pPr>
        <w:pStyle w:val="BodyText"/>
        <w:numPr>
          <w:ilvl w:val="0"/>
          <w:numId w:val="134"/>
        </w:numPr>
        <w:spacing w:before="200" w:after="200" w:line="312" w:lineRule="auto"/>
        <w:jc w:val="both"/>
        <w:rPr>
          <w:rFonts w:ascii="Times New Roman" w:hAnsi="Times New Roman"/>
          <w:noProof/>
          <w:sz w:val="24"/>
        </w:rPr>
      </w:pPr>
      <w:r>
        <w:rPr>
          <w:rFonts w:ascii="Times New Roman" w:hAnsi="Times New Roman"/>
          <w:noProof/>
          <w:sz w:val="24"/>
        </w:rPr>
        <w:t xml:space="preserve">Enabling </w:t>
      </w:r>
      <w:r>
        <w:rPr>
          <w:rFonts w:ascii="Times New Roman" w:hAnsi="Times New Roman"/>
          <w:b/>
          <w:noProof/>
          <w:sz w:val="24"/>
        </w:rPr>
        <w:t>visibility</w:t>
      </w:r>
      <w:r>
        <w:rPr>
          <w:rFonts w:ascii="Times New Roman" w:hAnsi="Times New Roman"/>
          <w:noProof/>
          <w:sz w:val="24"/>
        </w:rPr>
        <w:t xml:space="preserve"> inside the administrative environment of a public administration. This is about allowing other public administrations, citizens and businesses to view and understand administrative rules, processes,</w:t>
      </w:r>
      <w:r>
        <w:rPr>
          <w:rStyle w:val="FootnoteReference"/>
          <w:rFonts w:ascii="Times New Roman" w:hAnsi="Times New Roman"/>
          <w:noProof/>
          <w:sz w:val="24"/>
        </w:rPr>
        <w:footnoteReference w:id="11"/>
      </w:r>
      <w:r>
        <w:rPr>
          <w:rFonts w:ascii="Times New Roman" w:hAnsi="Times New Roman"/>
          <w:noProof/>
          <w:sz w:val="24"/>
        </w:rPr>
        <w:t xml:space="preserve"> data, services and decision-making.</w:t>
      </w:r>
    </w:p>
    <w:p>
      <w:pPr>
        <w:pStyle w:val="BodyText"/>
        <w:numPr>
          <w:ilvl w:val="0"/>
          <w:numId w:val="134"/>
        </w:numPr>
        <w:spacing w:before="200" w:after="200" w:line="312" w:lineRule="auto"/>
        <w:jc w:val="both"/>
        <w:rPr>
          <w:rFonts w:ascii="Times New Roman" w:hAnsi="Times New Roman"/>
          <w:noProof/>
          <w:sz w:val="24"/>
        </w:rPr>
      </w:pPr>
      <w:r>
        <w:rPr>
          <w:rFonts w:ascii="Times New Roman" w:hAnsi="Times New Roman"/>
          <w:noProof/>
          <w:sz w:val="24"/>
        </w:rPr>
        <w:t xml:space="preserve">Ensuring </w:t>
      </w:r>
      <w:r>
        <w:rPr>
          <w:rFonts w:ascii="Times New Roman" w:hAnsi="Times New Roman"/>
          <w:b/>
          <w:noProof/>
          <w:sz w:val="24"/>
        </w:rPr>
        <w:t xml:space="preserve">availability of interfaces </w:t>
      </w:r>
      <w:r>
        <w:rPr>
          <w:rFonts w:ascii="Times New Roman" w:hAnsi="Times New Roman"/>
          <w:noProof/>
          <w:sz w:val="24"/>
        </w:rPr>
        <w:t>with internal information systems. Public administrations operate a large number of what are often heterogeneous and disparate information systems in support of their internal processes. Interoperability depends on ensuring the availability of interfaces to these systems and the data they handle. In turn, interoperability facilitates reuse of systems and data, and enables these to be integrated into larger systems.</w:t>
      </w:r>
    </w:p>
    <w:p>
      <w:pPr>
        <w:pStyle w:val="BodyText"/>
        <w:numPr>
          <w:ilvl w:val="0"/>
          <w:numId w:val="134"/>
        </w:numPr>
        <w:spacing w:before="200" w:after="200" w:line="312" w:lineRule="auto"/>
        <w:jc w:val="both"/>
        <w:rPr>
          <w:rFonts w:ascii="Times New Roman" w:hAnsi="Times New Roman"/>
          <w:noProof/>
          <w:sz w:val="24"/>
        </w:rPr>
      </w:pPr>
      <w:r>
        <w:rPr>
          <w:rFonts w:ascii="Times New Roman" w:hAnsi="Times New Roman"/>
          <w:noProof/>
          <w:sz w:val="24"/>
        </w:rPr>
        <w:t xml:space="preserve">Securing the right to the </w:t>
      </w:r>
      <w:r>
        <w:rPr>
          <w:rFonts w:ascii="Times New Roman" w:hAnsi="Times New Roman"/>
          <w:b/>
          <w:noProof/>
          <w:sz w:val="24"/>
        </w:rPr>
        <w:t>protection of personal data</w:t>
      </w:r>
      <w:r>
        <w:rPr>
          <w:rFonts w:ascii="Times New Roman" w:hAnsi="Times New Roman"/>
          <w:noProof/>
          <w:sz w:val="24"/>
        </w:rPr>
        <w:t>, by respecting the applicable legal framework for the large volumes of personal data of citizens, held and managed by Public administrations.</w:t>
      </w:r>
    </w:p>
    <w:p>
      <w:pPr>
        <w:pStyle w:val="BodyText"/>
        <w:spacing w:before="240" w:after="240" w:line="360" w:lineRule="auto"/>
        <w:jc w:val="both"/>
        <w:rPr>
          <w:rFonts w:ascii="Times New Roman" w:hAnsi="Times New Roman"/>
          <w:noProof/>
          <w:szCs w:val="22"/>
        </w:rPr>
      </w:pPr>
      <w:r>
        <w:rPr>
          <w:rFonts w:ascii="Times New Roman" w:hAnsi="Times New Roman"/>
          <w:noProof/>
          <w:lang w:val="en-US" w:eastAsia="en-US"/>
        </w:rPr>
        <mc:AlternateContent>
          <mc:Choice Requires="wps">
            <w:drawing>
              <wp:inline distT="0" distB="0" distL="0" distR="0">
                <wp:extent cx="5633049" cy="836762"/>
                <wp:effectExtent l="57150" t="38100" r="63500" b="7810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49" cy="836762"/>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rPr>
                                <w:rFonts w:ascii="Corbel" w:hAnsi="Corbel"/>
                                <w:b/>
                                <w:i/>
                                <w:sz w:val="24"/>
                              </w:rPr>
                            </w:pPr>
                            <w:r>
                              <w:rPr>
                                <w:rFonts w:ascii="Corbel" w:hAnsi="Corbel"/>
                                <w:b/>
                                <w:i/>
                                <w:sz w:val="24"/>
                              </w:rPr>
                              <w:t xml:space="preserve"> </w:t>
                            </w:r>
                            <w:r>
                              <w:rPr>
                                <w:rStyle w:val="ListParagraphChar"/>
                                <w:rFonts w:ascii="Corbel" w:eastAsia="MS Mincho" w:hAnsi="Corbel"/>
                                <w:b w:val="0"/>
                                <w:i/>
                                <w:noProof w:val="0"/>
                                <w:sz w:val="24"/>
                                <w:u w:val="none"/>
                                <w:lang w:val="en-GB"/>
                              </w:rPr>
                              <w:t>Recommendation 5:</w:t>
                            </w:r>
                          </w:p>
                          <w:p>
                            <w:pPr>
                              <w:ind w:left="142"/>
                              <w:rPr>
                                <w:rFonts w:ascii="Corbel" w:hAnsi="Corbel"/>
                                <w:b/>
                                <w:sz w:val="24"/>
                              </w:rPr>
                            </w:pPr>
                            <w:r>
                              <w:rPr>
                                <w:rFonts w:ascii="Corbel" w:hAnsi="Corbel"/>
                                <w:b/>
                                <w:sz w:val="24"/>
                              </w:rPr>
                              <w:t>Ensure internal visibility and provide external interfaces for European public services.</w:t>
                            </w:r>
                          </w:p>
                        </w:txbxContent>
                      </wps:txbx>
                      <wps:bodyPr rot="0" vert="horz" wrap="square" lIns="91440" tIns="45720" rIns="91440" bIns="45720" anchor="t" anchorCtr="0">
                        <a:noAutofit/>
                      </wps:bodyPr>
                    </wps:wsp>
                  </a:graphicData>
                </a:graphic>
              </wp:inline>
            </w:drawing>
          </mc:Choice>
          <mc:Fallback>
            <w:pict>
              <v:shape id="_x0000_s1030" type="#_x0000_t202" style="width:443.55pt;height:6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" fillcolor="#010101 [38]" stroked="f">
                <v:fill color2="#a3a3a3 [3174]" rotate="t" colors="0 #afafaf;.5 #a5a5a5;1 #929292" focus="100%" type="gradient">
                  <o:fill v:ext="view" type="gradientUnscaled"/>
                </v:fill>
                <v:shadow on="t" color="black" opacity="41287f" offset="0,1.5pt"/>
                <v:textbox>
                  <w:txbxContent>
                    <w:p>
                      <w:pPr>
                        <w:spacing w:after="120"/>
                        <w:rPr>
                          <w:rFonts w:ascii="Corbel" w:hAnsi="Corbel"/>
                          <w:b/>
                          <w:i/>
                          <w:sz w:val="24"/>
                        </w:rPr>
                      </w:pPr>
                      <w:r>
                        <w:rPr>
                          <w:rFonts w:ascii="Corbel" w:hAnsi="Corbel"/>
                          <w:b/>
                          <w:i/>
                          <w:sz w:val="24"/>
                        </w:rPr>
                        <w:t xml:space="preserve"> </w:t>
                      </w:r>
                      <w:r>
                        <w:rPr>
                          <w:rStyle w:val="ListParagraphChar"/>
                          <w:rFonts w:ascii="Corbel" w:eastAsia="MS Mincho" w:hAnsi="Corbel"/>
                          <w:b w:val="0"/>
                          <w:i/>
                          <w:noProof w:val="0"/>
                          <w:sz w:val="24"/>
                          <w:u w:val="none"/>
                          <w:lang w:val="en-GB"/>
                        </w:rPr>
                        <w:t>Recommendation 5:</w:t>
                      </w:r>
                    </w:p>
                    <w:p>
                      <w:pPr>
                        <w:ind w:left="142"/>
                        <w:rPr>
                          <w:rFonts w:ascii="Corbel" w:hAnsi="Corbel"/>
                          <w:b/>
                          <w:sz w:val="24"/>
                        </w:rPr>
                      </w:pPr>
                      <w:r>
                        <w:rPr>
                          <w:rFonts w:ascii="Corbel" w:hAnsi="Corbel"/>
                          <w:b/>
                          <w:sz w:val="24"/>
                        </w:rPr>
                        <w:t>Ensure internal visibility and provide external interfaces for European public services.</w:t>
                      </w:r>
                    </w:p>
                  </w:txbxContent>
                </v:textbox>
                <w10:anchorlock/>
              </v:shape>
            </w:pict>
          </mc:Fallback>
        </mc:AlternateContent>
      </w:r>
    </w:p>
    <w:p>
      <w:pPr>
        <w:pStyle w:val="Heading2"/>
        <w:rPr>
          <w:noProof/>
        </w:rPr>
      </w:pPr>
      <w:bookmarkStart w:id="259" w:name="_Toc454188974"/>
      <w:bookmarkStart w:id="260" w:name="_Toc454196223"/>
      <w:bookmarkStart w:id="261" w:name="_Toc469580868"/>
      <w:bookmarkStart w:id="262" w:name="_Toc469902793"/>
      <w:r>
        <w:rPr>
          <w:noProof/>
        </w:rPr>
        <w:t>Underlying principle 4: reusability</w:t>
      </w:r>
      <w:bookmarkEnd w:id="259"/>
      <w:bookmarkEnd w:id="260"/>
      <w:bookmarkEnd w:id="261"/>
      <w:bookmarkEnd w:id="262"/>
    </w:p>
    <w:p>
      <w:pPr>
        <w:pStyle w:val="BodyText"/>
        <w:spacing w:after="200" w:line="312" w:lineRule="auto"/>
        <w:jc w:val="both"/>
        <w:rPr>
          <w:rFonts w:ascii="Times New Roman" w:hAnsi="Times New Roman"/>
          <w:noProof/>
          <w:sz w:val="24"/>
        </w:rPr>
      </w:pPr>
      <w:r>
        <w:rPr>
          <w:rFonts w:ascii="Times New Roman" w:hAnsi="Times New Roman"/>
          <w:noProof/>
          <w:sz w:val="24"/>
        </w:rPr>
        <w:t>Reuse means that public administrations confronted with a specific problem seek to benefit from the work of others by looking at what is available, assessing its usefulness or relevance to the problem at hand, and where appropriate, adopting solutions that have proven their value elsewhere. This requires the public administration to be open to sharing its interoperability solutions, concepts, frameworks, specifications, tools and components with others.</w:t>
      </w:r>
    </w:p>
    <w:p>
      <w:pPr>
        <w:pStyle w:val="BodyText"/>
        <w:spacing w:before="200" w:after="200" w:line="312" w:lineRule="auto"/>
        <w:jc w:val="both"/>
        <w:rPr>
          <w:rFonts w:ascii="Times New Roman" w:hAnsi="Times New Roman"/>
          <w:noProof/>
          <w:sz w:val="24"/>
        </w:rPr>
      </w:pPr>
      <w:r>
        <w:rPr>
          <w:rFonts w:ascii="Times New Roman" w:hAnsi="Times New Roman"/>
          <w:b/>
          <w:noProof/>
          <w:sz w:val="24"/>
        </w:rPr>
        <w:t>Reusability</w:t>
      </w:r>
      <w:r>
        <w:rPr>
          <w:rFonts w:ascii="Times New Roman" w:hAnsi="Times New Roman"/>
          <w:noProof/>
          <w:sz w:val="24"/>
        </w:rPr>
        <w:t xml:space="preserve"> of IT solutions (e.g. software components, Application Programming Interfaces, standards), information and data, is an enabler of interoperability and improves quality because it extends operational use, as well as saving money and time. This makes it a major contributor to the development of a digital single market in the EU. Some EU standards and specifications also exist in the DIFs and should be applied more widely. For example, the INSPIRE Directive sets out interoperability standards for addresses, cadastres, roads and many other data topics of relevance to many public administrations. These existing standards and specifications can and should be used more widely beyond the domain for which they were originally developed.</w:t>
      </w:r>
    </w:p>
    <w:p>
      <w:pPr>
        <w:pStyle w:val="BodyText"/>
        <w:spacing w:before="200" w:after="200" w:line="312" w:lineRule="auto"/>
        <w:jc w:val="both"/>
        <w:rPr>
          <w:rFonts w:ascii="Times New Roman" w:hAnsi="Times New Roman"/>
          <w:noProof/>
          <w:sz w:val="24"/>
        </w:rPr>
      </w:pPr>
      <w:r>
        <w:rPr>
          <w:rFonts w:ascii="Times New Roman" w:hAnsi="Times New Roman"/>
          <w:noProof/>
          <w:sz w:val="24"/>
        </w:rPr>
        <w:t>Several public administrations and governments across the EU already promote sharing and reuse of IT solutions by adopting new business models,  promoting the use of open source software for key ICT services and when deploying digital service infrastructure. </w:t>
      </w:r>
    </w:p>
    <w:p>
      <w:pPr>
        <w:pStyle w:val="BodyText"/>
        <w:spacing w:before="200" w:after="200" w:line="312" w:lineRule="auto"/>
        <w:jc w:val="both"/>
        <w:rPr>
          <w:rFonts w:ascii="Times New Roman" w:hAnsi="Times New Roman"/>
          <w:noProof/>
          <w:sz w:val="24"/>
        </w:rPr>
      </w:pPr>
      <w:r>
        <w:rPr>
          <w:rFonts w:ascii="Times New Roman" w:hAnsi="Times New Roman"/>
          <w:noProof/>
          <w:sz w:val="24"/>
        </w:rPr>
        <w:t>There are some key challenges that limit the sharing and reuse of IT solutions, at technical, organisational, legal and communication levels. The ISA² sharing and reuse framework for IT solutions</w:t>
      </w:r>
      <w:r>
        <w:rPr>
          <w:rStyle w:val="FootnoteReference"/>
          <w:rFonts w:ascii="Times New Roman" w:hAnsi="Times New Roman"/>
          <w:noProof/>
          <w:sz w:val="24"/>
        </w:rPr>
        <w:footnoteReference w:id="12"/>
      </w:r>
      <w:r>
        <w:rPr>
          <w:rFonts w:ascii="Times New Roman" w:hAnsi="Times New Roman"/>
          <w:noProof/>
          <w:sz w:val="24"/>
        </w:rPr>
        <w:t xml:space="preserve"> provides recommendations for public administrations to help them overcome these challenges and share/reuse common IT solutions. Reuse and sharing can be effectively supported by collaborative platforms.</w:t>
      </w:r>
      <w:r>
        <w:rPr>
          <w:rStyle w:val="FootnoteReference"/>
          <w:rFonts w:ascii="Times New Roman" w:hAnsi="Times New Roman"/>
          <w:noProof/>
          <w:sz w:val="24"/>
        </w:rPr>
        <w:footnoteReference w:id="13"/>
      </w:r>
    </w:p>
    <w:p>
      <w:pPr>
        <w:pStyle w:val="BodyText"/>
        <w:jc w:val="both"/>
        <w:rPr>
          <w:rFonts w:ascii="Times New Roman" w:hAnsi="Times New Roman"/>
          <w:noProof/>
        </w:rPr>
      </w:pPr>
      <w:r>
        <w:rPr>
          <w:rFonts w:ascii="Times New Roman" w:hAnsi="Times New Roman"/>
          <w:noProof/>
          <w:lang w:val="en-US" w:eastAsia="en-US"/>
        </w:rPr>
        <mc:AlternateContent>
          <mc:Choice Requires="wps">
            <w:drawing>
              <wp:inline distT="0" distB="0" distL="0" distR="0">
                <wp:extent cx="5607050" cy="834887"/>
                <wp:effectExtent l="57150" t="38100" r="50800" b="8001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834887"/>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rPr>
                                <w:rFonts w:ascii="Corbel" w:hAnsi="Corbel"/>
                                <w:b/>
                                <w:i/>
                                <w:sz w:val="24"/>
                              </w:rPr>
                            </w:pPr>
                            <w:r>
                              <w:rPr>
                                <w:rFonts w:ascii="Corbel" w:hAnsi="Corbel"/>
                                <w:i/>
                                <w:sz w:val="24"/>
                              </w:rPr>
                              <w:t xml:space="preserve"> </w:t>
                            </w:r>
                            <w:r>
                              <w:rPr>
                                <w:rStyle w:val="ListParagraphChar"/>
                                <w:rFonts w:ascii="Corbel" w:eastAsia="MS Mincho" w:hAnsi="Corbel"/>
                                <w:b w:val="0"/>
                                <w:i/>
                                <w:noProof w:val="0"/>
                                <w:sz w:val="24"/>
                                <w:u w:val="none"/>
                                <w:lang w:val="en-GB"/>
                              </w:rPr>
                              <w:t>Recommendation 6:</w:t>
                            </w:r>
                          </w:p>
                          <w:p>
                            <w:pPr>
                              <w:ind w:left="142"/>
                              <w:jc w:val="both"/>
                              <w:rPr>
                                <w:rFonts w:ascii="Corbel" w:hAnsi="Corbel"/>
                                <w:b/>
                                <w:sz w:val="24"/>
                              </w:rPr>
                            </w:pPr>
                            <w:r>
                              <w:rPr>
                                <w:rFonts w:ascii="Corbel" w:hAnsi="Corbel"/>
                                <w:b/>
                                <w:sz w:val="24"/>
                              </w:rPr>
                              <w:t>Reuse and share solutions, and cooperate in the development of joint solutions when implementing European public services.</w:t>
                            </w:r>
                          </w:p>
                          <w:p>
                            <w:pPr>
                              <w:rPr>
                                <w:rFonts w:asciiTheme="minorHAnsi" w:hAnsiTheme="minorHAnsi"/>
                                <w:sz w:val="24"/>
                              </w:rPr>
                            </w:pPr>
                          </w:p>
                        </w:txbxContent>
                      </wps:txbx>
                      <wps:bodyPr rot="0" vert="horz" wrap="square" lIns="91440" tIns="45720" rIns="91440" bIns="45720" anchor="t" anchorCtr="0">
                        <a:noAutofit/>
                      </wps:bodyPr>
                    </wps:wsp>
                  </a:graphicData>
                </a:graphic>
              </wp:inline>
            </w:drawing>
          </mc:Choice>
          <mc:Fallback>
            <w:pict>
              <v:shape id="_x0000_s1031" type="#_x0000_t202" style="width:441.5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" fillcolor="#010101 [38]" stroked="f">
                <v:fill color2="#a3a3a3 [3174]" rotate="t" colors="0 #afafaf;.5 #a5a5a5;1 #929292" focus="100%" type="gradient">
                  <o:fill v:ext="view" type="gradientUnscaled"/>
                </v:fill>
                <v:shadow on="t" color="black" opacity="41287f" offset="0,1.5pt"/>
                <v:textbox>
                  <w:txbxContent>
                    <w:p>
                      <w:pPr>
                        <w:spacing w:after="120"/>
                        <w:rPr>
                          <w:rFonts w:ascii="Corbel" w:hAnsi="Corbel"/>
                          <w:b/>
                          <w:i/>
                          <w:sz w:val="24"/>
                        </w:rPr>
                      </w:pPr>
                      <w:r>
                        <w:rPr>
                          <w:rFonts w:ascii="Corbel" w:hAnsi="Corbel"/>
                          <w:i/>
                          <w:sz w:val="24"/>
                        </w:rPr>
                        <w:t xml:space="preserve"> </w:t>
                      </w:r>
                      <w:r>
                        <w:rPr>
                          <w:rStyle w:val="ListParagraphChar"/>
                          <w:rFonts w:ascii="Corbel" w:eastAsia="MS Mincho" w:hAnsi="Corbel"/>
                          <w:b w:val="0"/>
                          <w:i/>
                          <w:noProof w:val="0"/>
                          <w:sz w:val="24"/>
                          <w:u w:val="none"/>
                          <w:lang w:val="en-GB"/>
                        </w:rPr>
                        <w:t>Recommendation 6:</w:t>
                      </w:r>
                    </w:p>
                    <w:p>
                      <w:pPr>
                        <w:ind w:left="142"/>
                        <w:jc w:val="both"/>
                        <w:rPr>
                          <w:rFonts w:ascii="Corbel" w:hAnsi="Corbel"/>
                          <w:b/>
                          <w:sz w:val="24"/>
                        </w:rPr>
                      </w:pPr>
                      <w:r>
                        <w:rPr>
                          <w:rFonts w:ascii="Corbel" w:hAnsi="Corbel"/>
                          <w:b/>
                          <w:sz w:val="24"/>
                        </w:rPr>
                        <w:t>Reuse and share solutions, and cooperate in the development of joint solutions when implementing European public services.</w:t>
                      </w:r>
                    </w:p>
                    <w:p>
                      <w:pPr>
                        <w:rPr>
                          <w:rFonts w:asciiTheme="minorHAnsi" w:hAnsiTheme="minorHAnsi"/>
                          <w:sz w:val="24"/>
                        </w:rPr>
                      </w:pPr>
                    </w:p>
                  </w:txbxContent>
                </v:textbox>
                <w10:anchorlock/>
              </v:shape>
            </w:pict>
          </mc:Fallback>
        </mc:AlternateContent>
      </w:r>
    </w:p>
    <w:p>
      <w:pPr>
        <w:pStyle w:val="BodyText"/>
        <w:jc w:val="both"/>
        <w:rPr>
          <w:rFonts w:ascii="Times New Roman" w:hAnsi="Times New Roman"/>
          <w:noProof/>
        </w:rPr>
      </w:pPr>
    </w:p>
    <w:p>
      <w:pPr>
        <w:pStyle w:val="BodyText"/>
        <w:rPr>
          <w:rFonts w:ascii="Times New Roman" w:hAnsi="Times New Roman"/>
          <w:noProof/>
        </w:rPr>
      </w:pPr>
      <w:r>
        <w:rPr>
          <w:rFonts w:ascii="Times New Roman" w:hAnsi="Times New Roman"/>
          <w:noProof/>
          <w:lang w:val="en-US" w:eastAsia="en-US"/>
        </w:rPr>
        <mc:AlternateContent>
          <mc:Choice Requires="wps">
            <w:drawing>
              <wp:inline distT="0" distB="0" distL="0" distR="0">
                <wp:extent cx="5607170" cy="836762"/>
                <wp:effectExtent l="57150" t="38100" r="50800" b="7810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170" cy="836762"/>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Fonts w:ascii="Corbel" w:hAnsi="Corbel"/>
                                <w:sz w:val="24"/>
                              </w:rPr>
                              <w:t xml:space="preserve"> </w:t>
                            </w:r>
                            <w:r>
                              <w:rPr>
                                <w:rStyle w:val="ListParagraphChar"/>
                                <w:rFonts w:ascii="Corbel" w:eastAsia="MS Mincho" w:hAnsi="Corbel"/>
                                <w:b w:val="0"/>
                                <w:i/>
                                <w:noProof w:val="0"/>
                                <w:sz w:val="24"/>
                                <w:u w:val="none"/>
                                <w:lang w:val="en-GB"/>
                              </w:rPr>
                              <w:t>Recommendation 7:</w:t>
                            </w:r>
                          </w:p>
                          <w:p>
                            <w:pPr>
                              <w:ind w:left="142"/>
                              <w:jc w:val="both"/>
                              <w:rPr>
                                <w:rFonts w:ascii="Corbel" w:hAnsi="Corbel"/>
                                <w:b/>
                                <w:sz w:val="24"/>
                              </w:rPr>
                            </w:pPr>
                            <w:r>
                              <w:rPr>
                                <w:rFonts w:ascii="Corbel" w:hAnsi="Corbel"/>
                                <w:b/>
                                <w:sz w:val="24"/>
                              </w:rPr>
                              <w:t>Reuse and share information and data when implementing European public services, unless certain privacy or confidentiality restrictions apply.</w:t>
                            </w:r>
                          </w:p>
                        </w:txbxContent>
                      </wps:txbx>
                      <wps:bodyPr rot="0" vert="horz" wrap="square" lIns="91440" tIns="45720" rIns="91440" bIns="45720" anchor="t" anchorCtr="0">
                        <a:noAutofit/>
                      </wps:bodyPr>
                    </wps:wsp>
                  </a:graphicData>
                </a:graphic>
              </wp:inline>
            </w:drawing>
          </mc:Choice>
          <mc:Fallback>
            <w:pict>
              <v:shape id="_x0000_s1032" type="#_x0000_t202" style="width:441.5pt;height:6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Fonts w:ascii="Corbel" w:hAnsi="Corbel"/>
                          <w:sz w:val="24"/>
                        </w:rPr>
                        <w:t xml:space="preserve"> </w:t>
                      </w:r>
                      <w:r>
                        <w:rPr>
                          <w:rStyle w:val="ListParagraphChar"/>
                          <w:rFonts w:ascii="Corbel" w:eastAsia="MS Mincho" w:hAnsi="Corbel"/>
                          <w:b w:val="0"/>
                          <w:i/>
                          <w:noProof w:val="0"/>
                          <w:sz w:val="24"/>
                          <w:u w:val="none"/>
                          <w:lang w:val="en-GB"/>
                        </w:rPr>
                        <w:t>Recommendation 7:</w:t>
                      </w:r>
                    </w:p>
                    <w:p>
                      <w:pPr>
                        <w:ind w:left="142"/>
                        <w:jc w:val="both"/>
                        <w:rPr>
                          <w:rFonts w:ascii="Corbel" w:hAnsi="Corbel"/>
                          <w:b/>
                          <w:sz w:val="24"/>
                        </w:rPr>
                      </w:pPr>
                      <w:r>
                        <w:rPr>
                          <w:rFonts w:ascii="Corbel" w:hAnsi="Corbel"/>
                          <w:b/>
                          <w:sz w:val="24"/>
                        </w:rPr>
                        <w:t>Reuse and share information and data when implementing European public services, unless certain privacy or confidentiality restrictions apply.</w:t>
                      </w:r>
                    </w:p>
                  </w:txbxContent>
                </v:textbox>
                <w10:anchorlock/>
              </v:shape>
            </w:pict>
          </mc:Fallback>
        </mc:AlternateContent>
      </w:r>
    </w:p>
    <w:p>
      <w:pPr>
        <w:pStyle w:val="Heading2"/>
        <w:rPr>
          <w:noProof/>
          <w:szCs w:val="22"/>
        </w:rPr>
      </w:pPr>
      <w:bookmarkStart w:id="263" w:name="_Toc446076038"/>
      <w:bookmarkStart w:id="264" w:name="_Toc446080175"/>
      <w:bookmarkStart w:id="265" w:name="_Toc446499013"/>
      <w:bookmarkStart w:id="266" w:name="_Toc446588645"/>
      <w:bookmarkStart w:id="267" w:name="_Toc446660921"/>
      <w:bookmarkStart w:id="268" w:name="_Toc441574260"/>
      <w:bookmarkStart w:id="269" w:name="_Toc441575412"/>
      <w:bookmarkStart w:id="270" w:name="_Toc442276981"/>
      <w:bookmarkStart w:id="271" w:name="_Toc442277042"/>
      <w:bookmarkStart w:id="272" w:name="_Toc442363293"/>
      <w:bookmarkStart w:id="273" w:name="_Toc438118853"/>
      <w:bookmarkStart w:id="274" w:name="_Toc438125428"/>
      <w:bookmarkStart w:id="275" w:name="_Toc438134914"/>
      <w:bookmarkStart w:id="276" w:name="_Toc438136275"/>
      <w:bookmarkStart w:id="277" w:name="_Toc438141480"/>
      <w:bookmarkStart w:id="278" w:name="_Toc438118854"/>
      <w:bookmarkStart w:id="279" w:name="_Toc438125429"/>
      <w:bookmarkStart w:id="280" w:name="_Toc438134915"/>
      <w:bookmarkStart w:id="281" w:name="_Toc438136276"/>
      <w:bookmarkStart w:id="282" w:name="_Toc438141481"/>
      <w:bookmarkStart w:id="283" w:name="_Toc438118855"/>
      <w:bookmarkStart w:id="284" w:name="_Toc438125430"/>
      <w:bookmarkStart w:id="285" w:name="_Toc438134916"/>
      <w:bookmarkStart w:id="286" w:name="_Toc438136277"/>
      <w:bookmarkStart w:id="287" w:name="_Toc438141482"/>
      <w:bookmarkStart w:id="288" w:name="_Toc438118856"/>
      <w:bookmarkStart w:id="289" w:name="_Toc438125431"/>
      <w:bookmarkStart w:id="290" w:name="_Toc438134917"/>
      <w:bookmarkStart w:id="291" w:name="_Toc438136278"/>
      <w:bookmarkStart w:id="292" w:name="_Toc438141483"/>
      <w:bookmarkStart w:id="293" w:name="_Toc454188975"/>
      <w:bookmarkStart w:id="294" w:name="_Toc454196224"/>
      <w:bookmarkStart w:id="295" w:name="_Toc469580869"/>
      <w:bookmarkStart w:id="296" w:name="_Toc469902794"/>
      <w:bookmarkStart w:id="297" w:name="OLE_LINK13"/>
      <w:bookmarkStart w:id="298" w:name="OLE_LINK14"/>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Pr>
          <w:noProof/>
        </w:rPr>
        <w:t xml:space="preserve">Underlying principle 5: technological neutrality and data </w:t>
      </w:r>
      <w:r>
        <w:rPr>
          <w:noProof/>
          <w:szCs w:val="22"/>
        </w:rPr>
        <w:t>portability</w:t>
      </w:r>
      <w:bookmarkEnd w:id="293"/>
      <w:bookmarkEnd w:id="294"/>
      <w:bookmarkEnd w:id="295"/>
      <w:bookmarkEnd w:id="296"/>
    </w:p>
    <w:bookmarkEnd w:id="297"/>
    <w:bookmarkEnd w:id="298"/>
    <w:p>
      <w:pPr>
        <w:spacing w:after="200" w:line="312" w:lineRule="auto"/>
        <w:jc w:val="both"/>
        <w:rPr>
          <w:rFonts w:ascii="Times New Roman" w:hAnsi="Times New Roman"/>
          <w:noProof/>
          <w:sz w:val="24"/>
        </w:rPr>
      </w:pPr>
      <w:r>
        <w:rPr>
          <w:rFonts w:ascii="Times New Roman" w:hAnsi="Times New Roman"/>
          <w:noProof/>
          <w:sz w:val="24"/>
        </w:rPr>
        <w:t>When establishing European public services, public administrations should focus on functional needs and defer decisions on technology as long as possible in order to minimise technological dependencies, to avoid imposing specific technical implementations or products on their constituents and to be able to adapt to the rapidly evolving technological environment.</w:t>
      </w:r>
    </w:p>
    <w:p>
      <w:pPr>
        <w:pStyle w:val="BodyText"/>
        <w:spacing w:after="200" w:line="312" w:lineRule="auto"/>
        <w:jc w:val="both"/>
        <w:rPr>
          <w:rFonts w:ascii="Times New Roman" w:hAnsi="Times New Roman"/>
          <w:noProof/>
          <w:sz w:val="24"/>
        </w:rPr>
      </w:pPr>
      <w:r>
        <w:rPr>
          <w:rFonts w:ascii="Times New Roman" w:hAnsi="Times New Roman"/>
          <w:noProof/>
          <w:sz w:val="24"/>
        </w:rPr>
        <w:t xml:space="preserve">Public administrations should provide for access and reuse of their public services and data </w:t>
      </w:r>
      <w:r>
        <w:rPr>
          <w:rFonts w:ascii="Times New Roman" w:hAnsi="Times New Roman"/>
          <w:b/>
          <w:noProof/>
          <w:sz w:val="24"/>
        </w:rPr>
        <w:t>irrespective of specific technologies or products</w:t>
      </w:r>
      <w:r>
        <w:rPr>
          <w:rFonts w:ascii="Times New Roman" w:hAnsi="Times New Roman"/>
          <w:noProof/>
          <w:sz w:val="24"/>
        </w:rPr>
        <w:t>.</w:t>
      </w:r>
    </w:p>
    <w:p>
      <w:pPr>
        <w:pStyle w:val="BodyText"/>
        <w:spacing w:after="200" w:line="312" w:lineRule="auto"/>
        <w:jc w:val="both"/>
        <w:rPr>
          <w:rFonts w:ascii="Times New Roman" w:hAnsi="Times New Roman"/>
          <w:noProof/>
        </w:rPr>
      </w:pPr>
      <w:r>
        <w:rPr>
          <w:rFonts w:ascii="Times New Roman" w:hAnsi="Times New Roman"/>
          <w:noProof/>
          <w:lang w:val="en-US" w:eastAsia="en-US"/>
        </w:rPr>
        <mc:AlternateContent>
          <mc:Choice Requires="wps">
            <w:drawing>
              <wp:inline distT="0" distB="0" distL="0" distR="0">
                <wp:extent cx="5607050" cy="985962"/>
                <wp:effectExtent l="57150" t="38100" r="50800" b="8128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985962"/>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rPr>
                                <w:rFonts w:ascii="Corbel" w:hAnsi="Corbel"/>
                                <w:b/>
                                <w:i/>
                                <w:sz w:val="24"/>
                              </w:rPr>
                            </w:pPr>
                            <w:r>
                              <w:rPr>
                                <w:rFonts w:asciiTheme="minorHAnsi" w:hAnsiTheme="minorHAnsi"/>
                                <w:b/>
                                <w:i/>
                                <w:sz w:val="24"/>
                              </w:rPr>
                              <w:t xml:space="preserve"> </w:t>
                            </w:r>
                            <w:r>
                              <w:rPr>
                                <w:rStyle w:val="ListParagraphChar"/>
                                <w:rFonts w:ascii="Corbel" w:eastAsia="MS Mincho" w:hAnsi="Corbel"/>
                                <w:b w:val="0"/>
                                <w:i/>
                                <w:noProof w:val="0"/>
                                <w:sz w:val="24"/>
                                <w:u w:val="none"/>
                                <w:lang w:val="en-GB"/>
                              </w:rPr>
                              <w:t>Recommendation 8:</w:t>
                            </w:r>
                          </w:p>
                          <w:p>
                            <w:pPr>
                              <w:ind w:left="142"/>
                              <w:rPr>
                                <w:rFonts w:ascii="Corbel" w:hAnsi="Corbel"/>
                                <w:b/>
                                <w:sz w:val="24"/>
                              </w:rPr>
                            </w:pPr>
                            <w:r>
                              <w:rPr>
                                <w:rFonts w:ascii="Corbel" w:hAnsi="Corbel"/>
                                <w:b/>
                                <w:sz w:val="24"/>
                              </w:rPr>
                              <w:t>Do not impose any technological solutions on citizens, businesses and other administrations that are technology-specific or disproportionate to their real needs.</w:t>
                            </w:r>
                          </w:p>
                        </w:txbxContent>
                      </wps:txbx>
                      <wps:bodyPr rot="0" vert="horz" wrap="square" lIns="91440" tIns="45720" rIns="91440" bIns="45720" anchor="t" anchorCtr="0">
                        <a:noAutofit/>
                      </wps:bodyPr>
                    </wps:wsp>
                  </a:graphicData>
                </a:graphic>
              </wp:inline>
            </w:drawing>
          </mc:Choice>
          <mc:Fallback>
            <w:pict>
              <v:shape id="_x0000_s1033" type="#_x0000_t202" style="width:441.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" fillcolor="#010101 [38]" stroked="f">
                <v:fill color2="#a3a3a3 [3174]" rotate="t" colors="0 #afafaf;.5 #a5a5a5;1 #929292" focus="100%" type="gradient">
                  <o:fill v:ext="view" type="gradientUnscaled"/>
                </v:fill>
                <v:shadow on="t" color="black" opacity="41287f" offset="0,1.5pt"/>
                <v:textbox>
                  <w:txbxContent>
                    <w:p>
                      <w:pPr>
                        <w:spacing w:after="120"/>
                        <w:rPr>
                          <w:rFonts w:ascii="Corbel" w:hAnsi="Corbel"/>
                          <w:b/>
                          <w:i/>
                          <w:sz w:val="24"/>
                        </w:rPr>
                      </w:pPr>
                      <w:r>
                        <w:rPr>
                          <w:rFonts w:asciiTheme="minorHAnsi" w:hAnsiTheme="minorHAnsi"/>
                          <w:b/>
                          <w:i/>
                          <w:sz w:val="24"/>
                        </w:rPr>
                        <w:t xml:space="preserve"> </w:t>
                      </w:r>
                      <w:r>
                        <w:rPr>
                          <w:rStyle w:val="ListParagraphChar"/>
                          <w:rFonts w:ascii="Corbel" w:eastAsia="MS Mincho" w:hAnsi="Corbel"/>
                          <w:b w:val="0"/>
                          <w:i/>
                          <w:noProof w:val="0"/>
                          <w:sz w:val="24"/>
                          <w:u w:val="none"/>
                          <w:lang w:val="en-GB"/>
                        </w:rPr>
                        <w:t>Recommendation 8:</w:t>
                      </w:r>
                    </w:p>
                    <w:p>
                      <w:pPr>
                        <w:ind w:left="142"/>
                        <w:rPr>
                          <w:rFonts w:ascii="Corbel" w:hAnsi="Corbel"/>
                          <w:b/>
                          <w:sz w:val="24"/>
                        </w:rPr>
                      </w:pPr>
                      <w:r>
                        <w:rPr>
                          <w:rFonts w:ascii="Corbel" w:hAnsi="Corbel"/>
                          <w:b/>
                          <w:sz w:val="24"/>
                        </w:rPr>
                        <w:t>Do not impose any technological solutions on citizens, businesses and other administrations that are technology-specific or disproportionate to their real needs.</w:t>
                      </w:r>
                    </w:p>
                  </w:txbxContent>
                </v:textbox>
                <w10:anchorlock/>
              </v:shape>
            </w:pict>
          </mc:Fallback>
        </mc:AlternateContent>
      </w:r>
    </w:p>
    <w:p>
      <w:pPr>
        <w:spacing w:after="200" w:line="312" w:lineRule="auto"/>
        <w:jc w:val="both"/>
        <w:rPr>
          <w:rFonts w:ascii="Times New Roman" w:hAnsi="Times New Roman"/>
          <w:noProof/>
          <w:sz w:val="24"/>
        </w:rPr>
      </w:pPr>
      <w:r>
        <w:rPr>
          <w:rFonts w:ascii="Times New Roman" w:hAnsi="Times New Roman"/>
          <w:noProof/>
          <w:sz w:val="24"/>
        </w:rPr>
        <w:t xml:space="preserve">The functioning of the digital single market requires data to be easily transferable among different systems to avoid lock-in, support the free movement of data. This requirement relates to </w:t>
      </w:r>
      <w:r>
        <w:rPr>
          <w:rFonts w:ascii="Times New Roman" w:hAnsi="Times New Roman"/>
          <w:b/>
          <w:noProof/>
          <w:color w:val="000000" w:themeColor="text1"/>
          <w:sz w:val="24"/>
        </w:rPr>
        <w:t>data portability</w:t>
      </w:r>
      <w:r>
        <w:rPr>
          <w:rFonts w:ascii="Times New Roman" w:hAnsi="Times New Roman"/>
          <w:noProof/>
          <w:color w:val="0070C0"/>
          <w:sz w:val="24"/>
        </w:rPr>
        <w:t xml:space="preserve"> </w:t>
      </w:r>
      <w:r>
        <w:rPr>
          <w:rFonts w:ascii="Times New Roman" w:hAnsi="Times New Roman"/>
          <w:b/>
          <w:noProof/>
          <w:sz w:val="24"/>
        </w:rPr>
        <w:t>-</w:t>
      </w:r>
      <w:r>
        <w:rPr>
          <w:rFonts w:ascii="Times New Roman" w:hAnsi="Times New Roman"/>
          <w:noProof/>
          <w:sz w:val="24"/>
        </w:rPr>
        <w:t xml:space="preserve"> the ability to move and reuse data easily among different applications and systems</w:t>
      </w:r>
      <w:r>
        <w:rPr>
          <w:rFonts w:ascii="Times New Roman" w:hAnsi="Times New Roman"/>
          <w:b/>
          <w:i/>
          <w:noProof/>
          <w:color w:val="000000" w:themeColor="text1"/>
          <w:sz w:val="24"/>
        </w:rPr>
        <w:t>,</w:t>
      </w:r>
      <w:r>
        <w:rPr>
          <w:rFonts w:ascii="Times New Roman" w:hAnsi="Times New Roman"/>
          <w:i/>
          <w:noProof/>
          <w:color w:val="000000" w:themeColor="text1"/>
          <w:sz w:val="24"/>
        </w:rPr>
        <w:t xml:space="preserve"> </w:t>
      </w:r>
      <w:r>
        <w:rPr>
          <w:rFonts w:ascii="Times New Roman" w:hAnsi="Times New Roman"/>
          <w:noProof/>
          <w:color w:val="000000" w:themeColor="text1"/>
          <w:sz w:val="24"/>
        </w:rPr>
        <w:t>which becomes even more challenging in cross-border scenarios</w:t>
      </w:r>
      <w:r>
        <w:rPr>
          <w:rFonts w:ascii="Times New Roman" w:hAnsi="Times New Roman"/>
          <w:noProof/>
          <w:sz w:val="24"/>
        </w:rPr>
        <w:t>.</w:t>
      </w:r>
    </w:p>
    <w:p>
      <w:pPr>
        <w:spacing w:after="200" w:line="312" w:lineRule="auto"/>
        <w:rPr>
          <w:rFonts w:ascii="Times New Roman" w:hAnsi="Times New Roman"/>
          <w:i/>
          <w:noProof/>
        </w:rPr>
      </w:pPr>
      <w:r>
        <w:rPr>
          <w:rFonts w:ascii="Times New Roman" w:hAnsi="Times New Roman"/>
          <w:noProof/>
          <w:lang w:val="en-US" w:eastAsia="en-US"/>
        </w:rPr>
        <mc:AlternateContent>
          <mc:Choice Requires="wps">
            <w:drawing>
              <wp:inline distT="0" distB="0" distL="0" distR="0">
                <wp:extent cx="5607050" cy="1017767"/>
                <wp:effectExtent l="57150" t="38100" r="50800" b="6858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1017767"/>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Fonts w:ascii="Corbel" w:hAnsi="Corbel"/>
                                <w:b/>
                                <w:sz w:val="24"/>
                              </w:rPr>
                              <w:t xml:space="preserve"> </w:t>
                            </w:r>
                            <w:r>
                              <w:rPr>
                                <w:rStyle w:val="ListParagraphChar"/>
                                <w:rFonts w:ascii="Corbel" w:eastAsia="MS Mincho" w:hAnsi="Corbel"/>
                                <w:b w:val="0"/>
                                <w:i/>
                                <w:noProof w:val="0"/>
                                <w:sz w:val="24"/>
                                <w:u w:val="none"/>
                                <w:lang w:val="en-GB"/>
                              </w:rPr>
                              <w:t>Recommendation 9:</w:t>
                            </w:r>
                          </w:p>
                          <w:p>
                            <w:pPr>
                              <w:pStyle w:val="ListParagraph"/>
                              <w:numPr>
                                <w:ilvl w:val="0"/>
                                <w:numId w:val="0"/>
                              </w:numPr>
                              <w:ind w:left="170"/>
                              <w:jc w:val="both"/>
                              <w:rPr>
                                <w:rFonts w:ascii="Corbel" w:eastAsia="MS Mincho" w:hAnsi="Corbel"/>
                                <w:sz w:val="24"/>
                                <w:lang w:val="en-GB"/>
                              </w:rPr>
                            </w:pPr>
                            <w:r>
                              <w:rPr>
                                <w:rFonts w:ascii="Corbel" w:hAnsi="Corbel"/>
                                <w:sz w:val="24"/>
                                <w:u w:val="none"/>
                                <w:lang w:val="en-GB"/>
                              </w:rPr>
                              <w:t>Ensure data portability, namely that data is easily transferable between systems and applications supporting the implementation and evolution of</w:t>
                            </w:r>
                            <w:r>
                              <w:rPr>
                                <w:rFonts w:ascii="Corbel" w:eastAsia="MS Mincho" w:hAnsi="Corbel"/>
                                <w:sz w:val="24"/>
                                <w:u w:val="none"/>
                                <w:lang w:val="en-GB" w:eastAsia="ja-JP"/>
                              </w:rPr>
                              <w:t xml:space="preserve"> European public services</w:t>
                            </w:r>
                            <w:r>
                              <w:rPr>
                                <w:rFonts w:ascii="Corbel" w:hAnsi="Corbel"/>
                                <w:sz w:val="24"/>
                                <w:u w:val="none"/>
                                <w:lang w:val="en-GB"/>
                              </w:rPr>
                              <w:t xml:space="preserve"> without unjustified restrictions, if legally possible.</w:t>
                            </w:r>
                          </w:p>
                        </w:txbxContent>
                      </wps:txbx>
                      <wps:bodyPr rot="0" vert="horz" wrap="square" lIns="91440" tIns="45720" rIns="91440" bIns="45720" anchor="t" anchorCtr="0">
                        <a:noAutofit/>
                      </wps:bodyPr>
                    </wps:wsp>
                  </a:graphicData>
                </a:graphic>
              </wp:inline>
            </w:drawing>
          </mc:Choice>
          <mc:Fallback>
            <w:pict>
              <v:shape id="_x0000_s1034" type="#_x0000_t202" style="width:441.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Fonts w:ascii="Corbel" w:hAnsi="Corbel"/>
                          <w:b/>
                          <w:sz w:val="24"/>
                        </w:rPr>
                        <w:t xml:space="preserve"> </w:t>
                      </w:r>
                      <w:r>
                        <w:rPr>
                          <w:rStyle w:val="ListParagraphChar"/>
                          <w:rFonts w:ascii="Corbel" w:eastAsia="MS Mincho" w:hAnsi="Corbel"/>
                          <w:b w:val="0"/>
                          <w:i/>
                          <w:noProof w:val="0"/>
                          <w:sz w:val="24"/>
                          <w:u w:val="none"/>
                          <w:lang w:val="en-GB"/>
                        </w:rPr>
                        <w:t>Recommendation 9:</w:t>
                      </w:r>
                    </w:p>
                    <w:p>
                      <w:pPr>
                        <w:pStyle w:val="ListParagraph"/>
                        <w:numPr>
                          <w:ilvl w:val="0"/>
                          <w:numId w:val="0"/>
                        </w:numPr>
                        <w:ind w:left="170"/>
                        <w:jc w:val="both"/>
                        <w:rPr>
                          <w:rFonts w:ascii="Corbel" w:eastAsia="MS Mincho" w:hAnsi="Corbel"/>
                          <w:sz w:val="24"/>
                          <w:lang w:val="en-GB"/>
                        </w:rPr>
                      </w:pPr>
                      <w:r>
                        <w:rPr>
                          <w:rFonts w:ascii="Corbel" w:hAnsi="Corbel"/>
                          <w:sz w:val="24"/>
                          <w:u w:val="none"/>
                          <w:lang w:val="en-GB"/>
                        </w:rPr>
                        <w:t>Ensure data portability, namely that data is easily transferable between systems and applications supporting the implementation and evolution of</w:t>
                      </w:r>
                      <w:r>
                        <w:rPr>
                          <w:rFonts w:ascii="Corbel" w:eastAsia="MS Mincho" w:hAnsi="Corbel"/>
                          <w:sz w:val="24"/>
                          <w:u w:val="none"/>
                          <w:lang w:val="en-GB" w:eastAsia="ja-JP"/>
                        </w:rPr>
                        <w:t xml:space="preserve"> European public services</w:t>
                      </w:r>
                      <w:r>
                        <w:rPr>
                          <w:rFonts w:ascii="Corbel" w:hAnsi="Corbel"/>
                          <w:sz w:val="24"/>
                          <w:u w:val="none"/>
                          <w:lang w:val="en-GB"/>
                        </w:rPr>
                        <w:t xml:space="preserve"> without unjustified restrictions, if legally possible.</w:t>
                      </w:r>
                    </w:p>
                  </w:txbxContent>
                </v:textbox>
                <w10:anchorlock/>
              </v:shape>
            </w:pict>
          </mc:Fallback>
        </mc:AlternateContent>
      </w:r>
    </w:p>
    <w:p>
      <w:pPr>
        <w:pStyle w:val="Heading2"/>
        <w:rPr>
          <w:noProof/>
        </w:rPr>
      </w:pPr>
      <w:bookmarkStart w:id="299" w:name="_Toc438134919"/>
      <w:bookmarkStart w:id="300" w:name="_Toc438136280"/>
      <w:bookmarkStart w:id="301" w:name="_Toc438141485"/>
      <w:bookmarkStart w:id="302" w:name="_Toc437871574"/>
      <w:bookmarkStart w:id="303" w:name="_Toc437871691"/>
      <w:bookmarkStart w:id="304" w:name="_Toc437871808"/>
      <w:bookmarkStart w:id="305" w:name="_Toc437871925"/>
      <w:bookmarkStart w:id="306" w:name="_Toc437872041"/>
      <w:bookmarkStart w:id="307" w:name="_Toc437872158"/>
      <w:bookmarkStart w:id="308" w:name="_Toc438118858"/>
      <w:bookmarkStart w:id="309" w:name="_Toc438125433"/>
      <w:bookmarkStart w:id="310" w:name="_Toc438134920"/>
      <w:bookmarkStart w:id="311" w:name="_Toc438136281"/>
      <w:bookmarkStart w:id="312" w:name="_Toc438141486"/>
      <w:bookmarkStart w:id="313" w:name="_Toc437871576"/>
      <w:bookmarkStart w:id="314" w:name="_Toc437871693"/>
      <w:bookmarkStart w:id="315" w:name="_Toc437871810"/>
      <w:bookmarkStart w:id="316" w:name="_Toc437871927"/>
      <w:bookmarkStart w:id="317" w:name="_Toc437872043"/>
      <w:bookmarkStart w:id="318" w:name="_Toc437872160"/>
      <w:bookmarkStart w:id="319" w:name="_Toc438118860"/>
      <w:bookmarkStart w:id="320" w:name="_Toc438125435"/>
      <w:bookmarkStart w:id="321" w:name="_Toc438134922"/>
      <w:bookmarkStart w:id="322" w:name="_Toc438136283"/>
      <w:bookmarkStart w:id="323" w:name="_Toc438141488"/>
      <w:bookmarkStart w:id="324" w:name="_Toc199047199"/>
      <w:bookmarkStart w:id="325" w:name="_Toc199672095"/>
      <w:bookmarkStart w:id="326" w:name="_Toc199932898"/>
      <w:bookmarkStart w:id="327" w:name="_Toc200537582"/>
      <w:bookmarkStart w:id="328" w:name="_Toc202927903"/>
      <w:bookmarkStart w:id="329" w:name="_Ref209430377"/>
      <w:bookmarkStart w:id="330" w:name="_Ref209430380"/>
      <w:bookmarkStart w:id="331" w:name="_Ref209430382"/>
      <w:bookmarkStart w:id="332" w:name="_Toc221008036"/>
      <w:bookmarkStart w:id="333" w:name="_Toc242617116"/>
      <w:bookmarkStart w:id="334" w:name="_Toc454188976"/>
      <w:bookmarkStart w:id="335" w:name="_Toc454196225"/>
      <w:bookmarkStart w:id="336" w:name="_Toc469580870"/>
      <w:bookmarkStart w:id="337" w:name="_Toc469902795"/>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Pr>
          <w:noProof/>
        </w:rPr>
        <w:t xml:space="preserve">Underlying principle 6: </w:t>
      </w:r>
      <w:bookmarkEnd w:id="324"/>
      <w:bookmarkEnd w:id="325"/>
      <w:bookmarkEnd w:id="326"/>
      <w:bookmarkEnd w:id="327"/>
      <w:bookmarkEnd w:id="328"/>
      <w:bookmarkEnd w:id="329"/>
      <w:bookmarkEnd w:id="330"/>
      <w:bookmarkEnd w:id="331"/>
      <w:bookmarkEnd w:id="332"/>
      <w:r>
        <w:rPr>
          <w:noProof/>
        </w:rPr>
        <w:t>user-centricity</w:t>
      </w:r>
      <w:bookmarkEnd w:id="333"/>
      <w:bookmarkEnd w:id="334"/>
      <w:bookmarkEnd w:id="335"/>
      <w:bookmarkEnd w:id="336"/>
      <w:bookmarkEnd w:id="337"/>
    </w:p>
    <w:p>
      <w:pPr>
        <w:pStyle w:val="BodyText"/>
        <w:spacing w:after="200" w:line="312" w:lineRule="auto"/>
        <w:jc w:val="both"/>
        <w:rPr>
          <w:rFonts w:ascii="Times New Roman" w:hAnsi="Times New Roman"/>
          <w:noProof/>
          <w:sz w:val="24"/>
        </w:rPr>
      </w:pPr>
      <w:r>
        <w:rPr>
          <w:rFonts w:ascii="Times New Roman" w:hAnsi="Times New Roman"/>
          <w:noProof/>
          <w:sz w:val="24"/>
        </w:rPr>
        <w:t xml:space="preserve">Users of European public services are meant to be any public administration, citizen or businesses accessing and benefiting from the use of these services. Users’ needs should be considered when determining which public services should be provided and how they should be delivered. </w:t>
      </w:r>
    </w:p>
    <w:p>
      <w:pPr>
        <w:pStyle w:val="BodyText"/>
        <w:spacing w:after="200" w:line="312" w:lineRule="auto"/>
        <w:jc w:val="both"/>
        <w:rPr>
          <w:rFonts w:ascii="Times New Roman" w:hAnsi="Times New Roman"/>
          <w:noProof/>
          <w:sz w:val="24"/>
        </w:rPr>
      </w:pPr>
      <w:r>
        <w:rPr>
          <w:rFonts w:ascii="Times New Roman" w:hAnsi="Times New Roman"/>
          <w:noProof/>
          <w:sz w:val="24"/>
        </w:rPr>
        <w:t>Therefore, as far as possible, user needs and requirements should guide the design and development of public services, in accordance with the following expectations:</w:t>
      </w:r>
    </w:p>
    <w:p>
      <w:pPr>
        <w:pStyle w:val="BodyText"/>
        <w:numPr>
          <w:ilvl w:val="0"/>
          <w:numId w:val="77"/>
        </w:numPr>
        <w:tabs>
          <w:tab w:val="num" w:pos="700"/>
        </w:tabs>
        <w:spacing w:before="120" w:after="120" w:line="312" w:lineRule="auto"/>
        <w:ind w:left="700"/>
        <w:jc w:val="both"/>
        <w:rPr>
          <w:rFonts w:ascii="Times New Roman" w:hAnsi="Times New Roman"/>
          <w:noProof/>
          <w:sz w:val="24"/>
        </w:rPr>
      </w:pPr>
      <w:r>
        <w:rPr>
          <w:rFonts w:ascii="Times New Roman" w:hAnsi="Times New Roman"/>
          <w:noProof/>
          <w:sz w:val="24"/>
        </w:rPr>
        <w:t xml:space="preserve">A </w:t>
      </w:r>
      <w:r>
        <w:rPr>
          <w:rFonts w:ascii="Times New Roman" w:eastAsia="MS Mincho" w:hAnsi="Times New Roman"/>
          <w:b/>
          <w:noProof/>
          <w:color w:val="000000" w:themeColor="text1"/>
          <w:sz w:val="24"/>
          <w:lang w:eastAsia="ja-JP"/>
        </w:rPr>
        <w:t>multi-channel</w:t>
      </w:r>
      <w:r>
        <w:rPr>
          <w:rFonts w:ascii="Times New Roman" w:eastAsia="MS Mincho" w:hAnsi="Times New Roman"/>
          <w:noProof/>
          <w:color w:val="000000" w:themeColor="text1"/>
          <w:sz w:val="24"/>
          <w:lang w:eastAsia="ja-JP"/>
        </w:rPr>
        <w:t xml:space="preserve"> service</w:t>
      </w:r>
      <w:r>
        <w:rPr>
          <w:rFonts w:ascii="Times New Roman" w:hAnsi="Times New Roman"/>
          <w:noProof/>
          <w:color w:val="000000" w:themeColor="text1"/>
          <w:sz w:val="24"/>
        </w:rPr>
        <w:t xml:space="preserve"> </w:t>
      </w:r>
      <w:r>
        <w:rPr>
          <w:rFonts w:ascii="Times New Roman" w:hAnsi="Times New Roman"/>
          <w:noProof/>
          <w:sz w:val="24"/>
        </w:rPr>
        <w:t>delivery approach, meaning the availability of alternative channels, physical and digital, to access a service, is an important part of public service design, as users may prefer different channels depending on the circumstances and their needs;</w:t>
      </w:r>
    </w:p>
    <w:p>
      <w:pPr>
        <w:pStyle w:val="bulletbodytext"/>
        <w:numPr>
          <w:ilvl w:val="0"/>
          <w:numId w:val="110"/>
        </w:numPr>
        <w:spacing w:before="120" w:after="120" w:line="312" w:lineRule="auto"/>
        <w:ind w:left="714" w:hanging="357"/>
        <w:jc w:val="both"/>
        <w:rPr>
          <w:rFonts w:ascii="Times New Roman" w:hAnsi="Times New Roman"/>
          <w:noProof/>
          <w:sz w:val="24"/>
        </w:rPr>
      </w:pPr>
      <w:r>
        <w:rPr>
          <w:rFonts w:ascii="Times New Roman" w:hAnsi="Times New Roman"/>
          <w:noProof/>
          <w:sz w:val="24"/>
        </w:rPr>
        <w:t xml:space="preserve">A </w:t>
      </w:r>
      <w:r>
        <w:rPr>
          <w:rFonts w:ascii="Times New Roman" w:hAnsi="Times New Roman"/>
          <w:b/>
          <w:noProof/>
          <w:color w:val="000000" w:themeColor="text1"/>
          <w:sz w:val="24"/>
        </w:rPr>
        <w:t>single point of contact</w:t>
      </w:r>
      <w:r>
        <w:rPr>
          <w:rFonts w:ascii="Times New Roman" w:hAnsi="Times New Roman"/>
          <w:noProof/>
          <w:color w:val="000000" w:themeColor="text1"/>
          <w:sz w:val="24"/>
        </w:rPr>
        <w:t xml:space="preserve"> </w:t>
      </w:r>
      <w:r>
        <w:rPr>
          <w:rFonts w:ascii="Times New Roman" w:hAnsi="Times New Roman"/>
          <w:noProof/>
          <w:sz w:val="24"/>
        </w:rPr>
        <w:t>should be made available to users, to hide internal administrative complexity and facilitate access to public services, e.g. when multiple bodies have to work together to provide a public service;</w:t>
      </w:r>
    </w:p>
    <w:p>
      <w:pPr>
        <w:pStyle w:val="bulletbodytext"/>
        <w:numPr>
          <w:ilvl w:val="0"/>
          <w:numId w:val="110"/>
        </w:numPr>
        <w:spacing w:before="120" w:after="120" w:line="312" w:lineRule="auto"/>
        <w:ind w:left="714" w:hanging="357"/>
        <w:jc w:val="both"/>
        <w:rPr>
          <w:rFonts w:ascii="Times New Roman" w:hAnsi="Times New Roman"/>
          <w:noProof/>
          <w:color w:val="000000" w:themeColor="text1"/>
          <w:sz w:val="24"/>
        </w:rPr>
      </w:pPr>
      <w:r>
        <w:rPr>
          <w:rFonts w:ascii="Times New Roman" w:hAnsi="Times New Roman"/>
          <w:b/>
          <w:noProof/>
          <w:color w:val="000000" w:themeColor="text1"/>
          <w:sz w:val="24"/>
        </w:rPr>
        <w:t>Users’ feedback</w:t>
      </w:r>
      <w:r>
        <w:rPr>
          <w:rFonts w:ascii="Times New Roman" w:hAnsi="Times New Roman"/>
          <w:noProof/>
          <w:color w:val="000000" w:themeColor="text1"/>
          <w:sz w:val="24"/>
        </w:rPr>
        <w:t xml:space="preserve"> should be systematically collected, assessed and used to design new public services and to further improve existing ones;</w:t>
      </w:r>
    </w:p>
    <w:p>
      <w:pPr>
        <w:pStyle w:val="BodyText"/>
        <w:numPr>
          <w:ilvl w:val="0"/>
          <w:numId w:val="110"/>
        </w:numPr>
        <w:spacing w:before="120" w:after="120" w:line="312" w:lineRule="auto"/>
        <w:ind w:left="714" w:hanging="357"/>
        <w:jc w:val="both"/>
        <w:rPr>
          <w:rFonts w:ascii="Times New Roman" w:hAnsi="Times New Roman"/>
          <w:noProof/>
          <w:sz w:val="24"/>
        </w:rPr>
      </w:pPr>
      <w:r>
        <w:rPr>
          <w:rFonts w:ascii="Times New Roman" w:hAnsi="Times New Roman"/>
          <w:noProof/>
          <w:color w:val="000000" w:themeColor="text1"/>
          <w:sz w:val="24"/>
        </w:rPr>
        <w:t xml:space="preserve">As far as possible, under the legislation in force, users should be able to provide data </w:t>
      </w:r>
      <w:r>
        <w:rPr>
          <w:rFonts w:ascii="Times New Roman" w:hAnsi="Times New Roman"/>
          <w:b/>
          <w:noProof/>
          <w:color w:val="000000" w:themeColor="text1"/>
          <w:sz w:val="24"/>
        </w:rPr>
        <w:t xml:space="preserve">once only, </w:t>
      </w:r>
      <w:r>
        <w:rPr>
          <w:rFonts w:ascii="Times New Roman" w:hAnsi="Times New Roman"/>
          <w:noProof/>
          <w:sz w:val="24"/>
        </w:rPr>
        <w:t>and</w:t>
      </w:r>
      <w:r>
        <w:rPr>
          <w:rFonts w:ascii="Times New Roman" w:hAnsi="Times New Roman"/>
          <w:b/>
          <w:noProof/>
          <w:sz w:val="24"/>
        </w:rPr>
        <w:t xml:space="preserve"> </w:t>
      </w:r>
      <w:r>
        <w:rPr>
          <w:rFonts w:ascii="Times New Roman" w:hAnsi="Times New Roman"/>
          <w:noProof/>
          <w:sz w:val="24"/>
        </w:rPr>
        <w:t>administrations should be able to retrieve and share this data to serve the user, in accordance with data protection rules;</w:t>
      </w:r>
    </w:p>
    <w:p>
      <w:pPr>
        <w:pStyle w:val="BodyText"/>
        <w:numPr>
          <w:ilvl w:val="0"/>
          <w:numId w:val="110"/>
        </w:numPr>
        <w:spacing w:before="120" w:after="120" w:line="312" w:lineRule="auto"/>
        <w:ind w:left="714" w:hanging="357"/>
        <w:jc w:val="both"/>
        <w:rPr>
          <w:rFonts w:ascii="Times New Roman" w:hAnsi="Times New Roman"/>
          <w:noProof/>
          <w:sz w:val="24"/>
        </w:rPr>
      </w:pPr>
      <w:r>
        <w:rPr>
          <w:rFonts w:ascii="Times New Roman" w:hAnsi="Times New Roman"/>
          <w:noProof/>
          <w:sz w:val="24"/>
        </w:rPr>
        <w:t xml:space="preserve">Users should be asked to provide only the </w:t>
      </w:r>
      <w:r>
        <w:rPr>
          <w:rFonts w:ascii="Times New Roman" w:hAnsi="Times New Roman"/>
          <w:b/>
          <w:noProof/>
          <w:sz w:val="24"/>
        </w:rPr>
        <w:t>information that is absolutely necessary</w:t>
      </w:r>
      <w:r>
        <w:rPr>
          <w:rFonts w:ascii="Times New Roman" w:hAnsi="Times New Roman"/>
          <w:noProof/>
          <w:sz w:val="24"/>
        </w:rPr>
        <w:t xml:space="preserve"> to obtain a given public service.</w:t>
      </w:r>
    </w:p>
    <w:p>
      <w:pPr>
        <w:pStyle w:val="BodyText"/>
        <w:spacing w:after="200" w:line="312" w:lineRule="auto"/>
        <w:jc w:val="both"/>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624423" cy="785004"/>
                <wp:effectExtent l="57150" t="38100" r="52705" b="7239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423" cy="785004"/>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rPr>
                                <w:rFonts w:ascii="Corbel" w:hAnsi="Corbel"/>
                                <w:b/>
                                <w:i/>
                                <w:sz w:val="24"/>
                              </w:rPr>
                            </w:pPr>
                            <w:r>
                              <w:rPr>
                                <w:rFonts w:ascii="Corbel" w:hAnsi="Corbel"/>
                                <w:b/>
                                <w:i/>
                                <w:sz w:val="24"/>
                              </w:rPr>
                              <w:t xml:space="preserve"> </w:t>
                            </w:r>
                            <w:r>
                              <w:rPr>
                                <w:rStyle w:val="ListParagraphChar"/>
                                <w:rFonts w:ascii="Corbel" w:eastAsia="MS Mincho" w:hAnsi="Corbel"/>
                                <w:b w:val="0"/>
                                <w:i/>
                                <w:noProof w:val="0"/>
                                <w:sz w:val="24"/>
                                <w:u w:val="none"/>
                                <w:lang w:val="en-GB"/>
                              </w:rPr>
                              <w:t>Recommendation 10:</w:t>
                            </w:r>
                          </w:p>
                          <w:p>
                            <w:pPr>
                              <w:pStyle w:val="ListParagraph"/>
                              <w:numPr>
                                <w:ilvl w:val="0"/>
                                <w:numId w:val="0"/>
                              </w:numPr>
                              <w:ind w:left="170"/>
                              <w:rPr>
                                <w:rFonts w:ascii="Corbel" w:eastAsia="MS Mincho" w:hAnsi="Corbel"/>
                                <w:sz w:val="24"/>
                                <w:lang w:val="en-GB"/>
                              </w:rPr>
                            </w:pPr>
                            <w:r>
                              <w:rPr>
                                <w:rFonts w:ascii="Corbel" w:hAnsi="Corbel"/>
                                <w:sz w:val="24"/>
                                <w:u w:val="none"/>
                                <w:lang w:val="en-GB"/>
                              </w:rPr>
                              <w:t>Use multiple channels to provide the European public service, to ensure that users can select the channel that best suits their needs.</w:t>
                            </w:r>
                          </w:p>
                        </w:txbxContent>
                      </wps:txbx>
                      <wps:bodyPr rot="0" vert="horz" wrap="square" lIns="91440" tIns="45720" rIns="91440" bIns="45720" anchor="t" anchorCtr="0">
                        <a:noAutofit/>
                      </wps:bodyPr>
                    </wps:wsp>
                  </a:graphicData>
                </a:graphic>
              </wp:inline>
            </w:drawing>
          </mc:Choice>
          <mc:Fallback>
            <w:pict>
              <v:shape id="_x0000_s1035" type="#_x0000_t202" style="width:442.85pt;height: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" fillcolor="#010101 [38]" stroked="f">
                <v:fill color2="#a3a3a3 [3174]" rotate="t" colors="0 #afafaf;.5 #a5a5a5;1 #929292" focus="100%" type="gradient">
                  <o:fill v:ext="view" type="gradientUnscaled"/>
                </v:fill>
                <v:shadow on="t" color="black" opacity="41287f" offset="0,1.5pt"/>
                <v:textbox>
                  <w:txbxContent>
                    <w:p>
                      <w:pPr>
                        <w:spacing w:after="120"/>
                        <w:rPr>
                          <w:rFonts w:ascii="Corbel" w:hAnsi="Corbel"/>
                          <w:b/>
                          <w:i/>
                          <w:sz w:val="24"/>
                        </w:rPr>
                      </w:pPr>
                      <w:r>
                        <w:rPr>
                          <w:rFonts w:ascii="Corbel" w:hAnsi="Corbel"/>
                          <w:b/>
                          <w:i/>
                          <w:sz w:val="24"/>
                        </w:rPr>
                        <w:t xml:space="preserve"> </w:t>
                      </w:r>
                      <w:r>
                        <w:rPr>
                          <w:rStyle w:val="ListParagraphChar"/>
                          <w:rFonts w:ascii="Corbel" w:eastAsia="MS Mincho" w:hAnsi="Corbel"/>
                          <w:b w:val="0"/>
                          <w:i/>
                          <w:noProof w:val="0"/>
                          <w:sz w:val="24"/>
                          <w:u w:val="none"/>
                          <w:lang w:val="en-GB"/>
                        </w:rPr>
                        <w:t>Recommendation 10:</w:t>
                      </w:r>
                    </w:p>
                    <w:p>
                      <w:pPr>
                        <w:pStyle w:val="ListParagraph"/>
                        <w:numPr>
                          <w:ilvl w:val="0"/>
                          <w:numId w:val="0"/>
                        </w:numPr>
                        <w:ind w:left="170"/>
                        <w:rPr>
                          <w:rFonts w:ascii="Corbel" w:eastAsia="MS Mincho" w:hAnsi="Corbel"/>
                          <w:sz w:val="24"/>
                          <w:lang w:val="en-GB"/>
                        </w:rPr>
                      </w:pPr>
                      <w:r>
                        <w:rPr>
                          <w:rFonts w:ascii="Corbel" w:hAnsi="Corbel"/>
                          <w:sz w:val="24"/>
                          <w:u w:val="none"/>
                          <w:lang w:val="en-GB"/>
                        </w:rPr>
                        <w:t>Use multiple channels to provide the European public service, to ensure that users can select the channel that best suits their needs.</w:t>
                      </w:r>
                    </w:p>
                  </w:txbxContent>
                </v:textbox>
                <w10:anchorlock/>
              </v:shape>
            </w:pict>
          </mc:Fallback>
        </mc:AlternateContent>
      </w:r>
    </w:p>
    <w:p>
      <w:pPr>
        <w:pStyle w:val="BodyText"/>
        <w:spacing w:after="200" w:line="312" w:lineRule="auto"/>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624195" cy="826936"/>
                <wp:effectExtent l="57150" t="38100" r="52705" b="6858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826936"/>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Style w:val="ListParagraphChar"/>
                                <w:rFonts w:ascii="Corbel" w:eastAsia="MS Mincho" w:hAnsi="Corbel"/>
                                <w:b w:val="0"/>
                                <w:noProof w:val="0"/>
                                <w:sz w:val="24"/>
                                <w:lang w:val="en-GB"/>
                              </w:rPr>
                            </w:pPr>
                            <w:r>
                              <w:rPr>
                                <w:rFonts w:ascii="Corbel" w:hAnsi="Corbel"/>
                                <w:sz w:val="24"/>
                              </w:rPr>
                              <w:t xml:space="preserve"> </w:t>
                            </w:r>
                            <w:r>
                              <w:rPr>
                                <w:rStyle w:val="ListParagraphChar"/>
                                <w:rFonts w:ascii="Corbel" w:eastAsia="MS Mincho" w:hAnsi="Corbel"/>
                                <w:b w:val="0"/>
                                <w:i/>
                                <w:noProof w:val="0"/>
                                <w:sz w:val="24"/>
                                <w:u w:val="none"/>
                                <w:lang w:val="en-GB"/>
                              </w:rPr>
                              <w:t>Recommendation 11:</w:t>
                            </w:r>
                          </w:p>
                          <w:p>
                            <w:pPr>
                              <w:spacing w:line="276" w:lineRule="auto"/>
                              <w:ind w:left="142"/>
                              <w:jc w:val="both"/>
                              <w:rPr>
                                <w:rFonts w:ascii="Corbel" w:hAnsi="Corbel"/>
                                <w:b/>
                                <w:sz w:val="24"/>
                              </w:rPr>
                            </w:pPr>
                            <w:r>
                              <w:rPr>
                                <w:rFonts w:ascii="Corbel" w:hAnsi="Corbel"/>
                                <w:b/>
                                <w:sz w:val="24"/>
                              </w:rPr>
                              <w:t>Provide a single point of contact in order to hide internal administrative complexity and facilitate users’ access to European public services.</w:t>
                            </w:r>
                          </w:p>
                        </w:txbxContent>
                      </wps:txbx>
                      <wps:bodyPr rot="0" vert="horz" wrap="square" lIns="91440" tIns="45720" rIns="91440" bIns="45720" anchor="t" anchorCtr="0">
                        <a:noAutofit/>
                      </wps:bodyPr>
                    </wps:wsp>
                  </a:graphicData>
                </a:graphic>
              </wp:inline>
            </w:drawing>
          </mc:Choice>
          <mc:Fallback>
            <w:pict>
              <v:shape id="_x0000_s1036" type="#_x0000_t202" style="width:442.85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Style w:val="ListParagraphChar"/>
                          <w:rFonts w:ascii="Corbel" w:eastAsia="MS Mincho" w:hAnsi="Corbel"/>
                          <w:b w:val="0"/>
                          <w:noProof w:val="0"/>
                          <w:sz w:val="24"/>
                          <w:lang w:val="en-GB"/>
                        </w:rPr>
                      </w:pPr>
                      <w:r>
                        <w:rPr>
                          <w:rFonts w:ascii="Corbel" w:hAnsi="Corbel"/>
                          <w:sz w:val="24"/>
                        </w:rPr>
                        <w:t xml:space="preserve"> </w:t>
                      </w:r>
                      <w:r>
                        <w:rPr>
                          <w:rStyle w:val="ListParagraphChar"/>
                          <w:rFonts w:ascii="Corbel" w:eastAsia="MS Mincho" w:hAnsi="Corbel"/>
                          <w:b w:val="0"/>
                          <w:i/>
                          <w:noProof w:val="0"/>
                          <w:sz w:val="24"/>
                          <w:u w:val="none"/>
                          <w:lang w:val="en-GB"/>
                        </w:rPr>
                        <w:t>Recommendation 11:</w:t>
                      </w:r>
                    </w:p>
                    <w:p>
                      <w:pPr>
                        <w:spacing w:line="276" w:lineRule="auto"/>
                        <w:ind w:left="142"/>
                        <w:jc w:val="both"/>
                        <w:rPr>
                          <w:rFonts w:ascii="Corbel" w:hAnsi="Corbel"/>
                          <w:b/>
                          <w:sz w:val="24"/>
                        </w:rPr>
                      </w:pPr>
                      <w:r>
                        <w:rPr>
                          <w:rFonts w:ascii="Corbel" w:hAnsi="Corbel"/>
                          <w:b/>
                          <w:sz w:val="24"/>
                        </w:rPr>
                        <w:t>Provide a single point of contact in order to hide internal administrative complexity and facilitate users’ access to European public services.</w:t>
                      </w:r>
                    </w:p>
                  </w:txbxContent>
                </v:textbox>
                <w10:anchorlock/>
              </v:shape>
            </w:pict>
          </mc:Fallback>
        </mc:AlternateContent>
      </w:r>
    </w:p>
    <w:p>
      <w:pPr>
        <w:pStyle w:val="BodyText"/>
        <w:spacing w:after="200" w:line="312" w:lineRule="auto"/>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624195" cy="831272"/>
                <wp:effectExtent l="57150" t="38100" r="52705" b="83185"/>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831272"/>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b/>
                                <w:i/>
                                <w:sz w:val="24"/>
                              </w:rPr>
                              <w:t xml:space="preserve"> </w:t>
                            </w:r>
                            <w:r>
                              <w:rPr>
                                <w:rStyle w:val="ListParagraphChar"/>
                                <w:rFonts w:ascii="Corbel" w:eastAsia="MS Mincho" w:hAnsi="Corbel"/>
                                <w:b w:val="0"/>
                                <w:i/>
                                <w:noProof w:val="0"/>
                                <w:sz w:val="24"/>
                                <w:u w:val="none"/>
                                <w:lang w:val="en-GB"/>
                              </w:rPr>
                              <w:t>Recommendation 12:</w:t>
                            </w:r>
                          </w:p>
                          <w:p>
                            <w:pPr>
                              <w:pStyle w:val="ListParagraph"/>
                              <w:numPr>
                                <w:ilvl w:val="0"/>
                                <w:numId w:val="0"/>
                              </w:numPr>
                              <w:spacing w:line="276" w:lineRule="auto"/>
                              <w:ind w:left="170"/>
                              <w:jc w:val="both"/>
                              <w:rPr>
                                <w:rFonts w:ascii="Corbel" w:eastAsia="MS Mincho" w:hAnsi="Corbel"/>
                                <w:sz w:val="24"/>
                                <w:lang w:val="en-GB"/>
                              </w:rPr>
                            </w:pPr>
                            <w:r>
                              <w:rPr>
                                <w:rFonts w:ascii="Corbel" w:hAnsi="Corbel"/>
                                <w:sz w:val="24"/>
                                <w:u w:val="none"/>
                                <w:lang w:val="en-GB"/>
                              </w:rPr>
                              <w:t>Put in place mechanisms to involve users in analysis, design, assessment and further development of European public services.</w:t>
                            </w:r>
                          </w:p>
                        </w:txbxContent>
                      </wps:txbx>
                      <wps:bodyPr rot="0" vert="horz" wrap="square" lIns="91440" tIns="45720" rIns="91440" bIns="45720" anchor="t" anchorCtr="0">
                        <a:noAutofit/>
                      </wps:bodyPr>
                    </wps:wsp>
                  </a:graphicData>
                </a:graphic>
              </wp:inline>
            </w:drawing>
          </mc:Choice>
          <mc:Fallback>
            <w:pict>
              <v:shape id="_x0000_s1037" type="#_x0000_t202" style="width:442.85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b/>
                          <w:i/>
                          <w:sz w:val="24"/>
                        </w:rPr>
                        <w:t xml:space="preserve"> </w:t>
                      </w:r>
                      <w:r>
                        <w:rPr>
                          <w:rStyle w:val="ListParagraphChar"/>
                          <w:rFonts w:ascii="Corbel" w:eastAsia="MS Mincho" w:hAnsi="Corbel"/>
                          <w:b w:val="0"/>
                          <w:i/>
                          <w:noProof w:val="0"/>
                          <w:sz w:val="24"/>
                          <w:u w:val="none"/>
                          <w:lang w:val="en-GB"/>
                        </w:rPr>
                        <w:t>Recommendation 12:</w:t>
                      </w:r>
                    </w:p>
                    <w:p>
                      <w:pPr>
                        <w:pStyle w:val="ListParagraph"/>
                        <w:numPr>
                          <w:ilvl w:val="0"/>
                          <w:numId w:val="0"/>
                        </w:numPr>
                        <w:spacing w:line="276" w:lineRule="auto"/>
                        <w:ind w:left="170"/>
                        <w:jc w:val="both"/>
                        <w:rPr>
                          <w:rFonts w:ascii="Corbel" w:eastAsia="MS Mincho" w:hAnsi="Corbel"/>
                          <w:sz w:val="24"/>
                          <w:lang w:val="en-GB"/>
                        </w:rPr>
                      </w:pPr>
                      <w:r>
                        <w:rPr>
                          <w:rFonts w:ascii="Corbel" w:hAnsi="Corbel"/>
                          <w:sz w:val="24"/>
                          <w:u w:val="none"/>
                          <w:lang w:val="en-GB"/>
                        </w:rPr>
                        <w:t>Put in place mechanisms to involve users in analysis, design, assessment and further development of European public services.</w:t>
                      </w:r>
                    </w:p>
                  </w:txbxContent>
                </v:textbox>
                <w10:anchorlock/>
              </v:shape>
            </w:pict>
          </mc:Fallback>
        </mc:AlternateContent>
      </w:r>
    </w:p>
    <w:p>
      <w:pPr>
        <w:pStyle w:val="BodyText"/>
        <w:spacing w:after="200" w:line="312" w:lineRule="auto"/>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624195" cy="850789"/>
                <wp:effectExtent l="57150" t="38100" r="52705" b="83185"/>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850789"/>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Fonts w:asciiTheme="minorHAnsi" w:hAnsiTheme="minorHAnsi"/>
                                <w:b/>
                                <w:i/>
                                <w:sz w:val="24"/>
                              </w:rPr>
                              <w:t xml:space="preserve"> </w:t>
                            </w:r>
                            <w:r>
                              <w:rPr>
                                <w:rStyle w:val="ListParagraphChar"/>
                                <w:rFonts w:ascii="Corbel" w:eastAsia="MS Mincho" w:hAnsi="Corbel"/>
                                <w:b w:val="0"/>
                                <w:i/>
                                <w:noProof w:val="0"/>
                                <w:sz w:val="24"/>
                                <w:u w:val="none"/>
                                <w:lang w:val="en-GB"/>
                              </w:rPr>
                              <w:t>Recommendation 13:</w:t>
                            </w:r>
                          </w:p>
                          <w:p>
                            <w:pPr>
                              <w:pStyle w:val="ListParagraph"/>
                              <w:numPr>
                                <w:ilvl w:val="0"/>
                                <w:numId w:val="0"/>
                              </w:numPr>
                              <w:spacing w:line="276" w:lineRule="auto"/>
                              <w:ind w:left="142"/>
                              <w:jc w:val="both"/>
                              <w:rPr>
                                <w:rFonts w:ascii="Corbel" w:eastAsia="MS Mincho" w:hAnsi="Corbel"/>
                                <w:sz w:val="24"/>
                                <w:lang w:val="en-GB"/>
                              </w:rPr>
                            </w:pPr>
                            <w:r>
                              <w:rPr>
                                <w:rFonts w:ascii="Corbel" w:hAnsi="Corbel"/>
                                <w:sz w:val="24"/>
                                <w:u w:val="none"/>
                                <w:lang w:val="en-GB"/>
                              </w:rPr>
                              <w:t>As far as possible under the legislation in force, ask users of European public services once-only and relevant-only information.</w:t>
                            </w:r>
                          </w:p>
                        </w:txbxContent>
                      </wps:txbx>
                      <wps:bodyPr rot="0" vert="horz" wrap="square" lIns="91440" tIns="45720" rIns="91440" bIns="45720" anchor="t" anchorCtr="0">
                        <a:noAutofit/>
                      </wps:bodyPr>
                    </wps:wsp>
                  </a:graphicData>
                </a:graphic>
              </wp:inline>
            </w:drawing>
          </mc:Choice>
          <mc:Fallback>
            <w:pict>
              <v:shape id="_x0000_s1038" type="#_x0000_t202" style="width:442.85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Fonts w:asciiTheme="minorHAnsi" w:hAnsiTheme="minorHAnsi"/>
                          <w:b/>
                          <w:i/>
                          <w:sz w:val="24"/>
                        </w:rPr>
                        <w:t xml:space="preserve"> </w:t>
                      </w:r>
                      <w:r>
                        <w:rPr>
                          <w:rStyle w:val="ListParagraphChar"/>
                          <w:rFonts w:ascii="Corbel" w:eastAsia="MS Mincho" w:hAnsi="Corbel"/>
                          <w:b w:val="0"/>
                          <w:i/>
                          <w:noProof w:val="0"/>
                          <w:sz w:val="24"/>
                          <w:u w:val="none"/>
                          <w:lang w:val="en-GB"/>
                        </w:rPr>
                        <w:t>Recommendation 13:</w:t>
                      </w:r>
                    </w:p>
                    <w:p>
                      <w:pPr>
                        <w:pStyle w:val="ListParagraph"/>
                        <w:numPr>
                          <w:ilvl w:val="0"/>
                          <w:numId w:val="0"/>
                        </w:numPr>
                        <w:spacing w:line="276" w:lineRule="auto"/>
                        <w:ind w:left="142"/>
                        <w:jc w:val="both"/>
                        <w:rPr>
                          <w:rFonts w:ascii="Corbel" w:eastAsia="MS Mincho" w:hAnsi="Corbel"/>
                          <w:sz w:val="24"/>
                          <w:lang w:val="en-GB"/>
                        </w:rPr>
                      </w:pPr>
                      <w:r>
                        <w:rPr>
                          <w:rFonts w:ascii="Corbel" w:hAnsi="Corbel"/>
                          <w:sz w:val="24"/>
                          <w:u w:val="none"/>
                          <w:lang w:val="en-GB"/>
                        </w:rPr>
                        <w:t>As far as possible under the legislation in force, ask users of European public services once-only and relevant-only information.</w:t>
                      </w:r>
                    </w:p>
                  </w:txbxContent>
                </v:textbox>
                <w10:anchorlock/>
              </v:shape>
            </w:pict>
          </mc:Fallback>
        </mc:AlternateContent>
      </w:r>
    </w:p>
    <w:p>
      <w:pPr>
        <w:pStyle w:val="Heading2"/>
        <w:spacing w:after="200" w:line="312" w:lineRule="auto"/>
        <w:rPr>
          <w:noProof/>
          <w:szCs w:val="24"/>
        </w:rPr>
      </w:pPr>
      <w:bookmarkStart w:id="338" w:name="_Toc438118862"/>
      <w:bookmarkStart w:id="339" w:name="_Toc438125437"/>
      <w:bookmarkStart w:id="340" w:name="_Toc438134924"/>
      <w:bookmarkStart w:id="341" w:name="_Toc438136285"/>
      <w:bookmarkStart w:id="342" w:name="_Toc438141490"/>
      <w:bookmarkStart w:id="343" w:name="_Toc438118863"/>
      <w:bookmarkStart w:id="344" w:name="_Toc438125438"/>
      <w:bookmarkStart w:id="345" w:name="_Toc438134925"/>
      <w:bookmarkStart w:id="346" w:name="_Toc438136286"/>
      <w:bookmarkStart w:id="347" w:name="_Toc438141491"/>
      <w:bookmarkStart w:id="348" w:name="_Toc438118864"/>
      <w:bookmarkStart w:id="349" w:name="_Toc438125439"/>
      <w:bookmarkStart w:id="350" w:name="_Toc438134926"/>
      <w:bookmarkStart w:id="351" w:name="_Toc438136287"/>
      <w:bookmarkStart w:id="352" w:name="_Toc438141492"/>
      <w:bookmarkStart w:id="353" w:name="_Toc438118865"/>
      <w:bookmarkStart w:id="354" w:name="_Toc438125440"/>
      <w:bookmarkStart w:id="355" w:name="_Toc438134927"/>
      <w:bookmarkStart w:id="356" w:name="_Toc438136288"/>
      <w:bookmarkStart w:id="357" w:name="_Toc438141493"/>
      <w:bookmarkStart w:id="358" w:name="_Toc438118866"/>
      <w:bookmarkStart w:id="359" w:name="_Toc438125441"/>
      <w:bookmarkStart w:id="360" w:name="_Toc438134928"/>
      <w:bookmarkStart w:id="361" w:name="_Toc438136289"/>
      <w:bookmarkStart w:id="362" w:name="_Toc438141494"/>
      <w:bookmarkStart w:id="363" w:name="_Toc438118867"/>
      <w:bookmarkStart w:id="364" w:name="_Toc438125442"/>
      <w:bookmarkStart w:id="365" w:name="_Toc438134929"/>
      <w:bookmarkStart w:id="366" w:name="_Toc438136290"/>
      <w:bookmarkStart w:id="367" w:name="_Toc438141495"/>
      <w:bookmarkStart w:id="368" w:name="_Toc438118868"/>
      <w:bookmarkStart w:id="369" w:name="_Toc438125443"/>
      <w:bookmarkStart w:id="370" w:name="_Toc438134930"/>
      <w:bookmarkStart w:id="371" w:name="_Toc438136291"/>
      <w:bookmarkStart w:id="372" w:name="_Toc438141496"/>
      <w:bookmarkStart w:id="373" w:name="_Toc438118869"/>
      <w:bookmarkStart w:id="374" w:name="_Toc438125444"/>
      <w:bookmarkStart w:id="375" w:name="_Toc438134931"/>
      <w:bookmarkStart w:id="376" w:name="_Toc438136292"/>
      <w:bookmarkStart w:id="377" w:name="_Toc438141497"/>
      <w:bookmarkStart w:id="378" w:name="_Toc438118870"/>
      <w:bookmarkStart w:id="379" w:name="_Toc438125445"/>
      <w:bookmarkStart w:id="380" w:name="_Toc438134932"/>
      <w:bookmarkStart w:id="381" w:name="_Toc438136293"/>
      <w:bookmarkStart w:id="382" w:name="_Toc438141498"/>
      <w:bookmarkStart w:id="383" w:name="_Toc438118871"/>
      <w:bookmarkStart w:id="384" w:name="_Toc438125446"/>
      <w:bookmarkStart w:id="385" w:name="_Toc438134933"/>
      <w:bookmarkStart w:id="386" w:name="_Toc438136294"/>
      <w:bookmarkStart w:id="387" w:name="_Toc438141499"/>
      <w:bookmarkStart w:id="388" w:name="_Toc437871578"/>
      <w:bookmarkStart w:id="389" w:name="_Toc437871695"/>
      <w:bookmarkStart w:id="390" w:name="_Toc437871812"/>
      <w:bookmarkStart w:id="391" w:name="_Toc437871929"/>
      <w:bookmarkStart w:id="392" w:name="_Toc437872045"/>
      <w:bookmarkStart w:id="393" w:name="_Toc437872162"/>
      <w:bookmarkStart w:id="394" w:name="_Toc438118872"/>
      <w:bookmarkStart w:id="395" w:name="_Toc438125447"/>
      <w:bookmarkStart w:id="396" w:name="_Toc438134934"/>
      <w:bookmarkStart w:id="397" w:name="_Toc438136295"/>
      <w:bookmarkStart w:id="398" w:name="_Toc438141500"/>
      <w:bookmarkStart w:id="399" w:name="_Toc432438601"/>
      <w:bookmarkStart w:id="400" w:name="_Toc432440451"/>
      <w:bookmarkStart w:id="401" w:name="_Toc432440914"/>
      <w:bookmarkStart w:id="402" w:name="_Toc432523870"/>
      <w:bookmarkStart w:id="403" w:name="_Toc432525297"/>
      <w:bookmarkStart w:id="404" w:name="_Toc242617117"/>
      <w:bookmarkStart w:id="405" w:name="_Toc199047200"/>
      <w:bookmarkStart w:id="406" w:name="_Toc199672096"/>
      <w:bookmarkStart w:id="407" w:name="_Toc199932899"/>
      <w:bookmarkStart w:id="408" w:name="_Toc200537583"/>
      <w:bookmarkStart w:id="409" w:name="_Toc202927904"/>
      <w:bookmarkStart w:id="410" w:name="_Toc221008037"/>
      <w:bookmarkStart w:id="411" w:name="_Toc454188977"/>
      <w:bookmarkStart w:id="412" w:name="_Toc454196226"/>
      <w:bookmarkStart w:id="413" w:name="_Toc469580871"/>
      <w:bookmarkStart w:id="414" w:name="_Toc469902796"/>
      <w:bookmarkStart w:id="415" w:name="OLE_LINK16"/>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Pr>
          <w:noProof/>
          <w:szCs w:val="24"/>
        </w:rPr>
        <w:t>Underlying principle 7: inclusion and accessibility</w:t>
      </w:r>
      <w:bookmarkEnd w:id="404"/>
      <w:bookmarkEnd w:id="405"/>
      <w:bookmarkEnd w:id="406"/>
      <w:bookmarkEnd w:id="407"/>
      <w:bookmarkEnd w:id="408"/>
      <w:bookmarkEnd w:id="409"/>
      <w:bookmarkEnd w:id="410"/>
      <w:bookmarkEnd w:id="411"/>
      <w:bookmarkEnd w:id="412"/>
      <w:bookmarkEnd w:id="413"/>
      <w:bookmarkEnd w:id="414"/>
    </w:p>
    <w:bookmarkEnd w:id="415"/>
    <w:p>
      <w:pPr>
        <w:pStyle w:val="BodyText"/>
        <w:spacing w:after="200" w:line="312" w:lineRule="auto"/>
        <w:jc w:val="both"/>
        <w:rPr>
          <w:rFonts w:ascii="Times New Roman" w:hAnsi="Times New Roman"/>
          <w:noProof/>
          <w:sz w:val="24"/>
        </w:rPr>
      </w:pPr>
      <w:r>
        <w:rPr>
          <w:rFonts w:ascii="Times New Roman" w:hAnsi="Times New Roman"/>
          <w:b/>
          <w:noProof/>
          <w:color w:val="000000" w:themeColor="text1"/>
          <w:sz w:val="24"/>
        </w:rPr>
        <w:t>Inclusion</w:t>
      </w:r>
      <w:r>
        <w:rPr>
          <w:rFonts w:ascii="Times New Roman" w:hAnsi="Times New Roman"/>
          <w:noProof/>
          <w:color w:val="000000" w:themeColor="text1"/>
          <w:sz w:val="24"/>
        </w:rPr>
        <w:t xml:space="preserve"> </w:t>
      </w:r>
      <w:r>
        <w:rPr>
          <w:rFonts w:ascii="Times New Roman" w:hAnsi="Times New Roman"/>
          <w:noProof/>
          <w:sz w:val="24"/>
        </w:rPr>
        <w:t xml:space="preserve">is about enabling everyone to take full advantage of the opportunities offered by new technologies to access and make use of European public services, overcoming social and economic divides and exclusion. </w:t>
      </w:r>
    </w:p>
    <w:p>
      <w:pPr>
        <w:pStyle w:val="BodyText"/>
        <w:spacing w:after="200" w:line="312" w:lineRule="auto"/>
        <w:jc w:val="both"/>
        <w:rPr>
          <w:rFonts w:ascii="Times New Roman" w:hAnsi="Times New Roman"/>
          <w:noProof/>
          <w:sz w:val="24"/>
        </w:rPr>
      </w:pPr>
      <w:r>
        <w:rPr>
          <w:rFonts w:ascii="Times New Roman" w:hAnsi="Times New Roman"/>
          <w:b/>
          <w:noProof/>
          <w:color w:val="000000" w:themeColor="text1"/>
          <w:sz w:val="24"/>
        </w:rPr>
        <w:t>Accessibility</w:t>
      </w:r>
      <w:r>
        <w:rPr>
          <w:rFonts w:ascii="Times New Roman" w:hAnsi="Times New Roman"/>
          <w:noProof/>
          <w:color w:val="000000" w:themeColor="text1"/>
          <w:sz w:val="24"/>
        </w:rPr>
        <w:t xml:space="preserve"> e</w:t>
      </w:r>
      <w:r>
        <w:rPr>
          <w:rFonts w:ascii="Times New Roman" w:hAnsi="Times New Roman"/>
          <w:noProof/>
          <w:sz w:val="24"/>
        </w:rPr>
        <w:t>nsures that people with disabilities, the elderly and other disadvantaged groups can use public services at service levels comparable to those provided to other citizens.</w:t>
      </w:r>
      <w:r>
        <w:rPr>
          <w:rStyle w:val="FootnoteReference"/>
          <w:rFonts w:ascii="Times New Roman" w:hAnsi="Times New Roman"/>
          <w:noProof/>
          <w:sz w:val="24"/>
        </w:rPr>
        <w:footnoteReference w:id="14"/>
      </w:r>
    </w:p>
    <w:p>
      <w:pPr>
        <w:pStyle w:val="BodyText"/>
        <w:spacing w:after="200" w:line="312" w:lineRule="auto"/>
        <w:jc w:val="both"/>
        <w:rPr>
          <w:rFonts w:ascii="Times New Roman" w:hAnsi="Times New Roman"/>
          <w:noProof/>
          <w:sz w:val="24"/>
        </w:rPr>
      </w:pPr>
      <w:r>
        <w:rPr>
          <w:rFonts w:ascii="Times New Roman" w:hAnsi="Times New Roman"/>
          <w:noProof/>
          <w:sz w:val="24"/>
        </w:rPr>
        <w:t>Inclusion and accessibility must be part of the whole development lifecycle of a European public service in terms of design, information content and delivery. It should comply with e-accessibility specifications widely recognised at European or international level.</w:t>
      </w:r>
      <w:r>
        <w:rPr>
          <w:rStyle w:val="FootnoteReference"/>
          <w:rFonts w:ascii="Times New Roman" w:hAnsi="Times New Roman"/>
          <w:noProof/>
          <w:sz w:val="24"/>
        </w:rPr>
        <w:footnoteReference w:id="15"/>
      </w:r>
    </w:p>
    <w:p>
      <w:pPr>
        <w:pStyle w:val="BodyText"/>
        <w:spacing w:after="200" w:line="312" w:lineRule="auto"/>
        <w:jc w:val="both"/>
        <w:rPr>
          <w:rFonts w:ascii="Times New Roman" w:hAnsi="Times New Roman"/>
          <w:noProof/>
          <w:sz w:val="24"/>
        </w:rPr>
      </w:pPr>
      <w:r>
        <w:rPr>
          <w:rFonts w:ascii="Times New Roman" w:hAnsi="Times New Roman"/>
          <w:noProof/>
          <w:sz w:val="24"/>
        </w:rPr>
        <w:t>Inclusion and accessibility usually involve multi-channel delivery. Traditional paper-based or face-to-face service delivery may need to co-exist with electronic delivery.</w:t>
      </w:r>
    </w:p>
    <w:p>
      <w:pPr>
        <w:pStyle w:val="BodyText"/>
        <w:spacing w:after="200" w:line="312" w:lineRule="auto"/>
        <w:jc w:val="both"/>
        <w:rPr>
          <w:rFonts w:ascii="Times New Roman" w:hAnsi="Times New Roman"/>
          <w:noProof/>
          <w:sz w:val="24"/>
        </w:rPr>
      </w:pPr>
      <w:r>
        <w:rPr>
          <w:rFonts w:ascii="Times New Roman" w:hAnsi="Times New Roman"/>
          <w:noProof/>
          <w:sz w:val="24"/>
        </w:rPr>
        <w:t>Inclusion and accessibility can also be improved by an information system’s ability to allow third parties to act on behalf of citizens who are unable, either permanently or temporarily, to make direct use of public services.</w:t>
      </w:r>
    </w:p>
    <w:p>
      <w:pPr>
        <w:pStyle w:val="BodyText"/>
        <w:rPr>
          <w:rFonts w:ascii="Times New Roman" w:hAnsi="Times New Roman"/>
          <w:noProof/>
        </w:rPr>
      </w:pPr>
      <w:r>
        <w:rPr>
          <w:rFonts w:ascii="Times New Roman" w:hAnsi="Times New Roman"/>
          <w:noProof/>
          <w:lang w:val="en-US" w:eastAsia="en-US"/>
        </w:rPr>
        <mc:AlternateContent>
          <mc:Choice Requires="wps">
            <w:drawing>
              <wp:inline distT="0" distB="0" distL="0" distR="0">
                <wp:extent cx="5598543" cy="1242204"/>
                <wp:effectExtent l="57150" t="38100" r="59690" b="72390"/>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43" cy="1242204"/>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Fonts w:asciiTheme="minorHAnsi" w:hAnsiTheme="minorHAnsi"/>
                                <w:b/>
                                <w:i/>
                                <w:sz w:val="24"/>
                              </w:rPr>
                              <w:t xml:space="preserve"> </w:t>
                            </w:r>
                            <w:r>
                              <w:rPr>
                                <w:rStyle w:val="ListParagraphChar"/>
                                <w:rFonts w:ascii="Corbel" w:eastAsia="MS Mincho" w:hAnsi="Corbel"/>
                                <w:b w:val="0"/>
                                <w:i/>
                                <w:noProof w:val="0"/>
                                <w:sz w:val="24"/>
                                <w:u w:val="none"/>
                                <w:lang w:val="en-GB"/>
                              </w:rPr>
                              <w:t>Recommendation 14:</w:t>
                            </w:r>
                          </w:p>
                          <w:p>
                            <w:pPr>
                              <w:ind w:left="142"/>
                              <w:jc w:val="both"/>
                              <w:rPr>
                                <w:rFonts w:ascii="Corbel" w:hAnsi="Corbel"/>
                                <w:b/>
                                <w:sz w:val="24"/>
                              </w:rPr>
                            </w:pPr>
                            <w:r>
                              <w:rPr>
                                <w:rFonts w:ascii="Corbel" w:hAnsi="Corbel"/>
                                <w:b/>
                                <w:sz w:val="24"/>
                              </w:rPr>
                              <w:t>Ensure that all European public services are accessible to all citizens, including persons with disabilities, the elderly and other disadvantaged groups. For digital public services, public administrations should comply with e-accessibility specifications that are widely recognised at European or international level.</w:t>
                            </w:r>
                          </w:p>
                        </w:txbxContent>
                      </wps:txbx>
                      <wps:bodyPr rot="0" vert="horz" wrap="square" lIns="91440" tIns="45720" rIns="91440" bIns="45720" anchor="t" anchorCtr="0">
                        <a:noAutofit/>
                      </wps:bodyPr>
                    </wps:wsp>
                  </a:graphicData>
                </a:graphic>
              </wp:inline>
            </w:drawing>
          </mc:Choice>
          <mc:Fallback>
            <w:pict>
              <v:shape id="_x0000_s1039" type="#_x0000_t202" style="width:440.85pt;height:9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Fonts w:asciiTheme="minorHAnsi" w:hAnsiTheme="minorHAnsi"/>
                          <w:b/>
                          <w:i/>
                          <w:sz w:val="24"/>
                        </w:rPr>
                        <w:t xml:space="preserve"> </w:t>
                      </w:r>
                      <w:r>
                        <w:rPr>
                          <w:rStyle w:val="ListParagraphChar"/>
                          <w:rFonts w:ascii="Corbel" w:eastAsia="MS Mincho" w:hAnsi="Corbel"/>
                          <w:b w:val="0"/>
                          <w:i/>
                          <w:noProof w:val="0"/>
                          <w:sz w:val="24"/>
                          <w:u w:val="none"/>
                          <w:lang w:val="en-GB"/>
                        </w:rPr>
                        <w:t>Recommendation 14:</w:t>
                      </w:r>
                    </w:p>
                    <w:p>
                      <w:pPr>
                        <w:ind w:left="142"/>
                        <w:jc w:val="both"/>
                        <w:rPr>
                          <w:rFonts w:ascii="Corbel" w:hAnsi="Corbel"/>
                          <w:b/>
                          <w:sz w:val="24"/>
                        </w:rPr>
                      </w:pPr>
                      <w:r>
                        <w:rPr>
                          <w:rFonts w:ascii="Corbel" w:hAnsi="Corbel"/>
                          <w:b/>
                          <w:sz w:val="24"/>
                        </w:rPr>
                        <w:t>Ensure that all European public services are accessible to all citizens, including persons with disabilities, the elderly and other disadvantaged groups. For digital public services, public administrations should comply with e-accessibility specifications that are widely recognised at European or international level.</w:t>
                      </w:r>
                    </w:p>
                  </w:txbxContent>
                </v:textbox>
                <w10:anchorlock/>
              </v:shape>
            </w:pict>
          </mc:Fallback>
        </mc:AlternateContent>
      </w:r>
    </w:p>
    <w:p>
      <w:pPr>
        <w:pStyle w:val="Heading2"/>
        <w:rPr>
          <w:noProof/>
        </w:rPr>
      </w:pPr>
      <w:bookmarkStart w:id="416" w:name="_Toc438141502"/>
      <w:bookmarkStart w:id="417" w:name="_Toc437871580"/>
      <w:bookmarkStart w:id="418" w:name="_Toc437871697"/>
      <w:bookmarkStart w:id="419" w:name="_Toc437871814"/>
      <w:bookmarkStart w:id="420" w:name="_Toc437871931"/>
      <w:bookmarkStart w:id="421" w:name="_Toc437872047"/>
      <w:bookmarkStart w:id="422" w:name="_Toc437872164"/>
      <w:bookmarkStart w:id="423" w:name="_Toc438118874"/>
      <w:bookmarkStart w:id="424" w:name="_Toc438125449"/>
      <w:bookmarkStart w:id="425" w:name="_Toc438134936"/>
      <w:bookmarkStart w:id="426" w:name="_Toc438136297"/>
      <w:bookmarkStart w:id="427" w:name="_Toc438141503"/>
      <w:bookmarkStart w:id="428" w:name="_Toc199047201"/>
      <w:bookmarkStart w:id="429" w:name="_Toc199672097"/>
      <w:bookmarkStart w:id="430" w:name="_Toc199932900"/>
      <w:bookmarkStart w:id="431" w:name="_Toc200537584"/>
      <w:bookmarkStart w:id="432" w:name="_Toc202927905"/>
      <w:bookmarkStart w:id="433" w:name="_Toc221008038"/>
      <w:bookmarkStart w:id="434" w:name="_Toc242617118"/>
      <w:bookmarkStart w:id="435" w:name="_Toc454188978"/>
      <w:bookmarkStart w:id="436" w:name="_Toc454196227"/>
      <w:bookmarkStart w:id="437" w:name="_Toc469580872"/>
      <w:bookmarkStart w:id="438" w:name="_Toc469902797"/>
      <w:bookmarkEnd w:id="416"/>
      <w:bookmarkEnd w:id="417"/>
      <w:bookmarkEnd w:id="418"/>
      <w:bookmarkEnd w:id="419"/>
      <w:bookmarkEnd w:id="420"/>
      <w:bookmarkEnd w:id="421"/>
      <w:bookmarkEnd w:id="422"/>
      <w:bookmarkEnd w:id="423"/>
      <w:bookmarkEnd w:id="424"/>
      <w:bookmarkEnd w:id="425"/>
      <w:bookmarkEnd w:id="426"/>
      <w:bookmarkEnd w:id="427"/>
      <w:r>
        <w:rPr>
          <w:noProof/>
        </w:rPr>
        <w:t>Underlying principle 8: security and privacy</w:t>
      </w:r>
      <w:bookmarkEnd w:id="428"/>
      <w:bookmarkEnd w:id="429"/>
      <w:bookmarkEnd w:id="430"/>
      <w:bookmarkEnd w:id="431"/>
      <w:bookmarkEnd w:id="432"/>
      <w:bookmarkEnd w:id="433"/>
      <w:bookmarkEnd w:id="434"/>
      <w:bookmarkEnd w:id="435"/>
      <w:bookmarkEnd w:id="436"/>
      <w:bookmarkEnd w:id="437"/>
      <w:bookmarkEnd w:id="438"/>
    </w:p>
    <w:p>
      <w:pPr>
        <w:pStyle w:val="BodyText"/>
        <w:spacing w:after="200" w:line="312" w:lineRule="auto"/>
        <w:jc w:val="both"/>
        <w:rPr>
          <w:rFonts w:ascii="Times New Roman" w:hAnsi="Times New Roman"/>
          <w:noProof/>
          <w:sz w:val="24"/>
        </w:rPr>
      </w:pPr>
      <w:r>
        <w:rPr>
          <w:rFonts w:ascii="Times New Roman" w:hAnsi="Times New Roman"/>
          <w:noProof/>
          <w:sz w:val="24"/>
        </w:rPr>
        <w:t xml:space="preserve">Citizens and businesses must be confident that when they interact with public authorities they are doing so in a </w:t>
      </w:r>
      <w:r>
        <w:rPr>
          <w:rFonts w:ascii="Times New Roman" w:hAnsi="Times New Roman"/>
          <w:b/>
          <w:noProof/>
          <w:sz w:val="24"/>
        </w:rPr>
        <w:t>secure</w:t>
      </w:r>
      <w:r>
        <w:rPr>
          <w:rFonts w:ascii="Times New Roman" w:hAnsi="Times New Roman"/>
          <w:noProof/>
          <w:sz w:val="24"/>
        </w:rPr>
        <w:t xml:space="preserve"> and trustworthy environment and in full compliance with relevant regulations, e.g. the Regulation and Directive on data protection,</w:t>
      </w:r>
      <w:r>
        <w:rPr>
          <w:rStyle w:val="FootnoteReference"/>
          <w:rFonts w:ascii="Times New Roman" w:hAnsi="Times New Roman"/>
          <w:noProof/>
          <w:sz w:val="24"/>
        </w:rPr>
        <w:footnoteReference w:id="16"/>
      </w:r>
      <w:r>
        <w:rPr>
          <w:rFonts w:ascii="Times New Roman" w:hAnsi="Times New Roman"/>
          <w:noProof/>
          <w:sz w:val="24"/>
        </w:rPr>
        <w:t xml:space="preserve"> and the Regulation on electronic identification and trust services.</w:t>
      </w:r>
      <w:r>
        <w:rPr>
          <w:rStyle w:val="FootnoteReference"/>
          <w:rFonts w:ascii="Times New Roman" w:hAnsi="Times New Roman"/>
          <w:noProof/>
          <w:sz w:val="24"/>
        </w:rPr>
        <w:footnoteReference w:id="17"/>
      </w:r>
      <w:r>
        <w:rPr>
          <w:rFonts w:ascii="Times New Roman" w:hAnsi="Times New Roman"/>
          <w:noProof/>
          <w:sz w:val="24"/>
        </w:rPr>
        <w:t xml:space="preserve"> Public administrations must guarantee the citizens’ </w:t>
      </w:r>
      <w:r>
        <w:rPr>
          <w:rFonts w:ascii="Times New Roman" w:hAnsi="Times New Roman"/>
          <w:b/>
          <w:noProof/>
          <w:sz w:val="24"/>
        </w:rPr>
        <w:t>privacy</w:t>
      </w:r>
      <w:r>
        <w:rPr>
          <w:rFonts w:ascii="Times New Roman" w:hAnsi="Times New Roman"/>
          <w:noProof/>
          <w:sz w:val="24"/>
        </w:rPr>
        <w:t>, and the confidentiality, authenticity, integrity and non-repudiation of information provided by citizens and businesses. Security and privacy are discussed in more detail in section 4.3.7.</w:t>
      </w:r>
    </w:p>
    <w:p>
      <w:pPr>
        <w:pStyle w:val="BodyText"/>
        <w:spacing w:after="240"/>
        <w:jc w:val="both"/>
        <w:rPr>
          <w:rFonts w:ascii="Times New Roman" w:hAnsi="Times New Roman"/>
          <w:noProof/>
          <w:sz w:val="22"/>
          <w:szCs w:val="22"/>
        </w:rPr>
      </w:pPr>
      <w:r>
        <w:rPr>
          <w:rFonts w:ascii="Times New Roman" w:hAnsi="Times New Roman"/>
          <w:noProof/>
          <w:lang w:val="en-US" w:eastAsia="en-US"/>
        </w:rPr>
        <mc:AlternateContent>
          <mc:Choice Requires="wps">
            <w:drawing>
              <wp:inline distT="0" distB="0" distL="0" distR="0">
                <wp:extent cx="5598160" cy="992038"/>
                <wp:effectExtent l="57150" t="38100" r="59690" b="74930"/>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992038"/>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sz w:val="24"/>
                              </w:rPr>
                            </w:pPr>
                            <w:r>
                              <w:rPr>
                                <w:rFonts w:ascii="Corbel" w:hAnsi="Corbel"/>
                                <w:sz w:val="24"/>
                              </w:rPr>
                              <w:t>Recommendation</w:t>
                            </w:r>
                            <w:r>
                              <w:rPr>
                                <w:rStyle w:val="ListParagraphChar"/>
                                <w:rFonts w:ascii="Corbel" w:eastAsia="MS Mincho" w:hAnsi="Corbel"/>
                                <w:b w:val="0"/>
                                <w:i/>
                                <w:noProof w:val="0"/>
                                <w:sz w:val="24"/>
                                <w:u w:val="none"/>
                                <w:lang w:val="en-GB"/>
                              </w:rPr>
                              <w:t xml:space="preserve"> 15:</w:t>
                            </w:r>
                          </w:p>
                          <w:p>
                            <w:pPr>
                              <w:pStyle w:val="BodyText"/>
                              <w:jc w:val="both"/>
                              <w:rPr>
                                <w:rFonts w:ascii="Corbel" w:eastAsia="MS Mincho" w:hAnsi="Corbel"/>
                                <w:b/>
                                <w:sz w:val="24"/>
                                <w:lang w:eastAsia="ja-JP"/>
                              </w:rPr>
                            </w:pPr>
                            <w:r>
                              <w:rPr>
                                <w:rFonts w:ascii="Corbel" w:eastAsia="MS Mincho" w:hAnsi="Corbel"/>
                                <w:b/>
                                <w:sz w:val="24"/>
                              </w:rPr>
                              <w:t>Define a common security and privacy framework and establish processes for public services to ensure secure and trustworthy data exchange between public administrations and in interactions with citizens and businesses</w:t>
                            </w:r>
                            <w:r>
                              <w:rPr>
                                <w:rFonts w:ascii="Corbel" w:eastAsia="MS Mincho" w:hAnsi="Corbel"/>
                                <w:b/>
                                <w:sz w:val="24"/>
                                <w:lang w:eastAsia="ja-JP"/>
                              </w:rPr>
                              <w:t>.</w:t>
                            </w:r>
                          </w:p>
                        </w:txbxContent>
                      </wps:txbx>
                      <wps:bodyPr rot="0" vert="horz" wrap="square" lIns="91440" tIns="45720" rIns="91440" bIns="45720" anchor="t" anchorCtr="0">
                        <a:noAutofit/>
                      </wps:bodyPr>
                    </wps:wsp>
                  </a:graphicData>
                </a:graphic>
              </wp:inline>
            </w:drawing>
          </mc:Choice>
          <mc:Fallback>
            <w:pict>
              <v:shape id="_x0000_s1040" type="#_x0000_t202" style="width:440.8pt;height:7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sz w:val="24"/>
                        </w:rPr>
                      </w:pPr>
                      <w:r>
                        <w:rPr>
                          <w:rFonts w:ascii="Corbel" w:hAnsi="Corbel"/>
                          <w:sz w:val="24"/>
                        </w:rPr>
                        <w:t>Recommendation</w:t>
                      </w:r>
                      <w:r>
                        <w:rPr>
                          <w:rStyle w:val="ListParagraphChar"/>
                          <w:rFonts w:ascii="Corbel" w:eastAsia="MS Mincho" w:hAnsi="Corbel"/>
                          <w:b w:val="0"/>
                          <w:i/>
                          <w:noProof w:val="0"/>
                          <w:sz w:val="24"/>
                          <w:u w:val="none"/>
                          <w:lang w:val="en-GB"/>
                        </w:rPr>
                        <w:t xml:space="preserve"> 15:</w:t>
                      </w:r>
                    </w:p>
                    <w:p>
                      <w:pPr>
                        <w:pStyle w:val="BodyText"/>
                        <w:jc w:val="both"/>
                        <w:rPr>
                          <w:rFonts w:ascii="Corbel" w:eastAsia="MS Mincho" w:hAnsi="Corbel"/>
                          <w:b/>
                          <w:sz w:val="24"/>
                          <w:lang w:eastAsia="ja-JP"/>
                        </w:rPr>
                      </w:pPr>
                      <w:r>
                        <w:rPr>
                          <w:rFonts w:ascii="Corbel" w:eastAsia="MS Mincho" w:hAnsi="Corbel"/>
                          <w:b/>
                          <w:sz w:val="24"/>
                        </w:rPr>
                        <w:t>Define a common security and privacy framework and establish processes for public services to ensure secure and trustworthy data exchange between public administrations and in interactions with citizens and businesses</w:t>
                      </w:r>
                      <w:r>
                        <w:rPr>
                          <w:rFonts w:ascii="Corbel" w:eastAsia="MS Mincho" w:hAnsi="Corbel"/>
                          <w:b/>
                          <w:sz w:val="24"/>
                          <w:lang w:eastAsia="ja-JP"/>
                        </w:rPr>
                        <w:t>.</w:t>
                      </w:r>
                    </w:p>
                  </w:txbxContent>
                </v:textbox>
                <w10:anchorlock/>
              </v:shape>
            </w:pict>
          </mc:Fallback>
        </mc:AlternateContent>
      </w:r>
    </w:p>
    <w:p>
      <w:pPr>
        <w:pStyle w:val="Heading2"/>
        <w:rPr>
          <w:noProof/>
        </w:rPr>
      </w:pPr>
      <w:bookmarkStart w:id="439" w:name="_Toc438141505"/>
      <w:bookmarkStart w:id="440" w:name="_Toc437871582"/>
      <w:bookmarkStart w:id="441" w:name="_Toc437871699"/>
      <w:bookmarkStart w:id="442" w:name="_Toc437871816"/>
      <w:bookmarkStart w:id="443" w:name="_Toc437871933"/>
      <w:bookmarkStart w:id="444" w:name="_Toc437872049"/>
      <w:bookmarkStart w:id="445" w:name="_Toc437872166"/>
      <w:bookmarkStart w:id="446" w:name="_Toc438118876"/>
      <w:bookmarkStart w:id="447" w:name="_Toc438125451"/>
      <w:bookmarkStart w:id="448" w:name="_Toc438134938"/>
      <w:bookmarkStart w:id="449" w:name="_Toc438136299"/>
      <w:bookmarkStart w:id="450" w:name="_Toc438141506"/>
      <w:bookmarkStart w:id="451" w:name="_Toc199047202"/>
      <w:bookmarkStart w:id="452" w:name="_Toc199672098"/>
      <w:bookmarkStart w:id="453" w:name="_Toc199932901"/>
      <w:bookmarkStart w:id="454" w:name="_Toc200537585"/>
      <w:bookmarkStart w:id="455" w:name="_Toc202927906"/>
      <w:bookmarkStart w:id="456" w:name="_Ref203905721"/>
      <w:bookmarkStart w:id="457" w:name="_Ref203905724"/>
      <w:bookmarkStart w:id="458" w:name="_Ref203905727"/>
      <w:bookmarkStart w:id="459" w:name="_Toc221008039"/>
      <w:bookmarkStart w:id="460" w:name="_Toc242617119"/>
      <w:bookmarkStart w:id="461" w:name="_Toc454188979"/>
      <w:bookmarkStart w:id="462" w:name="_Toc454196228"/>
      <w:bookmarkStart w:id="463" w:name="_Toc469580873"/>
      <w:bookmarkStart w:id="464" w:name="_Toc469902798"/>
      <w:bookmarkEnd w:id="439"/>
      <w:bookmarkEnd w:id="440"/>
      <w:bookmarkEnd w:id="441"/>
      <w:bookmarkEnd w:id="442"/>
      <w:bookmarkEnd w:id="443"/>
      <w:bookmarkEnd w:id="444"/>
      <w:bookmarkEnd w:id="445"/>
      <w:bookmarkEnd w:id="446"/>
      <w:bookmarkEnd w:id="447"/>
      <w:bookmarkEnd w:id="448"/>
      <w:bookmarkEnd w:id="449"/>
      <w:bookmarkEnd w:id="450"/>
      <w:r>
        <w:rPr>
          <w:noProof/>
        </w:rPr>
        <w:t xml:space="preserve">Underlying principle 9: </w:t>
      </w:r>
      <w:bookmarkEnd w:id="451"/>
      <w:bookmarkEnd w:id="452"/>
      <w:bookmarkEnd w:id="453"/>
      <w:bookmarkEnd w:id="454"/>
      <w:bookmarkEnd w:id="455"/>
      <w:bookmarkEnd w:id="456"/>
      <w:bookmarkEnd w:id="457"/>
      <w:bookmarkEnd w:id="458"/>
      <w:bookmarkEnd w:id="459"/>
      <w:bookmarkEnd w:id="460"/>
      <w:r>
        <w:rPr>
          <w:noProof/>
        </w:rPr>
        <w:t>multilingualism</w:t>
      </w:r>
      <w:bookmarkEnd w:id="461"/>
      <w:bookmarkEnd w:id="462"/>
      <w:bookmarkEnd w:id="463"/>
      <w:bookmarkEnd w:id="464"/>
    </w:p>
    <w:p>
      <w:pPr>
        <w:pStyle w:val="BodyText"/>
        <w:spacing w:after="200" w:line="312" w:lineRule="auto"/>
        <w:jc w:val="both"/>
        <w:rPr>
          <w:rFonts w:ascii="Times New Roman" w:hAnsi="Times New Roman"/>
          <w:noProof/>
          <w:sz w:val="24"/>
        </w:rPr>
      </w:pPr>
      <w:r>
        <w:rPr>
          <w:rFonts w:ascii="Times New Roman" w:hAnsi="Times New Roman"/>
          <w:noProof/>
          <w:sz w:val="24"/>
        </w:rPr>
        <w:t>European public services can potentially be used by anyone in any Member State. So multilingualism needs to be carefully considered when designing them. Citizens across Europe often have problems in accessing and using digital public services if these are not available in the languages they speak.</w:t>
      </w:r>
    </w:p>
    <w:p>
      <w:pPr>
        <w:pStyle w:val="BodyText"/>
        <w:spacing w:after="200" w:line="312" w:lineRule="auto"/>
        <w:jc w:val="both"/>
        <w:rPr>
          <w:rFonts w:ascii="Times New Roman" w:hAnsi="Times New Roman"/>
          <w:noProof/>
          <w:sz w:val="24"/>
        </w:rPr>
      </w:pPr>
      <w:r>
        <w:rPr>
          <w:rFonts w:ascii="Times New Roman" w:hAnsi="Times New Roman"/>
          <w:noProof/>
          <w:sz w:val="24"/>
        </w:rPr>
        <w:t>A balance needs to be found between the expectations of citizens and businesses to be served in their own language(s) or their preferred language(s) and the ability of Member States’ public administrations to offer services in all official EU languages. A suitable balance could be that European public services are available in the languages of the expected end-users, i.e. the number of languages is decided on the basis of users’ needs, such as the level to which the service is critical for the implementation of the digital single market or national policies, or the size of the relevant audience.</w:t>
      </w:r>
    </w:p>
    <w:p>
      <w:pPr>
        <w:pStyle w:val="BodyText"/>
        <w:spacing w:after="200" w:line="312" w:lineRule="auto"/>
        <w:jc w:val="both"/>
        <w:rPr>
          <w:rFonts w:ascii="Times New Roman" w:hAnsi="Times New Roman"/>
          <w:noProof/>
          <w:sz w:val="24"/>
        </w:rPr>
      </w:pPr>
      <w:r>
        <w:rPr>
          <w:rFonts w:ascii="Times New Roman" w:hAnsi="Times New Roman"/>
          <w:noProof/>
          <w:sz w:val="24"/>
        </w:rPr>
        <w:t>Multilingualism comes into play not just in the user interface, but at all levels in the design of European public services. For example, the choices made on data representation in an electronic database should not limit its ability to support different languages.</w:t>
      </w:r>
    </w:p>
    <w:p>
      <w:pPr>
        <w:pStyle w:val="BodyText"/>
        <w:spacing w:after="200" w:line="312" w:lineRule="auto"/>
        <w:jc w:val="both"/>
        <w:rPr>
          <w:rFonts w:ascii="Times New Roman" w:hAnsi="Times New Roman"/>
          <w:noProof/>
          <w:sz w:val="24"/>
        </w:rPr>
      </w:pPr>
      <w:r>
        <w:rPr>
          <w:rFonts w:ascii="Times New Roman" w:hAnsi="Times New Roman"/>
          <w:noProof/>
          <w:sz w:val="24"/>
        </w:rPr>
        <w:t>The multilingual aspect of interoperability becomes also relevant when a public service requires exchanges between information systems across language boundaries, as the meaning of the information exchanged must be preserved.</w:t>
      </w:r>
    </w:p>
    <w:p>
      <w:pPr>
        <w:pStyle w:val="BodyText"/>
        <w:rPr>
          <w:rFonts w:ascii="Times New Roman" w:hAnsi="Times New Roman"/>
          <w:noProof/>
        </w:rPr>
      </w:pPr>
      <w:r>
        <w:rPr>
          <w:rFonts w:ascii="Times New Roman" w:hAnsi="Times New Roman"/>
          <w:noProof/>
          <w:lang w:val="en-US" w:eastAsia="en-US"/>
        </w:rPr>
        <mc:AlternateContent>
          <mc:Choice Requires="wps">
            <w:drawing>
              <wp:inline distT="0" distB="0" distL="0" distR="0">
                <wp:extent cx="5624423" cy="1025718"/>
                <wp:effectExtent l="57150" t="38100" r="52705" b="79375"/>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423" cy="1025718"/>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Fonts w:asciiTheme="minorHAnsi" w:hAnsiTheme="minorHAnsi"/>
                                <w:b/>
                                <w:i/>
                                <w:sz w:val="24"/>
                              </w:rPr>
                              <w:t xml:space="preserve"> </w:t>
                            </w:r>
                            <w:r>
                              <w:rPr>
                                <w:rStyle w:val="ListParagraphChar"/>
                                <w:rFonts w:ascii="Corbel" w:eastAsia="MS Mincho" w:hAnsi="Corbel"/>
                                <w:b w:val="0"/>
                                <w:i/>
                                <w:noProof w:val="0"/>
                                <w:sz w:val="24"/>
                                <w:u w:val="none"/>
                                <w:lang w:val="en-GB"/>
                              </w:rPr>
                              <w:t>Recommendation 16:</w:t>
                            </w:r>
                          </w:p>
                          <w:p>
                            <w:pPr>
                              <w:ind w:left="142"/>
                              <w:jc w:val="both"/>
                              <w:rPr>
                                <w:rFonts w:ascii="Corbel" w:hAnsi="Corbel"/>
                                <w:b/>
                                <w:sz w:val="24"/>
                              </w:rPr>
                            </w:pPr>
                            <w:r>
                              <w:rPr>
                                <w:rFonts w:ascii="Corbel" w:hAnsi="Corbel"/>
                                <w:b/>
                                <w:sz w:val="24"/>
                              </w:rPr>
                              <w:t>Use information systems and technical architectures that cater for multilingualism when establishing a European public service. Decide on the level of multilingualism support based on the needs of the expected users.</w:t>
                            </w:r>
                          </w:p>
                        </w:txbxContent>
                      </wps:txbx>
                      <wps:bodyPr rot="0" vert="horz" wrap="square" lIns="91440" tIns="45720" rIns="91440" bIns="45720" anchor="t" anchorCtr="0">
                        <a:noAutofit/>
                      </wps:bodyPr>
                    </wps:wsp>
                  </a:graphicData>
                </a:graphic>
              </wp:inline>
            </w:drawing>
          </mc:Choice>
          <mc:Fallback>
            <w:pict>
              <v:shape id="_x0000_s1041" type="#_x0000_t202" style="width:442.8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Fonts w:asciiTheme="minorHAnsi" w:hAnsiTheme="minorHAnsi"/>
                          <w:b/>
                          <w:i/>
                          <w:sz w:val="24"/>
                        </w:rPr>
                        <w:t xml:space="preserve"> </w:t>
                      </w:r>
                      <w:r>
                        <w:rPr>
                          <w:rStyle w:val="ListParagraphChar"/>
                          <w:rFonts w:ascii="Corbel" w:eastAsia="MS Mincho" w:hAnsi="Corbel"/>
                          <w:b w:val="0"/>
                          <w:i/>
                          <w:noProof w:val="0"/>
                          <w:sz w:val="24"/>
                          <w:u w:val="none"/>
                          <w:lang w:val="en-GB"/>
                        </w:rPr>
                        <w:t>Recommendation 16:</w:t>
                      </w:r>
                    </w:p>
                    <w:p>
                      <w:pPr>
                        <w:ind w:left="142"/>
                        <w:jc w:val="both"/>
                        <w:rPr>
                          <w:rFonts w:ascii="Corbel" w:hAnsi="Corbel"/>
                          <w:b/>
                          <w:sz w:val="24"/>
                        </w:rPr>
                      </w:pPr>
                      <w:r>
                        <w:rPr>
                          <w:rFonts w:ascii="Corbel" w:hAnsi="Corbel"/>
                          <w:b/>
                          <w:sz w:val="24"/>
                        </w:rPr>
                        <w:t>Use information systems and technical architectures that cater for multilingualism when establishing a European public service. Decide on the level of multilingualism support based on the needs of the expected users.</w:t>
                      </w:r>
                    </w:p>
                  </w:txbxContent>
                </v:textbox>
                <w10:anchorlock/>
              </v:shape>
            </w:pict>
          </mc:Fallback>
        </mc:AlternateContent>
      </w:r>
    </w:p>
    <w:p>
      <w:pPr>
        <w:pStyle w:val="Heading2"/>
        <w:rPr>
          <w:noProof/>
        </w:rPr>
      </w:pPr>
      <w:bookmarkStart w:id="465" w:name="_Toc438141508"/>
      <w:bookmarkStart w:id="466" w:name="_Toc437871584"/>
      <w:bookmarkStart w:id="467" w:name="_Toc437871701"/>
      <w:bookmarkStart w:id="468" w:name="_Toc437871818"/>
      <w:bookmarkStart w:id="469" w:name="_Toc437871935"/>
      <w:bookmarkStart w:id="470" w:name="_Toc437872051"/>
      <w:bookmarkStart w:id="471" w:name="_Toc437872168"/>
      <w:bookmarkStart w:id="472" w:name="_Toc438118878"/>
      <w:bookmarkStart w:id="473" w:name="_Toc438125453"/>
      <w:bookmarkStart w:id="474" w:name="_Toc438134940"/>
      <w:bookmarkStart w:id="475" w:name="_Toc438136301"/>
      <w:bookmarkStart w:id="476" w:name="_Toc438141509"/>
      <w:bookmarkStart w:id="477" w:name="_Toc199047205"/>
      <w:bookmarkStart w:id="478" w:name="_Toc199672101"/>
      <w:bookmarkStart w:id="479" w:name="_Toc199932904"/>
      <w:bookmarkStart w:id="480" w:name="_Toc200537588"/>
      <w:bookmarkStart w:id="481" w:name="_Toc202927909"/>
      <w:bookmarkStart w:id="482" w:name="_Toc221008042"/>
      <w:bookmarkStart w:id="483" w:name="_Toc242617120"/>
      <w:bookmarkStart w:id="484" w:name="_Toc454188980"/>
      <w:bookmarkStart w:id="485" w:name="_Toc454196229"/>
      <w:bookmarkStart w:id="486" w:name="_Toc469580874"/>
      <w:bookmarkStart w:id="487" w:name="_Toc469902799"/>
      <w:bookmarkEnd w:id="465"/>
      <w:bookmarkEnd w:id="466"/>
      <w:bookmarkEnd w:id="467"/>
      <w:bookmarkEnd w:id="468"/>
      <w:bookmarkEnd w:id="469"/>
      <w:bookmarkEnd w:id="470"/>
      <w:bookmarkEnd w:id="471"/>
      <w:bookmarkEnd w:id="472"/>
      <w:bookmarkEnd w:id="473"/>
      <w:bookmarkEnd w:id="474"/>
      <w:bookmarkEnd w:id="475"/>
      <w:bookmarkEnd w:id="476"/>
      <w:r>
        <w:rPr>
          <w:noProof/>
        </w:rPr>
        <w:t xml:space="preserve">Underlying principle 10: </w:t>
      </w:r>
      <w:bookmarkEnd w:id="477"/>
      <w:bookmarkEnd w:id="478"/>
      <w:bookmarkEnd w:id="479"/>
      <w:bookmarkEnd w:id="480"/>
      <w:bookmarkEnd w:id="481"/>
      <w:bookmarkEnd w:id="482"/>
      <w:r>
        <w:rPr>
          <w:noProof/>
        </w:rPr>
        <w:t>administrative simplification</w:t>
      </w:r>
      <w:bookmarkEnd w:id="483"/>
      <w:bookmarkEnd w:id="484"/>
      <w:bookmarkEnd w:id="485"/>
      <w:bookmarkEnd w:id="486"/>
      <w:bookmarkEnd w:id="487"/>
    </w:p>
    <w:p>
      <w:pPr>
        <w:pStyle w:val="BodyText"/>
        <w:spacing w:after="200" w:line="312" w:lineRule="auto"/>
        <w:jc w:val="both"/>
        <w:rPr>
          <w:rFonts w:ascii="Times New Roman" w:hAnsi="Times New Roman"/>
          <w:noProof/>
          <w:sz w:val="24"/>
        </w:rPr>
      </w:pPr>
      <w:r>
        <w:rPr>
          <w:rFonts w:ascii="Times New Roman" w:hAnsi="Times New Roman"/>
          <w:noProof/>
          <w:sz w:val="24"/>
        </w:rPr>
        <w:t xml:space="preserve">Where possible, public administrations should seek to streamline and simplify their administrative processes by improving them or eliminating any that does not provide public value. Administrative simplification can help businesses and citizens to reduce the </w:t>
      </w:r>
      <w:r>
        <w:rPr>
          <w:rFonts w:ascii="Times New Roman" w:hAnsi="Times New Roman"/>
          <w:b/>
          <w:noProof/>
          <w:sz w:val="24"/>
        </w:rPr>
        <w:t>administrative burden</w:t>
      </w:r>
      <w:r>
        <w:rPr>
          <w:rFonts w:ascii="Times New Roman" w:hAnsi="Times New Roman"/>
          <w:noProof/>
          <w:sz w:val="24"/>
        </w:rPr>
        <w:t xml:space="preserve"> of complying with EU legislation or national obligations. Likewise, public administrations should introduce European public services supported by electronic means, including their interactions with other public administrations, citizens and businesses.</w:t>
      </w:r>
    </w:p>
    <w:p>
      <w:pPr>
        <w:pStyle w:val="BodyText"/>
        <w:spacing w:after="200" w:line="312" w:lineRule="auto"/>
        <w:jc w:val="both"/>
        <w:rPr>
          <w:rFonts w:ascii="Times New Roman" w:hAnsi="Times New Roman"/>
          <w:noProof/>
          <w:sz w:val="24"/>
        </w:rPr>
      </w:pPr>
      <w:r>
        <w:rPr>
          <w:rFonts w:ascii="Times New Roman" w:hAnsi="Times New Roman"/>
          <w:b/>
          <w:noProof/>
          <w:sz w:val="24"/>
        </w:rPr>
        <w:t>Digitisation</w:t>
      </w:r>
      <w:r>
        <w:rPr>
          <w:rFonts w:ascii="Times New Roman" w:hAnsi="Times New Roman"/>
          <w:noProof/>
          <w:sz w:val="24"/>
        </w:rPr>
        <w:t xml:space="preserve"> of public services should take place in accordance with the following concepts:</w:t>
      </w:r>
    </w:p>
    <w:p>
      <w:pPr>
        <w:pStyle w:val="BodyText"/>
        <w:numPr>
          <w:ilvl w:val="0"/>
          <w:numId w:val="111"/>
        </w:numPr>
        <w:spacing w:before="120" w:after="120" w:line="312" w:lineRule="auto"/>
        <w:jc w:val="both"/>
        <w:rPr>
          <w:rFonts w:ascii="Times New Roman" w:hAnsi="Times New Roman"/>
          <w:noProof/>
          <w:sz w:val="24"/>
        </w:rPr>
      </w:pPr>
      <w:r>
        <w:rPr>
          <w:rFonts w:ascii="Times New Roman" w:hAnsi="Times New Roman"/>
          <w:b/>
          <w:noProof/>
          <w:sz w:val="24"/>
        </w:rPr>
        <w:t>digital-by-default</w:t>
      </w:r>
      <w:r>
        <w:rPr>
          <w:rFonts w:ascii="Times New Roman" w:hAnsi="Times New Roman"/>
          <w:noProof/>
          <w:sz w:val="24"/>
        </w:rPr>
        <w:t>,</w:t>
      </w:r>
      <w:r>
        <w:rPr>
          <w:rFonts w:ascii="Times New Roman" w:hAnsi="Times New Roman"/>
          <w:b/>
          <w:noProof/>
          <w:color w:val="2E74B5" w:themeColor="accent1" w:themeShade="BF"/>
          <w:sz w:val="24"/>
        </w:rPr>
        <w:t xml:space="preserve"> </w:t>
      </w:r>
      <w:r>
        <w:rPr>
          <w:rFonts w:ascii="Times New Roman" w:hAnsi="Times New Roman"/>
          <w:noProof/>
          <w:sz w:val="24"/>
        </w:rPr>
        <w:t>whenever appropriate,</w:t>
      </w:r>
      <w:r>
        <w:rPr>
          <w:rFonts w:ascii="Times New Roman" w:hAnsi="Times New Roman"/>
          <w:b/>
          <w:noProof/>
          <w:sz w:val="24"/>
        </w:rPr>
        <w:t xml:space="preserve"> </w:t>
      </w:r>
      <w:r>
        <w:rPr>
          <w:rFonts w:ascii="Times New Roman" w:hAnsi="Times New Roman"/>
          <w:noProof/>
          <w:sz w:val="24"/>
        </w:rPr>
        <w:t>so that there is at least one digital channel available for accessing and using a given European public service;</w:t>
      </w:r>
    </w:p>
    <w:p>
      <w:pPr>
        <w:pStyle w:val="BodyText"/>
        <w:numPr>
          <w:ilvl w:val="0"/>
          <w:numId w:val="111"/>
        </w:numPr>
        <w:spacing w:before="120" w:after="120" w:line="312" w:lineRule="auto"/>
        <w:ind w:left="714" w:hanging="357"/>
        <w:jc w:val="both"/>
        <w:rPr>
          <w:rFonts w:ascii="Times New Roman" w:hAnsi="Times New Roman"/>
          <w:noProof/>
          <w:sz w:val="24"/>
        </w:rPr>
      </w:pPr>
      <w:r>
        <w:rPr>
          <w:rFonts w:ascii="Times New Roman" w:hAnsi="Times New Roman"/>
          <w:b/>
          <w:noProof/>
          <w:color w:val="000000" w:themeColor="text1"/>
          <w:sz w:val="24"/>
        </w:rPr>
        <w:t>digital-first</w:t>
      </w:r>
      <w:r>
        <w:rPr>
          <w:rFonts w:ascii="Times New Roman" w:hAnsi="Times New Roman"/>
          <w:b/>
          <w:noProof/>
          <w:color w:val="2E74B5" w:themeColor="accent1" w:themeShade="BF"/>
          <w:sz w:val="24"/>
        </w:rPr>
        <w:t xml:space="preserve"> </w:t>
      </w:r>
      <w:r>
        <w:rPr>
          <w:rFonts w:ascii="Times New Roman" w:hAnsi="Times New Roman"/>
          <w:noProof/>
          <w:sz w:val="24"/>
        </w:rPr>
        <w:t>which means that priority is given to using public services via digital channels while applying the multi-channel delivery concept and the no-wrong-door policy, i.e. physical and digital channels co-exist.</w:t>
      </w:r>
    </w:p>
    <w:p>
      <w:pPr>
        <w:pStyle w:val="BodyText"/>
        <w:rPr>
          <w:rFonts w:ascii="Times New Roman" w:hAnsi="Times New Roman"/>
          <w:noProof/>
        </w:rPr>
      </w:pPr>
      <w:r>
        <w:rPr>
          <w:rFonts w:ascii="Times New Roman" w:hAnsi="Times New Roman"/>
          <w:noProof/>
          <w:lang w:val="en-US" w:eastAsia="en-US"/>
        </w:rPr>
        <mc:AlternateContent>
          <mc:Choice Requires="wps">
            <w:drawing>
              <wp:inline distT="0" distB="0" distL="0" distR="0">
                <wp:extent cx="5624423" cy="1160890"/>
                <wp:effectExtent l="57150" t="38100" r="52705" b="77470"/>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423" cy="116089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Fonts w:ascii="Corbel" w:hAnsi="Corbel"/>
                                <w:i/>
                                <w:sz w:val="24"/>
                              </w:rPr>
                              <w:t xml:space="preserve"> </w:t>
                            </w:r>
                            <w:r>
                              <w:rPr>
                                <w:rStyle w:val="ListParagraphChar"/>
                                <w:rFonts w:ascii="Corbel" w:eastAsia="MS Mincho" w:hAnsi="Corbel"/>
                                <w:b w:val="0"/>
                                <w:i/>
                                <w:noProof w:val="0"/>
                                <w:sz w:val="24"/>
                                <w:u w:val="none"/>
                                <w:lang w:val="en-GB"/>
                              </w:rPr>
                              <w:t>Recommendation 17:</w:t>
                            </w:r>
                          </w:p>
                          <w:p>
                            <w:pPr>
                              <w:ind w:left="142"/>
                              <w:jc w:val="both"/>
                              <w:rPr>
                                <w:rFonts w:ascii="Corbel" w:hAnsi="Corbel"/>
                                <w:b/>
                                <w:sz w:val="24"/>
                              </w:rPr>
                            </w:pPr>
                            <w:r>
                              <w:rPr>
                                <w:rFonts w:ascii="Corbel" w:hAnsi="Corbel"/>
                                <w:b/>
                                <w:sz w:val="24"/>
                              </w:rPr>
                              <w:t>Simplify processes and use digital channels whenever appropriate for the delivery of European public services, to respond promptly and with high quality to users’ requests and reduce the administrative burden on public administrations, businesses and citizens.</w:t>
                            </w:r>
                          </w:p>
                        </w:txbxContent>
                      </wps:txbx>
                      <wps:bodyPr rot="0" vert="horz" wrap="square" lIns="91440" tIns="45720" rIns="91440" bIns="45720" anchor="t" anchorCtr="0">
                        <a:noAutofit/>
                      </wps:bodyPr>
                    </wps:wsp>
                  </a:graphicData>
                </a:graphic>
              </wp:inline>
            </w:drawing>
          </mc:Choice>
          <mc:Fallback>
            <w:pict>
              <v:shape id="_x0000_s1042" type="#_x0000_t202" style="width:442.85pt;height:9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Fonts w:ascii="Corbel" w:hAnsi="Corbel"/>
                          <w:i/>
                          <w:sz w:val="24"/>
                        </w:rPr>
                        <w:t xml:space="preserve"> </w:t>
                      </w:r>
                      <w:r>
                        <w:rPr>
                          <w:rStyle w:val="ListParagraphChar"/>
                          <w:rFonts w:ascii="Corbel" w:eastAsia="MS Mincho" w:hAnsi="Corbel"/>
                          <w:b w:val="0"/>
                          <w:i/>
                          <w:noProof w:val="0"/>
                          <w:sz w:val="24"/>
                          <w:u w:val="none"/>
                          <w:lang w:val="en-GB"/>
                        </w:rPr>
                        <w:t>Recommendation 17:</w:t>
                      </w:r>
                    </w:p>
                    <w:p>
                      <w:pPr>
                        <w:ind w:left="142"/>
                        <w:jc w:val="both"/>
                        <w:rPr>
                          <w:rFonts w:ascii="Corbel" w:hAnsi="Corbel"/>
                          <w:b/>
                          <w:sz w:val="24"/>
                        </w:rPr>
                      </w:pPr>
                      <w:r>
                        <w:rPr>
                          <w:rFonts w:ascii="Corbel" w:hAnsi="Corbel"/>
                          <w:b/>
                          <w:sz w:val="24"/>
                        </w:rPr>
                        <w:t>Simplify processes and use digital channels whenever appropriate for the delivery of European public services, to respond promptly and with high quality to users’ requests and reduce the administrative burden on public administrations, businesses and citizens.</w:t>
                      </w:r>
                    </w:p>
                  </w:txbxContent>
                </v:textbox>
                <w10:anchorlock/>
              </v:shape>
            </w:pict>
          </mc:Fallback>
        </mc:AlternateContent>
      </w:r>
    </w:p>
    <w:p>
      <w:pPr>
        <w:pStyle w:val="BodyText"/>
        <w:rPr>
          <w:rFonts w:ascii="Times New Roman" w:hAnsi="Times New Roman"/>
          <w:noProof/>
        </w:rPr>
      </w:pPr>
    </w:p>
    <w:p>
      <w:pPr>
        <w:pStyle w:val="Heading2"/>
        <w:rPr>
          <w:noProof/>
        </w:rPr>
      </w:pPr>
      <w:bookmarkStart w:id="488" w:name="_Toc438141511"/>
      <w:bookmarkStart w:id="489" w:name="_Toc437871586"/>
      <w:bookmarkStart w:id="490" w:name="_Toc437871703"/>
      <w:bookmarkStart w:id="491" w:name="_Toc437871820"/>
      <w:bookmarkStart w:id="492" w:name="_Toc437871937"/>
      <w:bookmarkStart w:id="493" w:name="_Toc437872053"/>
      <w:bookmarkStart w:id="494" w:name="_Toc437872170"/>
      <w:bookmarkStart w:id="495" w:name="_Toc438118880"/>
      <w:bookmarkStart w:id="496" w:name="_Toc438125455"/>
      <w:bookmarkStart w:id="497" w:name="_Toc438134942"/>
      <w:bookmarkStart w:id="498" w:name="_Toc438136303"/>
      <w:bookmarkStart w:id="499" w:name="_Toc438141512"/>
      <w:bookmarkStart w:id="500" w:name="_Toc433213426"/>
      <w:bookmarkStart w:id="501" w:name="_Toc433213504"/>
      <w:bookmarkStart w:id="502" w:name="_Toc433213582"/>
      <w:bookmarkStart w:id="503" w:name="_Toc433213695"/>
      <w:bookmarkStart w:id="504" w:name="_Toc433215854"/>
      <w:bookmarkStart w:id="505" w:name="_Toc433215976"/>
      <w:bookmarkStart w:id="506" w:name="_Toc433216055"/>
      <w:bookmarkStart w:id="507" w:name="_Toc433216134"/>
      <w:bookmarkStart w:id="508" w:name="_Toc433269372"/>
      <w:bookmarkStart w:id="509" w:name="_Toc432440456"/>
      <w:bookmarkStart w:id="510" w:name="_Toc432440919"/>
      <w:bookmarkStart w:id="511" w:name="_Toc432523875"/>
      <w:bookmarkStart w:id="512" w:name="_Toc432525302"/>
      <w:bookmarkStart w:id="513" w:name="_Toc251852843"/>
      <w:bookmarkStart w:id="514" w:name="_Toc242617122"/>
      <w:bookmarkStart w:id="515" w:name="_Toc454188981"/>
      <w:bookmarkStart w:id="516" w:name="_Toc454196230"/>
      <w:bookmarkStart w:id="517" w:name="_Toc469580875"/>
      <w:bookmarkStart w:id="518" w:name="_Toc469902800"/>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Pr>
          <w:noProof/>
        </w:rPr>
        <w:t>Underlying principle 11: preservation of information</w:t>
      </w:r>
      <w:bookmarkEnd w:id="514"/>
      <w:bookmarkEnd w:id="515"/>
      <w:bookmarkEnd w:id="516"/>
      <w:bookmarkEnd w:id="517"/>
      <w:bookmarkEnd w:id="518"/>
    </w:p>
    <w:p>
      <w:pPr>
        <w:pStyle w:val="BodyText"/>
        <w:spacing w:after="200" w:line="312" w:lineRule="auto"/>
        <w:jc w:val="both"/>
        <w:rPr>
          <w:rFonts w:ascii="Times New Roman" w:hAnsi="Times New Roman"/>
          <w:noProof/>
          <w:sz w:val="24"/>
        </w:rPr>
      </w:pPr>
      <w:r>
        <w:rPr>
          <w:rFonts w:ascii="Times New Roman" w:hAnsi="Times New Roman"/>
          <w:noProof/>
          <w:sz w:val="24"/>
        </w:rPr>
        <w:t>Legislation requires that decisions and data are stored and can be accessed for a specified time. This means that records</w:t>
      </w:r>
      <w:r>
        <w:rPr>
          <w:rStyle w:val="FootnoteReference"/>
          <w:rFonts w:ascii="Times New Roman" w:hAnsi="Times New Roman"/>
          <w:noProof/>
          <w:sz w:val="24"/>
        </w:rPr>
        <w:footnoteReference w:id="18"/>
      </w:r>
      <w:r>
        <w:rPr>
          <w:rFonts w:ascii="Times New Roman" w:hAnsi="Times New Roman"/>
          <w:noProof/>
          <w:sz w:val="24"/>
        </w:rPr>
        <w:t xml:space="preserve"> and information in electronic form held by public administrations for the purpose of documenting procedures and decisions must be preserved and be converted, where necessary, to new media when old media become obsolete. The goal is to ensure that records and other forms of information keep their legibility, reliability and integrity and can be accessed as long as needed subject to security and privacy provisions.</w:t>
      </w:r>
    </w:p>
    <w:p>
      <w:pPr>
        <w:pStyle w:val="BodyText"/>
        <w:spacing w:after="200" w:line="312" w:lineRule="auto"/>
        <w:jc w:val="both"/>
        <w:rPr>
          <w:rFonts w:ascii="Times New Roman" w:hAnsi="Times New Roman"/>
          <w:noProof/>
          <w:sz w:val="24"/>
        </w:rPr>
      </w:pPr>
      <w:r>
        <w:rPr>
          <w:rFonts w:ascii="Times New Roman" w:hAnsi="Times New Roman"/>
          <w:noProof/>
          <w:sz w:val="24"/>
        </w:rPr>
        <w:t>To guarantee the long-term preservation of electronic records and other kinds of information, formats should be chosen to ensure long-term accessibility, including preservation of associated electronic signatures or seals. In this regard, the use of qualified preservation services, in line with Regulation (EU) 910/2014, can ensure the long-term preservation of information.</w:t>
      </w:r>
    </w:p>
    <w:p>
      <w:pPr>
        <w:pStyle w:val="BodyText"/>
        <w:spacing w:after="200" w:line="312" w:lineRule="auto"/>
        <w:jc w:val="both"/>
        <w:rPr>
          <w:rFonts w:ascii="Times New Roman" w:hAnsi="Times New Roman"/>
          <w:noProof/>
          <w:sz w:val="24"/>
        </w:rPr>
      </w:pPr>
      <w:r>
        <w:rPr>
          <w:rFonts w:ascii="Times New Roman" w:hAnsi="Times New Roman"/>
          <w:noProof/>
          <w:sz w:val="24"/>
        </w:rPr>
        <w:t xml:space="preserve">For information sources owned and managed by national administrations, preservation is a purely national matter. For information that is not strictly national, preservation becomes a European issue. In that case, an appropriate </w:t>
      </w:r>
      <w:r>
        <w:rPr>
          <w:rFonts w:ascii="Times New Roman" w:hAnsi="Times New Roman"/>
          <w:b/>
          <w:noProof/>
          <w:sz w:val="24"/>
        </w:rPr>
        <w:t>‘preservation policy’</w:t>
      </w:r>
      <w:r>
        <w:rPr>
          <w:rFonts w:ascii="Times New Roman" w:hAnsi="Times New Roman"/>
          <w:noProof/>
          <w:sz w:val="24"/>
        </w:rPr>
        <w:t xml:space="preserve"> should be applied by the Member States concerned, to cope with any difficulties arising if the relevant information is used under different jurisdictions.</w:t>
      </w:r>
    </w:p>
    <w:p>
      <w:pPr>
        <w:pStyle w:val="BodyText"/>
        <w:rPr>
          <w:rFonts w:ascii="Times New Roman" w:hAnsi="Times New Roman"/>
          <w:noProof/>
        </w:rPr>
      </w:pPr>
      <w:r>
        <w:rPr>
          <w:rFonts w:ascii="Times New Roman" w:hAnsi="Times New Roman"/>
          <w:noProof/>
          <w:lang w:val="en-US" w:eastAsia="en-US"/>
        </w:rPr>
        <mc:AlternateContent>
          <mc:Choice Requires="wps">
            <w:drawing>
              <wp:inline distT="0" distB="0" distL="0" distR="0">
                <wp:extent cx="5624195" cy="874643"/>
                <wp:effectExtent l="57150" t="38100" r="52705" b="78105"/>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874643"/>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18:</w:t>
                            </w:r>
                          </w:p>
                          <w:p>
                            <w:pPr>
                              <w:ind w:left="142"/>
                              <w:jc w:val="both"/>
                              <w:rPr>
                                <w:rFonts w:ascii="Corbel" w:hAnsi="Corbel"/>
                                <w:b/>
                                <w:sz w:val="24"/>
                              </w:rPr>
                            </w:pPr>
                            <w:r>
                              <w:rPr>
                                <w:rFonts w:ascii="Corbel" w:hAnsi="Corbel"/>
                                <w:b/>
                                <w:sz w:val="24"/>
                              </w:rPr>
                              <w:t>Formulate a long-term preservation policy for information related to European public services and especially for information that is exchanged across borders.</w:t>
                            </w:r>
                          </w:p>
                        </w:txbxContent>
                      </wps:txbx>
                      <wps:bodyPr rot="0" vert="horz" wrap="square" lIns="91440" tIns="45720" rIns="91440" bIns="45720" anchor="t" anchorCtr="0">
                        <a:noAutofit/>
                      </wps:bodyPr>
                    </wps:wsp>
                  </a:graphicData>
                </a:graphic>
              </wp:inline>
            </w:drawing>
          </mc:Choice>
          <mc:Fallback>
            <w:pict>
              <v:shape id="_x0000_s1043" type="#_x0000_t202" style="width:442.85pt;height:6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18:</w:t>
                      </w:r>
                    </w:p>
                    <w:p>
                      <w:pPr>
                        <w:ind w:left="142"/>
                        <w:jc w:val="both"/>
                        <w:rPr>
                          <w:rFonts w:ascii="Corbel" w:hAnsi="Corbel"/>
                          <w:b/>
                          <w:sz w:val="24"/>
                        </w:rPr>
                      </w:pPr>
                      <w:r>
                        <w:rPr>
                          <w:rFonts w:ascii="Corbel" w:hAnsi="Corbel"/>
                          <w:b/>
                          <w:sz w:val="24"/>
                        </w:rPr>
                        <w:t>Formulate a long-term preservation policy for information related to European public services and especially for information that is exchanged across borders.</w:t>
                      </w:r>
                    </w:p>
                  </w:txbxContent>
                </v:textbox>
                <w10:anchorlock/>
              </v:shape>
            </w:pict>
          </mc:Fallback>
        </mc:AlternateContent>
      </w:r>
    </w:p>
    <w:p>
      <w:pPr>
        <w:pStyle w:val="Heading2"/>
        <w:rPr>
          <w:noProof/>
        </w:rPr>
      </w:pPr>
      <w:bookmarkStart w:id="519" w:name="_Toc438141514"/>
      <w:bookmarkStart w:id="520" w:name="_Toc438141515"/>
      <w:bookmarkStart w:id="521" w:name="_Toc437871588"/>
      <w:bookmarkStart w:id="522" w:name="_Toc437871705"/>
      <w:bookmarkStart w:id="523" w:name="_Toc437871822"/>
      <w:bookmarkStart w:id="524" w:name="_Toc437871939"/>
      <w:bookmarkStart w:id="525" w:name="_Toc437872055"/>
      <w:bookmarkStart w:id="526" w:name="_Toc437872172"/>
      <w:bookmarkStart w:id="527" w:name="_Toc438118882"/>
      <w:bookmarkStart w:id="528" w:name="_Toc438125457"/>
      <w:bookmarkStart w:id="529" w:name="_Toc438134944"/>
      <w:bookmarkStart w:id="530" w:name="_Toc438136305"/>
      <w:bookmarkStart w:id="531" w:name="_Toc438141516"/>
      <w:bookmarkStart w:id="532" w:name="_Toc242617126"/>
      <w:bookmarkStart w:id="533" w:name="_Toc454188982"/>
      <w:bookmarkStart w:id="534" w:name="_Toc454196231"/>
      <w:bookmarkStart w:id="535" w:name="_Toc469580876"/>
      <w:bookmarkStart w:id="536" w:name="_Toc469902801"/>
      <w:bookmarkStart w:id="537" w:name="_Toc199047207"/>
      <w:bookmarkStart w:id="538" w:name="_Toc199672103"/>
      <w:bookmarkStart w:id="539" w:name="_Toc199932906"/>
      <w:bookmarkStart w:id="540" w:name="_Toc200537590"/>
      <w:bookmarkStart w:id="541" w:name="_Toc202927911"/>
      <w:bookmarkStart w:id="542" w:name="_Toc221008044"/>
      <w:bookmarkEnd w:id="519"/>
      <w:bookmarkEnd w:id="520"/>
      <w:bookmarkEnd w:id="521"/>
      <w:bookmarkEnd w:id="522"/>
      <w:bookmarkEnd w:id="523"/>
      <w:bookmarkEnd w:id="524"/>
      <w:bookmarkEnd w:id="525"/>
      <w:bookmarkEnd w:id="526"/>
      <w:bookmarkEnd w:id="527"/>
      <w:bookmarkEnd w:id="528"/>
      <w:bookmarkEnd w:id="529"/>
      <w:bookmarkEnd w:id="530"/>
      <w:bookmarkEnd w:id="531"/>
      <w:r>
        <w:rPr>
          <w:noProof/>
        </w:rPr>
        <w:t>Underlying principle 12: assessment of effectiveness and efficiency</w:t>
      </w:r>
      <w:bookmarkEnd w:id="532"/>
      <w:bookmarkEnd w:id="533"/>
      <w:bookmarkEnd w:id="534"/>
      <w:bookmarkEnd w:id="535"/>
      <w:bookmarkEnd w:id="536"/>
    </w:p>
    <w:p>
      <w:pPr>
        <w:pStyle w:val="BodyText"/>
        <w:spacing w:after="200" w:line="312" w:lineRule="auto"/>
        <w:jc w:val="both"/>
        <w:rPr>
          <w:rFonts w:ascii="Times New Roman" w:hAnsi="Times New Roman"/>
          <w:noProof/>
          <w:sz w:val="24"/>
        </w:rPr>
      </w:pPr>
      <w:r>
        <w:rPr>
          <w:rFonts w:ascii="Times New Roman" w:hAnsi="Times New Roman"/>
          <w:noProof/>
          <w:sz w:val="24"/>
        </w:rPr>
        <w:t>There are many ways to take stock of the value of interoperable European public services, including considerations such as return on investment, total cost of ownership, level of flexibility and adaptability, reduced administrative burden, efficiency, reduced risk, transparency, simplification, improved working methods, and level of user satisfaction.</w:t>
      </w:r>
    </w:p>
    <w:p>
      <w:pPr>
        <w:pStyle w:val="BodyText"/>
        <w:spacing w:after="200" w:line="312" w:lineRule="auto"/>
        <w:jc w:val="both"/>
        <w:rPr>
          <w:rFonts w:ascii="Times New Roman" w:hAnsi="Times New Roman"/>
          <w:noProof/>
          <w:sz w:val="24"/>
        </w:rPr>
      </w:pPr>
      <w:r>
        <w:rPr>
          <w:rFonts w:ascii="Times New Roman" w:hAnsi="Times New Roman"/>
          <w:noProof/>
          <w:sz w:val="24"/>
        </w:rPr>
        <w:t>Various technological solutions</w:t>
      </w:r>
      <w:r>
        <w:rPr>
          <w:rStyle w:val="FootnoteReference"/>
          <w:rFonts w:ascii="Times New Roman" w:hAnsi="Times New Roman"/>
          <w:noProof/>
          <w:sz w:val="24"/>
        </w:rPr>
        <w:footnoteReference w:id="19"/>
      </w:r>
      <w:r>
        <w:rPr>
          <w:rFonts w:ascii="Times New Roman" w:hAnsi="Times New Roman"/>
          <w:noProof/>
          <w:sz w:val="24"/>
        </w:rPr>
        <w:t xml:space="preserve"> should be evaluated when striving to ensure the effectiveness and efficiency of a European public service.</w:t>
      </w:r>
    </w:p>
    <w:p>
      <w:pPr>
        <w:pStyle w:val="BodyText"/>
        <w:spacing w:after="200" w:line="312" w:lineRule="auto"/>
        <w:jc w:val="both"/>
        <w:rPr>
          <w:rFonts w:ascii="Times New Roman" w:hAnsi="Times New Roman"/>
          <w:noProof/>
        </w:rPr>
      </w:pPr>
      <w:r>
        <w:rPr>
          <w:rFonts w:ascii="Times New Roman" w:hAnsi="Times New Roman"/>
          <w:noProof/>
          <w:lang w:val="en-US" w:eastAsia="en-US"/>
        </w:rPr>
        <mc:AlternateContent>
          <mc:Choice Requires="wps">
            <w:drawing>
              <wp:inline distT="0" distB="0" distL="0" distR="0">
                <wp:extent cx="5633049" cy="1017767"/>
                <wp:effectExtent l="57150" t="38100" r="63500" b="68580"/>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49" cy="1017767"/>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19:</w:t>
                            </w:r>
                          </w:p>
                          <w:p>
                            <w:pPr>
                              <w:ind w:left="142"/>
                              <w:jc w:val="both"/>
                              <w:rPr>
                                <w:rFonts w:ascii="Corbel" w:hAnsi="Corbel"/>
                                <w:b/>
                                <w:sz w:val="24"/>
                              </w:rPr>
                            </w:pPr>
                            <w:r>
                              <w:rPr>
                                <w:rFonts w:ascii="Corbel" w:hAnsi="Corbel"/>
                                <w:b/>
                                <w:sz w:val="24"/>
                              </w:rPr>
                              <w:t>Evaluate the effectiveness and efficiency of different interoperability solutions and technological options considering user needs, proportionality and balance between costs and benefits.</w:t>
                            </w:r>
                          </w:p>
                        </w:txbxContent>
                      </wps:txbx>
                      <wps:bodyPr rot="0" vert="horz" wrap="square" lIns="91440" tIns="45720" rIns="91440" bIns="45720" anchor="t" anchorCtr="0">
                        <a:noAutofit/>
                      </wps:bodyPr>
                    </wps:wsp>
                  </a:graphicData>
                </a:graphic>
              </wp:inline>
            </w:drawing>
          </mc:Choice>
          <mc:Fallback>
            <w:pict>
              <v:shape id="_x0000_s1044" type="#_x0000_t202" style="width:443.5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19:</w:t>
                      </w:r>
                    </w:p>
                    <w:p>
                      <w:pPr>
                        <w:ind w:left="142"/>
                        <w:jc w:val="both"/>
                        <w:rPr>
                          <w:rFonts w:ascii="Corbel" w:hAnsi="Corbel"/>
                          <w:b/>
                          <w:sz w:val="24"/>
                        </w:rPr>
                      </w:pPr>
                      <w:r>
                        <w:rPr>
                          <w:rFonts w:ascii="Corbel" w:hAnsi="Corbel"/>
                          <w:b/>
                          <w:sz w:val="24"/>
                        </w:rPr>
                        <w:t>Evaluate the effectiveness and efficiency of different interoperability solutions and technological options considering user needs, proportionality and balance between costs and benefits.</w:t>
                      </w:r>
                    </w:p>
                  </w:txbxContent>
                </v:textbox>
                <w10:anchorlock/>
              </v:shape>
            </w:pict>
          </mc:Fallback>
        </mc:AlternateContent>
      </w:r>
    </w:p>
    <w:p>
      <w:pPr>
        <w:pStyle w:val="Heading1"/>
        <w:pageBreakBefore w:val="0"/>
        <w:numPr>
          <w:ilvl w:val="0"/>
          <w:numId w:val="1"/>
        </w:numPr>
        <w:tabs>
          <w:tab w:val="clear" w:pos="851"/>
          <w:tab w:val="clear" w:pos="2133"/>
        </w:tabs>
        <w:spacing w:after="240" w:line="240" w:lineRule="auto"/>
        <w:ind w:left="567" w:hanging="567"/>
        <w:jc w:val="both"/>
        <w:rPr>
          <w:smallCaps/>
          <w:noProof/>
          <w:kern w:val="0"/>
          <w:lang w:eastAsia="en-US"/>
        </w:rPr>
      </w:pPr>
      <w:bookmarkStart w:id="543" w:name="_The_conceptual_model"/>
      <w:bookmarkStart w:id="544" w:name="_Toc454188983"/>
      <w:bookmarkStart w:id="545" w:name="_Toc454196232"/>
      <w:bookmarkStart w:id="546" w:name="_Toc469580877"/>
      <w:bookmarkStart w:id="547" w:name="_Toc469902802"/>
      <w:bookmarkStart w:id="548" w:name="_Toc242617127"/>
      <w:bookmarkStart w:id="549" w:name="_Toc206991702"/>
      <w:bookmarkStart w:id="550" w:name="_Ref208990185"/>
      <w:bookmarkStart w:id="551" w:name="_Ref208990188"/>
      <w:bookmarkStart w:id="552" w:name="_Ref208990191"/>
      <w:bookmarkStart w:id="553" w:name="_Toc222041045"/>
      <w:bookmarkStart w:id="554" w:name="_Toc183409679"/>
      <w:bookmarkStart w:id="555" w:name="_Toc196627250"/>
      <w:bookmarkStart w:id="556" w:name="_Toc197758895"/>
      <w:bookmarkStart w:id="557" w:name="_Toc199672154"/>
      <w:bookmarkStart w:id="558" w:name="_Toc199932963"/>
      <w:bookmarkStart w:id="559" w:name="_Toc200537653"/>
      <w:bookmarkStart w:id="560" w:name="_Ref201361361"/>
      <w:bookmarkStart w:id="561" w:name="_Ref201361365"/>
      <w:bookmarkStart w:id="562" w:name="_Ref201361367"/>
      <w:bookmarkStart w:id="563" w:name="_Toc202927918"/>
      <w:bookmarkStart w:id="564" w:name="_Toc202951304"/>
      <w:bookmarkStart w:id="565" w:name="_Toc202951782"/>
      <w:bookmarkStart w:id="566" w:name="_Ref203621147"/>
      <w:bookmarkStart w:id="567" w:name="_Ref203625694"/>
      <w:bookmarkStart w:id="568" w:name="_Ref203625713"/>
      <w:bookmarkStart w:id="569" w:name="_Ref203817618"/>
      <w:bookmarkStart w:id="570" w:name="_Ref203882702"/>
      <w:bookmarkStart w:id="571" w:name="_Toc206470456"/>
      <w:bookmarkStart w:id="572" w:name="_Toc197758860"/>
      <w:bookmarkStart w:id="573" w:name="_Toc199672112"/>
      <w:bookmarkStart w:id="574" w:name="_Toc199932916"/>
      <w:bookmarkStart w:id="575" w:name="_Toc200537600"/>
      <w:bookmarkStart w:id="576" w:name="_Toc202927915"/>
      <w:bookmarkStart w:id="577" w:name="_Ref203625575"/>
      <w:bookmarkStart w:id="578" w:name="_Ref203625608"/>
      <w:bookmarkStart w:id="579" w:name="_Ref203882683"/>
      <w:bookmarkStart w:id="580" w:name="_Toc206470455"/>
      <w:bookmarkStart w:id="581" w:name="_Toc223876736"/>
      <w:bookmarkEnd w:id="537"/>
      <w:bookmarkEnd w:id="538"/>
      <w:bookmarkEnd w:id="539"/>
      <w:bookmarkEnd w:id="540"/>
      <w:bookmarkEnd w:id="541"/>
      <w:bookmarkEnd w:id="542"/>
      <w:bookmarkEnd w:id="543"/>
      <w:r>
        <w:rPr>
          <w:smallCaps/>
          <w:noProof/>
          <w:kern w:val="0"/>
          <w:lang w:eastAsia="en-US"/>
        </w:rPr>
        <w:t>Interoperability layers</w:t>
      </w:r>
      <w:bookmarkEnd w:id="544"/>
      <w:bookmarkEnd w:id="545"/>
      <w:bookmarkEnd w:id="546"/>
      <w:bookmarkEnd w:id="547"/>
    </w:p>
    <w:p>
      <w:pPr>
        <w:spacing w:after="200" w:line="312" w:lineRule="auto"/>
        <w:jc w:val="both"/>
        <w:rPr>
          <w:rFonts w:ascii="Times New Roman" w:hAnsi="Times New Roman"/>
          <w:noProof/>
          <w:sz w:val="24"/>
        </w:rPr>
      </w:pPr>
      <w:r>
        <w:rPr>
          <w:rFonts w:ascii="Times New Roman" w:hAnsi="Times New Roman"/>
          <w:noProof/>
          <w:sz w:val="24"/>
        </w:rPr>
        <w:t xml:space="preserve">This chapter describes an </w:t>
      </w:r>
      <w:r>
        <w:rPr>
          <w:rFonts w:ascii="Times New Roman" w:hAnsi="Times New Roman"/>
          <w:b/>
          <w:i/>
          <w:noProof/>
          <w:sz w:val="24"/>
        </w:rPr>
        <w:t>interoperability model</w:t>
      </w:r>
      <w:r>
        <w:rPr>
          <w:rFonts w:ascii="Times New Roman" w:hAnsi="Times New Roman"/>
          <w:noProof/>
          <w:sz w:val="24"/>
        </w:rPr>
        <w:t xml:space="preserve"> which is applicable to all digital public services and may also be considered as an integral element of the </w:t>
      </w:r>
      <w:r>
        <w:rPr>
          <w:rFonts w:ascii="Times New Roman" w:hAnsi="Times New Roman"/>
          <w:b/>
          <w:iCs/>
          <w:noProof/>
          <w:color w:val="000000" w:themeColor="text1"/>
          <w:sz w:val="24"/>
        </w:rPr>
        <w:t>interoperability-by-design</w:t>
      </w:r>
      <w:r>
        <w:rPr>
          <w:rFonts w:ascii="Times New Roman" w:hAnsi="Times New Roman"/>
          <w:noProof/>
          <w:color w:val="000000" w:themeColor="text1"/>
          <w:sz w:val="24"/>
        </w:rPr>
        <w:t xml:space="preserve"> </w:t>
      </w:r>
      <w:r>
        <w:rPr>
          <w:rFonts w:ascii="Times New Roman" w:hAnsi="Times New Roman"/>
          <w:noProof/>
          <w:sz w:val="24"/>
        </w:rPr>
        <w:t>paradigm. It includes:</w:t>
      </w:r>
    </w:p>
    <w:p>
      <w:pPr>
        <w:pStyle w:val="BodyText"/>
        <w:numPr>
          <w:ilvl w:val="0"/>
          <w:numId w:val="117"/>
        </w:numPr>
        <w:tabs>
          <w:tab w:val="left" w:pos="5944"/>
        </w:tabs>
        <w:spacing w:before="120" w:after="120" w:line="312" w:lineRule="auto"/>
        <w:ind w:left="714" w:hanging="357"/>
        <w:jc w:val="both"/>
        <w:rPr>
          <w:rFonts w:ascii="Times New Roman" w:hAnsi="Times New Roman"/>
          <w:noProof/>
          <w:sz w:val="24"/>
        </w:rPr>
      </w:pPr>
      <w:r>
        <w:rPr>
          <w:rFonts w:ascii="Times New Roman" w:hAnsi="Times New Roman"/>
          <w:b/>
          <w:noProof/>
          <w:sz w:val="24"/>
        </w:rPr>
        <w:t>four layers</w:t>
      </w:r>
      <w:r>
        <w:rPr>
          <w:rFonts w:ascii="Times New Roman" w:hAnsi="Times New Roman"/>
          <w:noProof/>
          <w:sz w:val="24"/>
        </w:rPr>
        <w:t xml:space="preserve"> of interoperability:  legal, organisational, semantic and technical;</w:t>
      </w:r>
    </w:p>
    <w:p>
      <w:pPr>
        <w:pStyle w:val="BodyText"/>
        <w:numPr>
          <w:ilvl w:val="0"/>
          <w:numId w:val="117"/>
        </w:numPr>
        <w:tabs>
          <w:tab w:val="left" w:pos="5944"/>
        </w:tabs>
        <w:spacing w:before="120" w:after="120" w:line="312" w:lineRule="auto"/>
        <w:ind w:left="714" w:hanging="357"/>
        <w:jc w:val="both"/>
        <w:rPr>
          <w:rFonts w:ascii="Times New Roman" w:hAnsi="Times New Roman"/>
          <w:noProof/>
          <w:sz w:val="24"/>
        </w:rPr>
      </w:pPr>
      <w:r>
        <w:rPr>
          <w:rFonts w:ascii="Times New Roman" w:hAnsi="Times New Roman"/>
          <w:noProof/>
          <w:sz w:val="24"/>
        </w:rPr>
        <w:t>a cross-cutting component of the four layers, ‘</w:t>
      </w:r>
      <w:r>
        <w:rPr>
          <w:rFonts w:ascii="Times New Roman" w:hAnsi="Times New Roman"/>
          <w:b/>
          <w:noProof/>
          <w:sz w:val="24"/>
        </w:rPr>
        <w:t>integrated public service governance</w:t>
      </w:r>
      <w:r>
        <w:rPr>
          <w:rFonts w:ascii="Times New Roman" w:hAnsi="Times New Roman"/>
          <w:noProof/>
          <w:sz w:val="24"/>
        </w:rPr>
        <w:t>’;</w:t>
      </w:r>
    </w:p>
    <w:p>
      <w:pPr>
        <w:pStyle w:val="BodyText"/>
        <w:numPr>
          <w:ilvl w:val="0"/>
          <w:numId w:val="117"/>
        </w:numPr>
        <w:tabs>
          <w:tab w:val="left" w:pos="5944"/>
        </w:tabs>
        <w:spacing w:before="120" w:after="120" w:line="312" w:lineRule="auto"/>
        <w:ind w:left="714" w:hanging="357"/>
        <w:jc w:val="both"/>
        <w:rPr>
          <w:rFonts w:ascii="Times New Roman" w:hAnsi="Times New Roman"/>
          <w:noProof/>
          <w:sz w:val="24"/>
        </w:rPr>
      </w:pPr>
      <w:r>
        <w:rPr>
          <w:rFonts w:ascii="Times New Roman" w:hAnsi="Times New Roman"/>
          <w:noProof/>
          <w:sz w:val="24"/>
        </w:rPr>
        <w:t>a background layer, ‘</w:t>
      </w:r>
      <w:r>
        <w:rPr>
          <w:rFonts w:ascii="Times New Roman" w:hAnsi="Times New Roman"/>
          <w:b/>
          <w:noProof/>
          <w:sz w:val="24"/>
        </w:rPr>
        <w:t>interoperability governance</w:t>
      </w:r>
      <w:r>
        <w:rPr>
          <w:rFonts w:ascii="Times New Roman" w:hAnsi="Times New Roman"/>
          <w:noProof/>
          <w:sz w:val="24"/>
        </w:rPr>
        <w:t>’.</w:t>
      </w:r>
    </w:p>
    <w:p>
      <w:pPr>
        <w:spacing w:before="120" w:after="200" w:line="312" w:lineRule="auto"/>
        <w:jc w:val="both"/>
        <w:rPr>
          <w:rFonts w:ascii="Times New Roman" w:hAnsi="Times New Roman"/>
          <w:noProof/>
          <w:sz w:val="24"/>
        </w:rPr>
      </w:pPr>
      <w:r>
        <w:rPr>
          <w:rFonts w:ascii="Times New Roman" w:hAnsi="Times New Roman"/>
          <w:noProof/>
          <w:sz w:val="24"/>
        </w:rPr>
        <w:t>The model is depicted below:</w:t>
      </w:r>
    </w:p>
    <w:p>
      <w:pPr>
        <w:pStyle w:val="Caption"/>
        <w:spacing w:before="0" w:after="120" w:line="360" w:lineRule="auto"/>
        <w:rPr>
          <w:noProof/>
        </w:rPr>
      </w:pPr>
      <w:bookmarkStart w:id="582" w:name="_Toc469580892"/>
      <w:bookmarkStart w:id="583" w:name="_Toc469902818"/>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Interoperability model</w:t>
      </w:r>
      <w:bookmarkEnd w:id="582"/>
      <w:bookmarkEnd w:id="583"/>
    </w:p>
    <w:p>
      <w:pPr>
        <w:spacing w:before="120"/>
        <w:jc w:val="center"/>
        <w:rPr>
          <w:rFonts w:ascii="Times New Roman" w:hAnsi="Times New Roman"/>
          <w:noProof/>
        </w:rPr>
      </w:pPr>
      <w:r>
        <w:rPr>
          <w:rFonts w:ascii="Times New Roman" w:hAnsi="Times New Roman"/>
          <w:noProof/>
          <w:lang w:val="en-US" w:eastAsia="en-US"/>
        </w:rPr>
        <w:drawing>
          <wp:inline distT="0" distB="0" distL="0" distR="0">
            <wp:extent cx="5758815" cy="3239651"/>
            <wp:effectExtent l="0" t="0" r="0" b="0"/>
            <wp:docPr id="3" name="Picture 3" descr="C:\Users\gatteco\AppData\Local\Microsoft\Windows\Temporary Internet Files\Content.Outlook\BSE5B81O\SLIDE CE DEF B-N_Interoperability Govern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tteco\AppData\Local\Microsoft\Windows\Temporary Internet Files\Content.Outlook\BSE5B81O\SLIDE CE DEF B-N_Interoperability Governanc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8815" cy="3239651"/>
                    </a:xfrm>
                    <a:prstGeom prst="rect">
                      <a:avLst/>
                    </a:prstGeom>
                    <a:noFill/>
                    <a:ln>
                      <a:noFill/>
                    </a:ln>
                  </pic:spPr>
                </pic:pic>
              </a:graphicData>
            </a:graphic>
          </wp:inline>
        </w:drawing>
      </w:r>
    </w:p>
    <w:p>
      <w:pPr>
        <w:pStyle w:val="Heading2"/>
        <w:rPr>
          <w:noProof/>
        </w:rPr>
      </w:pPr>
      <w:bookmarkStart w:id="584" w:name="_Toc454188985"/>
      <w:bookmarkStart w:id="585" w:name="_Toc454196234"/>
      <w:bookmarkStart w:id="586" w:name="_Toc469580878"/>
      <w:bookmarkStart w:id="587" w:name="_Toc469902803"/>
      <w:r>
        <w:rPr>
          <w:noProof/>
        </w:rPr>
        <w:t>Interoperability governance</w:t>
      </w:r>
      <w:bookmarkEnd w:id="584"/>
      <w:bookmarkEnd w:id="585"/>
      <w:bookmarkEnd w:id="586"/>
      <w:bookmarkEnd w:id="587"/>
    </w:p>
    <w:p>
      <w:pPr>
        <w:pStyle w:val="BodyText"/>
        <w:spacing w:after="200" w:line="312" w:lineRule="auto"/>
        <w:jc w:val="both"/>
        <w:rPr>
          <w:rFonts w:ascii="Times New Roman" w:hAnsi="Times New Roman"/>
          <w:noProof/>
          <w:sz w:val="24"/>
        </w:rPr>
      </w:pPr>
      <w:r>
        <w:rPr>
          <w:rFonts w:ascii="Times New Roman" w:hAnsi="Times New Roman"/>
          <w:noProof/>
          <w:sz w:val="24"/>
        </w:rPr>
        <w:t>Interoperability governance refers to decisions on interoperability frameworks, institutional arrangements, organisational structures, roles and responsibilities, policies, agreements and other aspects of ensuring and monitoring interoperability at national and EU levels.</w:t>
      </w:r>
    </w:p>
    <w:p>
      <w:pPr>
        <w:pStyle w:val="BodyText"/>
        <w:spacing w:after="200" w:line="312" w:lineRule="auto"/>
        <w:jc w:val="both"/>
        <w:rPr>
          <w:rFonts w:ascii="Times New Roman" w:hAnsi="Times New Roman"/>
          <w:noProof/>
          <w:sz w:val="24"/>
        </w:rPr>
      </w:pPr>
      <w:r>
        <w:rPr>
          <w:rFonts w:ascii="Times New Roman" w:hAnsi="Times New Roman"/>
          <w:noProof/>
          <w:sz w:val="24"/>
        </w:rPr>
        <w:t>The European interoperability framework, the Interoperability Action Plan (Annex 1 to the Communication) and the European interoperability architecture (EIRA) are important parts of interoperability governance at the EU level.</w:t>
      </w:r>
    </w:p>
    <w:p>
      <w:pPr>
        <w:pStyle w:val="BodyText"/>
        <w:spacing w:after="200" w:line="312" w:lineRule="auto"/>
        <w:jc w:val="both"/>
        <w:rPr>
          <w:rFonts w:ascii="Times New Roman" w:hAnsi="Times New Roman"/>
          <w:noProof/>
          <w:sz w:val="24"/>
        </w:rPr>
      </w:pPr>
      <w:r>
        <w:rPr>
          <w:rFonts w:ascii="Times New Roman" w:hAnsi="Times New Roman"/>
          <w:noProof/>
          <w:sz w:val="24"/>
        </w:rPr>
        <w:t>The INSPIRE Directive is an important domain-specific illustration</w:t>
      </w:r>
      <w:r>
        <w:rPr>
          <w:rStyle w:val="FootnoteReference"/>
          <w:rFonts w:ascii="Times New Roman" w:hAnsi="Times New Roman"/>
          <w:noProof/>
          <w:sz w:val="24"/>
        </w:rPr>
        <w:footnoteReference w:id="20"/>
      </w:r>
      <w:r>
        <w:rPr>
          <w:rFonts w:ascii="Times New Roman" w:hAnsi="Times New Roman"/>
          <w:noProof/>
          <w:sz w:val="24"/>
        </w:rPr>
        <w:t xml:space="preserve"> of an interoperability framework including legal interoperability, coordination structures and technical interoperability arrangements.</w:t>
      </w:r>
    </w:p>
    <w:p>
      <w:pPr>
        <w:pStyle w:val="BodyText"/>
        <w:spacing w:after="200" w:line="312" w:lineRule="auto"/>
        <w:jc w:val="both"/>
        <w:rPr>
          <w:rFonts w:ascii="Times New Roman" w:hAnsi="Times New Roman"/>
          <w:noProof/>
          <w:sz w:val="24"/>
        </w:rPr>
      </w:pPr>
      <w:r>
        <w:rPr>
          <w:rFonts w:ascii="Times New Roman" w:hAnsi="Times New Roman"/>
          <w:noProof/>
          <w:sz w:val="24"/>
        </w:rPr>
        <w:t>European public services operate in a complex and changing environment. Political support is necessary for cross-sectoral and/or cross-border interoperability efforts to facilitate cooperation between public administrations.</w:t>
      </w:r>
      <w:r>
        <w:rPr>
          <w:rStyle w:val="FootnoteReference"/>
          <w:rFonts w:ascii="Times New Roman" w:eastAsia="MS Mincho" w:hAnsi="Times New Roman"/>
          <w:noProof/>
          <w:sz w:val="24"/>
        </w:rPr>
        <w:footnoteReference w:id="21"/>
      </w:r>
      <w:r>
        <w:rPr>
          <w:rFonts w:ascii="Times New Roman" w:hAnsi="Times New Roman"/>
          <w:noProof/>
          <w:sz w:val="24"/>
        </w:rPr>
        <w:t xml:space="preserve"> For effective cooperation, all stakeholders must share a vision, agree on objectives and timeframes and align priorities. Interoperability between public administrations at different administrative levels will only be successful if governments give sufficient priority and assign resources to their respective interoperability efforts.</w:t>
      </w:r>
      <w:r>
        <w:rPr>
          <w:rStyle w:val="FootnoteReference"/>
          <w:rFonts w:ascii="Times New Roman" w:hAnsi="Times New Roman"/>
          <w:noProof/>
          <w:sz w:val="24"/>
        </w:rPr>
        <w:footnoteReference w:id="22"/>
      </w:r>
      <w:r>
        <w:rPr>
          <w:rFonts w:ascii="Times New Roman" w:hAnsi="Times New Roman"/>
          <w:noProof/>
          <w:sz w:val="24"/>
        </w:rPr>
        <w:t xml:space="preserve"> </w:t>
      </w:r>
    </w:p>
    <w:p>
      <w:pPr>
        <w:pStyle w:val="BodyText"/>
        <w:spacing w:after="200" w:line="312" w:lineRule="auto"/>
        <w:jc w:val="both"/>
        <w:rPr>
          <w:rFonts w:ascii="Times New Roman" w:hAnsi="Times New Roman"/>
          <w:noProof/>
          <w:sz w:val="24"/>
        </w:rPr>
      </w:pPr>
      <w:r>
        <w:rPr>
          <w:rFonts w:ascii="Times New Roman" w:hAnsi="Times New Roman"/>
          <w:noProof/>
          <w:sz w:val="24"/>
        </w:rPr>
        <w:t xml:space="preserve">The lack of the necessary in-house skill sets is another barrier to implementing interoperability policies. Member States should include interoperability skills in their interoperability strategies, acknowledging that interoperability is a multi-dimensional issue that needs awareness and skills in legal, organisational, semantic and technical.   </w:t>
      </w:r>
    </w:p>
    <w:p>
      <w:pPr>
        <w:pStyle w:val="BodyText"/>
        <w:spacing w:after="200" w:line="312" w:lineRule="auto"/>
        <w:jc w:val="both"/>
        <w:rPr>
          <w:rFonts w:ascii="Times New Roman" w:hAnsi="Times New Roman"/>
          <w:noProof/>
          <w:sz w:val="24"/>
        </w:rPr>
      </w:pPr>
      <w:r>
        <w:rPr>
          <w:rFonts w:ascii="Times New Roman" w:hAnsi="Times New Roman"/>
          <w:noProof/>
          <w:sz w:val="24"/>
        </w:rPr>
        <w:t>The implementation and delivery of a given European public service often relies on components that are common to many European public services. The sustainability of these components, which are covered by interoperability agreements reached outside the scope of a particular European public service, should be guaranteed over time. This is fundamental, as interoperability should be guaranteed in a sustainable way and not as a one-off target or project. As common components and interoperability agreements are the results of work done by public administrations at different levels (local, regional, national, and EU), coordination and monitoring requires a holistic approach.</w:t>
      </w:r>
    </w:p>
    <w:p>
      <w:pPr>
        <w:pStyle w:val="BodyText"/>
        <w:spacing w:after="200" w:line="312" w:lineRule="auto"/>
        <w:jc w:val="both"/>
        <w:rPr>
          <w:rFonts w:ascii="Times New Roman" w:hAnsi="Times New Roman"/>
          <w:noProof/>
          <w:sz w:val="24"/>
        </w:rPr>
      </w:pPr>
      <w:r>
        <w:rPr>
          <w:rFonts w:ascii="Times New Roman" w:eastAsia="MS Mincho" w:hAnsi="Times New Roman"/>
          <w:b/>
          <w:iCs/>
          <w:noProof/>
          <w:color w:val="000000" w:themeColor="text1"/>
          <w:sz w:val="24"/>
          <w:lang w:eastAsia="ja-JP"/>
        </w:rPr>
        <w:t>Interoperability governance</w:t>
      </w:r>
      <w:r>
        <w:rPr>
          <w:rFonts w:ascii="Times New Roman" w:hAnsi="Times New Roman"/>
          <w:noProof/>
          <w:color w:val="000000" w:themeColor="text1"/>
          <w:sz w:val="24"/>
        </w:rPr>
        <w:t xml:space="preserve"> </w:t>
      </w:r>
      <w:r>
        <w:rPr>
          <w:rFonts w:ascii="Times New Roman" w:hAnsi="Times New Roman"/>
          <w:noProof/>
          <w:sz w:val="24"/>
        </w:rPr>
        <w:t xml:space="preserve">is the key to a </w:t>
      </w:r>
      <w:r>
        <w:rPr>
          <w:rFonts w:ascii="Times New Roman" w:eastAsia="MS Mincho" w:hAnsi="Times New Roman"/>
          <w:b/>
          <w:iCs/>
          <w:noProof/>
          <w:color w:val="000000" w:themeColor="text1"/>
          <w:sz w:val="24"/>
          <w:lang w:eastAsia="ja-JP"/>
        </w:rPr>
        <w:t>holistic approach</w:t>
      </w:r>
      <w:r>
        <w:rPr>
          <w:rFonts w:ascii="Times New Roman" w:hAnsi="Times New Roman"/>
          <w:noProof/>
          <w:color w:val="000000" w:themeColor="text1"/>
          <w:sz w:val="24"/>
        </w:rPr>
        <w:t xml:space="preserve"> </w:t>
      </w:r>
      <w:r>
        <w:rPr>
          <w:rFonts w:ascii="Times New Roman" w:hAnsi="Times New Roman"/>
          <w:noProof/>
          <w:sz w:val="24"/>
        </w:rPr>
        <w:t>on interoperability, as it brings together all the instruments needed to apply it.</w:t>
      </w:r>
    </w:p>
    <w:p>
      <w:pPr>
        <w:pStyle w:val="BodyText"/>
        <w:spacing w:after="200" w:line="312" w:lineRule="auto"/>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607170" cy="826936"/>
                <wp:effectExtent l="57150" t="38100" r="50800" b="68580"/>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170" cy="826936"/>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20:</w:t>
                            </w:r>
                          </w:p>
                          <w:p>
                            <w:pPr>
                              <w:ind w:left="142"/>
                              <w:jc w:val="both"/>
                              <w:rPr>
                                <w:rFonts w:ascii="Corbel" w:hAnsi="Corbel"/>
                                <w:b/>
                                <w:sz w:val="24"/>
                              </w:rPr>
                            </w:pPr>
                            <w:r>
                              <w:rPr>
                                <w:rFonts w:ascii="Corbel" w:hAnsi="Corbel"/>
                                <w:b/>
                                <w:sz w:val="24"/>
                              </w:rPr>
                              <w:t>Ensure holistic governance of interoperability activities across administrative levels and sectors.</w:t>
                            </w:r>
                          </w:p>
                        </w:txbxContent>
                      </wps:txbx>
                      <wps:bodyPr rot="0" vert="horz" wrap="square" lIns="91440" tIns="45720" rIns="91440" bIns="45720" anchor="t" anchorCtr="0">
                        <a:noAutofit/>
                      </wps:bodyPr>
                    </wps:wsp>
                  </a:graphicData>
                </a:graphic>
              </wp:inline>
            </w:drawing>
          </mc:Choice>
          <mc:Fallback>
            <w:pict>
              <v:shape id="_x0000_s1045" type="#_x0000_t202" style="width:441.5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20:</w:t>
                      </w:r>
                    </w:p>
                    <w:p>
                      <w:pPr>
                        <w:ind w:left="142"/>
                        <w:jc w:val="both"/>
                        <w:rPr>
                          <w:rFonts w:ascii="Corbel" w:hAnsi="Corbel"/>
                          <w:b/>
                          <w:sz w:val="24"/>
                        </w:rPr>
                      </w:pPr>
                      <w:r>
                        <w:rPr>
                          <w:rFonts w:ascii="Corbel" w:hAnsi="Corbel"/>
                          <w:b/>
                          <w:sz w:val="24"/>
                        </w:rPr>
                        <w:t>Ensure holistic governance of interoperability activities across administrative levels and sectors.</w:t>
                      </w:r>
                    </w:p>
                  </w:txbxContent>
                </v:textbox>
                <w10:anchorlock/>
              </v:shape>
            </w:pict>
          </mc:Fallback>
        </mc:AlternateContent>
      </w:r>
    </w:p>
    <w:p>
      <w:pPr>
        <w:pStyle w:val="BodyText"/>
        <w:spacing w:before="240" w:after="200" w:line="312" w:lineRule="auto"/>
        <w:jc w:val="both"/>
        <w:rPr>
          <w:rFonts w:ascii="Times New Roman" w:hAnsi="Times New Roman"/>
          <w:noProof/>
          <w:sz w:val="24"/>
        </w:rPr>
      </w:pPr>
      <w:r>
        <w:rPr>
          <w:rFonts w:ascii="Times New Roman" w:hAnsi="Times New Roman"/>
          <w:noProof/>
          <w:sz w:val="24"/>
        </w:rPr>
        <w:t>Coordination, communication and monitoring are of the utmost importance for successful governance. The European Commission, through the ISA</w:t>
      </w:r>
      <w:r>
        <w:rPr>
          <w:rFonts w:ascii="Times New Roman" w:hAnsi="Times New Roman"/>
          <w:noProof/>
          <w:sz w:val="24"/>
          <w:vertAlign w:val="superscript"/>
        </w:rPr>
        <w:t>2</w:t>
      </w:r>
      <w:r>
        <w:rPr>
          <w:rFonts w:ascii="Times New Roman" w:hAnsi="Times New Roman"/>
          <w:noProof/>
          <w:sz w:val="24"/>
        </w:rPr>
        <w:t xml:space="preserve"> programme, supports a </w:t>
      </w:r>
      <w:r>
        <w:rPr>
          <w:rFonts w:ascii="Times New Roman" w:eastAsia="MS Mincho" w:hAnsi="Times New Roman"/>
          <w:b/>
          <w:iCs/>
          <w:noProof/>
          <w:color w:val="000000" w:themeColor="text1"/>
          <w:sz w:val="24"/>
          <w:lang w:eastAsia="ja-JP"/>
        </w:rPr>
        <w:t>National Interoperability Framework Observatory (NIFO).</w:t>
      </w:r>
      <w:r>
        <w:rPr>
          <w:rFonts w:ascii="Times New Roman" w:hAnsi="Times New Roman"/>
          <w:i/>
          <w:noProof/>
          <w:color w:val="000000" w:themeColor="text1"/>
          <w:sz w:val="24"/>
        </w:rPr>
        <w:t xml:space="preserve"> </w:t>
      </w:r>
      <w:r>
        <w:rPr>
          <w:rFonts w:ascii="Times New Roman" w:hAnsi="Times New Roman"/>
          <w:noProof/>
          <w:sz w:val="24"/>
        </w:rPr>
        <w:t xml:space="preserve">Its main objective is to provide information about NIFs and related interoperability and digital strategies/policies, to help public administrations share and reuse experiences and to support the </w:t>
      </w:r>
      <w:r>
        <w:rPr>
          <w:rFonts w:ascii="Times New Roman" w:hAnsi="Times New Roman"/>
          <w:b/>
          <w:noProof/>
          <w:sz w:val="24"/>
        </w:rPr>
        <w:t>‘transposition’</w:t>
      </w:r>
      <w:r>
        <w:rPr>
          <w:rFonts w:ascii="Times New Roman" w:hAnsi="Times New Roman"/>
          <w:noProof/>
          <w:sz w:val="24"/>
        </w:rPr>
        <w:t xml:space="preserve"> of the EIF nationally. A NIF can be one or more documents that define frameworks, policies, strategies, guidelines and action plans on interoperability in a Member State.</w:t>
      </w:r>
    </w:p>
    <w:p>
      <w:pPr>
        <w:pStyle w:val="Heading3"/>
        <w:spacing w:after="200" w:line="312" w:lineRule="auto"/>
        <w:rPr>
          <w:noProof/>
        </w:rPr>
      </w:pPr>
      <w:bookmarkStart w:id="588" w:name="_Toc454188986"/>
      <w:bookmarkStart w:id="589" w:name="_Toc454196235"/>
      <w:bookmarkStart w:id="590" w:name="_Toc454198183"/>
      <w:r>
        <w:rPr>
          <w:noProof/>
        </w:rPr>
        <w:t>Identifying and selecting standards and specifications</w:t>
      </w:r>
      <w:bookmarkEnd w:id="588"/>
      <w:bookmarkEnd w:id="589"/>
      <w:bookmarkEnd w:id="590"/>
    </w:p>
    <w:p>
      <w:pPr>
        <w:pStyle w:val="BodyText"/>
        <w:tabs>
          <w:tab w:val="left" w:pos="5944"/>
        </w:tabs>
        <w:spacing w:after="200" w:line="312" w:lineRule="auto"/>
        <w:jc w:val="both"/>
        <w:rPr>
          <w:rFonts w:ascii="Times New Roman" w:hAnsi="Times New Roman"/>
          <w:noProof/>
          <w:sz w:val="24"/>
        </w:rPr>
      </w:pPr>
      <w:r>
        <w:rPr>
          <w:rFonts w:ascii="Times New Roman" w:hAnsi="Times New Roman"/>
          <w:noProof/>
          <w:sz w:val="24"/>
        </w:rPr>
        <w:t>Standards and specifications are fundamental to interoperability. There are six steps to managing them appropriately:</w:t>
      </w:r>
    </w:p>
    <w:p>
      <w:pPr>
        <w:pStyle w:val="BodyText"/>
        <w:numPr>
          <w:ilvl w:val="0"/>
          <w:numId w:val="118"/>
        </w:numPr>
        <w:tabs>
          <w:tab w:val="left" w:pos="5944"/>
        </w:tabs>
        <w:spacing w:before="120" w:after="120" w:line="312" w:lineRule="auto"/>
        <w:jc w:val="both"/>
        <w:rPr>
          <w:rFonts w:ascii="Times New Roman" w:hAnsi="Times New Roman"/>
          <w:noProof/>
          <w:sz w:val="24"/>
        </w:rPr>
      </w:pPr>
      <w:r>
        <w:rPr>
          <w:rFonts w:ascii="Times New Roman" w:eastAsia="MS Mincho" w:hAnsi="Times New Roman"/>
          <w:b/>
          <w:iCs/>
          <w:noProof/>
          <w:color w:val="000000" w:themeColor="text1"/>
          <w:sz w:val="24"/>
          <w:lang w:eastAsia="ja-JP"/>
        </w:rPr>
        <w:t>identifying</w:t>
      </w:r>
      <w:r>
        <w:rPr>
          <w:rFonts w:ascii="Times New Roman" w:hAnsi="Times New Roman"/>
          <w:noProof/>
          <w:color w:val="000000" w:themeColor="text1"/>
          <w:sz w:val="24"/>
        </w:rPr>
        <w:t xml:space="preserve"> </w:t>
      </w:r>
      <w:r>
        <w:rPr>
          <w:rFonts w:ascii="Times New Roman" w:hAnsi="Times New Roman"/>
          <w:noProof/>
          <w:sz w:val="24"/>
        </w:rPr>
        <w:t>candidate standards and specifications based upon specific needs and requirements;</w:t>
      </w:r>
    </w:p>
    <w:p>
      <w:pPr>
        <w:pStyle w:val="BodyText"/>
        <w:numPr>
          <w:ilvl w:val="0"/>
          <w:numId w:val="118"/>
        </w:numPr>
        <w:tabs>
          <w:tab w:val="left" w:pos="5944"/>
        </w:tabs>
        <w:spacing w:before="120" w:after="120" w:line="312" w:lineRule="auto"/>
        <w:jc w:val="both"/>
        <w:rPr>
          <w:rFonts w:ascii="Times New Roman" w:hAnsi="Times New Roman"/>
          <w:noProof/>
          <w:sz w:val="24"/>
        </w:rPr>
      </w:pPr>
      <w:r>
        <w:rPr>
          <w:rFonts w:ascii="Times New Roman" w:eastAsia="MS Mincho" w:hAnsi="Times New Roman"/>
          <w:b/>
          <w:iCs/>
          <w:noProof/>
          <w:color w:val="000000" w:themeColor="text1"/>
          <w:sz w:val="24"/>
          <w:lang w:eastAsia="ja-JP"/>
        </w:rPr>
        <w:t>assessing</w:t>
      </w:r>
      <w:r>
        <w:rPr>
          <w:rFonts w:ascii="Times New Roman" w:hAnsi="Times New Roman"/>
          <w:i/>
          <w:noProof/>
          <w:color w:val="000000" w:themeColor="text1"/>
          <w:sz w:val="24"/>
        </w:rPr>
        <w:t xml:space="preserve"> </w:t>
      </w:r>
      <w:r>
        <w:rPr>
          <w:rFonts w:ascii="Times New Roman" w:hAnsi="Times New Roman"/>
          <w:noProof/>
          <w:sz w:val="24"/>
        </w:rPr>
        <w:t>candidate standards and specifications using standardised, transparent, fair and non-discriminatory methods;</w:t>
      </w:r>
      <w:r>
        <w:rPr>
          <w:rStyle w:val="FootnoteReference"/>
          <w:rFonts w:ascii="Times New Roman" w:eastAsia="MS Mincho" w:hAnsi="Times New Roman"/>
          <w:noProof/>
          <w:sz w:val="24"/>
        </w:rPr>
        <w:footnoteReference w:id="23"/>
      </w:r>
    </w:p>
    <w:p>
      <w:pPr>
        <w:pStyle w:val="BodyText"/>
        <w:numPr>
          <w:ilvl w:val="0"/>
          <w:numId w:val="118"/>
        </w:numPr>
        <w:tabs>
          <w:tab w:val="left" w:pos="5944"/>
        </w:tabs>
        <w:spacing w:before="120" w:after="120" w:line="312" w:lineRule="auto"/>
        <w:jc w:val="both"/>
        <w:rPr>
          <w:rFonts w:ascii="Times New Roman" w:hAnsi="Times New Roman"/>
          <w:noProof/>
          <w:sz w:val="24"/>
        </w:rPr>
      </w:pPr>
      <w:r>
        <w:rPr>
          <w:rFonts w:ascii="Times New Roman" w:eastAsia="MS Mincho" w:hAnsi="Times New Roman"/>
          <w:b/>
          <w:iCs/>
          <w:noProof/>
          <w:color w:val="000000" w:themeColor="text1"/>
          <w:sz w:val="24"/>
          <w:lang w:eastAsia="ja-JP"/>
        </w:rPr>
        <w:t>implementing</w:t>
      </w:r>
      <w:r>
        <w:rPr>
          <w:rFonts w:ascii="Times New Roman" w:hAnsi="Times New Roman"/>
          <w:noProof/>
          <w:color w:val="000000" w:themeColor="text1"/>
          <w:sz w:val="24"/>
        </w:rPr>
        <w:t xml:space="preserve"> the standards and specifications </w:t>
      </w:r>
      <w:r>
        <w:rPr>
          <w:rFonts w:ascii="Times New Roman" w:hAnsi="Times New Roman"/>
          <w:noProof/>
          <w:sz w:val="24"/>
        </w:rPr>
        <w:t>according to plans and practical guidelines;</w:t>
      </w:r>
    </w:p>
    <w:p>
      <w:pPr>
        <w:pStyle w:val="BodyText"/>
        <w:numPr>
          <w:ilvl w:val="0"/>
          <w:numId w:val="118"/>
        </w:numPr>
        <w:tabs>
          <w:tab w:val="left" w:pos="5944"/>
        </w:tabs>
        <w:spacing w:before="120" w:after="120" w:line="312" w:lineRule="auto"/>
        <w:jc w:val="both"/>
        <w:rPr>
          <w:rFonts w:ascii="Times New Roman" w:hAnsi="Times New Roman"/>
          <w:noProof/>
          <w:sz w:val="24"/>
        </w:rPr>
      </w:pPr>
      <w:r>
        <w:rPr>
          <w:rFonts w:ascii="Times New Roman" w:eastAsia="MS Mincho" w:hAnsi="Times New Roman"/>
          <w:b/>
          <w:iCs/>
          <w:noProof/>
          <w:color w:val="000000" w:themeColor="text1"/>
          <w:sz w:val="24"/>
          <w:lang w:eastAsia="ja-JP"/>
        </w:rPr>
        <w:t>monitoring</w:t>
      </w:r>
      <w:r>
        <w:rPr>
          <w:rFonts w:ascii="Times New Roman" w:hAnsi="Times New Roman"/>
          <w:i/>
          <w:noProof/>
          <w:color w:val="000000" w:themeColor="text1"/>
          <w:sz w:val="24"/>
        </w:rPr>
        <w:t xml:space="preserve"> </w:t>
      </w:r>
      <w:r>
        <w:rPr>
          <w:rFonts w:ascii="Times New Roman" w:hAnsi="Times New Roman"/>
          <w:noProof/>
          <w:sz w:val="24"/>
        </w:rPr>
        <w:t>compliance</w:t>
      </w:r>
      <w:r>
        <w:rPr>
          <w:rStyle w:val="FootnoteReference"/>
          <w:rFonts w:ascii="Times New Roman" w:eastAsia="MS Mincho" w:hAnsi="Times New Roman"/>
          <w:noProof/>
          <w:sz w:val="24"/>
        </w:rPr>
        <w:footnoteReference w:id="24"/>
      </w:r>
      <w:r>
        <w:rPr>
          <w:rFonts w:ascii="Times New Roman" w:hAnsi="Times New Roman"/>
          <w:noProof/>
          <w:sz w:val="24"/>
        </w:rPr>
        <w:t xml:space="preserve"> with the standards and specifications;</w:t>
      </w:r>
    </w:p>
    <w:p>
      <w:pPr>
        <w:pStyle w:val="BodyText"/>
        <w:numPr>
          <w:ilvl w:val="0"/>
          <w:numId w:val="118"/>
        </w:numPr>
        <w:tabs>
          <w:tab w:val="left" w:pos="5944"/>
        </w:tabs>
        <w:spacing w:before="120" w:after="120" w:line="312" w:lineRule="auto"/>
        <w:jc w:val="both"/>
        <w:rPr>
          <w:rFonts w:ascii="Times New Roman" w:hAnsi="Times New Roman"/>
          <w:noProof/>
          <w:sz w:val="24"/>
        </w:rPr>
      </w:pPr>
      <w:r>
        <w:rPr>
          <w:rFonts w:ascii="Times New Roman" w:eastAsia="MS Mincho" w:hAnsi="Times New Roman"/>
          <w:b/>
          <w:iCs/>
          <w:noProof/>
          <w:color w:val="000000" w:themeColor="text1"/>
          <w:sz w:val="24"/>
          <w:lang w:eastAsia="ja-JP"/>
        </w:rPr>
        <w:t>managing change</w:t>
      </w:r>
      <w:r>
        <w:rPr>
          <w:rFonts w:ascii="Times New Roman" w:hAnsi="Times New Roman"/>
          <w:noProof/>
          <w:color w:val="000000" w:themeColor="text1"/>
          <w:sz w:val="24"/>
        </w:rPr>
        <w:t xml:space="preserve"> </w:t>
      </w:r>
      <w:r>
        <w:rPr>
          <w:rFonts w:ascii="Times New Roman" w:hAnsi="Times New Roman"/>
          <w:noProof/>
          <w:sz w:val="24"/>
        </w:rPr>
        <w:t>with appropriate procedures;</w:t>
      </w:r>
    </w:p>
    <w:p>
      <w:pPr>
        <w:pStyle w:val="BodyText"/>
        <w:numPr>
          <w:ilvl w:val="0"/>
          <w:numId w:val="118"/>
        </w:numPr>
        <w:tabs>
          <w:tab w:val="left" w:pos="5944"/>
        </w:tabs>
        <w:spacing w:before="120" w:after="120" w:line="312" w:lineRule="auto"/>
        <w:ind w:left="714" w:hanging="357"/>
        <w:jc w:val="both"/>
        <w:rPr>
          <w:rFonts w:ascii="Times New Roman" w:hAnsi="Times New Roman"/>
          <w:noProof/>
          <w:sz w:val="24"/>
        </w:rPr>
      </w:pPr>
      <w:r>
        <w:rPr>
          <w:rFonts w:ascii="Times New Roman" w:eastAsia="MS Mincho" w:hAnsi="Times New Roman"/>
          <w:b/>
          <w:iCs/>
          <w:noProof/>
          <w:color w:val="000000" w:themeColor="text1"/>
          <w:sz w:val="24"/>
          <w:lang w:eastAsia="ja-JP"/>
        </w:rPr>
        <w:t>documenting</w:t>
      </w:r>
      <w:r>
        <w:rPr>
          <w:rFonts w:ascii="Times New Roman" w:hAnsi="Times New Roman"/>
          <w:noProof/>
          <w:color w:val="000000" w:themeColor="text1"/>
          <w:sz w:val="24"/>
        </w:rPr>
        <w:t xml:space="preserve"> </w:t>
      </w:r>
      <w:r>
        <w:rPr>
          <w:rFonts w:ascii="Times New Roman" w:hAnsi="Times New Roman"/>
          <w:noProof/>
          <w:sz w:val="24"/>
        </w:rPr>
        <w:t xml:space="preserve">standards and specifications, </w:t>
      </w:r>
      <w:r>
        <w:rPr>
          <w:rFonts w:ascii="Times New Roman" w:hAnsi="Times New Roman"/>
          <w:noProof/>
          <w:color w:val="000000" w:themeColor="text1"/>
          <w:sz w:val="24"/>
        </w:rPr>
        <w:t xml:space="preserve">in open </w:t>
      </w:r>
      <w:r>
        <w:rPr>
          <w:rFonts w:ascii="Times New Roman" w:hAnsi="Times New Roman"/>
          <w:noProof/>
          <w:sz w:val="24"/>
        </w:rPr>
        <w:t>catalogues, using a standardised description.</w:t>
      </w:r>
      <w:r>
        <w:rPr>
          <w:rStyle w:val="FootnoteReference"/>
          <w:rFonts w:ascii="Times New Roman" w:eastAsia="MS Mincho" w:hAnsi="Times New Roman"/>
          <w:noProof/>
          <w:sz w:val="24"/>
        </w:rPr>
        <w:footnoteReference w:id="25"/>
      </w:r>
    </w:p>
    <w:p>
      <w:pPr>
        <w:pStyle w:val="BodyText"/>
        <w:tabs>
          <w:tab w:val="left" w:pos="5944"/>
        </w:tabs>
        <w:spacing w:after="200" w:line="312" w:lineRule="auto"/>
        <w:jc w:val="both"/>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598160" cy="1017917"/>
                <wp:effectExtent l="57150" t="38100" r="59690" b="67945"/>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1017917"/>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21:</w:t>
                            </w:r>
                          </w:p>
                          <w:p>
                            <w:pPr>
                              <w:ind w:left="142"/>
                              <w:jc w:val="both"/>
                              <w:rPr>
                                <w:rFonts w:ascii="Corbel" w:hAnsi="Corbel"/>
                                <w:b/>
                                <w:sz w:val="24"/>
                              </w:rPr>
                            </w:pPr>
                            <w:r>
                              <w:rPr>
                                <w:rFonts w:ascii="Corbel" w:hAnsi="Corbel"/>
                                <w:b/>
                                <w:sz w:val="24"/>
                              </w:rPr>
                              <w:t>Put in place processes to select relevant standards and specifications, evaluate them, monitor their implementation, check compliance and test their interoperability.</w:t>
                            </w:r>
                          </w:p>
                        </w:txbxContent>
                      </wps:txbx>
                      <wps:bodyPr rot="0" vert="horz" wrap="square" lIns="91440" tIns="45720" rIns="91440" bIns="45720" anchor="t" anchorCtr="0">
                        <a:noAutofit/>
                      </wps:bodyPr>
                    </wps:wsp>
                  </a:graphicData>
                </a:graphic>
              </wp:inline>
            </w:drawing>
          </mc:Choice>
          <mc:Fallback>
            <w:pict>
              <v:shape id="_x0000_s1046" type="#_x0000_t202" style="width:440.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21:</w:t>
                      </w:r>
                    </w:p>
                    <w:p>
                      <w:pPr>
                        <w:ind w:left="142"/>
                        <w:jc w:val="both"/>
                        <w:rPr>
                          <w:rFonts w:ascii="Corbel" w:hAnsi="Corbel"/>
                          <w:b/>
                          <w:sz w:val="24"/>
                        </w:rPr>
                      </w:pPr>
                      <w:r>
                        <w:rPr>
                          <w:rFonts w:ascii="Corbel" w:hAnsi="Corbel"/>
                          <w:b/>
                          <w:sz w:val="24"/>
                        </w:rPr>
                        <w:t>Put in place processes to select relevant standards and specifications, evaluate them, monitor their implementation, check compliance and test their interoperability.</w:t>
                      </w:r>
                    </w:p>
                  </w:txbxContent>
                </v:textbox>
                <w10:anchorlock/>
              </v:shape>
            </w:pict>
          </mc:Fallback>
        </mc:AlternateContent>
      </w:r>
    </w:p>
    <w:p>
      <w:pPr>
        <w:pStyle w:val="BodyText"/>
        <w:tabs>
          <w:tab w:val="left" w:pos="5944"/>
        </w:tabs>
        <w:spacing w:after="200" w:line="312" w:lineRule="auto"/>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598160" cy="1041621"/>
                <wp:effectExtent l="57150" t="38100" r="59690" b="82550"/>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1041621"/>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22:</w:t>
                            </w:r>
                          </w:p>
                          <w:p>
                            <w:pPr>
                              <w:ind w:left="142"/>
                              <w:jc w:val="both"/>
                              <w:rPr>
                                <w:rFonts w:ascii="Corbel" w:hAnsi="Corbel"/>
                                <w:b/>
                                <w:sz w:val="24"/>
                              </w:rPr>
                            </w:pPr>
                            <w:r>
                              <w:rPr>
                                <w:rFonts w:ascii="Corbel" w:hAnsi="Corbel"/>
                                <w:b/>
                                <w:sz w:val="24"/>
                              </w:rPr>
                              <w:t>Use a structured, transparent, objective and common approach to assessing and selecting standards and specifications. Take into account relevant EU recommendations and seek to make the approach consistent across borders.</w:t>
                            </w:r>
                          </w:p>
                        </w:txbxContent>
                      </wps:txbx>
                      <wps:bodyPr rot="0" vert="horz" wrap="square" lIns="91440" tIns="45720" rIns="91440" bIns="45720" anchor="t" anchorCtr="0">
                        <a:noAutofit/>
                      </wps:bodyPr>
                    </wps:wsp>
                  </a:graphicData>
                </a:graphic>
              </wp:inline>
            </w:drawing>
          </mc:Choice>
          <mc:Fallback>
            <w:pict>
              <v:shape id="_x0000_s1047" type="#_x0000_t202" style="width:440.8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22:</w:t>
                      </w:r>
                    </w:p>
                    <w:p>
                      <w:pPr>
                        <w:ind w:left="142"/>
                        <w:jc w:val="both"/>
                        <w:rPr>
                          <w:rFonts w:ascii="Corbel" w:hAnsi="Corbel"/>
                          <w:b/>
                          <w:sz w:val="24"/>
                        </w:rPr>
                      </w:pPr>
                      <w:r>
                        <w:rPr>
                          <w:rFonts w:ascii="Corbel" w:hAnsi="Corbel"/>
                          <w:b/>
                          <w:sz w:val="24"/>
                        </w:rPr>
                        <w:t>Use a structured, transparent, objective and common approach to assessing and selecting standards and specifications. Take into account relevant EU recommendations and seek to make the approach consistent across borders.</w:t>
                      </w:r>
                    </w:p>
                  </w:txbxContent>
                </v:textbox>
                <w10:anchorlock/>
              </v:shape>
            </w:pict>
          </mc:Fallback>
        </mc:AlternateContent>
      </w:r>
    </w:p>
    <w:p>
      <w:pPr>
        <w:pStyle w:val="BodyText"/>
        <w:tabs>
          <w:tab w:val="left" w:pos="5944"/>
        </w:tabs>
        <w:spacing w:after="200" w:line="312" w:lineRule="auto"/>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598543" cy="1009815"/>
                <wp:effectExtent l="57150" t="38100" r="59690" b="76200"/>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43" cy="1009815"/>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23:</w:t>
                            </w:r>
                          </w:p>
                          <w:p>
                            <w:pPr>
                              <w:ind w:left="142"/>
                              <w:jc w:val="both"/>
                              <w:rPr>
                                <w:rFonts w:ascii="Corbel" w:hAnsi="Corbel"/>
                                <w:b/>
                                <w:sz w:val="24"/>
                              </w:rPr>
                            </w:pPr>
                            <w:r>
                              <w:rPr>
                                <w:rFonts w:ascii="Corbel" w:hAnsi="Corbel"/>
                                <w:b/>
                                <w:sz w:val="24"/>
                              </w:rPr>
                              <w:t>Consult relevant catalogues of standards, specifications and guidelines at national and EU level, in accordance with your NIF and relevant DIFs, when procuring and developing ICT solutions.</w:t>
                            </w:r>
                          </w:p>
                        </w:txbxContent>
                      </wps:txbx>
                      <wps:bodyPr rot="0" vert="horz" wrap="square" lIns="91440" tIns="45720" rIns="91440" bIns="45720" anchor="t" anchorCtr="0">
                        <a:noAutofit/>
                      </wps:bodyPr>
                    </wps:wsp>
                  </a:graphicData>
                </a:graphic>
              </wp:inline>
            </w:drawing>
          </mc:Choice>
          <mc:Fallback>
            <w:pict>
              <v:shape id="_x0000_s1048" type="#_x0000_t202" style="width:440.8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23:</w:t>
                      </w:r>
                    </w:p>
                    <w:p>
                      <w:pPr>
                        <w:ind w:left="142"/>
                        <w:jc w:val="both"/>
                        <w:rPr>
                          <w:rFonts w:ascii="Corbel" w:hAnsi="Corbel"/>
                          <w:b/>
                          <w:sz w:val="24"/>
                        </w:rPr>
                      </w:pPr>
                      <w:r>
                        <w:rPr>
                          <w:rFonts w:ascii="Corbel" w:hAnsi="Corbel"/>
                          <w:b/>
                          <w:sz w:val="24"/>
                        </w:rPr>
                        <w:t>Consult relevant catalogues of standards, specifications and guidelines at national and EU level, in accordance with your NIF and relevant DIFs, when procuring and developing ICT solutions.</w:t>
                      </w:r>
                    </w:p>
                  </w:txbxContent>
                </v:textbox>
                <w10:anchorlock/>
              </v:shape>
            </w:pict>
          </mc:Fallback>
        </mc:AlternateContent>
      </w:r>
    </w:p>
    <w:p>
      <w:pPr>
        <w:pStyle w:val="BodyText"/>
        <w:tabs>
          <w:tab w:val="left" w:pos="5944"/>
        </w:tabs>
        <w:spacing w:after="200" w:line="312" w:lineRule="auto"/>
        <w:jc w:val="both"/>
        <w:rPr>
          <w:rFonts w:ascii="Times New Roman" w:hAnsi="Times New Roman"/>
          <w:noProof/>
          <w:sz w:val="24"/>
        </w:rPr>
      </w:pPr>
      <w:r>
        <w:rPr>
          <w:rFonts w:ascii="Times New Roman" w:hAnsi="Times New Roman"/>
          <w:noProof/>
          <w:sz w:val="24"/>
        </w:rPr>
        <w:t xml:space="preserve">Standards and specifications can be mapped to the EIRA and catalogued in the European interoperability cartography (EIC). </w:t>
      </w:r>
    </w:p>
    <w:p>
      <w:pPr>
        <w:pStyle w:val="BodyText"/>
        <w:tabs>
          <w:tab w:val="left" w:pos="5944"/>
        </w:tabs>
        <w:spacing w:after="200" w:line="312" w:lineRule="auto"/>
        <w:jc w:val="both"/>
        <w:rPr>
          <w:rFonts w:ascii="Times New Roman" w:hAnsi="Times New Roman"/>
          <w:noProof/>
          <w:sz w:val="24"/>
        </w:rPr>
      </w:pPr>
      <w:r>
        <w:rPr>
          <w:rFonts w:ascii="Times New Roman" w:hAnsi="Times New Roman"/>
          <w:noProof/>
          <w:sz w:val="24"/>
        </w:rPr>
        <w:t>In some cases, public administrations may find that no suitable standards/specifications are available for a specific need in a specific domain. Active participation in the standardisation process mitigates concerns about delays, improves the alignment of standards and specifications with public sector needs and can help governments keep pace with technological innovation.</w:t>
      </w:r>
    </w:p>
    <w:p>
      <w:pPr>
        <w:pStyle w:val="BodyText"/>
        <w:spacing w:after="200" w:line="312" w:lineRule="auto"/>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598160" cy="826936"/>
                <wp:effectExtent l="57150" t="38100" r="59690" b="68580"/>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826936"/>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24:</w:t>
                            </w:r>
                          </w:p>
                          <w:p>
                            <w:pPr>
                              <w:ind w:left="142"/>
                              <w:jc w:val="both"/>
                              <w:rPr>
                                <w:rFonts w:ascii="Corbel" w:hAnsi="Corbel"/>
                                <w:b/>
                                <w:sz w:val="24"/>
                              </w:rPr>
                            </w:pPr>
                            <w:r>
                              <w:rPr>
                                <w:rFonts w:ascii="Corbel" w:hAnsi="Corbel"/>
                                <w:b/>
                                <w:sz w:val="24"/>
                              </w:rPr>
                              <w:t>Actively participate in standardisation work relevant to your needs to ensure your requirements are met.</w:t>
                            </w:r>
                          </w:p>
                        </w:txbxContent>
                      </wps:txbx>
                      <wps:bodyPr rot="0" vert="horz" wrap="square" lIns="91440" tIns="45720" rIns="91440" bIns="45720" anchor="t" anchorCtr="0">
                        <a:noAutofit/>
                      </wps:bodyPr>
                    </wps:wsp>
                  </a:graphicData>
                </a:graphic>
              </wp:inline>
            </w:drawing>
          </mc:Choice>
          <mc:Fallback>
            <w:pict>
              <v:shape id="_x0000_s1049" type="#_x0000_t202" style="width:440.8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24:</w:t>
                      </w:r>
                    </w:p>
                    <w:p>
                      <w:pPr>
                        <w:ind w:left="142"/>
                        <w:jc w:val="both"/>
                        <w:rPr>
                          <w:rFonts w:ascii="Corbel" w:hAnsi="Corbel"/>
                          <w:b/>
                          <w:sz w:val="24"/>
                        </w:rPr>
                      </w:pPr>
                      <w:r>
                        <w:rPr>
                          <w:rFonts w:ascii="Corbel" w:hAnsi="Corbel"/>
                          <w:b/>
                          <w:sz w:val="24"/>
                        </w:rPr>
                        <w:t>Actively participate in standardisation work relevant to your needs to ensure your requirements are met.</w:t>
                      </w:r>
                    </w:p>
                  </w:txbxContent>
                </v:textbox>
                <w10:anchorlock/>
              </v:shape>
            </w:pict>
          </mc:Fallback>
        </mc:AlternateContent>
      </w:r>
    </w:p>
    <w:p>
      <w:pPr>
        <w:pStyle w:val="Heading2"/>
        <w:rPr>
          <w:noProof/>
        </w:rPr>
      </w:pPr>
      <w:bookmarkStart w:id="591" w:name="_Toc454188987"/>
      <w:bookmarkStart w:id="592" w:name="_Toc454196236"/>
      <w:bookmarkStart w:id="593" w:name="_Toc469580879"/>
      <w:bookmarkStart w:id="594" w:name="_Toc469902804"/>
      <w:r>
        <w:rPr>
          <w:noProof/>
        </w:rPr>
        <w:t>Integrated public service governance</w:t>
      </w:r>
      <w:bookmarkEnd w:id="591"/>
      <w:bookmarkEnd w:id="592"/>
      <w:bookmarkEnd w:id="593"/>
      <w:bookmarkEnd w:id="594"/>
    </w:p>
    <w:p>
      <w:pPr>
        <w:pStyle w:val="BodyText"/>
        <w:spacing w:after="200" w:line="312" w:lineRule="auto"/>
        <w:jc w:val="both"/>
        <w:rPr>
          <w:rFonts w:ascii="Times New Roman" w:hAnsi="Times New Roman"/>
          <w:noProof/>
          <w:sz w:val="24"/>
        </w:rPr>
      </w:pPr>
      <w:r>
        <w:rPr>
          <w:rFonts w:ascii="Times New Roman" w:hAnsi="Times New Roman"/>
          <w:noProof/>
          <w:sz w:val="24"/>
        </w:rPr>
        <w:t xml:space="preserve">European public service provision often requires different public administrations to work together to meet end users’ needs and provide </w:t>
      </w:r>
      <w:r>
        <w:rPr>
          <w:rFonts w:ascii="Times New Roman" w:hAnsi="Times New Roman"/>
          <w:b/>
          <w:noProof/>
          <w:sz w:val="24"/>
        </w:rPr>
        <w:t>public services in an integrated way</w:t>
      </w:r>
      <w:r>
        <w:rPr>
          <w:rFonts w:ascii="Times New Roman" w:hAnsi="Times New Roman"/>
          <w:noProof/>
          <w:sz w:val="24"/>
        </w:rPr>
        <w:t>. When multiple organisations are involved there is a need for coordination and governance by the authorities with a mandate for planning, implementing and operating European public services. Services should be governed to ensure: integration, seamless execution, reuse of services and data, and development of new services and ‘</w:t>
      </w:r>
      <w:r>
        <w:rPr>
          <w:rFonts w:ascii="Times New Roman" w:hAnsi="Times New Roman"/>
          <w:b/>
          <w:noProof/>
          <w:sz w:val="24"/>
        </w:rPr>
        <w:t>building blocks’</w:t>
      </w:r>
      <w:r>
        <w:rPr>
          <w:rFonts w:ascii="Times New Roman" w:hAnsi="Times New Roman"/>
          <w:noProof/>
          <w:sz w:val="24"/>
        </w:rPr>
        <w:t>.</w:t>
      </w:r>
      <w:r>
        <w:rPr>
          <w:rStyle w:val="FootnoteReference"/>
          <w:rFonts w:ascii="Times New Roman" w:hAnsi="Times New Roman"/>
          <w:noProof/>
          <w:sz w:val="24"/>
        </w:rPr>
        <w:footnoteReference w:id="26"/>
      </w:r>
      <w:r>
        <w:rPr>
          <w:rFonts w:ascii="Times New Roman" w:hAnsi="Times New Roman"/>
          <w:noProof/>
          <w:sz w:val="24"/>
        </w:rPr>
        <w:t xml:space="preserve"> More is said about the aspects of </w:t>
      </w:r>
      <w:r>
        <w:rPr>
          <w:rFonts w:ascii="Times New Roman" w:hAnsi="Times New Roman"/>
          <w:b/>
          <w:noProof/>
          <w:sz w:val="24"/>
        </w:rPr>
        <w:t>‘integrated public service provision’</w:t>
      </w:r>
      <w:r>
        <w:rPr>
          <w:rFonts w:ascii="Times New Roman" w:hAnsi="Times New Roman"/>
          <w:noProof/>
          <w:sz w:val="24"/>
        </w:rPr>
        <w:t xml:space="preserve"> in section 4.3.1.</w:t>
      </w:r>
    </w:p>
    <w:p>
      <w:pPr>
        <w:pStyle w:val="BodyText"/>
        <w:spacing w:after="200" w:line="312" w:lineRule="auto"/>
        <w:jc w:val="both"/>
        <w:rPr>
          <w:rFonts w:ascii="Times New Roman" w:hAnsi="Times New Roman"/>
          <w:noProof/>
          <w:sz w:val="24"/>
        </w:rPr>
      </w:pPr>
      <w:r>
        <w:rPr>
          <w:rFonts w:ascii="Times New Roman" w:hAnsi="Times New Roman"/>
          <w:noProof/>
          <w:sz w:val="24"/>
        </w:rPr>
        <w:t>Focusing here on the governance part, this should cover all layers: legal, organisational, semantic and technical. Ensuring interoperability when preparing legal instruments, organisation business processes, information exchange, services and components that support European public services is a continuous task, as interoperability is regularly disrupted by changes to the environment, i.e. in legislation, the needs of businesses or citizens, the organisational structure of public administrations, the business processes, and by the emergence of new technologies. It requires, among other things, organisational structures and roles and responsibilities for the delivery and operation of public services, service level agreements, establishment and management of interoperability agreements, change management procedures, and plans for business continuity and data quality.</w:t>
      </w:r>
    </w:p>
    <w:p>
      <w:pPr>
        <w:pStyle w:val="BodyText"/>
        <w:spacing w:after="200" w:line="312" w:lineRule="auto"/>
        <w:jc w:val="both"/>
        <w:rPr>
          <w:rFonts w:ascii="Times New Roman" w:hAnsi="Times New Roman"/>
          <w:noProof/>
          <w:sz w:val="24"/>
        </w:rPr>
      </w:pPr>
      <w:r>
        <w:rPr>
          <w:rFonts w:ascii="Times New Roman" w:hAnsi="Times New Roman"/>
          <w:noProof/>
          <w:sz w:val="24"/>
        </w:rPr>
        <w:t xml:space="preserve"> Integrated public service governance should</w:t>
      </w:r>
      <w:r>
        <w:rPr>
          <w:rFonts w:ascii="Times New Roman" w:hAnsi="Times New Roman"/>
          <w:bCs/>
          <w:noProof/>
          <w:sz w:val="24"/>
        </w:rPr>
        <w:t xml:space="preserve"> </w:t>
      </w:r>
      <w:r>
        <w:rPr>
          <w:rFonts w:ascii="Times New Roman" w:hAnsi="Times New Roman"/>
          <w:noProof/>
          <w:sz w:val="24"/>
        </w:rPr>
        <w:t>include as a minimum:</w:t>
      </w:r>
    </w:p>
    <w:p>
      <w:pPr>
        <w:pStyle w:val="bulletbodytext"/>
        <w:numPr>
          <w:ilvl w:val="0"/>
          <w:numId w:val="9"/>
        </w:numPr>
        <w:spacing w:before="120" w:after="120" w:line="312" w:lineRule="auto"/>
        <w:ind w:left="714" w:hanging="357"/>
        <w:jc w:val="both"/>
        <w:rPr>
          <w:rFonts w:ascii="Times New Roman" w:hAnsi="Times New Roman"/>
          <w:noProof/>
          <w:sz w:val="24"/>
        </w:rPr>
      </w:pPr>
      <w:r>
        <w:rPr>
          <w:rFonts w:ascii="Times New Roman" w:hAnsi="Times New Roman"/>
          <w:noProof/>
          <w:sz w:val="24"/>
        </w:rPr>
        <w:t xml:space="preserve">the definition of </w:t>
      </w:r>
      <w:r>
        <w:rPr>
          <w:rFonts w:ascii="Times New Roman" w:hAnsi="Times New Roman"/>
          <w:b/>
          <w:noProof/>
          <w:color w:val="000000" w:themeColor="text1"/>
          <w:sz w:val="24"/>
          <w:lang w:eastAsia="ar-SA"/>
        </w:rPr>
        <w:t>organisational structures</w:t>
      </w:r>
      <w:r>
        <w:rPr>
          <w:rFonts w:ascii="Times New Roman" w:hAnsi="Times New Roman"/>
          <w:noProof/>
          <w:color w:val="000000" w:themeColor="text1"/>
          <w:sz w:val="24"/>
          <w:lang w:eastAsia="ar-SA"/>
        </w:rPr>
        <w:t xml:space="preserve">, </w:t>
      </w:r>
      <w:r>
        <w:rPr>
          <w:rFonts w:ascii="Times New Roman" w:hAnsi="Times New Roman"/>
          <w:b/>
          <w:noProof/>
          <w:color w:val="000000" w:themeColor="text1"/>
          <w:sz w:val="24"/>
          <w:lang w:eastAsia="ar-SA"/>
        </w:rPr>
        <w:t>roles &amp; responsibilities</w:t>
      </w:r>
      <w:r>
        <w:rPr>
          <w:rFonts w:ascii="Times New Roman" w:hAnsi="Times New Roman"/>
          <w:noProof/>
          <w:color w:val="000000" w:themeColor="text1"/>
          <w:sz w:val="24"/>
          <w:lang w:eastAsia="ar-SA"/>
        </w:rPr>
        <w:t xml:space="preserve"> and the </w:t>
      </w:r>
      <w:r>
        <w:rPr>
          <w:rFonts w:ascii="Times New Roman" w:hAnsi="Times New Roman"/>
          <w:b/>
          <w:noProof/>
          <w:color w:val="000000" w:themeColor="text1"/>
          <w:sz w:val="24"/>
          <w:lang w:eastAsia="ar-SA"/>
        </w:rPr>
        <w:t>decision-making process</w:t>
      </w:r>
      <w:r>
        <w:rPr>
          <w:rFonts w:ascii="Times New Roman" w:hAnsi="Times New Roman"/>
          <w:noProof/>
          <w:color w:val="000000" w:themeColor="text1"/>
          <w:sz w:val="24"/>
          <w:lang w:eastAsia="ar-SA"/>
        </w:rPr>
        <w:t xml:space="preserve"> </w:t>
      </w:r>
      <w:r>
        <w:rPr>
          <w:rFonts w:ascii="Times New Roman" w:hAnsi="Times New Roman"/>
          <w:noProof/>
          <w:sz w:val="24"/>
        </w:rPr>
        <w:t>for the stakeholders involved;</w:t>
      </w:r>
    </w:p>
    <w:p>
      <w:pPr>
        <w:pStyle w:val="bulletbodytext"/>
        <w:numPr>
          <w:ilvl w:val="0"/>
          <w:numId w:val="9"/>
        </w:numPr>
        <w:spacing w:before="120" w:after="120" w:line="312" w:lineRule="auto"/>
        <w:ind w:left="714" w:hanging="357"/>
        <w:jc w:val="both"/>
        <w:rPr>
          <w:rFonts w:ascii="Times New Roman" w:hAnsi="Times New Roman"/>
          <w:noProof/>
          <w:sz w:val="24"/>
        </w:rPr>
      </w:pPr>
      <w:r>
        <w:rPr>
          <w:rFonts w:ascii="Times New Roman" w:hAnsi="Times New Roman"/>
          <w:noProof/>
          <w:sz w:val="24"/>
        </w:rPr>
        <w:t xml:space="preserve">the imposition of </w:t>
      </w:r>
      <w:r>
        <w:rPr>
          <w:rFonts w:ascii="Times New Roman" w:hAnsi="Times New Roman"/>
          <w:b/>
          <w:noProof/>
          <w:sz w:val="24"/>
        </w:rPr>
        <w:t>requirements</w:t>
      </w:r>
      <w:r>
        <w:rPr>
          <w:rFonts w:ascii="Times New Roman" w:hAnsi="Times New Roman"/>
          <w:noProof/>
          <w:sz w:val="24"/>
        </w:rPr>
        <w:t xml:space="preserve"> for:</w:t>
      </w:r>
    </w:p>
    <w:p>
      <w:pPr>
        <w:pStyle w:val="bulletbodytext"/>
        <w:numPr>
          <w:ilvl w:val="1"/>
          <w:numId w:val="133"/>
        </w:numPr>
        <w:spacing w:before="120" w:after="120" w:line="312" w:lineRule="auto"/>
        <w:jc w:val="both"/>
        <w:rPr>
          <w:rFonts w:ascii="Times New Roman" w:hAnsi="Times New Roman"/>
          <w:noProof/>
          <w:sz w:val="24"/>
        </w:rPr>
      </w:pPr>
      <w:r>
        <w:rPr>
          <w:rFonts w:ascii="Times New Roman" w:hAnsi="Times New Roman"/>
          <w:noProof/>
          <w:sz w:val="24"/>
        </w:rPr>
        <w:t xml:space="preserve">aspects of interoperability including quality, scalability and availability of reusable building blocks including information sources (base registries, open data portals, etc.) and other interconnected services; </w:t>
      </w:r>
    </w:p>
    <w:p>
      <w:pPr>
        <w:pStyle w:val="bulletbodytext"/>
        <w:numPr>
          <w:ilvl w:val="1"/>
          <w:numId w:val="133"/>
        </w:numPr>
        <w:spacing w:before="120" w:after="120" w:line="312" w:lineRule="auto"/>
        <w:jc w:val="both"/>
        <w:rPr>
          <w:rFonts w:ascii="Times New Roman" w:hAnsi="Times New Roman"/>
          <w:noProof/>
          <w:sz w:val="24"/>
        </w:rPr>
      </w:pPr>
      <w:r>
        <w:rPr>
          <w:rFonts w:ascii="Times New Roman" w:hAnsi="Times New Roman"/>
          <w:noProof/>
          <w:sz w:val="24"/>
        </w:rPr>
        <w:t>external information/services, translated into clear service level agreements (including on interoperability);</w:t>
      </w:r>
    </w:p>
    <w:p>
      <w:pPr>
        <w:pStyle w:val="bulletbodytext"/>
        <w:numPr>
          <w:ilvl w:val="0"/>
          <w:numId w:val="9"/>
        </w:numPr>
        <w:spacing w:before="120" w:after="120" w:line="312" w:lineRule="auto"/>
        <w:ind w:left="714" w:hanging="357"/>
        <w:jc w:val="both"/>
        <w:rPr>
          <w:rFonts w:ascii="Times New Roman" w:hAnsi="Times New Roman"/>
          <w:noProof/>
          <w:sz w:val="24"/>
        </w:rPr>
      </w:pPr>
      <w:r>
        <w:rPr>
          <w:rFonts w:ascii="Times New Roman" w:hAnsi="Times New Roman"/>
          <w:noProof/>
          <w:sz w:val="24"/>
        </w:rPr>
        <w:t xml:space="preserve">a </w:t>
      </w:r>
      <w:r>
        <w:rPr>
          <w:rFonts w:ascii="Times New Roman" w:hAnsi="Times New Roman"/>
          <w:b/>
          <w:noProof/>
          <w:color w:val="000000" w:themeColor="text1"/>
          <w:sz w:val="24"/>
        </w:rPr>
        <w:t>change management</w:t>
      </w:r>
      <w:r>
        <w:rPr>
          <w:rFonts w:ascii="Times New Roman" w:hAnsi="Times New Roman"/>
          <w:noProof/>
          <w:color w:val="000000" w:themeColor="text1"/>
          <w:sz w:val="24"/>
        </w:rPr>
        <w:t xml:space="preserve"> </w:t>
      </w:r>
      <w:r>
        <w:rPr>
          <w:rFonts w:ascii="Times New Roman" w:hAnsi="Times New Roman"/>
          <w:noProof/>
          <w:sz w:val="24"/>
        </w:rPr>
        <w:t>plan, to define the procedures and processes needed to deal with and control changes;</w:t>
      </w:r>
    </w:p>
    <w:p>
      <w:pPr>
        <w:pStyle w:val="bulletbodytext"/>
        <w:numPr>
          <w:ilvl w:val="0"/>
          <w:numId w:val="9"/>
        </w:numPr>
        <w:spacing w:before="120" w:after="120" w:line="312" w:lineRule="auto"/>
        <w:ind w:left="714" w:hanging="357"/>
        <w:jc w:val="both"/>
        <w:rPr>
          <w:rFonts w:ascii="Times New Roman" w:hAnsi="Times New Roman"/>
          <w:noProof/>
          <w:sz w:val="24"/>
        </w:rPr>
      </w:pPr>
      <w:r>
        <w:rPr>
          <w:rFonts w:ascii="Times New Roman" w:hAnsi="Times New Roman"/>
          <w:noProof/>
          <w:color w:val="000000" w:themeColor="text1"/>
          <w:sz w:val="24"/>
        </w:rPr>
        <w:t xml:space="preserve">a </w:t>
      </w:r>
      <w:r>
        <w:rPr>
          <w:rFonts w:ascii="Times New Roman" w:hAnsi="Times New Roman"/>
          <w:b/>
          <w:noProof/>
          <w:color w:val="000000" w:themeColor="text1"/>
          <w:sz w:val="24"/>
        </w:rPr>
        <w:t>business continuity/disaster recovery plan</w:t>
      </w:r>
      <w:r>
        <w:rPr>
          <w:rFonts w:ascii="Times New Roman" w:hAnsi="Times New Roman"/>
          <w:noProof/>
          <w:color w:val="000000" w:themeColor="text1"/>
          <w:sz w:val="24"/>
        </w:rPr>
        <w:t xml:space="preserve"> </w:t>
      </w:r>
      <w:r>
        <w:rPr>
          <w:rFonts w:ascii="Times New Roman" w:hAnsi="Times New Roman"/>
          <w:noProof/>
          <w:sz w:val="24"/>
        </w:rPr>
        <w:t>to ensure that digital public services and their building blocks continue to work in a range of situations, e.g. cyberattacks or the failure of building blocks.</w:t>
      </w:r>
    </w:p>
    <w:p>
      <w:pPr>
        <w:pStyle w:val="bulletbodytext"/>
        <w:numPr>
          <w:ilvl w:val="0"/>
          <w:numId w:val="0"/>
        </w:numPr>
        <w:spacing w:before="120" w:after="200" w:line="312" w:lineRule="auto"/>
        <w:ind w:left="360"/>
        <w:jc w:val="both"/>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341849" cy="966159"/>
                <wp:effectExtent l="57150" t="38100" r="49530" b="81915"/>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849" cy="966159"/>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25:</w:t>
                            </w:r>
                          </w:p>
                          <w:p>
                            <w:pPr>
                              <w:ind w:left="142"/>
                              <w:jc w:val="both"/>
                              <w:rPr>
                                <w:rFonts w:ascii="Corbel" w:hAnsi="Corbel"/>
                                <w:b/>
                                <w:sz w:val="24"/>
                              </w:rPr>
                            </w:pPr>
                            <w:r>
                              <w:rPr>
                                <w:rFonts w:ascii="Corbel" w:hAnsi="Corbel"/>
                                <w:b/>
                                <w:sz w:val="24"/>
                              </w:rPr>
                              <w:t>Ensure interoperability and coordination over time when operating and delivering integrated public services by putting in place the necessary governance structure.</w:t>
                            </w:r>
                          </w:p>
                        </w:txbxContent>
                      </wps:txbx>
                      <wps:bodyPr rot="0" vert="horz" wrap="square" lIns="91440" tIns="45720" rIns="91440" bIns="45720" anchor="t" anchorCtr="0">
                        <a:noAutofit/>
                      </wps:bodyPr>
                    </wps:wsp>
                  </a:graphicData>
                </a:graphic>
              </wp:inline>
            </w:drawing>
          </mc:Choice>
          <mc:Fallback>
            <w:pict>
              <v:shape id="_x0000_s1050" type="#_x0000_t202" style="width:420.6pt;height:7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25:</w:t>
                      </w:r>
                    </w:p>
                    <w:p>
                      <w:pPr>
                        <w:ind w:left="142"/>
                        <w:jc w:val="both"/>
                        <w:rPr>
                          <w:rFonts w:ascii="Corbel" w:hAnsi="Corbel"/>
                          <w:b/>
                          <w:sz w:val="24"/>
                        </w:rPr>
                      </w:pPr>
                      <w:r>
                        <w:rPr>
                          <w:rFonts w:ascii="Corbel" w:hAnsi="Corbel"/>
                          <w:b/>
                          <w:sz w:val="24"/>
                        </w:rPr>
                        <w:t>Ensure interoperability and coordination over time when operating and delivering integrated public services by putting in place the necessary governance structure.</w:t>
                      </w:r>
                    </w:p>
                  </w:txbxContent>
                </v:textbox>
                <w10:anchorlock/>
              </v:shape>
            </w:pict>
          </mc:Fallback>
        </mc:AlternateContent>
      </w:r>
    </w:p>
    <w:p>
      <w:pPr>
        <w:pStyle w:val="Heading3"/>
        <w:rPr>
          <w:noProof/>
        </w:rPr>
      </w:pPr>
      <w:bookmarkStart w:id="595" w:name="_Toc454188988"/>
      <w:bookmarkStart w:id="596" w:name="_Toc454196237"/>
      <w:bookmarkStart w:id="597" w:name="_Toc454198185"/>
      <w:r>
        <w:rPr>
          <w:noProof/>
        </w:rPr>
        <w:t>Interoperability agreements</w:t>
      </w:r>
      <w:bookmarkEnd w:id="595"/>
      <w:bookmarkEnd w:id="596"/>
      <w:bookmarkEnd w:id="597"/>
    </w:p>
    <w:p>
      <w:pPr>
        <w:pStyle w:val="BodyText"/>
        <w:tabs>
          <w:tab w:val="left" w:pos="5944"/>
        </w:tabs>
        <w:spacing w:after="200" w:line="312" w:lineRule="auto"/>
        <w:jc w:val="both"/>
        <w:rPr>
          <w:rFonts w:ascii="Times New Roman" w:hAnsi="Times New Roman"/>
          <w:noProof/>
          <w:sz w:val="24"/>
        </w:rPr>
      </w:pPr>
      <w:r>
        <w:rPr>
          <w:rFonts w:ascii="Times New Roman" w:hAnsi="Times New Roman"/>
          <w:noProof/>
          <w:sz w:val="24"/>
        </w:rPr>
        <w:t xml:space="preserve">Organisations involved in European public service provision should make </w:t>
      </w:r>
      <w:r>
        <w:rPr>
          <w:rFonts w:ascii="Times New Roman" w:hAnsi="Times New Roman"/>
          <w:b/>
          <w:noProof/>
          <w:sz w:val="24"/>
        </w:rPr>
        <w:t>formal arrangements</w:t>
      </w:r>
      <w:r>
        <w:rPr>
          <w:rFonts w:ascii="Times New Roman" w:hAnsi="Times New Roman"/>
          <w:noProof/>
          <w:sz w:val="24"/>
        </w:rPr>
        <w:t xml:space="preserve"> for cooperation through </w:t>
      </w:r>
      <w:r>
        <w:rPr>
          <w:rFonts w:ascii="Times New Roman" w:hAnsi="Times New Roman"/>
          <w:b/>
          <w:noProof/>
          <w:sz w:val="24"/>
        </w:rPr>
        <w:t>interoperability agreements</w:t>
      </w:r>
      <w:r>
        <w:rPr>
          <w:rFonts w:ascii="Times New Roman" w:hAnsi="Times New Roman"/>
          <w:noProof/>
          <w:sz w:val="24"/>
        </w:rPr>
        <w:t>. Setting up and managing these agreements is part of public service governance.</w:t>
      </w:r>
    </w:p>
    <w:p>
      <w:pPr>
        <w:pStyle w:val="BodyText"/>
        <w:tabs>
          <w:tab w:val="left" w:pos="5944"/>
        </w:tabs>
        <w:spacing w:after="200" w:line="312" w:lineRule="auto"/>
        <w:jc w:val="both"/>
        <w:rPr>
          <w:rFonts w:ascii="Times New Roman" w:hAnsi="Times New Roman"/>
          <w:noProof/>
          <w:sz w:val="24"/>
        </w:rPr>
      </w:pPr>
      <w:r>
        <w:rPr>
          <w:rFonts w:ascii="Times New Roman" w:hAnsi="Times New Roman"/>
          <w:noProof/>
          <w:sz w:val="24"/>
        </w:rPr>
        <w:t>Agreements should be detailed enough to achieve their aim, i.e. to provide European public services, while leaving each organisation the maximum feasible internal and national autonomy.</w:t>
      </w:r>
    </w:p>
    <w:p>
      <w:pPr>
        <w:pStyle w:val="BodyText"/>
        <w:tabs>
          <w:tab w:val="left" w:pos="5944"/>
        </w:tabs>
        <w:spacing w:after="200" w:line="312" w:lineRule="auto"/>
        <w:jc w:val="both"/>
        <w:rPr>
          <w:rFonts w:ascii="Times New Roman" w:hAnsi="Times New Roman"/>
          <w:noProof/>
          <w:sz w:val="24"/>
        </w:rPr>
      </w:pPr>
      <w:r>
        <w:rPr>
          <w:rFonts w:ascii="Times New Roman" w:hAnsi="Times New Roman"/>
          <w:noProof/>
          <w:sz w:val="24"/>
        </w:rPr>
        <w:t>At semantic and technical levels, but also in some cases at organisational level, interoperability agreements usually include standards and specifications. At legal level, interoperability agreements are made specific and binding via legislation at EU and/or national level or via bilateral and multilateral agreements.</w:t>
      </w:r>
    </w:p>
    <w:p>
      <w:pPr>
        <w:pStyle w:val="BodyText"/>
        <w:tabs>
          <w:tab w:val="left" w:pos="5944"/>
        </w:tabs>
        <w:spacing w:after="200" w:line="312" w:lineRule="auto"/>
        <w:jc w:val="both"/>
        <w:rPr>
          <w:rFonts w:ascii="Times New Roman" w:hAnsi="Times New Roman"/>
          <w:noProof/>
          <w:sz w:val="24"/>
        </w:rPr>
      </w:pPr>
      <w:r>
        <w:rPr>
          <w:rFonts w:ascii="Times New Roman" w:hAnsi="Times New Roman"/>
          <w:noProof/>
          <w:sz w:val="24"/>
        </w:rPr>
        <w:t>Other types of agreements can complement interoperability agreements, addressing operational matters. For example, memoranda of understanding (MoUs), service level agreements (SLAs), support/escalation procedures and contact details, referring, if necessary, to underlying agreements at semantic and technical levels.</w:t>
      </w:r>
    </w:p>
    <w:p>
      <w:pPr>
        <w:pStyle w:val="BodyText"/>
        <w:spacing w:after="200" w:line="312" w:lineRule="auto"/>
        <w:jc w:val="both"/>
        <w:rPr>
          <w:rFonts w:ascii="Times New Roman" w:hAnsi="Times New Roman"/>
          <w:noProof/>
          <w:sz w:val="24"/>
        </w:rPr>
      </w:pPr>
      <w:r>
        <w:rPr>
          <w:rFonts w:ascii="Times New Roman" w:hAnsi="Times New Roman"/>
          <w:noProof/>
          <w:sz w:val="24"/>
        </w:rPr>
        <w:t>Since delivering a European public service is the result of collective work with parties that produce or consume parts of the service, it is critical to include appropriate change management processes in the interoperability agreements to ensure the accuracy, reliability, continuity and evolution of the service delivered to other public administrations, businesses and citizens.</w:t>
      </w:r>
    </w:p>
    <w:p>
      <w:pPr>
        <w:pStyle w:val="BodyText"/>
        <w:tabs>
          <w:tab w:val="left" w:pos="5944"/>
        </w:tabs>
        <w:spacing w:after="200" w:line="312" w:lineRule="auto"/>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615796" cy="914400"/>
                <wp:effectExtent l="57150" t="38100" r="61595" b="76200"/>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796" cy="91440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26:</w:t>
                            </w:r>
                          </w:p>
                          <w:p>
                            <w:pPr>
                              <w:ind w:left="142"/>
                              <w:jc w:val="both"/>
                              <w:rPr>
                                <w:rFonts w:ascii="Corbel" w:hAnsi="Corbel"/>
                                <w:b/>
                                <w:sz w:val="24"/>
                              </w:rPr>
                            </w:pPr>
                            <w:r>
                              <w:rPr>
                                <w:rFonts w:ascii="Corbel" w:hAnsi="Corbel"/>
                                <w:b/>
                                <w:sz w:val="24"/>
                              </w:rPr>
                              <w:t>Establish interoperability agreements in all layers, complemented by operational agreements and change management procedures.</w:t>
                            </w:r>
                          </w:p>
                        </w:txbxContent>
                      </wps:txbx>
                      <wps:bodyPr rot="0" vert="horz" wrap="square" lIns="91440" tIns="45720" rIns="91440" bIns="45720" anchor="t" anchorCtr="0">
                        <a:noAutofit/>
                      </wps:bodyPr>
                    </wps:wsp>
                  </a:graphicData>
                </a:graphic>
              </wp:inline>
            </w:drawing>
          </mc:Choice>
          <mc:Fallback>
            <w:pict>
              <v:shape id="_x0000_s1051" type="#_x0000_t202" style="width:442.2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26:</w:t>
                      </w:r>
                    </w:p>
                    <w:p>
                      <w:pPr>
                        <w:ind w:left="142"/>
                        <w:jc w:val="both"/>
                        <w:rPr>
                          <w:rFonts w:ascii="Corbel" w:hAnsi="Corbel"/>
                          <w:b/>
                          <w:sz w:val="24"/>
                        </w:rPr>
                      </w:pPr>
                      <w:r>
                        <w:rPr>
                          <w:rFonts w:ascii="Corbel" w:hAnsi="Corbel"/>
                          <w:b/>
                          <w:sz w:val="24"/>
                        </w:rPr>
                        <w:t>Establish interoperability agreements in all layers, complemented by operational agreements and change management procedures.</w:t>
                      </w:r>
                    </w:p>
                  </w:txbxContent>
                </v:textbox>
                <w10:anchorlock/>
              </v:shape>
            </w:pict>
          </mc:Fallback>
        </mc:AlternateContent>
      </w:r>
    </w:p>
    <w:p>
      <w:pPr>
        <w:pStyle w:val="Heading2"/>
        <w:rPr>
          <w:noProof/>
        </w:rPr>
      </w:pPr>
      <w:bookmarkStart w:id="598" w:name="_Toc454188990"/>
      <w:bookmarkStart w:id="599" w:name="_Toc454196239"/>
      <w:bookmarkStart w:id="600" w:name="_Toc469580880"/>
      <w:bookmarkStart w:id="601" w:name="_Toc469902805"/>
      <w:r>
        <w:rPr>
          <w:noProof/>
        </w:rPr>
        <w:t>Legal interoperability</w:t>
      </w:r>
      <w:bookmarkEnd w:id="598"/>
      <w:bookmarkEnd w:id="599"/>
      <w:bookmarkEnd w:id="600"/>
      <w:bookmarkEnd w:id="601"/>
    </w:p>
    <w:p>
      <w:pPr>
        <w:pStyle w:val="BodyText"/>
        <w:spacing w:after="200" w:line="312" w:lineRule="auto"/>
        <w:jc w:val="both"/>
        <w:rPr>
          <w:rFonts w:ascii="Times New Roman" w:hAnsi="Times New Roman"/>
          <w:noProof/>
          <w:sz w:val="24"/>
        </w:rPr>
      </w:pPr>
      <w:r>
        <w:rPr>
          <w:rFonts w:ascii="Times New Roman" w:hAnsi="Times New Roman"/>
          <w:noProof/>
          <w:sz w:val="24"/>
        </w:rPr>
        <w:t>Each public administration contributing to the provision of a European public service works within its own national legal framework. Legal interoperability is about ensuring that organisations operating under different legal frameworks, policies and strategies are able to work together. This might require that legislation does not block the establishment of European public services within and between Member States and that there are clear agreements about how to deal with differences in legislation across borders, including the option of putting in place new legislation.</w:t>
      </w:r>
    </w:p>
    <w:p>
      <w:pPr>
        <w:pStyle w:val="BodyText"/>
        <w:spacing w:after="200" w:line="312" w:lineRule="auto"/>
        <w:jc w:val="both"/>
        <w:rPr>
          <w:rFonts w:ascii="Times New Roman" w:hAnsi="Times New Roman"/>
          <w:noProof/>
          <w:sz w:val="24"/>
        </w:rPr>
      </w:pPr>
      <w:r>
        <w:rPr>
          <w:rFonts w:ascii="Times New Roman" w:hAnsi="Times New Roman"/>
          <w:noProof/>
          <w:sz w:val="24"/>
        </w:rPr>
        <w:t xml:space="preserve">The first step towards addressing legal interoperability, is to perform </w:t>
      </w:r>
      <w:r>
        <w:rPr>
          <w:rFonts w:ascii="Times New Roman" w:hAnsi="Times New Roman"/>
          <w:b/>
          <w:noProof/>
          <w:sz w:val="24"/>
        </w:rPr>
        <w:t xml:space="preserve">‘interoperability checks’ </w:t>
      </w:r>
      <w:r>
        <w:rPr>
          <w:rFonts w:ascii="Times New Roman" w:hAnsi="Times New Roman"/>
          <w:noProof/>
          <w:sz w:val="24"/>
        </w:rPr>
        <w:t xml:space="preserve">by screening existing legislation to identify </w:t>
      </w:r>
      <w:r>
        <w:rPr>
          <w:rFonts w:ascii="Times New Roman" w:hAnsi="Times New Roman"/>
          <w:b/>
          <w:noProof/>
          <w:sz w:val="24"/>
        </w:rPr>
        <w:t>interoperability barriers</w:t>
      </w:r>
      <w:r>
        <w:rPr>
          <w:rFonts w:ascii="Times New Roman" w:hAnsi="Times New Roman"/>
          <w:noProof/>
          <w:sz w:val="24"/>
        </w:rPr>
        <w:t>: sectoral or geographical restrictions in the use and storage of data, different and vague data licence models, over-restrictive obligations to use specific digital technologies or delivery modes to provide public services, contradictory requirements for the same or similar business processes, outdated security and data protection needs, etc.</w:t>
      </w:r>
    </w:p>
    <w:p>
      <w:pPr>
        <w:pStyle w:val="BodyText"/>
        <w:spacing w:after="200" w:line="312" w:lineRule="auto"/>
        <w:jc w:val="both"/>
        <w:rPr>
          <w:rFonts w:ascii="Times New Roman" w:hAnsi="Times New Roman"/>
          <w:noProof/>
          <w:sz w:val="24"/>
        </w:rPr>
      </w:pPr>
      <w:r>
        <w:rPr>
          <w:rFonts w:ascii="Times New Roman" w:hAnsi="Times New Roman"/>
          <w:b/>
          <w:noProof/>
          <w:sz w:val="24"/>
        </w:rPr>
        <w:t>Coherence</w:t>
      </w:r>
      <w:r>
        <w:rPr>
          <w:rFonts w:ascii="Times New Roman" w:hAnsi="Times New Roman"/>
          <w:noProof/>
          <w:sz w:val="24"/>
        </w:rPr>
        <w:t xml:space="preserve"> between legislation, in view of ensuring interoperability, should be assessed before adoption and through evaluating their performance regularly once they are put into application. </w:t>
      </w:r>
    </w:p>
    <w:p>
      <w:pPr>
        <w:pStyle w:val="BodyText"/>
        <w:spacing w:after="200" w:line="312" w:lineRule="auto"/>
        <w:jc w:val="both"/>
        <w:rPr>
          <w:rFonts w:ascii="Times New Roman" w:hAnsi="Times New Roman"/>
          <w:noProof/>
          <w:sz w:val="24"/>
        </w:rPr>
      </w:pPr>
      <w:r>
        <w:rPr>
          <w:rFonts w:ascii="Times New Roman" w:hAnsi="Times New Roman"/>
          <w:noProof/>
          <w:sz w:val="24"/>
        </w:rPr>
        <w:t xml:space="preserve">Bearing in mind that European public services are clearly meant to be provided - amongst others - from digital channels, ICT must be considered as early as possible in the law-making process. In particular, proposed legislation should undergo a </w:t>
      </w:r>
      <w:r>
        <w:rPr>
          <w:rFonts w:ascii="Times New Roman" w:hAnsi="Times New Roman"/>
          <w:b/>
          <w:noProof/>
          <w:sz w:val="24"/>
        </w:rPr>
        <w:t>‘digital check’</w:t>
      </w:r>
      <w:r>
        <w:rPr>
          <w:rFonts w:ascii="Times New Roman" w:hAnsi="Times New Roman"/>
          <w:noProof/>
          <w:sz w:val="24"/>
        </w:rPr>
        <w:t>:</w:t>
      </w:r>
    </w:p>
    <w:p>
      <w:pPr>
        <w:pStyle w:val="BodyText"/>
        <w:numPr>
          <w:ilvl w:val="0"/>
          <w:numId w:val="127"/>
        </w:numPr>
        <w:spacing w:before="120" w:after="120" w:line="312" w:lineRule="auto"/>
        <w:ind w:left="714" w:hanging="357"/>
        <w:jc w:val="both"/>
        <w:rPr>
          <w:rFonts w:ascii="Times New Roman" w:hAnsi="Times New Roman"/>
          <w:noProof/>
          <w:color w:val="000000" w:themeColor="text1"/>
          <w:sz w:val="24"/>
        </w:rPr>
      </w:pPr>
      <w:r>
        <w:rPr>
          <w:rFonts w:ascii="Times New Roman" w:hAnsi="Times New Roman"/>
          <w:noProof/>
          <w:color w:val="000000" w:themeColor="text1"/>
          <w:sz w:val="24"/>
        </w:rPr>
        <w:t>to ensure that it suits not only the physical but also the digital world (e.g. the internet);</w:t>
      </w:r>
    </w:p>
    <w:p>
      <w:pPr>
        <w:pStyle w:val="BodyText"/>
        <w:numPr>
          <w:ilvl w:val="0"/>
          <w:numId w:val="127"/>
        </w:numPr>
        <w:spacing w:before="120" w:after="120" w:line="312" w:lineRule="auto"/>
        <w:ind w:left="714" w:hanging="357"/>
        <w:jc w:val="both"/>
        <w:rPr>
          <w:rFonts w:ascii="Times New Roman" w:hAnsi="Times New Roman"/>
          <w:noProof/>
          <w:color w:val="000000" w:themeColor="text1"/>
          <w:sz w:val="24"/>
        </w:rPr>
      </w:pPr>
      <w:r>
        <w:rPr>
          <w:rFonts w:ascii="Times New Roman" w:hAnsi="Times New Roman"/>
          <w:noProof/>
          <w:color w:val="000000" w:themeColor="text1"/>
          <w:sz w:val="24"/>
        </w:rPr>
        <w:t>to identify any barriers to digital exchange; and</w:t>
      </w:r>
    </w:p>
    <w:p>
      <w:pPr>
        <w:pStyle w:val="BodyText"/>
        <w:numPr>
          <w:ilvl w:val="0"/>
          <w:numId w:val="127"/>
        </w:numPr>
        <w:spacing w:before="120" w:after="120" w:line="312" w:lineRule="auto"/>
        <w:ind w:left="714" w:hanging="357"/>
        <w:jc w:val="both"/>
        <w:rPr>
          <w:rFonts w:ascii="Times New Roman" w:hAnsi="Times New Roman"/>
          <w:noProof/>
          <w:sz w:val="24"/>
        </w:rPr>
      </w:pPr>
      <w:r>
        <w:rPr>
          <w:rFonts w:ascii="Times New Roman" w:hAnsi="Times New Roman"/>
          <w:noProof/>
          <w:color w:val="000000" w:themeColor="text1"/>
          <w:sz w:val="24"/>
        </w:rPr>
        <w:t>to identify and assess its ICT impact on stakeholders</w:t>
      </w:r>
      <w:r>
        <w:rPr>
          <w:rFonts w:ascii="Times New Roman" w:hAnsi="Times New Roman"/>
          <w:iCs/>
          <w:noProof/>
          <w:color w:val="000000" w:themeColor="text1"/>
          <w:sz w:val="24"/>
        </w:rPr>
        <w:t>.</w:t>
      </w:r>
    </w:p>
    <w:p>
      <w:pPr>
        <w:pStyle w:val="BodyText"/>
        <w:spacing w:after="200" w:line="312" w:lineRule="auto"/>
        <w:jc w:val="both"/>
        <w:rPr>
          <w:rFonts w:ascii="Times New Roman" w:hAnsi="Times New Roman"/>
          <w:noProof/>
          <w:sz w:val="24"/>
        </w:rPr>
      </w:pPr>
      <w:r>
        <w:rPr>
          <w:rFonts w:ascii="Times New Roman" w:hAnsi="Times New Roman"/>
          <w:iCs/>
          <w:noProof/>
          <w:color w:val="000000" w:themeColor="text1"/>
          <w:sz w:val="24"/>
        </w:rPr>
        <w:t xml:space="preserve">This will facilitate interoperability between public services at lower levels (semantic </w:t>
      </w:r>
      <w:r>
        <w:rPr>
          <w:rFonts w:ascii="Times New Roman" w:hAnsi="Times New Roman"/>
          <w:iCs/>
          <w:noProof/>
          <w:sz w:val="24"/>
        </w:rPr>
        <w:t>and technical)</w:t>
      </w:r>
      <w:r>
        <w:rPr>
          <w:rFonts w:ascii="Times New Roman" w:hAnsi="Times New Roman"/>
          <w:iCs/>
          <w:noProof/>
          <w:color w:val="000000" w:themeColor="text1"/>
          <w:sz w:val="24"/>
        </w:rPr>
        <w:t xml:space="preserve"> as well,</w:t>
      </w:r>
      <w:r>
        <w:rPr>
          <w:rFonts w:ascii="Times New Roman" w:hAnsi="Times New Roman"/>
          <w:iCs/>
          <w:noProof/>
          <w:sz w:val="24"/>
        </w:rPr>
        <w:t xml:space="preserve"> and increase the potential for reusing existing ICT solutions, so reducing cost and implementation time</w:t>
      </w:r>
      <w:r>
        <w:rPr>
          <w:rFonts w:ascii="Times New Roman" w:hAnsi="Times New Roman"/>
          <w:noProof/>
          <w:sz w:val="24"/>
        </w:rPr>
        <w:t>.</w:t>
      </w:r>
    </w:p>
    <w:p>
      <w:pPr>
        <w:pStyle w:val="BodyText"/>
        <w:spacing w:after="200" w:line="312" w:lineRule="auto"/>
        <w:jc w:val="both"/>
        <w:rPr>
          <w:rFonts w:ascii="Times New Roman" w:hAnsi="Times New Roman"/>
          <w:noProof/>
          <w:sz w:val="24"/>
        </w:rPr>
      </w:pPr>
      <w:r>
        <w:rPr>
          <w:rFonts w:ascii="Times New Roman" w:hAnsi="Times New Roman"/>
          <w:noProof/>
          <w:sz w:val="24"/>
        </w:rPr>
        <w:t>The legal value of any information exchanged between Member States should be maintained across borders, and data protection legislation in both originating and receiving countries complied with. This might require additional agreements to overcome potential differences in the implementation of the applicable legislation.</w:t>
      </w:r>
    </w:p>
    <w:p>
      <w:pPr>
        <w:pStyle w:val="BodyText"/>
        <w:spacing w:after="200" w:line="312" w:lineRule="auto"/>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624423" cy="1147313"/>
                <wp:effectExtent l="57150" t="38100" r="52705" b="72390"/>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423" cy="1147313"/>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27:</w:t>
                            </w:r>
                          </w:p>
                          <w:p>
                            <w:pPr>
                              <w:ind w:left="142"/>
                              <w:jc w:val="both"/>
                              <w:rPr>
                                <w:rFonts w:ascii="Corbel" w:hAnsi="Corbel"/>
                                <w:b/>
                                <w:sz w:val="24"/>
                              </w:rPr>
                            </w:pPr>
                            <w:r>
                              <w:rPr>
                                <w:rFonts w:ascii="Corbel" w:hAnsi="Corbel"/>
                                <w:b/>
                                <w:sz w:val="24"/>
                              </w:rPr>
                              <w:t>Ensure that legislation is screened by means of ‘interoperability checks’, to identify any barriers to interoperability. When drafting legislation to establish a European public service, seek to make it consistent with relevant legislation, perform a ‘digital check’ and consider data protection requirements.</w:t>
                            </w:r>
                          </w:p>
                        </w:txbxContent>
                      </wps:txbx>
                      <wps:bodyPr rot="0" vert="horz" wrap="square" lIns="91440" tIns="45720" rIns="91440" bIns="45720" anchor="t" anchorCtr="0">
                        <a:noAutofit/>
                      </wps:bodyPr>
                    </wps:wsp>
                  </a:graphicData>
                </a:graphic>
              </wp:inline>
            </w:drawing>
          </mc:Choice>
          <mc:Fallback>
            <w:pict>
              <v:shape id="_x0000_s1052" type="#_x0000_t202" style="width:442.85pt;height:9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27:</w:t>
                      </w:r>
                    </w:p>
                    <w:p>
                      <w:pPr>
                        <w:ind w:left="142"/>
                        <w:jc w:val="both"/>
                        <w:rPr>
                          <w:rFonts w:ascii="Corbel" w:hAnsi="Corbel"/>
                          <w:b/>
                          <w:sz w:val="24"/>
                        </w:rPr>
                      </w:pPr>
                      <w:r>
                        <w:rPr>
                          <w:rFonts w:ascii="Corbel" w:hAnsi="Corbel"/>
                          <w:b/>
                          <w:sz w:val="24"/>
                        </w:rPr>
                        <w:t>Ensure that legislation is screened by means of ‘interoperability checks’, to identify any barriers to interoperability. When drafting legislation to establish a European public service, seek to make it consistent with relevant legislation, perform a ‘digital check’ and consider data protection requirements.</w:t>
                      </w:r>
                    </w:p>
                  </w:txbxContent>
                </v:textbox>
                <w10:anchorlock/>
              </v:shape>
            </w:pict>
          </mc:Fallback>
        </mc:AlternateContent>
      </w:r>
    </w:p>
    <w:p>
      <w:pPr>
        <w:pStyle w:val="Heading2"/>
        <w:rPr>
          <w:noProof/>
        </w:rPr>
      </w:pPr>
      <w:bookmarkStart w:id="602" w:name="_Toc454188991"/>
      <w:bookmarkStart w:id="603" w:name="_Toc454196240"/>
      <w:bookmarkStart w:id="604" w:name="_Toc469580881"/>
      <w:bookmarkStart w:id="605" w:name="_Toc469902806"/>
      <w:r>
        <w:rPr>
          <w:noProof/>
        </w:rPr>
        <w:t>Organisational interoperability</w:t>
      </w:r>
      <w:bookmarkEnd w:id="602"/>
      <w:bookmarkEnd w:id="603"/>
      <w:bookmarkEnd w:id="604"/>
      <w:bookmarkEnd w:id="605"/>
    </w:p>
    <w:p>
      <w:pPr>
        <w:pStyle w:val="BodyText"/>
        <w:spacing w:after="200" w:line="312" w:lineRule="auto"/>
        <w:jc w:val="both"/>
        <w:rPr>
          <w:rFonts w:ascii="Times New Roman" w:hAnsi="Times New Roman"/>
          <w:b/>
          <w:bCs/>
          <w:noProof/>
          <w:sz w:val="24"/>
        </w:rPr>
      </w:pPr>
      <w:r>
        <w:rPr>
          <w:rFonts w:ascii="Times New Roman" w:hAnsi="Times New Roman"/>
          <w:noProof/>
          <w:sz w:val="24"/>
        </w:rPr>
        <w:t>This refers to the way in which public administrations align their business processes, responsibilities and expectations to achieve commonly agreed and mutually beneficial goals. In practice, organisational interoperability means documenting and integrating or aligning business processes and relevant information exchanged. Organisational interoperability also aims to meet the requirements of the user community by making services available, easily identifiable, accessible and user-focused.</w:t>
      </w:r>
    </w:p>
    <w:p>
      <w:pPr>
        <w:pStyle w:val="Heading3"/>
        <w:rPr>
          <w:noProof/>
        </w:rPr>
      </w:pPr>
      <w:bookmarkStart w:id="606" w:name="_Toc454188992"/>
      <w:bookmarkStart w:id="607" w:name="_Toc454196241"/>
      <w:bookmarkStart w:id="608" w:name="_Toc454198189"/>
      <w:r>
        <w:rPr>
          <w:noProof/>
        </w:rPr>
        <w:t>Business process alignment</w:t>
      </w:r>
      <w:bookmarkEnd w:id="606"/>
      <w:bookmarkEnd w:id="607"/>
      <w:bookmarkEnd w:id="608"/>
    </w:p>
    <w:p>
      <w:pPr>
        <w:pStyle w:val="BodyText"/>
        <w:spacing w:after="200" w:line="312" w:lineRule="auto"/>
        <w:jc w:val="both"/>
        <w:rPr>
          <w:rFonts w:ascii="Times New Roman" w:hAnsi="Times New Roman"/>
          <w:noProof/>
          <w:sz w:val="24"/>
        </w:rPr>
      </w:pPr>
      <w:r>
        <w:rPr>
          <w:rFonts w:ascii="Times New Roman" w:hAnsi="Times New Roman"/>
          <w:noProof/>
          <w:sz w:val="24"/>
        </w:rPr>
        <w:t>In order for different administrative entities to be able to work together efficiently and effectively to provide European public services, they may need to align their existing business processes or define and establish new ones.</w:t>
      </w:r>
    </w:p>
    <w:p>
      <w:pPr>
        <w:pStyle w:val="BodyText"/>
        <w:spacing w:after="200" w:line="312" w:lineRule="auto"/>
        <w:jc w:val="both"/>
        <w:rPr>
          <w:rFonts w:ascii="Times New Roman" w:hAnsi="Times New Roman"/>
          <w:noProof/>
        </w:rPr>
      </w:pPr>
      <w:r>
        <w:rPr>
          <w:rFonts w:ascii="Times New Roman" w:hAnsi="Times New Roman"/>
          <w:noProof/>
          <w:sz w:val="24"/>
        </w:rPr>
        <w:t>Aligning business processes implies documenting them in an agreed way and with commonly accepted modelling techniques, including the associated information exchanged, so that all public administrations contributing to the delivery of European public services can understand the overall (end-to-end) business process and their role in it.</w:t>
      </w:r>
    </w:p>
    <w:p>
      <w:pPr>
        <w:pStyle w:val="BodyText"/>
        <w:spacing w:line="276" w:lineRule="auto"/>
        <w:rPr>
          <w:rFonts w:ascii="Times New Roman" w:hAnsi="Times New Roman"/>
          <w:noProof/>
        </w:rPr>
      </w:pPr>
      <w:r>
        <w:rPr>
          <w:rFonts w:ascii="Times New Roman" w:hAnsi="Times New Roman"/>
          <w:noProof/>
          <w:lang w:val="en-US" w:eastAsia="en-US"/>
        </w:rPr>
        <mc:AlternateContent>
          <mc:Choice Requires="wps">
            <w:drawing>
              <wp:inline distT="0" distB="0" distL="0" distR="0">
                <wp:extent cx="5641676" cy="1057524"/>
                <wp:effectExtent l="57150" t="38100" r="54610" b="85725"/>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676" cy="1057524"/>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28:</w:t>
                            </w:r>
                          </w:p>
                          <w:p>
                            <w:pPr>
                              <w:ind w:left="142"/>
                              <w:jc w:val="both"/>
                              <w:rPr>
                                <w:rFonts w:ascii="Corbel" w:hAnsi="Corbel"/>
                                <w:b/>
                                <w:sz w:val="24"/>
                              </w:rPr>
                            </w:pPr>
                            <w:r>
                              <w:rPr>
                                <w:rFonts w:ascii="Corbel" w:hAnsi="Corbel"/>
                                <w:b/>
                                <w:sz w:val="24"/>
                              </w:rPr>
                              <w:t>Document your business processes using commonly accepted modelling techniques and agree on how these processes should be aligned to deliver a European public service.</w:t>
                            </w:r>
                          </w:p>
                        </w:txbxContent>
                      </wps:txbx>
                      <wps:bodyPr rot="0" vert="horz" wrap="square" lIns="91440" tIns="45720" rIns="91440" bIns="45720" anchor="t" anchorCtr="0">
                        <a:noAutofit/>
                      </wps:bodyPr>
                    </wps:wsp>
                  </a:graphicData>
                </a:graphic>
              </wp:inline>
            </w:drawing>
          </mc:Choice>
          <mc:Fallback>
            <w:pict>
              <v:shape id="_x0000_s1053" type="#_x0000_t202" style="width:444.2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28:</w:t>
                      </w:r>
                    </w:p>
                    <w:p>
                      <w:pPr>
                        <w:ind w:left="142"/>
                        <w:jc w:val="both"/>
                        <w:rPr>
                          <w:rFonts w:ascii="Corbel" w:hAnsi="Corbel"/>
                          <w:b/>
                          <w:sz w:val="24"/>
                        </w:rPr>
                      </w:pPr>
                      <w:r>
                        <w:rPr>
                          <w:rFonts w:ascii="Corbel" w:hAnsi="Corbel"/>
                          <w:b/>
                          <w:sz w:val="24"/>
                        </w:rPr>
                        <w:t>Document your business processes using commonly accepted modelling techniques and agree on how these processes should be aligned to deliver a European public service.</w:t>
                      </w:r>
                    </w:p>
                  </w:txbxContent>
                </v:textbox>
                <w10:anchorlock/>
              </v:shape>
            </w:pict>
          </mc:Fallback>
        </mc:AlternateContent>
      </w:r>
    </w:p>
    <w:p>
      <w:pPr>
        <w:pStyle w:val="Heading3"/>
        <w:rPr>
          <w:noProof/>
        </w:rPr>
      </w:pPr>
      <w:bookmarkStart w:id="609" w:name="_Toc454188993"/>
      <w:bookmarkStart w:id="610" w:name="_Toc454196242"/>
      <w:bookmarkStart w:id="611" w:name="_Toc454198190"/>
      <w:r>
        <w:rPr>
          <w:noProof/>
        </w:rPr>
        <w:t>Organisational relationships</w:t>
      </w:r>
      <w:bookmarkEnd w:id="609"/>
      <w:bookmarkEnd w:id="610"/>
      <w:bookmarkEnd w:id="611"/>
    </w:p>
    <w:p>
      <w:pPr>
        <w:pStyle w:val="BodyText"/>
        <w:spacing w:after="200" w:line="312" w:lineRule="auto"/>
        <w:jc w:val="both"/>
        <w:rPr>
          <w:rFonts w:ascii="Times New Roman" w:hAnsi="Times New Roman"/>
          <w:noProof/>
          <w:sz w:val="24"/>
        </w:rPr>
      </w:pPr>
      <w:r>
        <w:rPr>
          <w:rFonts w:ascii="Times New Roman" w:hAnsi="Times New Roman"/>
          <w:noProof/>
          <w:sz w:val="24"/>
        </w:rPr>
        <w:t>Service orientation, upon which the conceptual model for public services is conceived, means that the relationship between service providers and service consumers must be clearly defined.</w:t>
      </w:r>
    </w:p>
    <w:p>
      <w:pPr>
        <w:pStyle w:val="BodyText"/>
        <w:spacing w:after="200" w:line="312" w:lineRule="auto"/>
        <w:jc w:val="both"/>
        <w:rPr>
          <w:rFonts w:ascii="Times New Roman" w:hAnsi="Times New Roman"/>
          <w:noProof/>
          <w:sz w:val="24"/>
        </w:rPr>
      </w:pPr>
      <w:r>
        <w:rPr>
          <w:rFonts w:ascii="Times New Roman" w:hAnsi="Times New Roman"/>
          <w:noProof/>
          <w:sz w:val="24"/>
        </w:rPr>
        <w:t>This involves finding instruments to formalise mutual assistance, joint action and interconnected business processes as part of service provision e.g. MoUs and SLAs between participating public administrations. For cross-border actions, these should preferably be multilateral or global European agreements.</w:t>
      </w:r>
    </w:p>
    <w:p>
      <w:pPr>
        <w:pStyle w:val="BodyText"/>
        <w:jc w:val="both"/>
        <w:rPr>
          <w:rFonts w:ascii="Times New Roman" w:hAnsi="Times New Roman"/>
          <w:noProof/>
        </w:rPr>
      </w:pPr>
      <w:r>
        <w:rPr>
          <w:rFonts w:ascii="Times New Roman" w:hAnsi="Times New Roman"/>
          <w:noProof/>
          <w:lang w:val="en-US" w:eastAsia="en-US"/>
        </w:rPr>
        <mc:AlternateContent>
          <mc:Choice Requires="wps">
            <w:drawing>
              <wp:inline distT="0" distB="0" distL="0" distR="0">
                <wp:extent cx="5641340" cy="850790"/>
                <wp:effectExtent l="57150" t="38100" r="54610" b="83185"/>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85079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rPr>
                                <w:rFonts w:ascii="Corbel" w:hAnsi="Corbel"/>
                                <w:b/>
                                <w:i/>
                                <w:sz w:val="24"/>
                              </w:rPr>
                            </w:pPr>
                            <w:r>
                              <w:rPr>
                                <w:rStyle w:val="ListParagraphChar"/>
                                <w:rFonts w:ascii="Corbel" w:eastAsia="MS Mincho" w:hAnsi="Corbel"/>
                                <w:b w:val="0"/>
                                <w:i/>
                                <w:noProof w:val="0"/>
                                <w:sz w:val="24"/>
                                <w:u w:val="none"/>
                                <w:lang w:val="en-GB"/>
                              </w:rPr>
                              <w:t>Recommendation 29:</w:t>
                            </w:r>
                          </w:p>
                          <w:p>
                            <w:pPr>
                              <w:ind w:left="142"/>
                              <w:rPr>
                                <w:rFonts w:ascii="Corbel" w:hAnsi="Corbel"/>
                                <w:b/>
                                <w:sz w:val="24"/>
                              </w:rPr>
                            </w:pPr>
                            <w:r>
                              <w:rPr>
                                <w:rFonts w:ascii="Corbel" w:hAnsi="Corbel"/>
                                <w:b/>
                                <w:sz w:val="24"/>
                              </w:rPr>
                              <w:t>Clarify and formalise your organisational relationships for establishing and operating European public services.</w:t>
                            </w:r>
                          </w:p>
                        </w:txbxContent>
                      </wps:txbx>
                      <wps:bodyPr rot="0" vert="horz" wrap="square" lIns="91440" tIns="45720" rIns="91440" bIns="45720" anchor="t" anchorCtr="0">
                        <a:noAutofit/>
                      </wps:bodyPr>
                    </wps:wsp>
                  </a:graphicData>
                </a:graphic>
              </wp:inline>
            </w:drawing>
          </mc:Choice>
          <mc:Fallback>
            <w:pict>
              <v:shape id="_x0000_s1054" type="#_x0000_t202" style="width:444.2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" fillcolor="#010101 [38]" stroked="f">
                <v:fill color2="#a3a3a3 [3174]" rotate="t" colors="0 #afafaf;.5 #a5a5a5;1 #929292" focus="100%" type="gradient">
                  <o:fill v:ext="view" type="gradientUnscaled"/>
                </v:fill>
                <v:shadow on="t" color="black" opacity="41287f" offset="0,1.5pt"/>
                <v:textbox>
                  <w:txbxContent>
                    <w:p>
                      <w:pPr>
                        <w:spacing w:after="120"/>
                        <w:rPr>
                          <w:rFonts w:ascii="Corbel" w:hAnsi="Corbel"/>
                          <w:b/>
                          <w:i/>
                          <w:sz w:val="24"/>
                        </w:rPr>
                      </w:pPr>
                      <w:r>
                        <w:rPr>
                          <w:rStyle w:val="ListParagraphChar"/>
                          <w:rFonts w:ascii="Corbel" w:eastAsia="MS Mincho" w:hAnsi="Corbel"/>
                          <w:b w:val="0"/>
                          <w:i/>
                          <w:noProof w:val="0"/>
                          <w:sz w:val="24"/>
                          <w:u w:val="none"/>
                          <w:lang w:val="en-GB"/>
                        </w:rPr>
                        <w:t>Recommendation 29:</w:t>
                      </w:r>
                    </w:p>
                    <w:p>
                      <w:pPr>
                        <w:ind w:left="142"/>
                        <w:rPr>
                          <w:rFonts w:ascii="Corbel" w:hAnsi="Corbel"/>
                          <w:b/>
                          <w:sz w:val="24"/>
                        </w:rPr>
                      </w:pPr>
                      <w:r>
                        <w:rPr>
                          <w:rFonts w:ascii="Corbel" w:hAnsi="Corbel"/>
                          <w:b/>
                          <w:sz w:val="24"/>
                        </w:rPr>
                        <w:t>Clarify and formalise your organisational relationships for establishing and operating European public services.</w:t>
                      </w:r>
                    </w:p>
                  </w:txbxContent>
                </v:textbox>
                <w10:anchorlock/>
              </v:shape>
            </w:pict>
          </mc:Fallback>
        </mc:AlternateContent>
      </w:r>
    </w:p>
    <w:p>
      <w:pPr>
        <w:pStyle w:val="Heading2"/>
        <w:rPr>
          <w:noProof/>
        </w:rPr>
      </w:pPr>
      <w:bookmarkStart w:id="612" w:name="_Toc454188994"/>
      <w:bookmarkStart w:id="613" w:name="_Toc454196243"/>
      <w:bookmarkStart w:id="614" w:name="_Toc469580882"/>
      <w:bookmarkStart w:id="615" w:name="_Toc469902807"/>
      <w:r>
        <w:rPr>
          <w:noProof/>
        </w:rPr>
        <w:t>Semantic interoperability</w:t>
      </w:r>
      <w:bookmarkEnd w:id="612"/>
      <w:bookmarkEnd w:id="613"/>
      <w:bookmarkEnd w:id="614"/>
      <w:bookmarkEnd w:id="615"/>
    </w:p>
    <w:p>
      <w:pPr>
        <w:pStyle w:val="BodyText"/>
        <w:spacing w:after="200" w:line="312" w:lineRule="auto"/>
        <w:jc w:val="both"/>
        <w:rPr>
          <w:rFonts w:ascii="Times New Roman" w:hAnsi="Times New Roman"/>
          <w:noProof/>
          <w:sz w:val="24"/>
        </w:rPr>
      </w:pPr>
      <w:r>
        <w:rPr>
          <w:rFonts w:ascii="Times New Roman" w:hAnsi="Times New Roman"/>
          <w:noProof/>
          <w:sz w:val="24"/>
        </w:rPr>
        <w:t>Semantic interoperability ensures that the precise format and meaning of exchanged data and information is preserved and understood throughout exchanges between parties, in other words ‘what is sent is what is understood’. In the EIF, semantic interoperability covers both semantic and syntactic aspects:</w:t>
      </w:r>
    </w:p>
    <w:p>
      <w:pPr>
        <w:pStyle w:val="BodyText"/>
        <w:numPr>
          <w:ilvl w:val="0"/>
          <w:numId w:val="4"/>
        </w:numPr>
        <w:spacing w:before="120" w:after="120" w:line="312" w:lineRule="auto"/>
        <w:ind w:left="714" w:hanging="357"/>
        <w:jc w:val="both"/>
        <w:rPr>
          <w:rFonts w:ascii="Times New Roman" w:hAnsi="Times New Roman"/>
          <w:noProof/>
          <w:sz w:val="24"/>
        </w:rPr>
      </w:pPr>
      <w:r>
        <w:rPr>
          <w:rFonts w:ascii="Times New Roman" w:hAnsi="Times New Roman"/>
          <w:b/>
          <w:noProof/>
          <w:color w:val="000000" w:themeColor="text1"/>
          <w:sz w:val="24"/>
        </w:rPr>
        <w:t xml:space="preserve">The semantic </w:t>
      </w:r>
      <w:r>
        <w:rPr>
          <w:rFonts w:ascii="Times New Roman" w:hAnsi="Times New Roman"/>
          <w:noProof/>
          <w:color w:val="000000" w:themeColor="text1"/>
          <w:sz w:val="24"/>
        </w:rPr>
        <w:t>aspect</w:t>
      </w:r>
      <w:r>
        <w:rPr>
          <w:rFonts w:ascii="Times New Roman" w:hAnsi="Times New Roman"/>
          <w:b/>
          <w:noProof/>
          <w:color w:val="000000" w:themeColor="text1"/>
          <w:sz w:val="24"/>
        </w:rPr>
        <w:t xml:space="preserve"> </w:t>
      </w:r>
      <w:r>
        <w:rPr>
          <w:rFonts w:ascii="Times New Roman" w:hAnsi="Times New Roman"/>
          <w:noProof/>
          <w:sz w:val="24"/>
        </w:rPr>
        <w:t>refers to the meaning of data elements and the relationship between them. It includes developing vocabularies and schemata to describe data exchanges, and ensures that data elements are understood in the same way by all communicating parties;</w:t>
      </w:r>
    </w:p>
    <w:p>
      <w:pPr>
        <w:pStyle w:val="BodyText"/>
        <w:numPr>
          <w:ilvl w:val="0"/>
          <w:numId w:val="4"/>
        </w:numPr>
        <w:spacing w:before="120" w:after="120" w:line="312" w:lineRule="auto"/>
        <w:ind w:left="714" w:hanging="357"/>
        <w:jc w:val="both"/>
        <w:rPr>
          <w:rFonts w:ascii="Times New Roman" w:hAnsi="Times New Roman"/>
          <w:noProof/>
          <w:sz w:val="24"/>
        </w:rPr>
      </w:pPr>
      <w:r>
        <w:rPr>
          <w:rFonts w:ascii="Times New Roman" w:hAnsi="Times New Roman"/>
          <w:b/>
          <w:noProof/>
          <w:color w:val="000000" w:themeColor="text1"/>
          <w:sz w:val="24"/>
        </w:rPr>
        <w:t xml:space="preserve">The syntactic </w:t>
      </w:r>
      <w:r>
        <w:rPr>
          <w:rFonts w:ascii="Times New Roman" w:hAnsi="Times New Roman"/>
          <w:noProof/>
          <w:color w:val="000000" w:themeColor="text1"/>
          <w:sz w:val="24"/>
        </w:rPr>
        <w:t>aspect</w:t>
      </w:r>
      <w:r>
        <w:rPr>
          <w:rFonts w:ascii="Times New Roman" w:hAnsi="Times New Roman"/>
          <w:b/>
          <w:noProof/>
          <w:color w:val="000000" w:themeColor="text1"/>
          <w:sz w:val="24"/>
        </w:rPr>
        <w:t xml:space="preserve"> </w:t>
      </w:r>
      <w:r>
        <w:rPr>
          <w:rFonts w:ascii="Times New Roman" w:hAnsi="Times New Roman"/>
          <w:noProof/>
          <w:sz w:val="24"/>
        </w:rPr>
        <w:t>refers to describing the exact format of the information to be exchanged in terms of grammar and format.</w:t>
      </w:r>
    </w:p>
    <w:p>
      <w:pPr>
        <w:pStyle w:val="BodyText"/>
        <w:spacing w:after="200" w:line="312" w:lineRule="auto"/>
        <w:jc w:val="both"/>
        <w:rPr>
          <w:rFonts w:ascii="Times New Roman" w:hAnsi="Times New Roman"/>
          <w:noProof/>
          <w:sz w:val="24"/>
        </w:rPr>
      </w:pPr>
      <w:r>
        <w:rPr>
          <w:rFonts w:ascii="Times New Roman" w:hAnsi="Times New Roman"/>
          <w:noProof/>
          <w:sz w:val="24"/>
        </w:rPr>
        <w:t xml:space="preserve">A starting point for improving semantic interoperability is to </w:t>
      </w:r>
      <w:r>
        <w:rPr>
          <w:rFonts w:ascii="Times New Roman" w:hAnsi="Times New Roman"/>
          <w:b/>
          <w:noProof/>
          <w:sz w:val="24"/>
        </w:rPr>
        <w:t>perceive data and information as a valuable public asset</w:t>
      </w:r>
      <w:r>
        <w:rPr>
          <w:rFonts w:ascii="Times New Roman" w:hAnsi="Times New Roman"/>
          <w:noProof/>
          <w:sz w:val="24"/>
        </w:rPr>
        <w:t>.</w:t>
      </w:r>
    </w:p>
    <w:p>
      <w:pPr>
        <w:pStyle w:val="BodyText"/>
        <w:spacing w:after="200" w:line="312" w:lineRule="auto"/>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598160" cy="922351"/>
                <wp:effectExtent l="57150" t="38100" r="59690" b="68580"/>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922351"/>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30:</w:t>
                            </w:r>
                          </w:p>
                          <w:p>
                            <w:pPr>
                              <w:ind w:left="142"/>
                              <w:jc w:val="both"/>
                              <w:rPr>
                                <w:rFonts w:ascii="Corbel" w:hAnsi="Corbel"/>
                                <w:b/>
                                <w:sz w:val="24"/>
                              </w:rPr>
                            </w:pPr>
                            <w:r>
                              <w:rPr>
                                <w:rFonts w:ascii="Corbel" w:hAnsi="Corbel"/>
                                <w:b/>
                                <w:sz w:val="24"/>
                              </w:rPr>
                              <w:t>Perceive data and information as a public asset that should be appropriately generated, collected, managed, shared, protected and preserved.</w:t>
                            </w:r>
                          </w:p>
                        </w:txbxContent>
                      </wps:txbx>
                      <wps:bodyPr rot="0" vert="horz" wrap="square" lIns="91440" tIns="45720" rIns="91440" bIns="45720" anchor="t" anchorCtr="0">
                        <a:noAutofit/>
                      </wps:bodyPr>
                    </wps:wsp>
                  </a:graphicData>
                </a:graphic>
              </wp:inline>
            </w:drawing>
          </mc:Choice>
          <mc:Fallback>
            <w:pict>
              <v:shape id="_x0000_s1055" type="#_x0000_t202" style="width:440.8pt;height:7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30:</w:t>
                      </w:r>
                    </w:p>
                    <w:p>
                      <w:pPr>
                        <w:ind w:left="142"/>
                        <w:jc w:val="both"/>
                        <w:rPr>
                          <w:rFonts w:ascii="Corbel" w:hAnsi="Corbel"/>
                          <w:b/>
                          <w:sz w:val="24"/>
                        </w:rPr>
                      </w:pPr>
                      <w:r>
                        <w:rPr>
                          <w:rFonts w:ascii="Corbel" w:hAnsi="Corbel"/>
                          <w:b/>
                          <w:sz w:val="24"/>
                        </w:rPr>
                        <w:t>Perceive data and information as a public asset that should be appropriately generated, collected, managed, shared, protected and preserved.</w:t>
                      </w:r>
                    </w:p>
                  </w:txbxContent>
                </v:textbox>
                <w10:anchorlock/>
              </v:shape>
            </w:pict>
          </mc:Fallback>
        </mc:AlternateContent>
      </w:r>
    </w:p>
    <w:p>
      <w:pPr>
        <w:pStyle w:val="BodyText"/>
        <w:spacing w:after="200" w:line="312" w:lineRule="auto"/>
        <w:jc w:val="both"/>
        <w:rPr>
          <w:rFonts w:ascii="Times New Roman" w:hAnsi="Times New Roman"/>
          <w:noProof/>
          <w:sz w:val="24"/>
        </w:rPr>
      </w:pPr>
      <w:r>
        <w:rPr>
          <w:rFonts w:ascii="Times New Roman" w:hAnsi="Times New Roman"/>
          <w:noProof/>
          <w:sz w:val="24"/>
        </w:rPr>
        <w:t>An information management strategy should be drafted and coordinated at the highest possible level (corporate or enterprise) to avoid fragmentation and set priorities.</w:t>
      </w:r>
    </w:p>
    <w:p>
      <w:pPr>
        <w:pStyle w:val="BodyText"/>
        <w:spacing w:after="200" w:line="312" w:lineRule="auto"/>
        <w:jc w:val="both"/>
        <w:rPr>
          <w:rFonts w:ascii="Times New Roman" w:hAnsi="Times New Roman"/>
          <w:noProof/>
          <w:sz w:val="24"/>
        </w:rPr>
      </w:pPr>
      <w:r>
        <w:rPr>
          <w:rFonts w:ascii="Times New Roman" w:hAnsi="Times New Roman"/>
          <w:noProof/>
          <w:sz w:val="24"/>
        </w:rPr>
        <w:t>For example, agreements on reference data, in the form of taxonomies, controlled vocabularies, thesauri, code lists</w:t>
      </w:r>
      <w:r>
        <w:rPr>
          <w:rStyle w:val="FootnoteReference"/>
          <w:rFonts w:ascii="Times New Roman" w:eastAsia="MS Mincho" w:hAnsi="Times New Roman"/>
          <w:noProof/>
          <w:sz w:val="24"/>
        </w:rPr>
        <w:footnoteReference w:id="27"/>
      </w:r>
      <w:r>
        <w:rPr>
          <w:rFonts w:ascii="Times New Roman" w:hAnsi="Times New Roman"/>
          <w:noProof/>
          <w:sz w:val="24"/>
        </w:rPr>
        <w:t xml:space="preserve"> and reusable data structures/models</w:t>
      </w:r>
      <w:r>
        <w:rPr>
          <w:rStyle w:val="FootnoteReference"/>
          <w:rFonts w:ascii="Times New Roman" w:eastAsia="MS Mincho" w:hAnsi="Times New Roman"/>
          <w:noProof/>
          <w:sz w:val="24"/>
        </w:rPr>
        <w:footnoteReference w:id="28"/>
      </w:r>
      <w:r>
        <w:rPr>
          <w:rFonts w:ascii="Times New Roman" w:hAnsi="Times New Roman"/>
          <w:noProof/>
          <w:sz w:val="24"/>
        </w:rPr>
        <w:t xml:space="preserve"> are key prerequisites for achieving semantic interoperability. Approaches like </w:t>
      </w:r>
      <w:r>
        <w:rPr>
          <w:rFonts w:ascii="Times New Roman" w:hAnsi="Times New Roman"/>
          <w:b/>
          <w:noProof/>
          <w:sz w:val="24"/>
        </w:rPr>
        <w:t>data-driven-design</w:t>
      </w:r>
      <w:r>
        <w:rPr>
          <w:rFonts w:ascii="Times New Roman" w:hAnsi="Times New Roman"/>
          <w:noProof/>
          <w:sz w:val="24"/>
        </w:rPr>
        <w:t xml:space="preserve">, coupled with </w:t>
      </w:r>
      <w:r>
        <w:rPr>
          <w:rFonts w:ascii="Times New Roman" w:hAnsi="Times New Roman"/>
          <w:b/>
          <w:noProof/>
          <w:sz w:val="24"/>
        </w:rPr>
        <w:t>linked data</w:t>
      </w:r>
      <w:r>
        <w:rPr>
          <w:rFonts w:ascii="Times New Roman" w:hAnsi="Times New Roman"/>
          <w:noProof/>
          <w:sz w:val="24"/>
        </w:rPr>
        <w:t xml:space="preserve"> technologies, are innovative ways of substantially improving semantic interoperability.</w:t>
      </w:r>
    </w:p>
    <w:p>
      <w:pPr>
        <w:pStyle w:val="BodyText"/>
        <w:spacing w:after="200" w:line="312" w:lineRule="auto"/>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598543" cy="985962"/>
                <wp:effectExtent l="57150" t="38100" r="59690" b="81280"/>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43" cy="985962"/>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31:</w:t>
                            </w:r>
                          </w:p>
                          <w:p>
                            <w:pPr>
                              <w:ind w:left="142"/>
                              <w:jc w:val="both"/>
                              <w:rPr>
                                <w:rFonts w:ascii="Corbel" w:hAnsi="Corbel"/>
                                <w:b/>
                                <w:sz w:val="24"/>
                              </w:rPr>
                            </w:pPr>
                            <w:r>
                              <w:rPr>
                                <w:rFonts w:ascii="Corbel" w:hAnsi="Corbel"/>
                                <w:b/>
                                <w:sz w:val="24"/>
                              </w:rPr>
                              <w:t>Put in place an information management strategy at the highest possible level to avoid fragmentation and duplication. Management of metadata, master data and reference data should be prioritised.</w:t>
                            </w:r>
                          </w:p>
                        </w:txbxContent>
                      </wps:txbx>
                      <wps:bodyPr rot="0" vert="horz" wrap="square" lIns="91440" tIns="45720" rIns="91440" bIns="45720" anchor="t" anchorCtr="0">
                        <a:noAutofit/>
                      </wps:bodyPr>
                    </wps:wsp>
                  </a:graphicData>
                </a:graphic>
              </wp:inline>
            </w:drawing>
          </mc:Choice>
          <mc:Fallback>
            <w:pict>
              <v:shape id="_x0000_s1056" type="#_x0000_t202" style="width:440.8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31:</w:t>
                      </w:r>
                    </w:p>
                    <w:p>
                      <w:pPr>
                        <w:ind w:left="142"/>
                        <w:jc w:val="both"/>
                        <w:rPr>
                          <w:rFonts w:ascii="Corbel" w:hAnsi="Corbel"/>
                          <w:b/>
                          <w:sz w:val="24"/>
                        </w:rPr>
                      </w:pPr>
                      <w:r>
                        <w:rPr>
                          <w:rFonts w:ascii="Corbel" w:hAnsi="Corbel"/>
                          <w:b/>
                          <w:sz w:val="24"/>
                        </w:rPr>
                        <w:t>Put in place an information management strategy at the highest possible level to avoid fragmentation and duplication. Management of metadata, master data and reference data should be prioritised.</w:t>
                      </w:r>
                    </w:p>
                  </w:txbxContent>
                </v:textbox>
                <w10:anchorlock/>
              </v:shape>
            </w:pict>
          </mc:Fallback>
        </mc:AlternateContent>
      </w:r>
    </w:p>
    <w:p>
      <w:pPr>
        <w:pStyle w:val="BodyText"/>
        <w:spacing w:before="240" w:after="200" w:line="312" w:lineRule="auto"/>
        <w:jc w:val="both"/>
        <w:rPr>
          <w:rFonts w:ascii="Times New Roman" w:hAnsi="Times New Roman"/>
          <w:noProof/>
          <w:sz w:val="24"/>
        </w:rPr>
      </w:pPr>
      <w:r>
        <w:rPr>
          <w:rFonts w:ascii="Times New Roman" w:hAnsi="Times New Roman"/>
          <w:noProof/>
          <w:sz w:val="24"/>
        </w:rPr>
        <w:t>Similarly to the way technical standards have fostered technical interoperability (e.g. network connectivity) for decades now, robust, coherent and universally applicable information standards and specifications are needed to enable meaningful information exchange among European public organisations.</w:t>
      </w:r>
      <w:r>
        <w:rPr>
          <w:rStyle w:val="FootnoteReference"/>
          <w:rFonts w:ascii="Times New Roman" w:eastAsia="MS Mincho" w:hAnsi="Times New Roman"/>
          <w:noProof/>
          <w:sz w:val="24"/>
        </w:rPr>
        <w:footnoteReference w:id="29"/>
      </w:r>
      <w:r>
        <w:rPr>
          <w:rFonts w:ascii="Times New Roman" w:hAnsi="Times New Roman"/>
          <w:noProof/>
          <w:sz w:val="24"/>
        </w:rPr>
        <w:t xml:space="preserve"> </w:t>
      </w:r>
    </w:p>
    <w:p>
      <w:pPr>
        <w:pStyle w:val="BodyText"/>
        <w:spacing w:after="200" w:line="312" w:lineRule="auto"/>
        <w:jc w:val="both"/>
        <w:rPr>
          <w:rFonts w:ascii="Times New Roman" w:hAnsi="Times New Roman"/>
          <w:noProof/>
          <w:sz w:val="24"/>
        </w:rPr>
      </w:pPr>
      <w:r>
        <w:rPr>
          <w:rFonts w:ascii="Times New Roman" w:hAnsi="Times New Roman"/>
          <w:noProof/>
          <w:sz w:val="24"/>
        </w:rPr>
        <w:t>Given the different linguistic, cultural, legal, and administrative environments in the Member States, this interoperability layer poses significant challenges. However, unless standardisation efforts mature in the semantic interoperability layer, it is difficult to ensure seamless information exchange, free movement of data, and data portability among Member States to support a digital single market in the EU.</w:t>
      </w:r>
    </w:p>
    <w:p>
      <w:pPr>
        <w:pStyle w:val="BodyText"/>
        <w:spacing w:after="200" w:line="312" w:lineRule="auto"/>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641676" cy="1000664"/>
                <wp:effectExtent l="57150" t="38100" r="54610" b="85725"/>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676" cy="1000664"/>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32:</w:t>
                            </w:r>
                          </w:p>
                          <w:p>
                            <w:pPr>
                              <w:jc w:val="both"/>
                              <w:rPr>
                                <w:rFonts w:ascii="Corbel" w:hAnsi="Corbel"/>
                                <w:b/>
                                <w:sz w:val="24"/>
                              </w:rPr>
                            </w:pPr>
                            <w:r>
                              <w:rPr>
                                <w:rFonts w:ascii="Corbel" w:hAnsi="Corbel"/>
                                <w:b/>
                                <w:sz w:val="24"/>
                              </w:rPr>
                              <w:t>Support the establishment of sector-specific and cross-sectoral communities that aim to create open information specifications and encourage relevant communities to share their results on national and European platforms.</w:t>
                            </w:r>
                          </w:p>
                        </w:txbxContent>
                      </wps:txbx>
                      <wps:bodyPr rot="0" vert="horz" wrap="square" lIns="91440" tIns="45720" rIns="91440" bIns="45720" anchor="t" anchorCtr="0">
                        <a:noAutofit/>
                      </wps:bodyPr>
                    </wps:wsp>
                  </a:graphicData>
                </a:graphic>
              </wp:inline>
            </w:drawing>
          </mc:Choice>
          <mc:Fallback>
            <w:pict>
              <v:shape id="_x0000_s1057" type="#_x0000_t202" style="width:444.25pt;height:7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32:</w:t>
                      </w:r>
                    </w:p>
                    <w:p>
                      <w:pPr>
                        <w:jc w:val="both"/>
                        <w:rPr>
                          <w:rFonts w:ascii="Corbel" w:hAnsi="Corbel"/>
                          <w:b/>
                          <w:sz w:val="24"/>
                        </w:rPr>
                      </w:pPr>
                      <w:r>
                        <w:rPr>
                          <w:rFonts w:ascii="Corbel" w:hAnsi="Corbel"/>
                          <w:b/>
                          <w:sz w:val="24"/>
                        </w:rPr>
                        <w:t>Support the establishment of sector-specific and cross-sectoral communities that aim to create open information specifications and encourage relevant communities to share their results on national and European platforms.</w:t>
                      </w:r>
                    </w:p>
                  </w:txbxContent>
                </v:textbox>
                <w10:anchorlock/>
              </v:shape>
            </w:pict>
          </mc:Fallback>
        </mc:AlternateContent>
      </w:r>
    </w:p>
    <w:p>
      <w:pPr>
        <w:pStyle w:val="Heading2"/>
        <w:rPr>
          <w:noProof/>
        </w:rPr>
      </w:pPr>
      <w:bookmarkStart w:id="616" w:name="_Toc454188995"/>
      <w:bookmarkStart w:id="617" w:name="_Toc454196244"/>
      <w:bookmarkStart w:id="618" w:name="_Toc469580883"/>
      <w:bookmarkStart w:id="619" w:name="_Toc469902808"/>
      <w:r>
        <w:rPr>
          <w:noProof/>
        </w:rPr>
        <w:t>Technical interoperability</w:t>
      </w:r>
      <w:bookmarkEnd w:id="616"/>
      <w:bookmarkEnd w:id="617"/>
      <w:bookmarkEnd w:id="618"/>
      <w:bookmarkEnd w:id="619"/>
    </w:p>
    <w:p>
      <w:pPr>
        <w:pStyle w:val="BodyText"/>
        <w:spacing w:after="200" w:line="312" w:lineRule="auto"/>
        <w:jc w:val="both"/>
        <w:rPr>
          <w:rFonts w:ascii="Times New Roman" w:hAnsi="Times New Roman"/>
          <w:noProof/>
          <w:sz w:val="24"/>
        </w:rPr>
      </w:pPr>
      <w:r>
        <w:rPr>
          <w:rFonts w:ascii="Times New Roman" w:hAnsi="Times New Roman"/>
          <w:noProof/>
          <w:sz w:val="24"/>
        </w:rPr>
        <w:t>This covers the applications and infrastructures linking systems and services. Aspects of technical interoperability include interface specifications, interconnection services, data integration services, data presentation and exchange, and secure communication protocols.</w:t>
      </w:r>
    </w:p>
    <w:p>
      <w:pPr>
        <w:pStyle w:val="BodyText"/>
        <w:spacing w:after="200" w:line="312" w:lineRule="auto"/>
        <w:jc w:val="both"/>
        <w:rPr>
          <w:rFonts w:ascii="Times New Roman" w:hAnsi="Times New Roman"/>
          <w:noProof/>
          <w:sz w:val="24"/>
        </w:rPr>
      </w:pPr>
      <w:r>
        <w:rPr>
          <w:rFonts w:ascii="Times New Roman" w:hAnsi="Times New Roman"/>
          <w:noProof/>
          <w:sz w:val="24"/>
        </w:rPr>
        <w:t>A major obstacle to interoperability arises from legacy systems. Historically, applications and information systems in public administrations were developed in a bottom-up fashion, trying to solve domain-specific and local problems. This resulted in fragmented ICT islands which are difficult to interoperate.</w:t>
      </w:r>
    </w:p>
    <w:p>
      <w:pPr>
        <w:pStyle w:val="BodyText"/>
        <w:spacing w:after="200" w:line="312" w:lineRule="auto"/>
        <w:jc w:val="both"/>
        <w:rPr>
          <w:rFonts w:ascii="Times New Roman" w:eastAsia="GAAAAA+TimesNewRomanPSMT" w:hAnsi="Times New Roman"/>
          <w:noProof/>
          <w:sz w:val="24"/>
        </w:rPr>
      </w:pPr>
      <w:r>
        <w:rPr>
          <w:rFonts w:ascii="Times New Roman" w:eastAsia="GAAAAA+TimesNewRomanPSMT" w:hAnsi="Times New Roman"/>
          <w:noProof/>
          <w:sz w:val="24"/>
        </w:rPr>
        <w:t>Due to the size of public administration and the fragmentation of ICT solutions, the plethora of legacy systems creates an additional interoperability barrier in the technical layer.</w:t>
      </w:r>
    </w:p>
    <w:p>
      <w:pPr>
        <w:pStyle w:val="BodyText"/>
        <w:spacing w:after="200" w:line="312" w:lineRule="auto"/>
        <w:jc w:val="both"/>
        <w:rPr>
          <w:rFonts w:ascii="Times New Roman" w:hAnsi="Times New Roman"/>
          <w:noProof/>
          <w:sz w:val="24"/>
        </w:rPr>
      </w:pPr>
      <w:r>
        <w:rPr>
          <w:rFonts w:ascii="Times New Roman" w:eastAsia="GAAAAA+TimesNewRomanPSMT" w:hAnsi="Times New Roman"/>
          <w:noProof/>
          <w:sz w:val="24"/>
        </w:rPr>
        <w:t>Technical interoperability should be ensured, whenever possible, via the use of</w:t>
      </w:r>
      <w:r>
        <w:rPr>
          <w:rFonts w:ascii="Times New Roman" w:hAnsi="Times New Roman"/>
          <w:noProof/>
          <w:sz w:val="24"/>
        </w:rPr>
        <w:t xml:space="preserve"> formal technical specifications.</w:t>
      </w:r>
    </w:p>
    <w:p>
      <w:pPr>
        <w:pStyle w:val="BodyText"/>
        <w:spacing w:after="200" w:line="312" w:lineRule="auto"/>
        <w:jc w:val="both"/>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581291" cy="850789"/>
                <wp:effectExtent l="57150" t="38100" r="57785" b="83185"/>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291" cy="850789"/>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33:</w:t>
                            </w:r>
                          </w:p>
                          <w:p>
                            <w:pPr>
                              <w:jc w:val="both"/>
                              <w:rPr>
                                <w:rFonts w:ascii="Corbel" w:hAnsi="Corbel"/>
                                <w:b/>
                                <w:sz w:val="24"/>
                              </w:rPr>
                            </w:pPr>
                            <w:r>
                              <w:rPr>
                                <w:rFonts w:ascii="Corbel" w:hAnsi="Corbel"/>
                                <w:b/>
                                <w:sz w:val="24"/>
                              </w:rPr>
                              <w:t>Use open specifications, where available, to ensure technical interoperability when establishing European public services.</w:t>
                            </w:r>
                          </w:p>
                        </w:txbxContent>
                      </wps:txbx>
                      <wps:bodyPr rot="0" vert="horz" wrap="square" lIns="91440" tIns="45720" rIns="91440" bIns="45720" anchor="t" anchorCtr="0">
                        <a:noAutofit/>
                      </wps:bodyPr>
                    </wps:wsp>
                  </a:graphicData>
                </a:graphic>
              </wp:inline>
            </w:drawing>
          </mc:Choice>
          <mc:Fallback>
            <w:pict>
              <v:shape id="_x0000_s1058" type="#_x0000_t202" style="width:439.45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33:</w:t>
                      </w:r>
                    </w:p>
                    <w:p>
                      <w:pPr>
                        <w:jc w:val="both"/>
                        <w:rPr>
                          <w:rFonts w:ascii="Corbel" w:hAnsi="Corbel"/>
                          <w:b/>
                          <w:sz w:val="24"/>
                        </w:rPr>
                      </w:pPr>
                      <w:r>
                        <w:rPr>
                          <w:rFonts w:ascii="Corbel" w:hAnsi="Corbel"/>
                          <w:b/>
                          <w:sz w:val="24"/>
                        </w:rPr>
                        <w:t>Use open specifications, where available, to ensure technical interoperability when establishing European public services.</w:t>
                      </w:r>
                    </w:p>
                  </w:txbxContent>
                </v:textbox>
                <w10:anchorlock/>
              </v:shape>
            </w:pict>
          </mc:Fallback>
        </mc:AlternateContent>
      </w:r>
    </w:p>
    <w:p>
      <w:pPr>
        <w:pStyle w:val="Heading1"/>
        <w:pageBreakBefore w:val="0"/>
        <w:numPr>
          <w:ilvl w:val="0"/>
          <w:numId w:val="1"/>
        </w:numPr>
        <w:tabs>
          <w:tab w:val="clear" w:pos="851"/>
          <w:tab w:val="clear" w:pos="2133"/>
        </w:tabs>
        <w:spacing w:after="240" w:line="240" w:lineRule="auto"/>
        <w:ind w:left="567" w:hanging="567"/>
        <w:jc w:val="both"/>
        <w:rPr>
          <w:smallCaps/>
          <w:noProof/>
          <w:kern w:val="0"/>
          <w:lang w:eastAsia="en-US"/>
        </w:rPr>
      </w:pPr>
      <w:bookmarkStart w:id="620" w:name="_Toc454188996"/>
      <w:bookmarkStart w:id="621" w:name="_Toc454196245"/>
      <w:bookmarkStart w:id="622" w:name="_Toc469580884"/>
      <w:bookmarkStart w:id="623" w:name="_Toc469902809"/>
      <w:r>
        <w:rPr>
          <w:smallCaps/>
          <w:noProof/>
          <w:kern w:val="0"/>
          <w:lang w:eastAsia="en-US"/>
        </w:rPr>
        <w:t>The conceptual model for integrated public services provision</w:t>
      </w:r>
      <w:bookmarkEnd w:id="620"/>
      <w:bookmarkEnd w:id="621"/>
      <w:bookmarkEnd w:id="622"/>
      <w:bookmarkEnd w:id="623"/>
    </w:p>
    <w:p>
      <w:pPr>
        <w:pStyle w:val="Heading2"/>
        <w:rPr>
          <w:noProof/>
        </w:rPr>
      </w:pPr>
      <w:bookmarkStart w:id="624" w:name="_Toc454188997"/>
      <w:bookmarkStart w:id="625" w:name="_Toc454196246"/>
      <w:bookmarkStart w:id="626" w:name="_Toc469580885"/>
      <w:bookmarkStart w:id="627" w:name="_Toc469902810"/>
      <w:r>
        <w:rPr>
          <w:noProof/>
        </w:rPr>
        <w:t>Introduction</w:t>
      </w:r>
      <w:bookmarkEnd w:id="624"/>
      <w:bookmarkEnd w:id="625"/>
      <w:bookmarkEnd w:id="626"/>
      <w:bookmarkEnd w:id="627"/>
    </w:p>
    <w:p>
      <w:pPr>
        <w:pStyle w:val="BodyText"/>
        <w:spacing w:after="200" w:line="312" w:lineRule="auto"/>
        <w:jc w:val="both"/>
        <w:rPr>
          <w:rFonts w:ascii="Times New Roman" w:hAnsi="Times New Roman"/>
          <w:noProof/>
          <w:color w:val="000000" w:themeColor="text1"/>
          <w:sz w:val="24"/>
        </w:rPr>
      </w:pPr>
      <w:r>
        <w:rPr>
          <w:rFonts w:ascii="Times New Roman" w:hAnsi="Times New Roman"/>
          <w:noProof/>
          <w:sz w:val="24"/>
        </w:rPr>
        <w:t xml:space="preserve">This chapter proposes a </w:t>
      </w:r>
      <w:r>
        <w:rPr>
          <w:rFonts w:ascii="Times New Roman" w:hAnsi="Times New Roman"/>
          <w:b/>
          <w:i/>
          <w:noProof/>
          <w:sz w:val="24"/>
        </w:rPr>
        <w:t>conceptual model for integrated public services</w:t>
      </w:r>
      <w:r>
        <w:rPr>
          <w:rFonts w:ascii="Times New Roman" w:hAnsi="Times New Roman"/>
          <w:noProof/>
          <w:sz w:val="24"/>
        </w:rPr>
        <w:t xml:space="preserve"> to guide their planning, development, operation and maintenance by Member States. It is relevant to all governmental levels, from local to EU. The model is </w:t>
      </w:r>
      <w:r>
        <w:rPr>
          <w:rFonts w:ascii="Times New Roman" w:hAnsi="Times New Roman"/>
          <w:b/>
          <w:noProof/>
          <w:color w:val="000000" w:themeColor="text1"/>
          <w:sz w:val="24"/>
        </w:rPr>
        <w:t>modular and comprises loosely coupled service components</w:t>
      </w:r>
      <w:r>
        <w:rPr>
          <w:rStyle w:val="FootnoteReference"/>
          <w:rFonts w:ascii="Times New Roman" w:hAnsi="Times New Roman"/>
          <w:noProof/>
          <w:sz w:val="24"/>
        </w:rPr>
        <w:footnoteReference w:id="30"/>
      </w:r>
      <w:r>
        <w:rPr>
          <w:rFonts w:ascii="Times New Roman" w:hAnsi="Times New Roman"/>
          <w:b/>
          <w:noProof/>
          <w:color w:val="000000" w:themeColor="text1"/>
          <w:sz w:val="24"/>
        </w:rPr>
        <w:t xml:space="preserve"> interconnected through shared infrastructure.</w:t>
      </w:r>
    </w:p>
    <w:p>
      <w:pPr>
        <w:pStyle w:val="BodyText"/>
        <w:spacing w:after="200" w:line="312" w:lineRule="auto"/>
        <w:jc w:val="both"/>
        <w:rPr>
          <w:rFonts w:ascii="Times New Roman" w:hAnsi="Times New Roman"/>
          <w:noProof/>
          <w:color w:val="0070C0"/>
          <w:sz w:val="24"/>
        </w:rPr>
      </w:pPr>
      <w:r>
        <w:rPr>
          <w:rFonts w:ascii="Times New Roman" w:hAnsi="Times New Roman"/>
          <w:noProof/>
          <w:sz w:val="24"/>
          <w:lang w:val="en-US" w:eastAsia="en-US"/>
        </w:rPr>
        <mc:AlternateContent>
          <mc:Choice Requires="wps">
            <w:drawing>
              <wp:inline distT="0" distB="0" distL="0" distR="0">
                <wp:extent cx="5624423" cy="1017767"/>
                <wp:effectExtent l="57150" t="38100" r="52705" b="68580"/>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423" cy="1017767"/>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34:</w:t>
                            </w:r>
                          </w:p>
                          <w:p>
                            <w:pPr>
                              <w:ind w:left="142"/>
                              <w:jc w:val="both"/>
                              <w:rPr>
                                <w:color w:val="000000"/>
                                <w:sz w:val="24"/>
                              </w:rPr>
                            </w:pPr>
                            <w:r>
                              <w:rPr>
                                <w:rFonts w:ascii="Corbel" w:hAnsi="Corbel"/>
                                <w:b/>
                                <w:sz w:val="24"/>
                              </w:rPr>
                              <w:t>Use the conceptual model for European public services to design new services or reengineer existing ones and reuse, whenever possible, existing service and data components.</w:t>
                            </w:r>
                          </w:p>
                          <w:p>
                            <w:pPr>
                              <w:ind w:left="142"/>
                              <w:jc w:val="both"/>
                              <w:rPr>
                                <w:rFonts w:ascii="Corbel" w:hAnsi="Corbel"/>
                                <w:b/>
                                <w:sz w:val="24"/>
                              </w:rPr>
                            </w:pPr>
                          </w:p>
                        </w:txbxContent>
                      </wps:txbx>
                      <wps:bodyPr rot="0" vert="horz" wrap="square" lIns="91440" tIns="45720" rIns="91440" bIns="45720" anchor="t" anchorCtr="0">
                        <a:noAutofit/>
                      </wps:bodyPr>
                    </wps:wsp>
                  </a:graphicData>
                </a:graphic>
              </wp:inline>
            </w:drawing>
          </mc:Choice>
          <mc:Fallback>
            <w:pict>
              <v:shape id="_x0000_s1059" type="#_x0000_t202" style="width:442.8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34:</w:t>
                      </w:r>
                    </w:p>
                    <w:p>
                      <w:pPr>
                        <w:ind w:left="142"/>
                        <w:jc w:val="both"/>
                        <w:rPr>
                          <w:color w:val="000000"/>
                          <w:sz w:val="24"/>
                        </w:rPr>
                      </w:pPr>
                      <w:r>
                        <w:rPr>
                          <w:rFonts w:ascii="Corbel" w:hAnsi="Corbel"/>
                          <w:b/>
                          <w:sz w:val="24"/>
                        </w:rPr>
                        <w:t>Use the conceptual model for European public services to design new services or reengineer existing ones and reuse, whenever possible, existing service and data components.</w:t>
                      </w:r>
                    </w:p>
                    <w:p>
                      <w:pPr>
                        <w:ind w:left="142"/>
                        <w:jc w:val="both"/>
                        <w:rPr>
                          <w:rFonts w:ascii="Corbel" w:hAnsi="Corbel"/>
                          <w:b/>
                          <w:sz w:val="24"/>
                        </w:rPr>
                      </w:pPr>
                    </w:p>
                  </w:txbxContent>
                </v:textbox>
                <w10:anchorlock/>
              </v:shape>
            </w:pict>
          </mc:Fallback>
        </mc:AlternateContent>
      </w:r>
    </w:p>
    <w:p>
      <w:pPr>
        <w:pStyle w:val="BodyText"/>
        <w:keepNext/>
        <w:spacing w:after="200" w:line="312" w:lineRule="auto"/>
        <w:jc w:val="both"/>
        <w:rPr>
          <w:rFonts w:ascii="Times New Roman" w:hAnsi="Times New Roman"/>
          <w:noProof/>
          <w:sz w:val="24"/>
        </w:rPr>
      </w:pPr>
      <w:r>
        <w:rPr>
          <w:rFonts w:ascii="Times New Roman" w:hAnsi="Times New Roman"/>
          <w:noProof/>
          <w:sz w:val="24"/>
        </w:rPr>
        <w:t>Public administrations need to identify, negotiate and agree on a common approach to interconnecting service components. This will be done at different national administrative levels according to each country’s organisational set-up. Access boundaries for services and information should be defined through interfaces and conditions of access.</w:t>
      </w:r>
    </w:p>
    <w:p>
      <w:pPr>
        <w:pStyle w:val="BodyText"/>
        <w:spacing w:after="200" w:line="312" w:lineRule="auto"/>
        <w:jc w:val="both"/>
        <w:rPr>
          <w:rFonts w:ascii="Times New Roman" w:hAnsi="Times New Roman"/>
          <w:noProof/>
          <w:sz w:val="24"/>
        </w:rPr>
      </w:pPr>
      <w:r>
        <w:rPr>
          <w:rFonts w:ascii="Times New Roman" w:hAnsi="Times New Roman"/>
          <w:noProof/>
          <w:sz w:val="24"/>
        </w:rPr>
        <w:t>There are well-known and widely used technical solutions, e.g. web services, to do this, but implementing them at EU level will require concerted efforts by public administrations, including common or compatible models, standards and agreements on common infrastructure.</w:t>
      </w:r>
      <w:r>
        <w:rPr>
          <w:rFonts w:ascii="Times New Roman" w:hAnsi="Times New Roman"/>
          <w:noProof/>
          <w:sz w:val="24"/>
          <w:lang w:val="en-US" w:eastAsia="en-US"/>
        </w:rPr>
        <mc:AlternateContent>
          <mc:Choice Requires="wps">
            <w:drawing>
              <wp:inline distT="0" distB="0" distL="0" distR="0">
                <wp:extent cx="5624195" cy="1017917"/>
                <wp:effectExtent l="57150" t="38100" r="52705" b="67945"/>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1017917"/>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rPr>
                                <w:rFonts w:ascii="Corbel" w:hAnsi="Corbel"/>
                                <w:b/>
                                <w:i/>
                                <w:sz w:val="24"/>
                              </w:rPr>
                            </w:pPr>
                            <w:r>
                              <w:rPr>
                                <w:rStyle w:val="ListParagraphChar"/>
                                <w:rFonts w:ascii="Corbel" w:eastAsia="MS Mincho" w:hAnsi="Corbel"/>
                                <w:b w:val="0"/>
                                <w:i/>
                                <w:noProof w:val="0"/>
                                <w:sz w:val="24"/>
                                <w:u w:val="none"/>
                                <w:lang w:val="en-GB"/>
                              </w:rPr>
                              <w:t>Recommendation 35:</w:t>
                            </w:r>
                          </w:p>
                          <w:p>
                            <w:pPr>
                              <w:ind w:left="142"/>
                              <w:jc w:val="both"/>
                              <w:rPr>
                                <w:rFonts w:ascii="Corbel" w:hAnsi="Corbel"/>
                                <w:b/>
                                <w:sz w:val="24"/>
                              </w:rPr>
                            </w:pPr>
                            <w:r>
                              <w:rPr>
                                <w:rFonts w:ascii="Corbel" w:hAnsi="Corbel"/>
                                <w:b/>
                                <w:sz w:val="24"/>
                              </w:rPr>
                              <w:t>Decide on a common scheme for interconnecting loosely coupled service components and put in place and maintain the necessary infrastructure for establishing and maintaining European public services.</w:t>
                            </w:r>
                          </w:p>
                        </w:txbxContent>
                      </wps:txbx>
                      <wps:bodyPr rot="0" vert="horz" wrap="square" lIns="91440" tIns="45720" rIns="91440" bIns="45720" anchor="t" anchorCtr="0">
                        <a:noAutofit/>
                      </wps:bodyPr>
                    </wps:wsp>
                  </a:graphicData>
                </a:graphic>
              </wp:inline>
            </w:drawing>
          </mc:Choice>
          <mc:Fallback>
            <w:pict>
              <v:shape id="_x0000_s1060" type="#_x0000_t202" style="width:442.8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" fillcolor="#010101 [38]" stroked="f">
                <v:fill color2="#a3a3a3 [3174]" rotate="t" colors="0 #afafaf;.5 #a5a5a5;1 #929292" focus="100%" type="gradient">
                  <o:fill v:ext="view" type="gradientUnscaled"/>
                </v:fill>
                <v:shadow on="t" color="black" opacity="41287f" offset="0,1.5pt"/>
                <v:textbox>
                  <w:txbxContent>
                    <w:p>
                      <w:pPr>
                        <w:spacing w:after="120"/>
                        <w:rPr>
                          <w:rFonts w:ascii="Corbel" w:hAnsi="Corbel"/>
                          <w:b/>
                          <w:i/>
                          <w:sz w:val="24"/>
                        </w:rPr>
                      </w:pPr>
                      <w:r>
                        <w:rPr>
                          <w:rStyle w:val="ListParagraphChar"/>
                          <w:rFonts w:ascii="Corbel" w:eastAsia="MS Mincho" w:hAnsi="Corbel"/>
                          <w:b w:val="0"/>
                          <w:i/>
                          <w:noProof w:val="0"/>
                          <w:sz w:val="24"/>
                          <w:u w:val="none"/>
                          <w:lang w:val="en-GB"/>
                        </w:rPr>
                        <w:t>Recommendation 35:</w:t>
                      </w:r>
                    </w:p>
                    <w:p>
                      <w:pPr>
                        <w:ind w:left="142"/>
                        <w:jc w:val="both"/>
                        <w:rPr>
                          <w:rFonts w:ascii="Corbel" w:hAnsi="Corbel"/>
                          <w:b/>
                          <w:sz w:val="24"/>
                        </w:rPr>
                      </w:pPr>
                      <w:r>
                        <w:rPr>
                          <w:rFonts w:ascii="Corbel" w:hAnsi="Corbel"/>
                          <w:b/>
                          <w:sz w:val="24"/>
                        </w:rPr>
                        <w:t>Decide on a common scheme for interconnecting loosely coupled service components and put in place and maintain the necessary infrastructure for establishing and maintaining European public services.</w:t>
                      </w:r>
                    </w:p>
                  </w:txbxContent>
                </v:textbox>
                <w10:anchorlock/>
              </v:shape>
            </w:pict>
          </mc:Fallback>
        </mc:AlternateContent>
      </w:r>
    </w:p>
    <w:p>
      <w:pPr>
        <w:pStyle w:val="Heading2"/>
        <w:rPr>
          <w:noProof/>
          <w:color w:val="auto"/>
        </w:rPr>
      </w:pPr>
      <w:bookmarkStart w:id="628" w:name="_Ref443415163"/>
      <w:bookmarkStart w:id="629" w:name="_Ref443415378"/>
      <w:bookmarkStart w:id="630" w:name="_Ref443415454"/>
      <w:bookmarkStart w:id="631" w:name="_Ref443415459"/>
      <w:bookmarkStart w:id="632" w:name="_Ref443415466"/>
      <w:bookmarkStart w:id="633" w:name="_Ref443415471"/>
      <w:bookmarkStart w:id="634" w:name="_Toc454188998"/>
      <w:bookmarkStart w:id="635" w:name="_Toc454196247"/>
      <w:bookmarkStart w:id="636" w:name="_Toc469580886"/>
      <w:bookmarkStart w:id="637" w:name="_Toc469902811"/>
      <w:r>
        <w:rPr>
          <w:noProof/>
        </w:rPr>
        <w:t>Model overview</w:t>
      </w:r>
      <w:bookmarkEnd w:id="628"/>
      <w:bookmarkEnd w:id="629"/>
      <w:bookmarkEnd w:id="630"/>
      <w:bookmarkEnd w:id="631"/>
      <w:bookmarkEnd w:id="632"/>
      <w:bookmarkEnd w:id="633"/>
      <w:bookmarkEnd w:id="634"/>
      <w:bookmarkEnd w:id="635"/>
      <w:bookmarkEnd w:id="636"/>
      <w:bookmarkEnd w:id="637"/>
    </w:p>
    <w:p>
      <w:pPr>
        <w:pStyle w:val="BodyText"/>
        <w:spacing w:after="200" w:line="312" w:lineRule="auto"/>
        <w:jc w:val="both"/>
        <w:rPr>
          <w:rFonts w:ascii="Times New Roman" w:hAnsi="Times New Roman"/>
          <w:noProof/>
          <w:sz w:val="24"/>
        </w:rPr>
      </w:pPr>
      <w:r>
        <w:rPr>
          <w:rFonts w:ascii="Times New Roman" w:hAnsi="Times New Roman"/>
          <w:noProof/>
          <w:sz w:val="24"/>
        </w:rPr>
        <w:t xml:space="preserve">The conceptual model promotes the idea </w:t>
      </w:r>
      <w:r>
        <w:rPr>
          <w:rFonts w:ascii="Times New Roman" w:hAnsi="Times New Roman"/>
          <w:noProof/>
          <w:color w:val="000000" w:themeColor="text1"/>
          <w:sz w:val="24"/>
        </w:rPr>
        <w:t xml:space="preserve">of </w:t>
      </w:r>
      <w:r>
        <w:rPr>
          <w:rFonts w:ascii="Times New Roman" w:hAnsi="Times New Roman"/>
          <w:b/>
          <w:iCs/>
          <w:noProof/>
          <w:color w:val="000000" w:themeColor="text1"/>
          <w:sz w:val="24"/>
        </w:rPr>
        <w:t>interoperability by design</w:t>
      </w:r>
      <w:r>
        <w:rPr>
          <w:rFonts w:ascii="Times New Roman" w:hAnsi="Times New Roman"/>
          <w:i/>
          <w:noProof/>
          <w:color w:val="000000" w:themeColor="text1"/>
          <w:sz w:val="24"/>
        </w:rPr>
        <w:t>.</w:t>
      </w:r>
      <w:r>
        <w:rPr>
          <w:rFonts w:ascii="Times New Roman" w:hAnsi="Times New Roman"/>
          <w:noProof/>
          <w:color w:val="000000" w:themeColor="text1"/>
          <w:sz w:val="24"/>
        </w:rPr>
        <w:t xml:space="preserve"> </w:t>
      </w:r>
      <w:r>
        <w:rPr>
          <w:rFonts w:ascii="Times New Roman" w:hAnsi="Times New Roman"/>
          <w:noProof/>
          <w:sz w:val="24"/>
        </w:rPr>
        <w:t>It means that for European public services to be interoperable, they should be designed in accordance with the proposed model and with certain interoperability and reusability requirements</w:t>
      </w:r>
      <w:r>
        <w:rPr>
          <w:rStyle w:val="FootnoteReference"/>
          <w:rFonts w:ascii="Times New Roman" w:hAnsi="Times New Roman"/>
          <w:noProof/>
          <w:sz w:val="24"/>
        </w:rPr>
        <w:footnoteReference w:id="31"/>
      </w:r>
      <w:r>
        <w:rPr>
          <w:rFonts w:ascii="Times New Roman" w:hAnsi="Times New Roman"/>
          <w:noProof/>
          <w:sz w:val="24"/>
        </w:rPr>
        <w:t xml:space="preserve"> in mind. The model promotes reusability as a driver for interoperability, recognising that the European public services should reuse information and services that already exist and may be available from various sources inside or beyond the organisational boundaries of public administrations. Information and services should be retrievable and be made available in interoperable formats.</w:t>
      </w:r>
    </w:p>
    <w:p>
      <w:pPr>
        <w:pStyle w:val="BodyText"/>
        <w:keepNext/>
        <w:spacing w:after="200" w:line="312" w:lineRule="auto"/>
        <w:rPr>
          <w:rFonts w:ascii="Times New Roman" w:hAnsi="Times New Roman"/>
          <w:noProof/>
          <w:szCs w:val="20"/>
          <w:lang w:eastAsia="en-GB"/>
        </w:rPr>
      </w:pPr>
      <w:r>
        <w:rPr>
          <w:rFonts w:ascii="Times New Roman" w:hAnsi="Times New Roman"/>
          <w:noProof/>
          <w:sz w:val="24"/>
        </w:rPr>
        <w:t>The basic components of the conceptual model are presented below.</w:t>
      </w:r>
      <w:r>
        <w:rPr>
          <w:rFonts w:ascii="Times New Roman" w:eastAsia="MS Mincho" w:hAnsi="Times New Roman"/>
          <w:noProof/>
          <w:sz w:val="24"/>
          <w:lang w:eastAsia="it-IT"/>
        </w:rPr>
        <w:t xml:space="preserve"> </w:t>
      </w:r>
      <w:bookmarkStart w:id="638" w:name="_Toc469580893"/>
    </w:p>
    <w:p>
      <w:pPr>
        <w:rPr>
          <w:rFonts w:ascii="Times New Roman" w:eastAsia="Times New Roman" w:hAnsi="Times New Roman"/>
          <w:noProof/>
          <w:szCs w:val="20"/>
          <w:lang w:eastAsia="en-GB"/>
        </w:rPr>
      </w:pPr>
      <w:r>
        <w:rPr>
          <w:noProof/>
          <w:szCs w:val="20"/>
        </w:rPr>
        <w:br w:type="page"/>
      </w:r>
    </w:p>
    <w:p>
      <w:pPr>
        <w:pStyle w:val="Caption"/>
        <w:spacing w:before="0" w:after="200" w:line="312" w:lineRule="auto"/>
        <w:rPr>
          <w:noProof/>
          <w:szCs w:val="20"/>
        </w:rPr>
      </w:pPr>
      <w:bookmarkStart w:id="639" w:name="_Toc469902819"/>
      <w:r>
        <w:rPr>
          <w:noProof/>
          <w:szCs w:val="20"/>
        </w:rPr>
        <w:t xml:space="preserve">Figure </w:t>
      </w:r>
      <w:r>
        <w:rPr>
          <w:noProof/>
          <w:szCs w:val="20"/>
        </w:rPr>
        <w:fldChar w:fldCharType="begin"/>
      </w:r>
      <w:r>
        <w:rPr>
          <w:noProof/>
          <w:szCs w:val="20"/>
        </w:rPr>
        <w:instrText xml:space="preserve"> SEQ Figure \* ARABIC </w:instrText>
      </w:r>
      <w:r>
        <w:rPr>
          <w:noProof/>
          <w:szCs w:val="20"/>
        </w:rPr>
        <w:fldChar w:fldCharType="separate"/>
      </w:r>
      <w:r>
        <w:rPr>
          <w:noProof/>
          <w:szCs w:val="20"/>
        </w:rPr>
        <w:t>4</w:t>
      </w:r>
      <w:r>
        <w:rPr>
          <w:noProof/>
          <w:szCs w:val="20"/>
        </w:rPr>
        <w:fldChar w:fldCharType="end"/>
      </w:r>
      <w:r>
        <w:rPr>
          <w:noProof/>
          <w:szCs w:val="20"/>
        </w:rPr>
        <w:t>: Conceptual model for integrated public services</w:t>
      </w:r>
      <w:bookmarkEnd w:id="638"/>
      <w:bookmarkEnd w:id="639"/>
    </w:p>
    <w:p>
      <w:pPr>
        <w:pStyle w:val="BodyText"/>
        <w:keepNext/>
        <w:spacing w:after="200" w:line="312" w:lineRule="auto"/>
        <w:rPr>
          <w:rFonts w:ascii="Times New Roman" w:hAnsi="Times New Roman"/>
          <w:noProof/>
          <w:sz w:val="24"/>
        </w:rPr>
      </w:pPr>
      <w:r>
        <w:rPr>
          <w:rFonts w:ascii="Times New Roman" w:eastAsia="MS Mincho" w:hAnsi="Times New Roman"/>
          <w:noProof/>
          <w:sz w:val="24"/>
          <w:lang w:val="en-US" w:eastAsia="en-US"/>
        </w:rPr>
        <w:drawing>
          <wp:inline distT="0" distB="0" distL="0" distR="0">
            <wp:extent cx="5876014" cy="3302464"/>
            <wp:effectExtent l="0" t="0" r="0" b="0"/>
            <wp:docPr id="6" name="Picture 6" descr="C:\Users\gatteco\AppData\Local\Temp\1\7zOCB599E0B\SLIDE CE DEF B-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tteco\AppData\Local\Temp\1\7zOCB599E0B\SLIDE CE DEF B-N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6014" cy="3302464"/>
                    </a:xfrm>
                    <a:prstGeom prst="rect">
                      <a:avLst/>
                    </a:prstGeom>
                    <a:noFill/>
                    <a:ln>
                      <a:noFill/>
                    </a:ln>
                  </pic:spPr>
                </pic:pic>
              </a:graphicData>
            </a:graphic>
          </wp:inline>
        </w:drawing>
      </w:r>
    </w:p>
    <w:p>
      <w:pPr>
        <w:pStyle w:val="BodyText"/>
        <w:spacing w:after="200" w:line="312" w:lineRule="auto"/>
        <w:jc w:val="both"/>
        <w:rPr>
          <w:rFonts w:ascii="Times New Roman" w:hAnsi="Times New Roman"/>
          <w:noProof/>
          <w:sz w:val="24"/>
        </w:rPr>
      </w:pPr>
      <w:r>
        <w:rPr>
          <w:rFonts w:ascii="Times New Roman" w:hAnsi="Times New Roman"/>
          <w:noProof/>
          <w:sz w:val="24"/>
        </w:rPr>
        <w:t>The model’s structure comprises:</w:t>
      </w:r>
    </w:p>
    <w:p>
      <w:pPr>
        <w:pStyle w:val="BodyText"/>
        <w:numPr>
          <w:ilvl w:val="0"/>
          <w:numId w:val="12"/>
        </w:numPr>
        <w:spacing w:before="120" w:after="120" w:line="312" w:lineRule="auto"/>
        <w:ind w:left="714" w:hanging="357"/>
        <w:jc w:val="both"/>
        <w:rPr>
          <w:rFonts w:ascii="Times New Roman" w:hAnsi="Times New Roman"/>
          <w:noProof/>
          <w:sz w:val="24"/>
        </w:rPr>
      </w:pPr>
      <w:r>
        <w:rPr>
          <w:rFonts w:ascii="Times New Roman" w:hAnsi="Times New Roman"/>
          <w:noProof/>
          <w:color w:val="000000" w:themeColor="text1"/>
          <w:sz w:val="24"/>
        </w:rPr>
        <w:t>‘</w:t>
      </w:r>
      <w:r>
        <w:rPr>
          <w:rFonts w:ascii="Times New Roman" w:hAnsi="Times New Roman"/>
          <w:b/>
          <w:noProof/>
          <w:color w:val="000000" w:themeColor="text1"/>
          <w:sz w:val="24"/>
        </w:rPr>
        <w:t xml:space="preserve">integrated service delivery’ </w:t>
      </w:r>
      <w:r>
        <w:rPr>
          <w:rFonts w:ascii="Times New Roman" w:hAnsi="Times New Roman"/>
          <w:noProof/>
          <w:sz w:val="24"/>
        </w:rPr>
        <w:t xml:space="preserve">based on </w:t>
      </w:r>
      <w:r>
        <w:rPr>
          <w:rFonts w:ascii="Times New Roman" w:hAnsi="Times New Roman"/>
          <w:noProof/>
          <w:color w:val="000000" w:themeColor="text1"/>
          <w:sz w:val="24"/>
        </w:rPr>
        <w:t>a</w:t>
      </w:r>
      <w:r>
        <w:rPr>
          <w:rFonts w:ascii="Times New Roman" w:hAnsi="Times New Roman"/>
          <w:b/>
          <w:noProof/>
          <w:color w:val="000000" w:themeColor="text1"/>
          <w:sz w:val="24"/>
        </w:rPr>
        <w:t xml:space="preserve"> ‘coordination function’ </w:t>
      </w:r>
      <w:r>
        <w:rPr>
          <w:rFonts w:ascii="Times New Roman" w:hAnsi="Times New Roman"/>
          <w:noProof/>
          <w:sz w:val="24"/>
        </w:rPr>
        <w:t>to remove complexity for the end-user;</w:t>
      </w:r>
    </w:p>
    <w:p>
      <w:pPr>
        <w:pStyle w:val="BodyText"/>
        <w:numPr>
          <w:ilvl w:val="0"/>
          <w:numId w:val="12"/>
        </w:numPr>
        <w:spacing w:before="120" w:after="120" w:line="312" w:lineRule="auto"/>
        <w:ind w:left="714" w:hanging="357"/>
        <w:jc w:val="both"/>
        <w:rPr>
          <w:rFonts w:ascii="Times New Roman" w:hAnsi="Times New Roman"/>
          <w:noProof/>
          <w:color w:val="000000" w:themeColor="text1"/>
          <w:sz w:val="24"/>
        </w:rPr>
      </w:pPr>
      <w:r>
        <w:rPr>
          <w:rFonts w:ascii="Times New Roman" w:hAnsi="Times New Roman"/>
          <w:b/>
          <w:noProof/>
          <w:color w:val="000000" w:themeColor="text1"/>
          <w:sz w:val="24"/>
        </w:rPr>
        <w:t>a ‘no wrong door’ service delivery policy,</w:t>
      </w:r>
      <w:r>
        <w:rPr>
          <w:rFonts w:ascii="Times New Roman" w:hAnsi="Times New Roman"/>
          <w:noProof/>
          <w:color w:val="000000" w:themeColor="text1"/>
          <w:sz w:val="24"/>
        </w:rPr>
        <w:t xml:space="preserve"> to</w:t>
      </w:r>
      <w:r>
        <w:rPr>
          <w:rFonts w:ascii="Times New Roman" w:hAnsi="Times New Roman"/>
          <w:b/>
          <w:noProof/>
          <w:color w:val="000000" w:themeColor="text1"/>
          <w:sz w:val="24"/>
        </w:rPr>
        <w:t xml:space="preserve"> </w:t>
      </w:r>
      <w:r>
        <w:rPr>
          <w:rFonts w:ascii="Times New Roman" w:hAnsi="Times New Roman"/>
          <w:noProof/>
          <w:color w:val="000000" w:themeColor="text1"/>
          <w:sz w:val="24"/>
        </w:rPr>
        <w:t>provide alternative options and channels for service delivery, while securing the availability of digital channels (digital-by-default);</w:t>
      </w:r>
    </w:p>
    <w:p>
      <w:pPr>
        <w:pStyle w:val="BodyText"/>
        <w:numPr>
          <w:ilvl w:val="0"/>
          <w:numId w:val="12"/>
        </w:numPr>
        <w:spacing w:before="120" w:after="120" w:line="312" w:lineRule="auto"/>
        <w:ind w:left="714" w:hanging="357"/>
        <w:jc w:val="both"/>
        <w:rPr>
          <w:rFonts w:ascii="Times New Roman" w:hAnsi="Times New Roman"/>
          <w:b/>
          <w:noProof/>
          <w:color w:val="000000" w:themeColor="text1"/>
          <w:sz w:val="24"/>
        </w:rPr>
      </w:pPr>
      <w:r>
        <w:rPr>
          <w:rFonts w:ascii="Times New Roman" w:hAnsi="Times New Roman"/>
          <w:b/>
          <w:noProof/>
          <w:color w:val="000000" w:themeColor="text1"/>
          <w:sz w:val="24"/>
        </w:rPr>
        <w:t xml:space="preserve">reuse of data and services </w:t>
      </w:r>
      <w:r>
        <w:rPr>
          <w:rFonts w:ascii="Times New Roman" w:hAnsi="Times New Roman"/>
          <w:noProof/>
          <w:color w:val="000000" w:themeColor="text1"/>
          <w:sz w:val="24"/>
        </w:rPr>
        <w:t>to decrease costs and increase service quality and interoperability;</w:t>
      </w:r>
    </w:p>
    <w:p>
      <w:pPr>
        <w:pStyle w:val="BodyText"/>
        <w:numPr>
          <w:ilvl w:val="0"/>
          <w:numId w:val="12"/>
        </w:numPr>
        <w:spacing w:before="120" w:after="120" w:line="312" w:lineRule="auto"/>
        <w:ind w:left="714" w:hanging="357"/>
        <w:jc w:val="both"/>
        <w:rPr>
          <w:rFonts w:ascii="Times New Roman" w:hAnsi="Times New Roman"/>
          <w:b/>
          <w:noProof/>
          <w:color w:val="000000" w:themeColor="text1"/>
          <w:sz w:val="24"/>
        </w:rPr>
      </w:pPr>
      <w:r>
        <w:rPr>
          <w:rFonts w:ascii="Times New Roman" w:hAnsi="Times New Roman"/>
          <w:b/>
          <w:noProof/>
          <w:color w:val="000000" w:themeColor="text1"/>
          <w:sz w:val="24"/>
        </w:rPr>
        <w:t xml:space="preserve">catalogues describing reusable services and other assets </w:t>
      </w:r>
      <w:r>
        <w:rPr>
          <w:rFonts w:ascii="Times New Roman" w:hAnsi="Times New Roman"/>
          <w:noProof/>
          <w:color w:val="000000" w:themeColor="text1"/>
          <w:sz w:val="24"/>
        </w:rPr>
        <w:t>to increase their findability and usage;</w:t>
      </w:r>
    </w:p>
    <w:p>
      <w:pPr>
        <w:pStyle w:val="BodyText"/>
        <w:numPr>
          <w:ilvl w:val="0"/>
          <w:numId w:val="12"/>
        </w:numPr>
        <w:spacing w:before="120" w:after="120" w:line="312" w:lineRule="auto"/>
        <w:ind w:left="714" w:hanging="357"/>
        <w:jc w:val="both"/>
        <w:rPr>
          <w:rFonts w:ascii="Times New Roman" w:hAnsi="Times New Roman"/>
          <w:noProof/>
          <w:color w:val="000000" w:themeColor="text1"/>
          <w:sz w:val="24"/>
        </w:rPr>
      </w:pPr>
      <w:r>
        <w:rPr>
          <w:rFonts w:ascii="Times New Roman" w:hAnsi="Times New Roman"/>
          <w:b/>
          <w:noProof/>
          <w:color w:val="000000" w:themeColor="text1"/>
          <w:sz w:val="24"/>
        </w:rPr>
        <w:t>integrated public service governance;</w:t>
      </w:r>
    </w:p>
    <w:p>
      <w:pPr>
        <w:pStyle w:val="BodyText"/>
        <w:numPr>
          <w:ilvl w:val="0"/>
          <w:numId w:val="12"/>
        </w:numPr>
        <w:spacing w:before="120" w:after="120" w:line="312" w:lineRule="auto"/>
        <w:ind w:left="714" w:hanging="357"/>
        <w:jc w:val="both"/>
        <w:rPr>
          <w:rFonts w:ascii="Times New Roman" w:hAnsi="Times New Roman"/>
          <w:noProof/>
          <w:color w:val="000000" w:themeColor="text1"/>
          <w:sz w:val="24"/>
        </w:rPr>
      </w:pPr>
      <w:r>
        <w:rPr>
          <w:rFonts w:ascii="Times New Roman" w:hAnsi="Times New Roman"/>
          <w:b/>
          <w:noProof/>
          <w:color w:val="000000" w:themeColor="text1"/>
          <w:sz w:val="24"/>
        </w:rPr>
        <w:t>security and privacy</w:t>
      </w:r>
      <w:r>
        <w:rPr>
          <w:rFonts w:ascii="Times New Roman" w:hAnsi="Times New Roman"/>
          <w:noProof/>
          <w:color w:val="000000" w:themeColor="text1"/>
          <w:sz w:val="24"/>
        </w:rPr>
        <w:t>.</w:t>
      </w:r>
    </w:p>
    <w:p>
      <w:pPr>
        <w:pStyle w:val="Heading2"/>
        <w:rPr>
          <w:noProof/>
        </w:rPr>
      </w:pPr>
      <w:bookmarkStart w:id="640" w:name="_Toc454188999"/>
      <w:bookmarkStart w:id="641" w:name="_Toc454196248"/>
      <w:bookmarkStart w:id="642" w:name="_Toc469580887"/>
      <w:bookmarkStart w:id="643" w:name="_Toc469902812"/>
      <w:r>
        <w:rPr>
          <w:noProof/>
        </w:rPr>
        <w:t>Basic components</w:t>
      </w:r>
      <w:bookmarkEnd w:id="640"/>
      <w:bookmarkEnd w:id="641"/>
      <w:bookmarkEnd w:id="642"/>
      <w:bookmarkEnd w:id="643"/>
    </w:p>
    <w:p>
      <w:pPr>
        <w:pStyle w:val="Heading3"/>
        <w:rPr>
          <w:noProof/>
        </w:rPr>
      </w:pPr>
      <w:bookmarkStart w:id="644" w:name="_Toc454189000"/>
      <w:bookmarkStart w:id="645" w:name="_Toc454196249"/>
      <w:bookmarkStart w:id="646" w:name="_Toc454198197"/>
      <w:r>
        <w:rPr>
          <w:noProof/>
        </w:rPr>
        <w:t>Coordination function</w:t>
      </w:r>
      <w:bookmarkEnd w:id="644"/>
      <w:bookmarkEnd w:id="645"/>
      <w:bookmarkEnd w:id="646"/>
    </w:p>
    <w:p>
      <w:pPr>
        <w:pStyle w:val="BodyText"/>
        <w:keepNext/>
        <w:spacing w:after="200" w:line="312" w:lineRule="auto"/>
        <w:ind w:left="357"/>
        <w:jc w:val="both"/>
        <w:rPr>
          <w:rFonts w:ascii="Times New Roman" w:hAnsi="Times New Roman"/>
          <w:noProof/>
          <w:sz w:val="24"/>
        </w:rPr>
      </w:pPr>
      <w:r>
        <w:rPr>
          <w:rFonts w:ascii="Times New Roman" w:hAnsi="Times New Roman"/>
          <w:noProof/>
          <w:sz w:val="24"/>
        </w:rPr>
        <w:t xml:space="preserve">The coordination function ensures that needs are identified and appropriate services are invoked and orchestrated to provide a European public service. This function should select the appropriate sources and services and integrate them. Coordination can be automated or manual. The following process phases are part of </w:t>
      </w:r>
      <w:r>
        <w:rPr>
          <w:rFonts w:ascii="Times New Roman" w:hAnsi="Times New Roman"/>
          <w:b/>
          <w:noProof/>
          <w:sz w:val="24"/>
        </w:rPr>
        <w:t>‘integrated public service provision’</w:t>
      </w:r>
      <w:r>
        <w:rPr>
          <w:rFonts w:ascii="Times New Roman" w:hAnsi="Times New Roman"/>
          <w:noProof/>
          <w:sz w:val="24"/>
        </w:rPr>
        <w:t xml:space="preserve"> and executed by the coordination function.</w:t>
      </w:r>
    </w:p>
    <w:p>
      <w:pPr>
        <w:numPr>
          <w:ilvl w:val="0"/>
          <w:numId w:val="135"/>
        </w:numPr>
        <w:spacing w:before="120" w:after="120" w:line="312" w:lineRule="auto"/>
        <w:ind w:left="1134"/>
        <w:jc w:val="both"/>
        <w:rPr>
          <w:rFonts w:ascii="Times New Roman" w:eastAsia="Times New Roman" w:hAnsi="Times New Roman"/>
          <w:noProof/>
          <w:sz w:val="24"/>
          <w:lang w:eastAsia="ar-SA"/>
        </w:rPr>
      </w:pPr>
      <w:r>
        <w:rPr>
          <w:rFonts w:ascii="Times New Roman" w:eastAsia="Times New Roman" w:hAnsi="Times New Roman"/>
          <w:b/>
          <w:iCs/>
          <w:noProof/>
          <w:color w:val="000000" w:themeColor="text1"/>
          <w:sz w:val="24"/>
          <w:lang w:eastAsia="ar-SA"/>
        </w:rPr>
        <w:t>Need identification</w:t>
      </w:r>
      <w:r>
        <w:rPr>
          <w:rFonts w:ascii="Times New Roman" w:eastAsia="Times New Roman" w:hAnsi="Times New Roman"/>
          <w:b/>
          <w:noProof/>
          <w:color w:val="000000" w:themeColor="text1"/>
          <w:sz w:val="24"/>
          <w:lang w:eastAsia="ar-SA"/>
        </w:rPr>
        <w:t>:</w:t>
      </w:r>
      <w:r>
        <w:rPr>
          <w:rFonts w:ascii="Times New Roman" w:eastAsia="Times New Roman" w:hAnsi="Times New Roman"/>
          <w:noProof/>
          <w:color w:val="000000" w:themeColor="text1"/>
          <w:sz w:val="24"/>
          <w:lang w:eastAsia="ar-SA"/>
        </w:rPr>
        <w:t xml:space="preserve"> </w:t>
      </w:r>
      <w:r>
        <w:rPr>
          <w:rFonts w:ascii="Times New Roman" w:eastAsia="Times New Roman" w:hAnsi="Times New Roman"/>
          <w:noProof/>
          <w:sz w:val="24"/>
          <w:lang w:eastAsia="ar-SA"/>
        </w:rPr>
        <w:t>This is prompted by a public service request by a citizen or business.</w:t>
      </w:r>
    </w:p>
    <w:p>
      <w:pPr>
        <w:numPr>
          <w:ilvl w:val="0"/>
          <w:numId w:val="135"/>
        </w:numPr>
        <w:spacing w:before="120" w:after="120" w:line="312" w:lineRule="auto"/>
        <w:ind w:left="1134"/>
        <w:jc w:val="both"/>
        <w:rPr>
          <w:rFonts w:ascii="Times New Roman" w:eastAsia="Times New Roman" w:hAnsi="Times New Roman"/>
          <w:noProof/>
          <w:sz w:val="24"/>
          <w:lang w:eastAsia="ar-SA"/>
        </w:rPr>
      </w:pPr>
      <w:r>
        <w:rPr>
          <w:rFonts w:ascii="Times New Roman" w:eastAsia="Times New Roman" w:hAnsi="Times New Roman"/>
          <w:b/>
          <w:iCs/>
          <w:noProof/>
          <w:color w:val="000000" w:themeColor="text1"/>
          <w:sz w:val="24"/>
          <w:lang w:eastAsia="ar-SA"/>
        </w:rPr>
        <w:t>Planning</w:t>
      </w:r>
      <w:r>
        <w:rPr>
          <w:rFonts w:ascii="Times New Roman" w:eastAsia="Times New Roman" w:hAnsi="Times New Roman"/>
          <w:b/>
          <w:noProof/>
          <w:color w:val="000000" w:themeColor="text1"/>
          <w:sz w:val="24"/>
          <w:lang w:eastAsia="ar-SA"/>
        </w:rPr>
        <w:t>:</w:t>
      </w:r>
      <w:r>
        <w:rPr>
          <w:rFonts w:ascii="Times New Roman" w:eastAsia="Times New Roman" w:hAnsi="Times New Roman"/>
          <w:noProof/>
          <w:color w:val="000000" w:themeColor="text1"/>
          <w:sz w:val="24"/>
          <w:lang w:eastAsia="ar-SA"/>
        </w:rPr>
        <w:t xml:space="preserve"> This entails identifying the services and information sources needed, using the available catalogues, </w:t>
      </w:r>
      <w:r>
        <w:rPr>
          <w:rFonts w:ascii="Times New Roman" w:eastAsia="Times New Roman" w:hAnsi="Times New Roman"/>
          <w:noProof/>
          <w:sz w:val="24"/>
          <w:lang w:eastAsia="ar-SA"/>
        </w:rPr>
        <w:t>and aggregating them in a single process, considering specific user needs (e.g. personalisation).</w:t>
      </w:r>
    </w:p>
    <w:p>
      <w:pPr>
        <w:numPr>
          <w:ilvl w:val="0"/>
          <w:numId w:val="135"/>
        </w:numPr>
        <w:spacing w:before="120" w:after="120" w:line="312" w:lineRule="auto"/>
        <w:ind w:left="1134"/>
        <w:jc w:val="both"/>
        <w:rPr>
          <w:rFonts w:ascii="Times New Roman" w:eastAsia="Times New Roman" w:hAnsi="Times New Roman"/>
          <w:noProof/>
          <w:sz w:val="24"/>
          <w:lang w:eastAsia="ar-SA"/>
        </w:rPr>
      </w:pPr>
      <w:r>
        <w:rPr>
          <w:rFonts w:ascii="Times New Roman" w:eastAsia="Times New Roman" w:hAnsi="Times New Roman"/>
          <w:b/>
          <w:iCs/>
          <w:noProof/>
          <w:color w:val="000000" w:themeColor="text1"/>
          <w:sz w:val="24"/>
          <w:lang w:eastAsia="ar-SA"/>
        </w:rPr>
        <w:t>Execution</w:t>
      </w:r>
      <w:r>
        <w:rPr>
          <w:rFonts w:ascii="Times New Roman" w:eastAsia="Times New Roman" w:hAnsi="Times New Roman"/>
          <w:b/>
          <w:noProof/>
          <w:color w:val="000000" w:themeColor="text1"/>
          <w:sz w:val="24"/>
          <w:lang w:eastAsia="ar-SA"/>
        </w:rPr>
        <w:t>:</w:t>
      </w:r>
      <w:r>
        <w:rPr>
          <w:rFonts w:ascii="Times New Roman" w:eastAsia="Times New Roman" w:hAnsi="Times New Roman"/>
          <w:noProof/>
          <w:color w:val="000000" w:themeColor="text1"/>
          <w:sz w:val="24"/>
          <w:lang w:eastAsia="ar-SA"/>
        </w:rPr>
        <w:t xml:space="preserve"> </w:t>
      </w:r>
      <w:r>
        <w:rPr>
          <w:rFonts w:ascii="Times New Roman" w:eastAsia="Times New Roman" w:hAnsi="Times New Roman"/>
          <w:noProof/>
          <w:sz w:val="24"/>
          <w:lang w:eastAsia="ar-SA"/>
        </w:rPr>
        <w:t>This entails collecting and exchanging information, applying business rules (as required by the relevant legislation and policies) to grant or reject access to a service and then providing the requested service to citizens or businesses.</w:t>
      </w:r>
    </w:p>
    <w:p>
      <w:pPr>
        <w:numPr>
          <w:ilvl w:val="0"/>
          <w:numId w:val="135"/>
        </w:numPr>
        <w:spacing w:before="120" w:after="120" w:line="312" w:lineRule="auto"/>
        <w:ind w:left="1134"/>
        <w:jc w:val="both"/>
        <w:rPr>
          <w:rFonts w:ascii="Times New Roman" w:eastAsia="Times New Roman" w:hAnsi="Times New Roman"/>
          <w:noProof/>
          <w:sz w:val="24"/>
          <w:lang w:eastAsia="ar-SA"/>
        </w:rPr>
      </w:pPr>
      <w:r>
        <w:rPr>
          <w:rFonts w:ascii="Times New Roman" w:hAnsi="Times New Roman"/>
          <w:b/>
          <w:iCs/>
          <w:noProof/>
          <w:color w:val="000000" w:themeColor="text1"/>
          <w:sz w:val="24"/>
        </w:rPr>
        <w:t>Evaluation</w:t>
      </w:r>
      <w:r>
        <w:rPr>
          <w:rFonts w:ascii="Times New Roman" w:hAnsi="Times New Roman"/>
          <w:b/>
          <w:noProof/>
          <w:color w:val="000000" w:themeColor="text1"/>
          <w:sz w:val="24"/>
        </w:rPr>
        <w:t>:</w:t>
      </w:r>
      <w:r>
        <w:rPr>
          <w:rFonts w:ascii="Times New Roman" w:hAnsi="Times New Roman"/>
          <w:noProof/>
          <w:color w:val="000000" w:themeColor="text1"/>
          <w:sz w:val="24"/>
        </w:rPr>
        <w:t xml:space="preserve"> </w:t>
      </w:r>
      <w:r>
        <w:rPr>
          <w:rFonts w:ascii="Times New Roman" w:hAnsi="Times New Roman"/>
          <w:noProof/>
          <w:sz w:val="24"/>
        </w:rPr>
        <w:t>After service provision, users’ feedback is collected and evaluated.</w:t>
      </w:r>
    </w:p>
    <w:p>
      <w:pPr>
        <w:pStyle w:val="Heading3"/>
        <w:rPr>
          <w:noProof/>
        </w:rPr>
      </w:pPr>
      <w:bookmarkStart w:id="647" w:name="_Toc454189001"/>
      <w:bookmarkStart w:id="648" w:name="_Toc454196250"/>
      <w:bookmarkStart w:id="649" w:name="_Toc454198198"/>
      <w:r>
        <w:rPr>
          <w:noProof/>
        </w:rPr>
        <w:t>Internal information sources and services</w:t>
      </w:r>
      <w:bookmarkEnd w:id="647"/>
      <w:bookmarkEnd w:id="648"/>
      <w:bookmarkEnd w:id="649"/>
    </w:p>
    <w:p>
      <w:pPr>
        <w:pStyle w:val="BodyText"/>
        <w:spacing w:after="200" w:line="312" w:lineRule="auto"/>
        <w:jc w:val="both"/>
        <w:rPr>
          <w:rFonts w:ascii="Times New Roman" w:hAnsi="Times New Roman"/>
          <w:noProof/>
          <w:sz w:val="24"/>
        </w:rPr>
      </w:pPr>
      <w:r>
        <w:rPr>
          <w:rFonts w:ascii="Times New Roman" w:hAnsi="Times New Roman"/>
          <w:noProof/>
          <w:sz w:val="24"/>
        </w:rPr>
        <w:t xml:space="preserve">Public administrations produce and make available a large number of services, while they maintain and manage a huge number and variety of information sources. These information sources are often unknown outside the boundaries of a particular administration (and sometimes even inside those boundaries). The result is duplication of effort and under-exploitation of available resources and solutions.   </w:t>
      </w:r>
    </w:p>
    <w:p>
      <w:pPr>
        <w:pStyle w:val="BodyText"/>
        <w:spacing w:after="200" w:line="312" w:lineRule="auto"/>
        <w:jc w:val="both"/>
        <w:rPr>
          <w:rFonts w:ascii="Times New Roman" w:hAnsi="Times New Roman"/>
          <w:noProof/>
          <w:sz w:val="24"/>
        </w:rPr>
      </w:pPr>
      <w:r>
        <w:rPr>
          <w:rFonts w:ascii="Times New Roman" w:hAnsi="Times New Roman"/>
          <w:b/>
          <w:iCs/>
          <w:noProof/>
          <w:color w:val="000000" w:themeColor="text1"/>
          <w:sz w:val="24"/>
        </w:rPr>
        <w:t>Information sources</w:t>
      </w:r>
      <w:r>
        <w:rPr>
          <w:rFonts w:ascii="Times New Roman" w:hAnsi="Times New Roman"/>
          <w:noProof/>
          <w:color w:val="000000" w:themeColor="text1"/>
          <w:sz w:val="24"/>
        </w:rPr>
        <w:t xml:space="preserve"> </w:t>
      </w:r>
      <w:r>
        <w:rPr>
          <w:rFonts w:ascii="Times New Roman" w:hAnsi="Times New Roman"/>
          <w:noProof/>
          <w:sz w:val="24"/>
        </w:rPr>
        <w:t>(base registries, open data portals, and other authoritative sources of information) and services available not only inside the administrative system but also in the external environment can be used to create integrated public services as building blocks.</w:t>
      </w:r>
      <w:r>
        <w:rPr>
          <w:rFonts w:ascii="Times New Roman" w:hAnsi="Times New Roman"/>
          <w:noProof/>
          <w:sz w:val="24"/>
          <w:lang w:eastAsia="en-US"/>
        </w:rPr>
        <w:t xml:space="preserve"> </w:t>
      </w:r>
      <w:r>
        <w:rPr>
          <w:rFonts w:ascii="Times New Roman" w:hAnsi="Times New Roman"/>
          <w:b/>
          <w:noProof/>
          <w:sz w:val="24"/>
        </w:rPr>
        <w:t>Building blocks</w:t>
      </w:r>
      <w:r>
        <w:rPr>
          <w:rFonts w:ascii="Times New Roman" w:hAnsi="Times New Roman"/>
          <w:noProof/>
          <w:sz w:val="24"/>
        </w:rPr>
        <w:t xml:space="preserve"> (</w:t>
      </w:r>
      <w:r>
        <w:rPr>
          <w:rFonts w:ascii="Times New Roman" w:hAnsi="Times New Roman"/>
          <w:noProof/>
          <w:color w:val="000000" w:themeColor="text1"/>
          <w:sz w:val="24"/>
        </w:rPr>
        <w:t>information sources and services</w:t>
      </w:r>
      <w:r>
        <w:rPr>
          <w:rFonts w:ascii="Times New Roman" w:hAnsi="Times New Roman"/>
          <w:noProof/>
          <w:sz w:val="24"/>
        </w:rPr>
        <w:t>) should make their data or functionality accessible using service-oriented approaches.</w:t>
      </w:r>
    </w:p>
    <w:p>
      <w:pPr>
        <w:pStyle w:val="BodyText"/>
        <w:spacing w:after="200" w:line="312" w:lineRule="auto"/>
        <w:rPr>
          <w:rFonts w:ascii="Times New Roman" w:hAnsi="Times New Roman"/>
          <w:noProof/>
        </w:rPr>
      </w:pPr>
      <w:r>
        <w:rPr>
          <w:rFonts w:ascii="Times New Roman" w:hAnsi="Times New Roman"/>
          <w:noProof/>
          <w:lang w:val="en-US" w:eastAsia="en-US"/>
        </w:rPr>
        <mc:AlternateContent>
          <mc:Choice Requires="wps">
            <w:drawing>
              <wp:inline distT="0" distB="0" distL="0" distR="0">
                <wp:extent cx="5589917" cy="850789"/>
                <wp:effectExtent l="57150" t="38100" r="48895" b="83185"/>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17" cy="850789"/>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36:</w:t>
                            </w:r>
                          </w:p>
                          <w:p>
                            <w:pPr>
                              <w:pStyle w:val="ListParagraph"/>
                              <w:numPr>
                                <w:ilvl w:val="0"/>
                                <w:numId w:val="0"/>
                              </w:numPr>
                              <w:ind w:left="142"/>
                              <w:jc w:val="both"/>
                              <w:rPr>
                                <w:rFonts w:ascii="Corbel" w:eastAsia="MS Mincho" w:hAnsi="Corbel"/>
                                <w:sz w:val="24"/>
                                <w:lang w:val="en-GB"/>
                              </w:rPr>
                            </w:pPr>
                            <w:r>
                              <w:rPr>
                                <w:rFonts w:ascii="Corbel" w:hAnsi="Corbel"/>
                                <w:sz w:val="24"/>
                                <w:u w:val="none"/>
                                <w:lang w:val="en-GB"/>
                              </w:rPr>
                              <w:t>Develop a shared infrastructure of reusable services and information sources that can be used by all public administrations.</w:t>
                            </w:r>
                          </w:p>
                        </w:txbxContent>
                      </wps:txbx>
                      <wps:bodyPr rot="0" vert="horz" wrap="square" lIns="91440" tIns="45720" rIns="91440" bIns="45720" anchor="t" anchorCtr="0">
                        <a:noAutofit/>
                      </wps:bodyPr>
                    </wps:wsp>
                  </a:graphicData>
                </a:graphic>
              </wp:inline>
            </w:drawing>
          </mc:Choice>
          <mc:Fallback>
            <w:pict>
              <v:shape id="_x0000_s1061" type="#_x0000_t202" style="width:440.15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36:</w:t>
                      </w:r>
                    </w:p>
                    <w:p>
                      <w:pPr>
                        <w:pStyle w:val="ListParagraph"/>
                        <w:numPr>
                          <w:ilvl w:val="0"/>
                          <w:numId w:val="0"/>
                        </w:numPr>
                        <w:ind w:left="142"/>
                        <w:jc w:val="both"/>
                        <w:rPr>
                          <w:rFonts w:ascii="Corbel" w:eastAsia="MS Mincho" w:hAnsi="Corbel"/>
                          <w:sz w:val="24"/>
                          <w:lang w:val="en-GB"/>
                        </w:rPr>
                      </w:pPr>
                      <w:r>
                        <w:rPr>
                          <w:rFonts w:ascii="Corbel" w:hAnsi="Corbel"/>
                          <w:sz w:val="24"/>
                          <w:u w:val="none"/>
                          <w:lang w:val="en-GB"/>
                        </w:rPr>
                        <w:t>Develop a shared infrastructure of reusable services and information sources that can be used by all public administrations.</w:t>
                      </w:r>
                    </w:p>
                  </w:txbxContent>
                </v:textbox>
                <w10:anchorlock/>
              </v:shape>
            </w:pict>
          </mc:Fallback>
        </mc:AlternateContent>
      </w:r>
    </w:p>
    <w:p>
      <w:pPr>
        <w:spacing w:after="200" w:line="312" w:lineRule="auto"/>
        <w:jc w:val="both"/>
        <w:rPr>
          <w:rFonts w:ascii="Times New Roman" w:hAnsi="Times New Roman"/>
          <w:noProof/>
          <w:sz w:val="24"/>
        </w:rPr>
      </w:pPr>
      <w:r>
        <w:rPr>
          <w:rFonts w:ascii="Times New Roman" w:hAnsi="Times New Roman"/>
          <w:noProof/>
          <w:sz w:val="24"/>
          <w:lang w:eastAsia="ar-SA"/>
        </w:rPr>
        <w:t xml:space="preserve">Public administrations should promote </w:t>
      </w:r>
      <w:r>
        <w:rPr>
          <w:rFonts w:ascii="Times New Roman" w:hAnsi="Times New Roman"/>
          <w:noProof/>
          <w:sz w:val="24"/>
        </w:rPr>
        <w:t>policies for sharing services and information sources in three main ways.</w:t>
      </w:r>
    </w:p>
    <w:p>
      <w:pPr>
        <w:pStyle w:val="BodyText"/>
        <w:numPr>
          <w:ilvl w:val="0"/>
          <w:numId w:val="136"/>
        </w:numPr>
        <w:spacing w:after="200" w:line="312" w:lineRule="auto"/>
        <w:jc w:val="both"/>
        <w:rPr>
          <w:rFonts w:ascii="Times New Roman" w:hAnsi="Times New Roman"/>
          <w:noProof/>
          <w:color w:val="000000" w:themeColor="text1"/>
          <w:sz w:val="24"/>
        </w:rPr>
      </w:pPr>
      <w:r>
        <w:rPr>
          <w:rFonts w:ascii="Times New Roman" w:hAnsi="Times New Roman"/>
          <w:b/>
          <w:noProof/>
          <w:color w:val="000000" w:themeColor="text1"/>
          <w:sz w:val="24"/>
        </w:rPr>
        <w:t>Reuse:</w:t>
      </w:r>
      <w:r>
        <w:rPr>
          <w:rFonts w:ascii="Times New Roman" w:hAnsi="Times New Roman"/>
          <w:noProof/>
          <w:color w:val="000000" w:themeColor="text1"/>
          <w:sz w:val="24"/>
        </w:rPr>
        <w:t xml:space="preserve"> When designing new services or revising existing ones, the first step should be to investigate whether </w:t>
      </w:r>
      <w:r>
        <w:rPr>
          <w:rFonts w:ascii="Times New Roman" w:hAnsi="Times New Roman"/>
          <w:bCs/>
          <w:noProof/>
          <w:color w:val="000000" w:themeColor="text1"/>
          <w:sz w:val="24"/>
        </w:rPr>
        <w:t>existing services and information sources can be reused;</w:t>
      </w:r>
    </w:p>
    <w:p>
      <w:pPr>
        <w:pStyle w:val="BodyText"/>
        <w:numPr>
          <w:ilvl w:val="0"/>
          <w:numId w:val="136"/>
        </w:numPr>
        <w:spacing w:after="200" w:line="312" w:lineRule="auto"/>
        <w:jc w:val="both"/>
        <w:rPr>
          <w:rFonts w:ascii="Times New Roman" w:hAnsi="Times New Roman"/>
          <w:noProof/>
          <w:color w:val="000000" w:themeColor="text1"/>
          <w:sz w:val="24"/>
        </w:rPr>
      </w:pPr>
      <w:r>
        <w:rPr>
          <w:rFonts w:ascii="Times New Roman" w:hAnsi="Times New Roman"/>
          <w:b/>
          <w:noProof/>
          <w:color w:val="000000" w:themeColor="text1"/>
          <w:sz w:val="24"/>
        </w:rPr>
        <w:t>Publish:</w:t>
      </w:r>
      <w:r>
        <w:rPr>
          <w:rFonts w:ascii="Times New Roman" w:hAnsi="Times New Roman"/>
          <w:noProof/>
          <w:color w:val="000000" w:themeColor="text1"/>
          <w:sz w:val="24"/>
        </w:rPr>
        <w:t xml:space="preserve"> When designing new services and information sources or revising existing ones, </w:t>
      </w:r>
      <w:r>
        <w:rPr>
          <w:rFonts w:ascii="Times New Roman" w:hAnsi="Times New Roman"/>
          <w:bCs/>
          <w:noProof/>
          <w:color w:val="000000" w:themeColor="text1"/>
          <w:sz w:val="24"/>
        </w:rPr>
        <w:t>reusable services and information sources should be made available to others for reuse;</w:t>
      </w:r>
    </w:p>
    <w:p>
      <w:pPr>
        <w:pStyle w:val="BodyText"/>
        <w:numPr>
          <w:ilvl w:val="0"/>
          <w:numId w:val="136"/>
        </w:numPr>
        <w:spacing w:after="200" w:line="312" w:lineRule="auto"/>
        <w:jc w:val="both"/>
        <w:rPr>
          <w:rFonts w:ascii="Times New Roman" w:hAnsi="Times New Roman"/>
          <w:noProof/>
          <w:color w:val="000000" w:themeColor="text1"/>
          <w:sz w:val="24"/>
        </w:rPr>
      </w:pPr>
      <w:r>
        <w:rPr>
          <w:rFonts w:ascii="Times New Roman" w:hAnsi="Times New Roman"/>
          <w:b/>
          <w:noProof/>
          <w:color w:val="000000" w:themeColor="text1"/>
          <w:sz w:val="24"/>
        </w:rPr>
        <w:t>Aggregate:</w:t>
      </w:r>
      <w:r>
        <w:rPr>
          <w:rFonts w:ascii="Times New Roman" w:hAnsi="Times New Roman"/>
          <w:noProof/>
          <w:color w:val="000000" w:themeColor="text1"/>
          <w:sz w:val="24"/>
        </w:rPr>
        <w:t xml:space="preserve"> Once appropriate services and information sources are identified, they should be aggregated to form an integrated service provision process. The building blocks should exhibit native capability of being combined (‘interoperability by design’), to be ready for mash-up in different environments with minimum customisation. This aggregation is relevant to information, services and other interoperability solutions (e.g. software).</w:t>
      </w:r>
    </w:p>
    <w:p>
      <w:pPr>
        <w:spacing w:after="200" w:line="312" w:lineRule="auto"/>
        <w:jc w:val="both"/>
        <w:rPr>
          <w:rFonts w:ascii="Times New Roman" w:hAnsi="Times New Roman"/>
          <w:noProof/>
          <w:sz w:val="24"/>
          <w:lang w:eastAsia="en-US"/>
        </w:rPr>
      </w:pPr>
      <w:r>
        <w:rPr>
          <w:rFonts w:ascii="Times New Roman" w:hAnsi="Times New Roman"/>
          <w:noProof/>
          <w:sz w:val="24"/>
        </w:rPr>
        <w:t xml:space="preserve">The reusable </w:t>
      </w:r>
      <w:r>
        <w:rPr>
          <w:rFonts w:ascii="Times New Roman" w:hAnsi="Times New Roman"/>
          <w:b/>
          <w:noProof/>
          <w:sz w:val="24"/>
        </w:rPr>
        <w:t>building block</w:t>
      </w:r>
      <w:r>
        <w:rPr>
          <w:rFonts w:ascii="Times New Roman" w:hAnsi="Times New Roman"/>
          <w:noProof/>
          <w:sz w:val="24"/>
        </w:rPr>
        <w:t xml:space="preserve"> approach finds a suitable application by mapping solutions against the conceptual building blocks of </w:t>
      </w:r>
      <w:r>
        <w:rPr>
          <w:rFonts w:ascii="Times New Roman" w:hAnsi="Times New Roman"/>
          <w:noProof/>
          <w:color w:val="000000" w:themeColor="text1"/>
          <w:sz w:val="24"/>
        </w:rPr>
        <w:t xml:space="preserve">a </w:t>
      </w:r>
      <w:r>
        <w:rPr>
          <w:rFonts w:ascii="Times New Roman" w:hAnsi="Times New Roman"/>
          <w:b/>
          <w:iCs/>
          <w:noProof/>
          <w:color w:val="000000" w:themeColor="text1"/>
          <w:sz w:val="24"/>
        </w:rPr>
        <w:t>reference architecture</w:t>
      </w:r>
      <w:r>
        <w:rPr>
          <w:rStyle w:val="FootnoteReference"/>
          <w:rFonts w:ascii="Times New Roman" w:hAnsi="Times New Roman"/>
          <w:noProof/>
          <w:sz w:val="24"/>
        </w:rPr>
        <w:footnoteReference w:id="32"/>
      </w:r>
      <w:r>
        <w:rPr>
          <w:rFonts w:ascii="Times New Roman" w:hAnsi="Times New Roman"/>
          <w:noProof/>
          <w:sz w:val="24"/>
        </w:rPr>
        <w:t xml:space="preserve"> that allows reusable components to be detected, which also promotes rationalisation. The result of this mapping is </w:t>
      </w:r>
      <w:r>
        <w:rPr>
          <w:rFonts w:ascii="Times New Roman" w:hAnsi="Times New Roman"/>
          <w:noProof/>
          <w:color w:val="000000" w:themeColor="text1"/>
          <w:sz w:val="24"/>
          <w:lang w:eastAsia="en-US"/>
        </w:rPr>
        <w:t xml:space="preserve">a </w:t>
      </w:r>
      <w:r>
        <w:rPr>
          <w:rFonts w:ascii="Times New Roman" w:hAnsi="Times New Roman"/>
          <w:b/>
          <w:iCs/>
          <w:noProof/>
          <w:color w:val="000000" w:themeColor="text1"/>
          <w:sz w:val="24"/>
        </w:rPr>
        <w:t>cartography</w:t>
      </w:r>
      <w:r>
        <w:rPr>
          <w:rStyle w:val="FootnoteReference"/>
          <w:rFonts w:ascii="Times New Roman" w:hAnsi="Times New Roman"/>
          <w:noProof/>
          <w:sz w:val="24"/>
        </w:rPr>
        <w:footnoteReference w:id="33"/>
      </w:r>
      <w:r>
        <w:rPr>
          <w:rFonts w:ascii="Times New Roman" w:hAnsi="Times New Roman"/>
          <w:noProof/>
          <w:sz w:val="24"/>
          <w:lang w:eastAsia="en-US"/>
        </w:rPr>
        <w:t xml:space="preserve"> of solutions, including their building blocks, that can be reused to serve common business needs and ensure interoperability.</w:t>
      </w:r>
    </w:p>
    <w:p>
      <w:pPr>
        <w:pStyle w:val="BodyText"/>
        <w:spacing w:after="200" w:line="312" w:lineRule="auto"/>
        <w:jc w:val="both"/>
        <w:rPr>
          <w:rFonts w:ascii="Times New Roman" w:hAnsi="Times New Roman"/>
          <w:noProof/>
          <w:sz w:val="24"/>
        </w:rPr>
      </w:pPr>
      <w:r>
        <w:rPr>
          <w:rFonts w:ascii="Times New Roman" w:hAnsi="Times New Roman"/>
          <w:noProof/>
          <w:sz w:val="24"/>
        </w:rPr>
        <w:t>More specifically, to avoid duplication of effort, extra costs and further interoperability problems, while increasing the quality of services offered, the conceptual model features two types of reuse.</w:t>
      </w:r>
    </w:p>
    <w:p>
      <w:pPr>
        <w:pStyle w:val="BodyText"/>
        <w:keepNext/>
        <w:numPr>
          <w:ilvl w:val="0"/>
          <w:numId w:val="12"/>
        </w:numPr>
        <w:spacing w:after="200" w:line="312" w:lineRule="auto"/>
        <w:ind w:left="714" w:hanging="357"/>
        <w:jc w:val="both"/>
        <w:rPr>
          <w:rFonts w:ascii="Times New Roman" w:hAnsi="Times New Roman"/>
          <w:noProof/>
          <w:sz w:val="24"/>
        </w:rPr>
      </w:pPr>
      <w:r>
        <w:rPr>
          <w:rFonts w:ascii="Times New Roman" w:hAnsi="Times New Roman"/>
          <w:b/>
          <w:iCs/>
          <w:noProof/>
          <w:color w:val="000000" w:themeColor="text1"/>
          <w:sz w:val="24"/>
        </w:rPr>
        <w:t>Reuse of services</w:t>
      </w:r>
      <w:r>
        <w:rPr>
          <w:rFonts w:ascii="Times New Roman" w:hAnsi="Times New Roman"/>
          <w:b/>
          <w:noProof/>
          <w:color w:val="000000" w:themeColor="text1"/>
          <w:sz w:val="24"/>
        </w:rPr>
        <w:t>:</w:t>
      </w:r>
      <w:r>
        <w:rPr>
          <w:rFonts w:ascii="Times New Roman" w:hAnsi="Times New Roman"/>
          <w:noProof/>
          <w:color w:val="000000" w:themeColor="text1"/>
          <w:sz w:val="24"/>
        </w:rPr>
        <w:t xml:space="preserve"> </w:t>
      </w:r>
      <w:r>
        <w:rPr>
          <w:rFonts w:ascii="Times New Roman" w:hAnsi="Times New Roman"/>
          <w:noProof/>
          <w:sz w:val="24"/>
        </w:rPr>
        <w:t>Different types of services can be reused. Examples include basic public services, e.g. issuing a birth certificate, and shared services like electronic identification and electronic signature. Shared services may be provided by the public sector, the private sector or in public-private partnership (PPP) models</w:t>
      </w:r>
      <w:bookmarkStart w:id="650" w:name="_Toc446588661"/>
      <w:bookmarkStart w:id="651" w:name="_Toc446660937"/>
      <w:bookmarkEnd w:id="650"/>
      <w:bookmarkEnd w:id="651"/>
      <w:r>
        <w:rPr>
          <w:rFonts w:ascii="Times New Roman" w:hAnsi="Times New Roman"/>
          <w:noProof/>
          <w:sz w:val="24"/>
        </w:rPr>
        <w:t>;</w:t>
      </w:r>
    </w:p>
    <w:p>
      <w:pPr>
        <w:pStyle w:val="BodyText"/>
        <w:numPr>
          <w:ilvl w:val="0"/>
          <w:numId w:val="12"/>
        </w:numPr>
        <w:spacing w:after="200" w:line="312" w:lineRule="auto"/>
        <w:ind w:left="714" w:hanging="357"/>
        <w:jc w:val="both"/>
        <w:rPr>
          <w:rFonts w:ascii="Times New Roman" w:hAnsi="Times New Roman"/>
          <w:noProof/>
          <w:color w:val="000000" w:themeColor="text1"/>
          <w:sz w:val="24"/>
        </w:rPr>
      </w:pPr>
      <w:r>
        <w:rPr>
          <w:rFonts w:ascii="Times New Roman" w:hAnsi="Times New Roman"/>
          <w:b/>
          <w:iCs/>
          <w:noProof/>
          <w:color w:val="000000" w:themeColor="text1"/>
          <w:sz w:val="24"/>
        </w:rPr>
        <w:t>Reuse of information</w:t>
      </w:r>
      <w:r>
        <w:rPr>
          <w:rFonts w:ascii="Times New Roman" w:hAnsi="Times New Roman"/>
          <w:b/>
          <w:noProof/>
          <w:color w:val="000000" w:themeColor="text1"/>
          <w:sz w:val="24"/>
        </w:rPr>
        <w:t>:</w:t>
      </w:r>
      <w:r>
        <w:rPr>
          <w:rFonts w:ascii="Times New Roman" w:hAnsi="Times New Roman"/>
          <w:noProof/>
          <w:color w:val="000000" w:themeColor="text1"/>
          <w:sz w:val="24"/>
        </w:rPr>
        <w:t xml:space="preserve"> Public administrations already store large amounts of information with a potential for reuse. Examples include: master data from base registries as authoritative data used by multiple applications and systems; open data under open use licences published by public organisations; other types of authoritative data validated and managed under the aegis of public authorities. Base registries and open data are discussed in more detail in the next section.</w:t>
      </w:r>
    </w:p>
    <w:p>
      <w:pPr>
        <w:pStyle w:val="Heading3"/>
        <w:rPr>
          <w:noProof/>
        </w:rPr>
      </w:pPr>
      <w:bookmarkStart w:id="652" w:name="_Toc454189002"/>
      <w:bookmarkStart w:id="653" w:name="_Toc454196251"/>
      <w:bookmarkStart w:id="654" w:name="_Toc454198199"/>
      <w:r>
        <w:rPr>
          <w:noProof/>
        </w:rPr>
        <w:t>Base registries</w:t>
      </w:r>
      <w:bookmarkEnd w:id="652"/>
      <w:bookmarkEnd w:id="653"/>
      <w:bookmarkEnd w:id="654"/>
    </w:p>
    <w:p>
      <w:pPr>
        <w:spacing w:after="200" w:line="312" w:lineRule="auto"/>
        <w:jc w:val="both"/>
        <w:rPr>
          <w:rFonts w:ascii="Times New Roman" w:hAnsi="Times New Roman"/>
          <w:noProof/>
          <w:sz w:val="24"/>
        </w:rPr>
      </w:pPr>
      <w:r>
        <w:rPr>
          <w:rFonts w:ascii="Times New Roman" w:hAnsi="Times New Roman"/>
          <w:noProof/>
          <w:sz w:val="24"/>
        </w:rPr>
        <w:t>Base registries are the cornerstone of European public service delivery. A base registry</w:t>
      </w:r>
      <w:r>
        <w:rPr>
          <w:rFonts w:ascii="Times New Roman" w:hAnsi="Times New Roman"/>
          <w:b/>
          <w:noProof/>
          <w:sz w:val="24"/>
        </w:rPr>
        <w:t xml:space="preserve"> </w:t>
      </w:r>
      <w:r>
        <w:rPr>
          <w:rFonts w:ascii="Times New Roman" w:hAnsi="Times New Roman"/>
          <w:noProof/>
          <w:sz w:val="24"/>
        </w:rPr>
        <w:t>is a trusted and authoritative source of information which can and should be digitally reused by others, where one organisation is responsible and accountable for the collection, use, updating and preservation of information. Base registries are reliable sources of basic information</w:t>
      </w:r>
      <w:r>
        <w:rPr>
          <w:rFonts w:ascii="Times New Roman" w:eastAsia="MS PGothic" w:hAnsi="Times New Roman"/>
          <w:noProof/>
          <w:sz w:val="24"/>
        </w:rPr>
        <w:t xml:space="preserve"> on data items such as people, companies, vehicles, licences, buildings, locations and roads. This type of information constitutes the </w:t>
      </w:r>
      <w:r>
        <w:rPr>
          <w:rFonts w:ascii="Times New Roman" w:eastAsia="MS PGothic" w:hAnsi="Times New Roman"/>
          <w:b/>
          <w:noProof/>
          <w:sz w:val="24"/>
        </w:rPr>
        <w:t>‘master data’</w:t>
      </w:r>
      <w:r>
        <w:rPr>
          <w:rFonts w:ascii="Times New Roman" w:eastAsia="MS PGothic" w:hAnsi="Times New Roman"/>
          <w:noProof/>
          <w:sz w:val="24"/>
        </w:rPr>
        <w:t xml:space="preserve"> for public administrations and European public service delivery. </w:t>
      </w:r>
      <w:r>
        <w:rPr>
          <w:rFonts w:ascii="Times New Roman" w:hAnsi="Times New Roman"/>
          <w:noProof/>
          <w:sz w:val="24"/>
        </w:rPr>
        <w:t>‘Authoritative’ here means that a base registry is considered to be the ‘source’ of information, i.e. it shows the correct status, is up-to-date and is of the highest possible quality and integrity.</w:t>
      </w:r>
    </w:p>
    <w:p>
      <w:pPr>
        <w:spacing w:after="200" w:line="312" w:lineRule="auto"/>
        <w:jc w:val="both"/>
        <w:rPr>
          <w:rFonts w:ascii="Times New Roman" w:hAnsi="Times New Roman"/>
          <w:noProof/>
          <w:sz w:val="24"/>
          <w:lang w:eastAsia="ar-SA"/>
        </w:rPr>
      </w:pPr>
      <w:r>
        <w:rPr>
          <w:rFonts w:ascii="Times New Roman" w:hAnsi="Times New Roman"/>
          <w:noProof/>
          <w:sz w:val="24"/>
        </w:rPr>
        <w:t xml:space="preserve">In case of centralised registries, a single organisational entity is responsible and accountable for ensuring data quality and for having measures in place to ensure the correctness of the data. Such registries are under the legal control of public administrations, whereas operation and maintenance can be outsourced to other organisations if required. </w:t>
      </w:r>
      <w:r>
        <w:rPr>
          <w:rFonts w:ascii="Times New Roman" w:hAnsi="Times New Roman"/>
          <w:noProof/>
          <w:sz w:val="24"/>
          <w:lang w:eastAsia="ar-SA"/>
        </w:rPr>
        <w:t>There are several types of base registries, e.g. population, businesses, vehicles, cadastres. For the administrations, it is important to obtain a high level overview of the operation of base registries and of the data they store (a registry of registries).</w:t>
      </w:r>
    </w:p>
    <w:p>
      <w:pPr>
        <w:spacing w:after="200" w:line="312" w:lineRule="auto"/>
        <w:jc w:val="both"/>
        <w:rPr>
          <w:rFonts w:ascii="Times New Roman" w:hAnsi="Times New Roman"/>
          <w:noProof/>
          <w:sz w:val="24"/>
          <w:lang w:eastAsia="ar-SA"/>
        </w:rPr>
      </w:pPr>
      <w:r>
        <w:rPr>
          <w:rFonts w:ascii="Times New Roman" w:hAnsi="Times New Roman"/>
          <w:noProof/>
          <w:sz w:val="24"/>
          <w:lang w:eastAsia="ar-SA"/>
        </w:rPr>
        <w:t>In case of distributed registries there must be a single organisational entity responsible and accountable for every part of the register. Additionally a single entity must be responsible and accountable for the coordination of all parts of the distributed registry.</w:t>
      </w:r>
    </w:p>
    <w:p>
      <w:pPr>
        <w:spacing w:after="200" w:line="312" w:lineRule="auto"/>
        <w:jc w:val="both"/>
        <w:rPr>
          <w:rFonts w:ascii="Times New Roman" w:hAnsi="Times New Roman"/>
          <w:noProof/>
          <w:sz w:val="24"/>
          <w:lang w:eastAsia="ar-SA"/>
        </w:rPr>
      </w:pPr>
      <w:r>
        <w:rPr>
          <w:rFonts w:ascii="Times New Roman" w:hAnsi="Times New Roman"/>
          <w:noProof/>
          <w:color w:val="000000" w:themeColor="text1"/>
          <w:sz w:val="24"/>
          <w:lang w:eastAsia="ar-SA"/>
        </w:rPr>
        <w:t xml:space="preserve">A </w:t>
      </w:r>
      <w:r>
        <w:rPr>
          <w:rFonts w:ascii="Times New Roman" w:eastAsia="Times New Roman" w:hAnsi="Times New Roman"/>
          <w:b/>
          <w:bCs/>
          <w:noProof/>
          <w:color w:val="000000" w:themeColor="text1"/>
          <w:sz w:val="24"/>
          <w:lang w:eastAsia="ar-SA"/>
        </w:rPr>
        <w:t>base registry framework</w:t>
      </w:r>
      <w:r>
        <w:rPr>
          <w:rFonts w:ascii="Times New Roman" w:hAnsi="Times New Roman"/>
          <w:noProof/>
          <w:sz w:val="24"/>
          <w:lang w:eastAsia="ar-SA"/>
        </w:rPr>
        <w:t>, ‘describes the agreements and infrastructure for operating base registries and the relationships with other entities’.</w:t>
      </w:r>
    </w:p>
    <w:p>
      <w:pPr>
        <w:pStyle w:val="BodyText"/>
        <w:spacing w:after="200" w:line="312" w:lineRule="auto"/>
        <w:jc w:val="both"/>
        <w:rPr>
          <w:rFonts w:ascii="Times New Roman" w:hAnsi="Times New Roman"/>
          <w:noProof/>
          <w:sz w:val="24"/>
        </w:rPr>
      </w:pPr>
      <w:r>
        <w:rPr>
          <w:rFonts w:ascii="Times New Roman" w:hAnsi="Times New Roman"/>
          <w:noProof/>
          <w:sz w:val="24"/>
        </w:rPr>
        <w:t>Access to base registries should be regulated to comply with privacy and other regulations; base registries are governed by the principles of information stewardship.</w:t>
      </w:r>
    </w:p>
    <w:p>
      <w:pPr>
        <w:pStyle w:val="BodyText"/>
        <w:spacing w:after="200" w:line="312" w:lineRule="auto"/>
        <w:jc w:val="both"/>
        <w:rPr>
          <w:rFonts w:ascii="Times New Roman" w:hAnsi="Times New Roman"/>
          <w:noProof/>
          <w:sz w:val="24"/>
        </w:rPr>
      </w:pPr>
      <w:r>
        <w:rPr>
          <w:rFonts w:ascii="Times New Roman" w:hAnsi="Times New Roman"/>
          <w:noProof/>
          <w:color w:val="000000" w:themeColor="text1"/>
          <w:sz w:val="24"/>
        </w:rPr>
        <w:t xml:space="preserve">The </w:t>
      </w:r>
      <w:r>
        <w:rPr>
          <w:rFonts w:ascii="Times New Roman" w:hAnsi="Times New Roman"/>
          <w:b/>
          <w:bCs/>
          <w:noProof/>
          <w:color w:val="000000" w:themeColor="text1"/>
          <w:sz w:val="24"/>
        </w:rPr>
        <w:t>information steward</w:t>
      </w:r>
      <w:r>
        <w:rPr>
          <w:rFonts w:ascii="Times New Roman" w:hAnsi="Times New Roman"/>
          <w:noProof/>
          <w:color w:val="000000" w:themeColor="text1"/>
          <w:sz w:val="24"/>
        </w:rPr>
        <w:t xml:space="preserve"> </w:t>
      </w:r>
      <w:r>
        <w:rPr>
          <w:rFonts w:ascii="Times New Roman" w:hAnsi="Times New Roman"/>
          <w:noProof/>
          <w:sz w:val="24"/>
        </w:rPr>
        <w:t>is the body (or possibly individual) responsible and accountable for collecting, using, updating, maintaining and deleting information. This includes defining permissible information use, complying with privacy regulations and security policies, ensuring that information is current and ensuring the accessibility of data by authorised users.</w:t>
      </w:r>
    </w:p>
    <w:p>
      <w:pPr>
        <w:pStyle w:val="BodyText"/>
        <w:spacing w:after="200" w:line="312" w:lineRule="auto"/>
        <w:jc w:val="both"/>
        <w:rPr>
          <w:rFonts w:ascii="Times New Roman" w:hAnsi="Times New Roman"/>
          <w:noProof/>
          <w:sz w:val="24"/>
        </w:rPr>
      </w:pPr>
      <w:r>
        <w:rPr>
          <w:rFonts w:ascii="Times New Roman" w:hAnsi="Times New Roman"/>
          <w:noProof/>
          <w:sz w:val="24"/>
        </w:rPr>
        <w:t xml:space="preserve">Base registries should </w:t>
      </w:r>
      <w:r>
        <w:rPr>
          <w:rFonts w:ascii="Times New Roman" w:hAnsi="Times New Roman"/>
          <w:bCs/>
          <w:noProof/>
          <w:sz w:val="24"/>
        </w:rPr>
        <w:t>draw up and</w:t>
      </w:r>
      <w:r>
        <w:rPr>
          <w:rFonts w:ascii="Times New Roman" w:hAnsi="Times New Roman"/>
          <w:noProof/>
          <w:sz w:val="24"/>
        </w:rPr>
        <w:t xml:space="preserve"> </w:t>
      </w:r>
      <w:r>
        <w:rPr>
          <w:rFonts w:ascii="Times New Roman" w:hAnsi="Times New Roman"/>
          <w:bCs/>
          <w:noProof/>
          <w:sz w:val="24"/>
        </w:rPr>
        <w:t>implement a</w:t>
      </w:r>
      <w:r>
        <w:rPr>
          <w:rFonts w:ascii="Times New Roman" w:hAnsi="Times New Roman"/>
          <w:noProof/>
          <w:sz w:val="24"/>
        </w:rPr>
        <w:t xml:space="preserve"> </w:t>
      </w:r>
      <w:r>
        <w:rPr>
          <w:rFonts w:ascii="Times New Roman" w:hAnsi="Times New Roman"/>
          <w:b/>
          <w:bCs/>
          <w:noProof/>
          <w:color w:val="000000" w:themeColor="text1"/>
          <w:sz w:val="24"/>
        </w:rPr>
        <w:t>data quality assurance plan</w:t>
      </w:r>
      <w:r>
        <w:rPr>
          <w:rFonts w:ascii="Times New Roman" w:hAnsi="Times New Roman"/>
          <w:noProof/>
          <w:color w:val="000000" w:themeColor="text1"/>
          <w:sz w:val="24"/>
        </w:rPr>
        <w:t xml:space="preserve"> </w:t>
      </w:r>
      <w:r>
        <w:rPr>
          <w:rFonts w:ascii="Times New Roman" w:hAnsi="Times New Roman"/>
          <w:noProof/>
          <w:sz w:val="24"/>
        </w:rPr>
        <w:t xml:space="preserve">to ensure the quality of their data. Citizens and businesses should be able to check the accuracy, correctness and completeness of any of their data contained in base registries. </w:t>
      </w:r>
    </w:p>
    <w:p>
      <w:pPr>
        <w:pStyle w:val="BodyText"/>
        <w:spacing w:after="200" w:line="312" w:lineRule="auto"/>
        <w:jc w:val="both"/>
        <w:rPr>
          <w:rFonts w:ascii="Times New Roman" w:eastAsia="MS PGothic" w:hAnsi="Times New Roman"/>
          <w:noProof/>
          <w:sz w:val="24"/>
        </w:rPr>
      </w:pPr>
      <w:r>
        <w:rPr>
          <w:rFonts w:ascii="Times New Roman" w:eastAsia="MS PGothic" w:hAnsi="Times New Roman"/>
          <w:noProof/>
          <w:sz w:val="24"/>
        </w:rPr>
        <w:t xml:space="preserve">A guide to the terminology used and/or a </w:t>
      </w:r>
      <w:r>
        <w:rPr>
          <w:rFonts w:ascii="Times New Roman" w:eastAsia="MS PGothic" w:hAnsi="Times New Roman"/>
          <w:b/>
          <w:noProof/>
          <w:sz w:val="24"/>
        </w:rPr>
        <w:t>glossary</w:t>
      </w:r>
      <w:r>
        <w:rPr>
          <w:rFonts w:ascii="Times New Roman" w:eastAsia="MS PGothic" w:hAnsi="Times New Roman"/>
          <w:noProof/>
          <w:sz w:val="24"/>
        </w:rPr>
        <w:t xml:space="preserve"> of relevant terms used in each base registry should be made available for both human and machine-readable information purposes.</w:t>
      </w:r>
    </w:p>
    <w:p>
      <w:pPr>
        <w:pStyle w:val="BodyText"/>
        <w:spacing w:after="200" w:line="312" w:lineRule="auto"/>
        <w:rPr>
          <w:rFonts w:ascii="Times New Roman" w:eastAsia="MS PGothic" w:hAnsi="Times New Roman"/>
          <w:noProof/>
          <w:sz w:val="24"/>
        </w:rPr>
      </w:pPr>
      <w:r>
        <w:rPr>
          <w:rFonts w:ascii="Times New Roman" w:hAnsi="Times New Roman"/>
          <w:noProof/>
          <w:sz w:val="24"/>
          <w:lang w:val="en-US" w:eastAsia="en-US"/>
        </w:rPr>
        <mc:AlternateContent>
          <mc:Choice Requires="wps">
            <w:drawing>
              <wp:inline distT="0" distB="0" distL="0" distR="0">
                <wp:extent cx="5598160" cy="985962"/>
                <wp:effectExtent l="57150" t="38100" r="59690" b="81280"/>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985962"/>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37:</w:t>
                            </w:r>
                          </w:p>
                          <w:p>
                            <w:pPr>
                              <w:ind w:left="142"/>
                              <w:jc w:val="both"/>
                              <w:rPr>
                                <w:rFonts w:ascii="Corbel" w:hAnsi="Corbel"/>
                                <w:b/>
                                <w:sz w:val="24"/>
                              </w:rPr>
                            </w:pPr>
                            <w:r>
                              <w:rPr>
                                <w:rFonts w:ascii="Corbel" w:hAnsi="Corbel"/>
                                <w:b/>
                                <w:sz w:val="24"/>
                              </w:rPr>
                              <w:t>Make authoritative sources of information available to others while implementing access and control mechanisms to ensure security and privacy in accordance with the relevant legislation.</w:t>
                            </w:r>
                          </w:p>
                        </w:txbxContent>
                      </wps:txbx>
                      <wps:bodyPr rot="0" vert="horz" wrap="square" lIns="91440" tIns="45720" rIns="91440" bIns="45720" anchor="t" anchorCtr="0">
                        <a:noAutofit/>
                      </wps:bodyPr>
                    </wps:wsp>
                  </a:graphicData>
                </a:graphic>
              </wp:inline>
            </w:drawing>
          </mc:Choice>
          <mc:Fallback>
            <w:pict>
              <v:shape id="_x0000_s1062" type="#_x0000_t202" style="width:440.8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37:</w:t>
                      </w:r>
                    </w:p>
                    <w:p>
                      <w:pPr>
                        <w:ind w:left="142"/>
                        <w:jc w:val="both"/>
                        <w:rPr>
                          <w:rFonts w:ascii="Corbel" w:hAnsi="Corbel"/>
                          <w:b/>
                          <w:sz w:val="24"/>
                        </w:rPr>
                      </w:pPr>
                      <w:r>
                        <w:rPr>
                          <w:rFonts w:ascii="Corbel" w:hAnsi="Corbel"/>
                          <w:b/>
                          <w:sz w:val="24"/>
                        </w:rPr>
                        <w:t>Make authoritative sources of information available to others while implementing access and control mechanisms to ensure security and privacy in accordance with the relevant legislation.</w:t>
                      </w:r>
                    </w:p>
                  </w:txbxContent>
                </v:textbox>
                <w10:anchorlock/>
              </v:shape>
            </w:pict>
          </mc:Fallback>
        </mc:AlternateContent>
      </w:r>
    </w:p>
    <w:p>
      <w:pPr>
        <w:pStyle w:val="BodyText"/>
        <w:spacing w:after="200" w:line="312" w:lineRule="auto"/>
        <w:rPr>
          <w:rFonts w:ascii="Times New Roman" w:eastAsia="MS PGothic" w:hAnsi="Times New Roman"/>
          <w:noProof/>
          <w:sz w:val="24"/>
        </w:rPr>
      </w:pPr>
      <w:r>
        <w:rPr>
          <w:rFonts w:ascii="Times New Roman" w:hAnsi="Times New Roman"/>
          <w:noProof/>
          <w:sz w:val="24"/>
          <w:lang w:val="en-US" w:eastAsia="en-US"/>
        </w:rPr>
        <mc:AlternateContent>
          <mc:Choice Requires="wps">
            <w:drawing>
              <wp:inline distT="0" distB="0" distL="0" distR="0">
                <wp:extent cx="5598160" cy="992038"/>
                <wp:effectExtent l="57150" t="38100" r="59690" b="74930"/>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992038"/>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38:</w:t>
                            </w:r>
                          </w:p>
                          <w:p>
                            <w:pPr>
                              <w:ind w:left="142"/>
                              <w:jc w:val="both"/>
                              <w:rPr>
                                <w:rFonts w:ascii="Corbel" w:hAnsi="Corbel"/>
                                <w:b/>
                                <w:sz w:val="24"/>
                              </w:rPr>
                            </w:pPr>
                            <w:r>
                              <w:rPr>
                                <w:rFonts w:ascii="Corbel" w:hAnsi="Corbel"/>
                                <w:b/>
                                <w:sz w:val="24"/>
                              </w:rPr>
                              <w:t>Develop interfaces with base registries and authoritative sources of information, publish the semantic and technical means and documentation needed for others to connect and reuse available information.</w:t>
                            </w:r>
                          </w:p>
                        </w:txbxContent>
                      </wps:txbx>
                      <wps:bodyPr rot="0" vert="horz" wrap="square" lIns="91440" tIns="45720" rIns="91440" bIns="45720" anchor="t" anchorCtr="0">
                        <a:noAutofit/>
                      </wps:bodyPr>
                    </wps:wsp>
                  </a:graphicData>
                </a:graphic>
              </wp:inline>
            </w:drawing>
          </mc:Choice>
          <mc:Fallback>
            <w:pict>
              <v:shape id="_x0000_s1063" type="#_x0000_t202" style="width:440.8pt;height:7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38:</w:t>
                      </w:r>
                    </w:p>
                    <w:p>
                      <w:pPr>
                        <w:ind w:left="142"/>
                        <w:jc w:val="both"/>
                        <w:rPr>
                          <w:rFonts w:ascii="Corbel" w:hAnsi="Corbel"/>
                          <w:b/>
                          <w:sz w:val="24"/>
                        </w:rPr>
                      </w:pPr>
                      <w:r>
                        <w:rPr>
                          <w:rFonts w:ascii="Corbel" w:hAnsi="Corbel"/>
                          <w:b/>
                          <w:sz w:val="24"/>
                        </w:rPr>
                        <w:t>Develop interfaces with base registries and authoritative sources of information, publish the semantic and technical means and documentation needed for others to connect and reuse available information.</w:t>
                      </w:r>
                    </w:p>
                  </w:txbxContent>
                </v:textbox>
                <w10:anchorlock/>
              </v:shape>
            </w:pict>
          </mc:Fallback>
        </mc:AlternateContent>
      </w:r>
    </w:p>
    <w:p>
      <w:pPr>
        <w:pStyle w:val="BodyText"/>
        <w:spacing w:after="200" w:line="312" w:lineRule="auto"/>
        <w:rPr>
          <w:rFonts w:ascii="Times New Roman" w:eastAsia="MS PGothic" w:hAnsi="Times New Roman"/>
          <w:noProof/>
          <w:sz w:val="24"/>
        </w:rPr>
      </w:pPr>
      <w:r>
        <w:rPr>
          <w:rFonts w:ascii="Times New Roman" w:hAnsi="Times New Roman"/>
          <w:noProof/>
          <w:sz w:val="24"/>
          <w:lang w:val="en-US" w:eastAsia="en-US"/>
        </w:rPr>
        <mc:AlternateContent>
          <mc:Choice Requires="wps">
            <w:drawing>
              <wp:inline distT="0" distB="0" distL="0" distR="0">
                <wp:extent cx="5598543" cy="1169582"/>
                <wp:effectExtent l="57150" t="38100" r="59690" b="69215"/>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43" cy="1169582"/>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39:</w:t>
                            </w:r>
                          </w:p>
                          <w:p>
                            <w:pPr>
                              <w:ind w:left="142"/>
                              <w:jc w:val="both"/>
                              <w:rPr>
                                <w:rFonts w:ascii="Corbel" w:hAnsi="Corbel"/>
                                <w:b/>
                                <w:sz w:val="24"/>
                              </w:rPr>
                            </w:pPr>
                            <w:r>
                              <w:rPr>
                                <w:rFonts w:ascii="Corbel" w:hAnsi="Corbel"/>
                                <w:b/>
                                <w:sz w:val="24"/>
                              </w:rPr>
                              <w:t>Match each base registry with appropriate metadata including the description of its content, service assurance and responsibilities, the type of master data it keeps, conditions of access and the relevant licences, terminology, a glossary, and information about any master data it uses from other base registries.</w:t>
                            </w:r>
                          </w:p>
                        </w:txbxContent>
                      </wps:txbx>
                      <wps:bodyPr rot="0" vert="horz" wrap="square" lIns="91440" tIns="45720" rIns="91440" bIns="45720" anchor="t" anchorCtr="0">
                        <a:noAutofit/>
                      </wps:bodyPr>
                    </wps:wsp>
                  </a:graphicData>
                </a:graphic>
              </wp:inline>
            </w:drawing>
          </mc:Choice>
          <mc:Fallback>
            <w:pict>
              <v:shape id="_x0000_s1064" type="#_x0000_t202" style="width:440.85pt;height: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39:</w:t>
                      </w:r>
                    </w:p>
                    <w:p>
                      <w:pPr>
                        <w:ind w:left="142"/>
                        <w:jc w:val="both"/>
                        <w:rPr>
                          <w:rFonts w:ascii="Corbel" w:hAnsi="Corbel"/>
                          <w:b/>
                          <w:sz w:val="24"/>
                        </w:rPr>
                      </w:pPr>
                      <w:r>
                        <w:rPr>
                          <w:rFonts w:ascii="Corbel" w:hAnsi="Corbel"/>
                          <w:b/>
                          <w:sz w:val="24"/>
                        </w:rPr>
                        <w:t>Match each base registry with appropriate metadata including the description of its content, service assurance and responsibilities, the type of master data it keeps, conditions of access and the relevant licences, terminology, a glossary, and information about any master data it uses from other base registries.</w:t>
                      </w:r>
                    </w:p>
                  </w:txbxContent>
                </v:textbox>
                <w10:anchorlock/>
              </v:shape>
            </w:pict>
          </mc:Fallback>
        </mc:AlternateContent>
      </w:r>
    </w:p>
    <w:p>
      <w:pPr>
        <w:pStyle w:val="BodyText"/>
        <w:spacing w:after="200" w:line="312" w:lineRule="auto"/>
        <w:rPr>
          <w:rFonts w:ascii="Times New Roman" w:eastAsia="MS PGothic" w:hAnsi="Times New Roman"/>
          <w:noProof/>
          <w:sz w:val="24"/>
        </w:rPr>
      </w:pPr>
      <w:r>
        <w:rPr>
          <w:rFonts w:ascii="Times New Roman" w:hAnsi="Times New Roman"/>
          <w:noProof/>
          <w:sz w:val="24"/>
          <w:lang w:val="en-US" w:eastAsia="en-US"/>
        </w:rPr>
        <mc:AlternateContent>
          <mc:Choice Requires="wps">
            <w:drawing>
              <wp:inline distT="0" distB="0" distL="0" distR="0">
                <wp:extent cx="5598160" cy="834887"/>
                <wp:effectExtent l="57150" t="38100" r="59690" b="80010"/>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834887"/>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40:</w:t>
                            </w:r>
                          </w:p>
                          <w:p>
                            <w:pPr>
                              <w:pStyle w:val="ListParagraph"/>
                              <w:numPr>
                                <w:ilvl w:val="0"/>
                                <w:numId w:val="0"/>
                              </w:numPr>
                              <w:ind w:left="142"/>
                              <w:jc w:val="both"/>
                              <w:rPr>
                                <w:rFonts w:ascii="Corbel" w:eastAsia="MS Mincho" w:hAnsi="Corbel"/>
                                <w:sz w:val="24"/>
                                <w:lang w:val="en-GB"/>
                              </w:rPr>
                            </w:pPr>
                            <w:r>
                              <w:rPr>
                                <w:rFonts w:ascii="Corbel" w:hAnsi="Corbel"/>
                                <w:sz w:val="24"/>
                                <w:u w:val="none"/>
                                <w:lang w:val="en-GB"/>
                              </w:rPr>
                              <w:t>Create and follow data quality assurance plans for base registries and related master data.</w:t>
                            </w:r>
                          </w:p>
                        </w:txbxContent>
                      </wps:txbx>
                      <wps:bodyPr rot="0" vert="horz" wrap="square" lIns="91440" tIns="45720" rIns="91440" bIns="45720" anchor="t" anchorCtr="0">
                        <a:noAutofit/>
                      </wps:bodyPr>
                    </wps:wsp>
                  </a:graphicData>
                </a:graphic>
              </wp:inline>
            </w:drawing>
          </mc:Choice>
          <mc:Fallback>
            <w:pict>
              <v:shape id="_x0000_s1065" type="#_x0000_t202" style="width:440.8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40:</w:t>
                      </w:r>
                    </w:p>
                    <w:p>
                      <w:pPr>
                        <w:pStyle w:val="ListParagraph"/>
                        <w:numPr>
                          <w:ilvl w:val="0"/>
                          <w:numId w:val="0"/>
                        </w:numPr>
                        <w:ind w:left="142"/>
                        <w:jc w:val="both"/>
                        <w:rPr>
                          <w:rFonts w:ascii="Corbel" w:eastAsia="MS Mincho" w:hAnsi="Corbel"/>
                          <w:sz w:val="24"/>
                          <w:lang w:val="en-GB"/>
                        </w:rPr>
                      </w:pPr>
                      <w:r>
                        <w:rPr>
                          <w:rFonts w:ascii="Corbel" w:hAnsi="Corbel"/>
                          <w:sz w:val="24"/>
                          <w:u w:val="none"/>
                          <w:lang w:val="en-GB"/>
                        </w:rPr>
                        <w:t>Create and follow data quality assurance plans for base registries and related master data.</w:t>
                      </w:r>
                    </w:p>
                  </w:txbxContent>
                </v:textbox>
                <w10:anchorlock/>
              </v:shape>
            </w:pict>
          </mc:Fallback>
        </mc:AlternateContent>
      </w:r>
    </w:p>
    <w:p>
      <w:pPr>
        <w:pStyle w:val="Heading3"/>
        <w:rPr>
          <w:noProof/>
        </w:rPr>
      </w:pPr>
      <w:bookmarkStart w:id="655" w:name="_Ref453668348"/>
      <w:bookmarkStart w:id="656" w:name="_Toc454189003"/>
      <w:bookmarkStart w:id="657" w:name="_Toc454196252"/>
      <w:bookmarkStart w:id="658" w:name="_Toc454198200"/>
      <w:r>
        <w:rPr>
          <w:noProof/>
        </w:rPr>
        <w:t>Open data</w:t>
      </w:r>
      <w:bookmarkEnd w:id="655"/>
      <w:bookmarkEnd w:id="656"/>
      <w:bookmarkEnd w:id="657"/>
      <w:bookmarkEnd w:id="658"/>
    </w:p>
    <w:p>
      <w:pPr>
        <w:spacing w:after="200" w:line="312" w:lineRule="auto"/>
        <w:jc w:val="both"/>
        <w:rPr>
          <w:rFonts w:ascii="Times New Roman" w:hAnsi="Times New Roman"/>
          <w:noProof/>
          <w:sz w:val="24"/>
          <w:lang w:eastAsia="ar-SA"/>
        </w:rPr>
      </w:pPr>
      <w:r>
        <w:rPr>
          <w:rFonts w:ascii="Times New Roman" w:hAnsi="Times New Roman"/>
          <w:noProof/>
          <w:sz w:val="24"/>
          <w:lang w:eastAsia="ar-SA"/>
        </w:rPr>
        <w:t xml:space="preserve">The Directive on the reuse of public sector information provides a common legal framework for reuse of public sector data. The focus is on releasing </w:t>
      </w:r>
      <w:r>
        <w:rPr>
          <w:rFonts w:ascii="Times New Roman" w:hAnsi="Times New Roman"/>
          <w:b/>
          <w:noProof/>
          <w:sz w:val="24"/>
          <w:lang w:eastAsia="ar-SA"/>
        </w:rPr>
        <w:t>machine-readable</w:t>
      </w:r>
      <w:r>
        <w:rPr>
          <w:rFonts w:ascii="Times New Roman" w:hAnsi="Times New Roman"/>
          <w:noProof/>
          <w:sz w:val="24"/>
          <w:lang w:eastAsia="ar-SA"/>
        </w:rPr>
        <w:t xml:space="preserve"> data for use by others to stimulate transparency, fair competition, innovation and a </w:t>
      </w:r>
      <w:r>
        <w:rPr>
          <w:rFonts w:ascii="Times New Roman" w:hAnsi="Times New Roman"/>
          <w:b/>
          <w:noProof/>
          <w:sz w:val="24"/>
          <w:lang w:eastAsia="ar-SA"/>
        </w:rPr>
        <w:t>data-driven economy</w:t>
      </w:r>
      <w:r>
        <w:rPr>
          <w:rFonts w:ascii="Times New Roman" w:hAnsi="Times New Roman"/>
          <w:noProof/>
          <w:sz w:val="24"/>
          <w:lang w:eastAsia="ar-SA"/>
        </w:rPr>
        <w:t>. To ensure a level playing field, the opening and reuse of data must be non-discriminatory, meaning that data must be interoperable so that can be found, discovered and processed.</w:t>
      </w:r>
    </w:p>
    <w:p>
      <w:pPr>
        <w:spacing w:after="200" w:line="312" w:lineRule="auto"/>
        <w:jc w:val="both"/>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546785" cy="1065475"/>
                <wp:effectExtent l="57150" t="38100" r="53975" b="78105"/>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785" cy="1065475"/>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41:</w:t>
                            </w:r>
                          </w:p>
                          <w:p>
                            <w:pPr>
                              <w:pStyle w:val="ListParagraph"/>
                              <w:numPr>
                                <w:ilvl w:val="0"/>
                                <w:numId w:val="0"/>
                              </w:numPr>
                              <w:spacing w:line="276" w:lineRule="auto"/>
                              <w:ind w:left="142"/>
                              <w:jc w:val="both"/>
                              <w:rPr>
                                <w:rFonts w:ascii="Corbel" w:eastAsia="MS Mincho" w:hAnsi="Corbel"/>
                                <w:sz w:val="24"/>
                                <w:lang w:val="en-GB"/>
                              </w:rPr>
                            </w:pPr>
                            <w:r>
                              <w:rPr>
                                <w:rFonts w:ascii="Corbel" w:hAnsi="Corbel"/>
                                <w:sz w:val="24"/>
                                <w:u w:val="none"/>
                                <w:lang w:val="en-GB"/>
                              </w:rPr>
                              <w:t>Establish procedures and processes to integrate the opening of data in your common business processes, working routines, and in the development of new information systems.</w:t>
                            </w:r>
                          </w:p>
                        </w:txbxContent>
                      </wps:txbx>
                      <wps:bodyPr rot="0" vert="horz" wrap="square" lIns="91440" tIns="45720" rIns="91440" bIns="45720" anchor="t" anchorCtr="0">
                        <a:noAutofit/>
                      </wps:bodyPr>
                    </wps:wsp>
                  </a:graphicData>
                </a:graphic>
              </wp:inline>
            </w:drawing>
          </mc:Choice>
          <mc:Fallback>
            <w:pict>
              <v:shape id="_x0000_s1066" type="#_x0000_t202" style="width:436.75pt;height:8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41:</w:t>
                      </w:r>
                    </w:p>
                    <w:p>
                      <w:pPr>
                        <w:pStyle w:val="ListParagraph"/>
                        <w:numPr>
                          <w:ilvl w:val="0"/>
                          <w:numId w:val="0"/>
                        </w:numPr>
                        <w:spacing w:line="276" w:lineRule="auto"/>
                        <w:ind w:left="142"/>
                        <w:jc w:val="both"/>
                        <w:rPr>
                          <w:rFonts w:ascii="Corbel" w:eastAsia="MS Mincho" w:hAnsi="Corbel"/>
                          <w:sz w:val="24"/>
                          <w:lang w:val="en-GB"/>
                        </w:rPr>
                      </w:pPr>
                      <w:r>
                        <w:rPr>
                          <w:rFonts w:ascii="Corbel" w:hAnsi="Corbel"/>
                          <w:sz w:val="24"/>
                          <w:u w:val="none"/>
                          <w:lang w:val="en-GB"/>
                        </w:rPr>
                        <w:t>Establish procedures and processes to integrate the opening of data in your common business processes, working routines, and in the development of new information systems.</w:t>
                      </w:r>
                    </w:p>
                  </w:txbxContent>
                </v:textbox>
                <w10:anchorlock/>
              </v:shape>
            </w:pict>
          </mc:Fallback>
        </mc:AlternateContent>
      </w:r>
    </w:p>
    <w:p>
      <w:pPr>
        <w:spacing w:after="200" w:line="312" w:lineRule="auto"/>
        <w:jc w:val="both"/>
        <w:rPr>
          <w:rFonts w:ascii="Times New Roman" w:hAnsi="Times New Roman"/>
          <w:noProof/>
          <w:sz w:val="24"/>
          <w:lang w:eastAsia="ar-SA"/>
        </w:rPr>
      </w:pPr>
      <w:r>
        <w:rPr>
          <w:rFonts w:ascii="Times New Roman" w:hAnsi="Times New Roman"/>
          <w:noProof/>
          <w:sz w:val="24"/>
          <w:lang w:eastAsia="ar-SA"/>
        </w:rPr>
        <w:t xml:space="preserve">There are currently many barriers to the use of open data. It is often published in different formats or formats that hinder easy use, it can lack appropriate metadata, the data itself can be of low quality, etc. Ideally </w:t>
      </w:r>
      <w:r>
        <w:rPr>
          <w:rFonts w:ascii="Times New Roman" w:hAnsi="Times New Roman"/>
          <w:b/>
          <w:noProof/>
          <w:sz w:val="24"/>
          <w:lang w:eastAsia="ar-SA"/>
        </w:rPr>
        <w:t>basic metadata</w:t>
      </w:r>
      <w:r>
        <w:rPr>
          <w:rStyle w:val="FootnoteReference"/>
          <w:rFonts w:ascii="Times New Roman" w:hAnsi="Times New Roman"/>
          <w:noProof/>
          <w:sz w:val="24"/>
        </w:rPr>
        <w:footnoteReference w:id="34"/>
      </w:r>
      <w:r>
        <w:rPr>
          <w:rFonts w:ascii="Times New Roman" w:hAnsi="Times New Roman"/>
          <w:noProof/>
          <w:sz w:val="24"/>
          <w:lang w:eastAsia="ar-SA"/>
        </w:rPr>
        <w:t xml:space="preserve"> and the semantics of </w:t>
      </w:r>
      <w:r>
        <w:rPr>
          <w:rFonts w:ascii="Times New Roman" w:hAnsi="Times New Roman"/>
          <w:b/>
          <w:noProof/>
          <w:sz w:val="24"/>
          <w:lang w:eastAsia="ar-SA"/>
        </w:rPr>
        <w:t>open datasets</w:t>
      </w:r>
      <w:r>
        <w:rPr>
          <w:rFonts w:ascii="Times New Roman" w:hAnsi="Times New Roman"/>
          <w:noProof/>
          <w:sz w:val="24"/>
          <w:lang w:eastAsia="ar-SA"/>
        </w:rPr>
        <w:t xml:space="preserve"> should be described in a standard format readable by machines.</w:t>
      </w:r>
    </w:p>
    <w:p>
      <w:pPr>
        <w:spacing w:after="200" w:line="312" w:lineRule="auto"/>
        <w:rPr>
          <w:rFonts w:ascii="Times New Roman" w:hAnsi="Times New Roman"/>
          <w:noProof/>
          <w:sz w:val="24"/>
          <w:lang w:eastAsia="ar-SA"/>
        </w:rPr>
      </w:pPr>
      <w:r>
        <w:rPr>
          <w:rFonts w:ascii="Times New Roman" w:hAnsi="Times New Roman"/>
          <w:noProof/>
          <w:sz w:val="24"/>
          <w:lang w:val="en-US" w:eastAsia="en-US"/>
        </w:rPr>
        <mc:AlternateContent>
          <mc:Choice Requires="wps">
            <w:drawing>
              <wp:inline distT="0" distB="0" distL="0" distR="0">
                <wp:extent cx="5667555" cy="1460665"/>
                <wp:effectExtent l="57150" t="38100" r="66675" b="82550"/>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555" cy="1460665"/>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42:</w:t>
                            </w:r>
                          </w:p>
                          <w:p>
                            <w:pPr>
                              <w:ind w:left="142"/>
                              <w:jc w:val="both"/>
                              <w:rPr>
                                <w:rFonts w:ascii="Corbel" w:hAnsi="Corbel"/>
                                <w:b/>
                                <w:sz w:val="24"/>
                              </w:rPr>
                            </w:pPr>
                            <w:r>
                              <w:rPr>
                                <w:rFonts w:ascii="Corbel" w:hAnsi="Corbel"/>
                                <w:b/>
                                <w:sz w:val="24"/>
                              </w:rPr>
                              <w:t>Publish open data in machine-readable, non-proprietary formats. Ensure that open data is accompanied by high quality, machine-readable metadata in non-proprietary formats, including a description of their content, the way data is collected and its level of quality and the licence terms under which it is made available. The use of common vocabularies for expressing metadata is recommended.</w:t>
                            </w:r>
                          </w:p>
                        </w:txbxContent>
                      </wps:txbx>
                      <wps:bodyPr rot="0" vert="horz" wrap="square" lIns="91440" tIns="45720" rIns="91440" bIns="45720" anchor="t" anchorCtr="0">
                        <a:noAutofit/>
                      </wps:bodyPr>
                    </wps:wsp>
                  </a:graphicData>
                </a:graphic>
              </wp:inline>
            </w:drawing>
          </mc:Choice>
          <mc:Fallback>
            <w:pict>
              <v:shape id="_x0000_s1067" type="#_x0000_t202" style="width:446.2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42:</w:t>
                      </w:r>
                    </w:p>
                    <w:p>
                      <w:pPr>
                        <w:ind w:left="142"/>
                        <w:jc w:val="both"/>
                        <w:rPr>
                          <w:rFonts w:ascii="Corbel" w:hAnsi="Corbel"/>
                          <w:b/>
                          <w:sz w:val="24"/>
                        </w:rPr>
                      </w:pPr>
                      <w:r>
                        <w:rPr>
                          <w:rFonts w:ascii="Corbel" w:hAnsi="Corbel"/>
                          <w:b/>
                          <w:sz w:val="24"/>
                        </w:rPr>
                        <w:t>Publish open data in machine-readable, non-proprietary formats. Ensure that open data is accompanied by high quality, machine-readable metadata in non-proprietary formats, including a description of their content, the way data is collected and its level of quality and the licence terms under which it is made available. The use of common vocabularies for expressing metadata is recommended.</w:t>
                      </w:r>
                    </w:p>
                  </w:txbxContent>
                </v:textbox>
                <w10:anchorlock/>
              </v:shape>
            </w:pict>
          </mc:Fallback>
        </mc:AlternateContent>
      </w:r>
    </w:p>
    <w:p>
      <w:pPr>
        <w:spacing w:after="200" w:line="312" w:lineRule="auto"/>
        <w:jc w:val="both"/>
        <w:rPr>
          <w:rFonts w:ascii="Times New Roman" w:hAnsi="Times New Roman"/>
          <w:noProof/>
          <w:sz w:val="24"/>
          <w:lang w:eastAsia="ar-SA"/>
        </w:rPr>
      </w:pPr>
      <w:r>
        <w:rPr>
          <w:rFonts w:ascii="Times New Roman" w:hAnsi="Times New Roman"/>
          <w:noProof/>
          <w:sz w:val="24"/>
          <w:lang w:eastAsia="ar-SA"/>
        </w:rPr>
        <w:t>Data can be used in different ways and for various purposes and open data publishing should allow this. Nevertheless, users might find problems with datasets or might comment on their quality or might prefer other ways of publishing. Feedback loops can help in learning more about the way datasets are used and how to improve their publication.</w:t>
      </w:r>
    </w:p>
    <w:p>
      <w:pPr>
        <w:spacing w:after="200" w:line="312" w:lineRule="auto"/>
        <w:jc w:val="both"/>
        <w:rPr>
          <w:rFonts w:ascii="Times New Roman" w:hAnsi="Times New Roman"/>
          <w:noProof/>
          <w:sz w:val="24"/>
          <w:lang w:eastAsia="ar-SA"/>
        </w:rPr>
      </w:pPr>
      <w:r>
        <w:rPr>
          <w:rFonts w:ascii="Times New Roman" w:hAnsi="Times New Roman"/>
          <w:noProof/>
          <w:sz w:val="24"/>
          <w:lang w:eastAsia="ar-SA"/>
        </w:rPr>
        <w:t>For reuse of open data to reach its full potential, legal interoperability and certainty is essential. For this reason, the right for anyone to reuse open data should be communicated clearly throughout the Member States, and legal regimes to facilitate the reuse of data, such as licences, should as far as possible be promoted and standardised.</w:t>
      </w:r>
    </w:p>
    <w:p>
      <w:pPr>
        <w:spacing w:after="200" w:line="312" w:lineRule="auto"/>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607170" cy="957532"/>
                <wp:effectExtent l="57150" t="38100" r="50800" b="71755"/>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170" cy="957532"/>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43:</w:t>
                            </w:r>
                          </w:p>
                          <w:p>
                            <w:pPr>
                              <w:ind w:left="142"/>
                              <w:jc w:val="both"/>
                              <w:rPr>
                                <w:rFonts w:ascii="Corbel" w:hAnsi="Corbel"/>
                                <w:b/>
                                <w:sz w:val="24"/>
                              </w:rPr>
                            </w:pPr>
                            <w:r>
                              <w:rPr>
                                <w:rFonts w:ascii="Corbel" w:hAnsi="Corbel"/>
                                <w:b/>
                                <w:sz w:val="24"/>
                              </w:rPr>
                              <w:t>Communicate clearly the right to access and reuse open data. The legal regimes for facilitating access and reuse, such as licences, should be standardised as much as possible.</w:t>
                            </w:r>
                          </w:p>
                        </w:txbxContent>
                      </wps:txbx>
                      <wps:bodyPr rot="0" vert="horz" wrap="square" lIns="91440" tIns="45720" rIns="91440" bIns="45720" anchor="t" anchorCtr="0">
                        <a:noAutofit/>
                      </wps:bodyPr>
                    </wps:wsp>
                  </a:graphicData>
                </a:graphic>
              </wp:inline>
            </w:drawing>
          </mc:Choice>
          <mc:Fallback>
            <w:pict>
              <v:shape id="_x0000_s1068" type="#_x0000_t202" style="width:441.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43:</w:t>
                      </w:r>
                    </w:p>
                    <w:p>
                      <w:pPr>
                        <w:ind w:left="142"/>
                        <w:jc w:val="both"/>
                        <w:rPr>
                          <w:rFonts w:ascii="Corbel" w:hAnsi="Corbel"/>
                          <w:b/>
                          <w:sz w:val="24"/>
                        </w:rPr>
                      </w:pPr>
                      <w:r>
                        <w:rPr>
                          <w:rFonts w:ascii="Corbel" w:hAnsi="Corbel"/>
                          <w:b/>
                          <w:sz w:val="24"/>
                        </w:rPr>
                        <w:t>Communicate clearly the right to access and reuse open data. The legal regimes for facilitating access and reuse, such as licences, should be standardised as much as possible.</w:t>
                      </w:r>
                    </w:p>
                  </w:txbxContent>
                </v:textbox>
                <w10:anchorlock/>
              </v:shape>
            </w:pict>
          </mc:Fallback>
        </mc:AlternateContent>
      </w:r>
    </w:p>
    <w:p>
      <w:pPr>
        <w:pStyle w:val="Heading3"/>
        <w:rPr>
          <w:noProof/>
        </w:rPr>
      </w:pPr>
      <w:bookmarkStart w:id="659" w:name="_Toc454189004"/>
      <w:bookmarkStart w:id="660" w:name="_Toc454196253"/>
      <w:bookmarkStart w:id="661" w:name="_Toc454198201"/>
      <w:r>
        <w:rPr>
          <w:noProof/>
        </w:rPr>
        <w:t>Catalogues</w:t>
      </w:r>
      <w:bookmarkEnd w:id="659"/>
      <w:bookmarkEnd w:id="660"/>
      <w:bookmarkEnd w:id="661"/>
    </w:p>
    <w:p>
      <w:pPr>
        <w:pStyle w:val="BodyText"/>
        <w:spacing w:after="200" w:line="312" w:lineRule="auto"/>
        <w:jc w:val="both"/>
        <w:rPr>
          <w:rFonts w:ascii="Times New Roman" w:hAnsi="Times New Roman"/>
          <w:noProof/>
          <w:sz w:val="24"/>
        </w:rPr>
      </w:pPr>
      <w:r>
        <w:rPr>
          <w:rFonts w:ascii="Times New Roman" w:hAnsi="Times New Roman"/>
          <w:noProof/>
          <w:sz w:val="24"/>
        </w:rPr>
        <w:t>Catalogues help others to find reusable resources (e.g. services, data, software, data models). Various types of catalogue exist, e.g. directories of services, libraries of software components, open data portals, registries of base registries, metadata catalogues, catalogues of standards, specifications and guidelines. Commonly agreed descriptions of the services, data, registries and interoperable solutions published in catalogues are needed to enable interoperability between catalogues.</w:t>
      </w:r>
      <w:r>
        <w:rPr>
          <w:rStyle w:val="FootnoteReference"/>
          <w:rFonts w:ascii="Times New Roman" w:hAnsi="Times New Roman"/>
          <w:noProof/>
          <w:sz w:val="24"/>
        </w:rPr>
        <w:footnoteReference w:id="35"/>
      </w:r>
      <w:r>
        <w:rPr>
          <w:rFonts w:ascii="Times New Roman" w:hAnsi="Times New Roman"/>
          <w:noProof/>
          <w:sz w:val="24"/>
        </w:rPr>
        <w:t xml:space="preserve"> </w:t>
      </w:r>
      <w:r>
        <w:rPr>
          <w:rFonts w:ascii="Times New Roman" w:hAnsi="Times New Roman"/>
          <w:caps/>
          <w:noProof/>
          <w:sz w:val="24"/>
        </w:rPr>
        <w:t>a</w:t>
      </w:r>
      <w:r>
        <w:rPr>
          <w:rFonts w:ascii="Times New Roman" w:hAnsi="Times New Roman"/>
          <w:noProof/>
          <w:sz w:val="24"/>
        </w:rPr>
        <w:t xml:space="preserve"> specific kind of catalogue is the </w:t>
      </w:r>
      <w:r>
        <w:rPr>
          <w:rFonts w:ascii="Times New Roman" w:hAnsi="Times New Roman"/>
          <w:b/>
          <w:bCs/>
          <w:noProof/>
          <w:color w:val="000000" w:themeColor="text1"/>
          <w:sz w:val="24"/>
        </w:rPr>
        <w:t xml:space="preserve">European interoperability cartography (EIC) </w:t>
      </w:r>
      <w:r>
        <w:rPr>
          <w:rFonts w:ascii="Times New Roman" w:hAnsi="Times New Roman"/>
          <w:noProof/>
          <w:sz w:val="24"/>
        </w:rPr>
        <w:t>of interoperability solutions available for reuse and sharing.</w:t>
      </w:r>
    </w:p>
    <w:p>
      <w:pPr>
        <w:pStyle w:val="BodyText"/>
        <w:spacing w:after="200" w:line="312" w:lineRule="auto"/>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477774" cy="802257"/>
                <wp:effectExtent l="57150" t="38100" r="66040" b="74295"/>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774" cy="802257"/>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44:</w:t>
                            </w:r>
                          </w:p>
                          <w:p>
                            <w:pPr>
                              <w:ind w:left="142"/>
                              <w:jc w:val="both"/>
                              <w:rPr>
                                <w:rFonts w:ascii="Corbel" w:hAnsi="Corbel"/>
                                <w:b/>
                                <w:sz w:val="24"/>
                              </w:rPr>
                            </w:pPr>
                            <w:r>
                              <w:rPr>
                                <w:rFonts w:ascii="Corbel" w:hAnsi="Corbel"/>
                                <w:b/>
                                <w:sz w:val="24"/>
                              </w:rPr>
                              <w:t>Put in place catalogues of public services, public data, and interoperability solutions and use common models for describing them.</w:t>
                            </w:r>
                          </w:p>
                        </w:txbxContent>
                      </wps:txbx>
                      <wps:bodyPr rot="0" vert="horz" wrap="square" lIns="91440" tIns="45720" rIns="91440" bIns="45720" anchor="t" anchorCtr="0">
                        <a:noAutofit/>
                      </wps:bodyPr>
                    </wps:wsp>
                  </a:graphicData>
                </a:graphic>
              </wp:inline>
            </w:drawing>
          </mc:Choice>
          <mc:Fallback>
            <w:pict>
              <v:shape id="_x0000_s1069" type="#_x0000_t202" style="width:431.3pt;height:6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44:</w:t>
                      </w:r>
                    </w:p>
                    <w:p>
                      <w:pPr>
                        <w:ind w:left="142"/>
                        <w:jc w:val="both"/>
                        <w:rPr>
                          <w:rFonts w:ascii="Corbel" w:hAnsi="Corbel"/>
                          <w:b/>
                          <w:sz w:val="24"/>
                        </w:rPr>
                      </w:pPr>
                      <w:r>
                        <w:rPr>
                          <w:rFonts w:ascii="Corbel" w:hAnsi="Corbel"/>
                          <w:b/>
                          <w:sz w:val="24"/>
                        </w:rPr>
                        <w:t>Put in place catalogues of public services, public data, and interoperability solutions and use common models for describing them.</w:t>
                      </w:r>
                    </w:p>
                  </w:txbxContent>
                </v:textbox>
                <w10:anchorlock/>
              </v:shape>
            </w:pict>
          </mc:Fallback>
        </mc:AlternateContent>
      </w:r>
    </w:p>
    <w:p>
      <w:pPr>
        <w:pStyle w:val="Heading3"/>
        <w:rPr>
          <w:noProof/>
        </w:rPr>
      </w:pPr>
      <w:bookmarkStart w:id="662" w:name="_Toc454189005"/>
      <w:bookmarkStart w:id="663" w:name="_Toc454196254"/>
      <w:bookmarkStart w:id="664" w:name="_Toc454198202"/>
      <w:r>
        <w:rPr>
          <w:noProof/>
        </w:rPr>
        <w:t>External information sources and services</w:t>
      </w:r>
      <w:bookmarkEnd w:id="662"/>
      <w:bookmarkEnd w:id="663"/>
      <w:bookmarkEnd w:id="664"/>
    </w:p>
    <w:p>
      <w:pPr>
        <w:pStyle w:val="BodyText"/>
        <w:spacing w:after="200" w:line="312" w:lineRule="auto"/>
        <w:jc w:val="both"/>
        <w:rPr>
          <w:rFonts w:ascii="Times New Roman" w:hAnsi="Times New Roman"/>
          <w:noProof/>
          <w:sz w:val="24"/>
        </w:rPr>
      </w:pPr>
      <w:r>
        <w:rPr>
          <w:rFonts w:ascii="Times New Roman" w:eastAsia="MS PGothic" w:hAnsi="Times New Roman"/>
          <w:noProof/>
          <w:sz w:val="24"/>
        </w:rPr>
        <w:t>Public administrations need to exploit services delivered outside their organisational boundaries by third parties, such as</w:t>
      </w:r>
      <w:r>
        <w:rPr>
          <w:rFonts w:ascii="Times New Roman" w:hAnsi="Times New Roman"/>
          <w:noProof/>
          <w:sz w:val="24"/>
        </w:rPr>
        <w:t xml:space="preserve"> payment services provided by financial institutions or connectivity services provided by telecommunications providers. They need also to exploit external information sources such as open data and data from international organisations, chambers of commerce, etc. Moreover, useful data can be collected through the Internet of Things (e.g. sensors) and social web applications.</w:t>
      </w:r>
    </w:p>
    <w:p>
      <w:pPr>
        <w:pStyle w:val="BodyText"/>
        <w:spacing w:after="200" w:line="312" w:lineRule="auto"/>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477510" cy="803082"/>
                <wp:effectExtent l="57150" t="38100" r="66040" b="7366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803082"/>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45:</w:t>
                            </w:r>
                          </w:p>
                          <w:p>
                            <w:pPr>
                              <w:pStyle w:val="ListParagraph"/>
                              <w:numPr>
                                <w:ilvl w:val="0"/>
                                <w:numId w:val="0"/>
                              </w:numPr>
                              <w:ind w:left="142"/>
                              <w:jc w:val="both"/>
                              <w:rPr>
                                <w:rFonts w:ascii="Corbel" w:eastAsia="MS Mincho" w:hAnsi="Corbel"/>
                                <w:sz w:val="24"/>
                                <w:lang w:val="en-GB"/>
                              </w:rPr>
                            </w:pPr>
                            <w:r>
                              <w:rPr>
                                <w:rFonts w:ascii="Corbel" w:hAnsi="Corbel"/>
                                <w:sz w:val="24"/>
                                <w:u w:val="none"/>
                                <w:lang w:val="en-GB"/>
                              </w:rPr>
                              <w:t>Where useful and feasible to do so, use external information sources and services while developing European public services.</w:t>
                            </w:r>
                          </w:p>
                        </w:txbxContent>
                      </wps:txbx>
                      <wps:bodyPr rot="0" vert="horz" wrap="square" lIns="91440" tIns="45720" rIns="91440" bIns="45720" anchor="t" anchorCtr="0">
                        <a:noAutofit/>
                      </wps:bodyPr>
                    </wps:wsp>
                  </a:graphicData>
                </a:graphic>
              </wp:inline>
            </w:drawing>
          </mc:Choice>
          <mc:Fallback>
            <w:pict>
              <v:shape id="_x0000_s1070" type="#_x0000_t202" style="width:431.3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45:</w:t>
                      </w:r>
                    </w:p>
                    <w:p>
                      <w:pPr>
                        <w:pStyle w:val="ListParagraph"/>
                        <w:numPr>
                          <w:ilvl w:val="0"/>
                          <w:numId w:val="0"/>
                        </w:numPr>
                        <w:ind w:left="142"/>
                        <w:jc w:val="both"/>
                        <w:rPr>
                          <w:rFonts w:ascii="Corbel" w:eastAsia="MS Mincho" w:hAnsi="Corbel"/>
                          <w:sz w:val="24"/>
                          <w:lang w:val="en-GB"/>
                        </w:rPr>
                      </w:pPr>
                      <w:r>
                        <w:rPr>
                          <w:rFonts w:ascii="Corbel" w:hAnsi="Corbel"/>
                          <w:sz w:val="24"/>
                          <w:u w:val="none"/>
                          <w:lang w:val="en-GB"/>
                        </w:rPr>
                        <w:t>Where useful and feasible to do so, use external information sources and services while developing European public services.</w:t>
                      </w:r>
                    </w:p>
                  </w:txbxContent>
                </v:textbox>
                <w10:anchorlock/>
              </v:shape>
            </w:pict>
          </mc:Fallback>
        </mc:AlternateContent>
      </w:r>
    </w:p>
    <w:p>
      <w:pPr>
        <w:pStyle w:val="Heading3"/>
        <w:rPr>
          <w:noProof/>
        </w:rPr>
      </w:pPr>
      <w:bookmarkStart w:id="665" w:name="_Toc454189006"/>
      <w:bookmarkStart w:id="666" w:name="_Toc454196255"/>
      <w:bookmarkStart w:id="667" w:name="_Toc454198203"/>
      <w:r>
        <w:rPr>
          <w:noProof/>
        </w:rPr>
        <w:t>Security and privacy</w:t>
      </w:r>
      <w:bookmarkEnd w:id="665"/>
      <w:bookmarkEnd w:id="666"/>
      <w:bookmarkEnd w:id="667"/>
    </w:p>
    <w:p>
      <w:pPr>
        <w:pStyle w:val="BodyText"/>
        <w:spacing w:after="200" w:line="312" w:lineRule="auto"/>
        <w:jc w:val="both"/>
        <w:rPr>
          <w:rFonts w:ascii="Times New Roman" w:hAnsi="Times New Roman"/>
          <w:noProof/>
          <w:sz w:val="24"/>
        </w:rPr>
      </w:pPr>
      <w:r>
        <w:rPr>
          <w:rFonts w:ascii="Times New Roman" w:hAnsi="Times New Roman"/>
          <w:noProof/>
          <w:sz w:val="24"/>
        </w:rPr>
        <w:t xml:space="preserve">Security and privacy are primary concerns in the provision of public services. Public administrations should ensure that: </w:t>
      </w:r>
    </w:p>
    <w:p>
      <w:pPr>
        <w:pStyle w:val="BodyText"/>
        <w:numPr>
          <w:ilvl w:val="0"/>
          <w:numId w:val="132"/>
        </w:numPr>
        <w:spacing w:before="120" w:after="120" w:line="312" w:lineRule="auto"/>
        <w:ind w:left="714" w:hanging="357"/>
        <w:jc w:val="both"/>
        <w:rPr>
          <w:rFonts w:ascii="Times New Roman" w:hAnsi="Times New Roman"/>
          <w:noProof/>
          <w:sz w:val="24"/>
        </w:rPr>
      </w:pPr>
      <w:r>
        <w:rPr>
          <w:rFonts w:ascii="Times New Roman" w:hAnsi="Times New Roman"/>
          <w:noProof/>
          <w:sz w:val="24"/>
        </w:rPr>
        <w:t xml:space="preserve">they follow </w:t>
      </w:r>
      <w:r>
        <w:rPr>
          <w:rFonts w:ascii="Times New Roman" w:hAnsi="Times New Roman"/>
          <w:noProof/>
          <w:color w:val="000000" w:themeColor="text1"/>
          <w:sz w:val="24"/>
        </w:rPr>
        <w:t xml:space="preserve">the </w:t>
      </w:r>
      <w:r>
        <w:rPr>
          <w:rFonts w:ascii="Times New Roman" w:hAnsi="Times New Roman"/>
          <w:b/>
          <w:iCs/>
          <w:noProof/>
          <w:color w:val="000000" w:themeColor="text1"/>
          <w:sz w:val="24"/>
        </w:rPr>
        <w:t>privacy-by-design</w:t>
      </w:r>
      <w:r>
        <w:rPr>
          <w:rFonts w:ascii="Times New Roman" w:hAnsi="Times New Roman"/>
          <w:noProof/>
          <w:color w:val="000000" w:themeColor="text1"/>
          <w:sz w:val="24"/>
        </w:rPr>
        <w:t xml:space="preserve"> and </w:t>
      </w:r>
      <w:r>
        <w:rPr>
          <w:rFonts w:ascii="Times New Roman" w:hAnsi="Times New Roman"/>
          <w:b/>
          <w:noProof/>
          <w:color w:val="000000" w:themeColor="text1"/>
          <w:sz w:val="24"/>
        </w:rPr>
        <w:t>security-by-design</w:t>
      </w:r>
      <w:r>
        <w:rPr>
          <w:rFonts w:ascii="Times New Roman" w:hAnsi="Times New Roman"/>
          <w:noProof/>
          <w:color w:val="000000" w:themeColor="text1"/>
          <w:sz w:val="24"/>
        </w:rPr>
        <w:t xml:space="preserve"> </w:t>
      </w:r>
      <w:r>
        <w:rPr>
          <w:rFonts w:ascii="Times New Roman" w:hAnsi="Times New Roman"/>
          <w:noProof/>
          <w:sz w:val="24"/>
        </w:rPr>
        <w:t xml:space="preserve">approach to secure their complete infrastructure and building blocks; </w:t>
      </w:r>
    </w:p>
    <w:p>
      <w:pPr>
        <w:pStyle w:val="BodyText"/>
        <w:numPr>
          <w:ilvl w:val="0"/>
          <w:numId w:val="132"/>
        </w:numPr>
        <w:spacing w:before="120" w:after="120" w:line="312" w:lineRule="auto"/>
        <w:ind w:left="714" w:hanging="357"/>
        <w:jc w:val="both"/>
        <w:rPr>
          <w:rFonts w:ascii="Times New Roman" w:hAnsi="Times New Roman"/>
          <w:noProof/>
          <w:sz w:val="24"/>
        </w:rPr>
      </w:pPr>
      <w:r>
        <w:rPr>
          <w:rFonts w:ascii="Times New Roman" w:hAnsi="Times New Roman"/>
          <w:noProof/>
          <w:sz w:val="24"/>
        </w:rPr>
        <w:t xml:space="preserve">services </w:t>
      </w:r>
      <w:r>
        <w:rPr>
          <w:rFonts w:ascii="Times New Roman" w:hAnsi="Times New Roman"/>
          <w:b/>
          <w:noProof/>
          <w:sz w:val="24"/>
        </w:rPr>
        <w:t>are not vulnerable to attacks</w:t>
      </w:r>
      <w:r>
        <w:rPr>
          <w:rFonts w:ascii="Times New Roman" w:hAnsi="Times New Roman"/>
          <w:noProof/>
          <w:sz w:val="24"/>
        </w:rPr>
        <w:t xml:space="preserve"> which might interrupt their operation and cause data theft or data damage; and </w:t>
      </w:r>
    </w:p>
    <w:p>
      <w:pPr>
        <w:pStyle w:val="BodyText"/>
        <w:numPr>
          <w:ilvl w:val="0"/>
          <w:numId w:val="132"/>
        </w:numPr>
        <w:spacing w:before="120" w:after="120" w:line="312" w:lineRule="auto"/>
        <w:ind w:left="714" w:hanging="357"/>
        <w:jc w:val="both"/>
        <w:rPr>
          <w:rFonts w:ascii="Times New Roman" w:hAnsi="Times New Roman"/>
          <w:noProof/>
          <w:sz w:val="24"/>
        </w:rPr>
      </w:pPr>
      <w:r>
        <w:rPr>
          <w:rFonts w:ascii="Times New Roman" w:hAnsi="Times New Roman"/>
          <w:noProof/>
          <w:sz w:val="24"/>
        </w:rPr>
        <w:t xml:space="preserve">they are compliant with the legal requirements and obligations regarding </w:t>
      </w:r>
      <w:r>
        <w:rPr>
          <w:rFonts w:ascii="Times New Roman" w:hAnsi="Times New Roman"/>
          <w:b/>
          <w:noProof/>
          <w:sz w:val="24"/>
        </w:rPr>
        <w:t>data protection and privacy</w:t>
      </w:r>
      <w:r>
        <w:rPr>
          <w:rFonts w:ascii="Times New Roman" w:hAnsi="Times New Roman"/>
          <w:noProof/>
          <w:sz w:val="24"/>
        </w:rPr>
        <w:t xml:space="preserve"> acknowledging the risks to privacy from advanced data processing and analytics.</w:t>
      </w:r>
    </w:p>
    <w:p>
      <w:pPr>
        <w:pStyle w:val="BodyText"/>
        <w:spacing w:after="200" w:line="312" w:lineRule="auto"/>
        <w:jc w:val="both"/>
        <w:rPr>
          <w:rFonts w:ascii="Times New Roman" w:hAnsi="Times New Roman"/>
          <w:noProof/>
          <w:sz w:val="24"/>
        </w:rPr>
      </w:pPr>
      <w:r>
        <w:rPr>
          <w:rFonts w:ascii="Times New Roman" w:hAnsi="Times New Roman"/>
          <w:noProof/>
          <w:sz w:val="24"/>
        </w:rPr>
        <w:t>They should also ensure that controllers comply with data protection legislation, by covering the following points.</w:t>
      </w:r>
    </w:p>
    <w:p>
      <w:pPr>
        <w:pStyle w:val="BodyText"/>
        <w:numPr>
          <w:ilvl w:val="0"/>
          <w:numId w:val="114"/>
        </w:numPr>
        <w:spacing w:before="120" w:after="120" w:line="312" w:lineRule="auto"/>
        <w:ind w:left="714" w:hanging="357"/>
        <w:jc w:val="both"/>
        <w:rPr>
          <w:rFonts w:ascii="Times New Roman" w:hAnsi="Times New Roman"/>
          <w:noProof/>
          <w:color w:val="000000" w:themeColor="text1"/>
          <w:sz w:val="24"/>
        </w:rPr>
      </w:pPr>
      <w:r>
        <w:rPr>
          <w:rFonts w:ascii="Times New Roman" w:hAnsi="Times New Roman"/>
          <w:b/>
          <w:noProof/>
          <w:color w:val="000000" w:themeColor="text1"/>
          <w:sz w:val="24"/>
        </w:rPr>
        <w:t>‘</w:t>
      </w:r>
      <w:r>
        <w:rPr>
          <w:rFonts w:ascii="Times New Roman" w:hAnsi="Times New Roman"/>
          <w:b/>
          <w:iCs/>
          <w:noProof/>
          <w:color w:val="000000" w:themeColor="text1"/>
          <w:sz w:val="24"/>
        </w:rPr>
        <w:t>Risk management plans’</w:t>
      </w:r>
      <w:r>
        <w:rPr>
          <w:rFonts w:ascii="Times New Roman" w:hAnsi="Times New Roman"/>
          <w:noProof/>
          <w:color w:val="000000" w:themeColor="text1"/>
          <w:sz w:val="24"/>
        </w:rPr>
        <w:t xml:space="preserve"> </w:t>
      </w:r>
      <w:r>
        <w:rPr>
          <w:rFonts w:ascii="Times New Roman" w:hAnsi="Times New Roman"/>
          <w:noProof/>
          <w:sz w:val="24"/>
        </w:rPr>
        <w:t>to identify risks, assess their potential impact and plan responses with appropriate technical and organisational measures. Based on the latest technological developments, those measures must ensure that the level of security is commensurate with the degree of risk;</w:t>
      </w:r>
    </w:p>
    <w:p>
      <w:pPr>
        <w:pStyle w:val="BodyText"/>
        <w:numPr>
          <w:ilvl w:val="0"/>
          <w:numId w:val="114"/>
        </w:numPr>
        <w:spacing w:before="120" w:after="120" w:line="312" w:lineRule="auto"/>
        <w:ind w:left="714" w:hanging="357"/>
        <w:jc w:val="both"/>
        <w:rPr>
          <w:rFonts w:ascii="Times New Roman" w:hAnsi="Times New Roman"/>
          <w:noProof/>
          <w:sz w:val="24"/>
        </w:rPr>
      </w:pPr>
      <w:r>
        <w:rPr>
          <w:rFonts w:ascii="Times New Roman" w:hAnsi="Times New Roman"/>
          <w:b/>
          <w:noProof/>
          <w:color w:val="000000" w:themeColor="text1"/>
          <w:sz w:val="24"/>
        </w:rPr>
        <w:t>‘</w:t>
      </w:r>
      <w:r>
        <w:rPr>
          <w:rFonts w:ascii="Times New Roman" w:hAnsi="Times New Roman"/>
          <w:b/>
          <w:iCs/>
          <w:noProof/>
          <w:color w:val="000000" w:themeColor="text1"/>
          <w:sz w:val="24"/>
        </w:rPr>
        <w:t xml:space="preserve">Business continuity plans’ </w:t>
      </w:r>
      <w:r>
        <w:rPr>
          <w:rFonts w:ascii="Times New Roman" w:hAnsi="Times New Roman"/>
          <w:iCs/>
          <w:noProof/>
          <w:color w:val="000000" w:themeColor="text1"/>
          <w:sz w:val="24"/>
        </w:rPr>
        <w:t xml:space="preserve">and </w:t>
      </w:r>
      <w:r>
        <w:rPr>
          <w:rFonts w:ascii="Times New Roman" w:hAnsi="Times New Roman"/>
          <w:b/>
          <w:noProof/>
          <w:color w:val="000000" w:themeColor="text1"/>
          <w:sz w:val="24"/>
        </w:rPr>
        <w:t>‘</w:t>
      </w:r>
      <w:r>
        <w:rPr>
          <w:rFonts w:ascii="Times New Roman" w:hAnsi="Times New Roman"/>
          <w:b/>
          <w:iCs/>
          <w:noProof/>
          <w:color w:val="000000" w:themeColor="text1"/>
          <w:sz w:val="24"/>
        </w:rPr>
        <w:t>Back-up and recovery plan</w:t>
      </w:r>
      <w:r>
        <w:rPr>
          <w:rFonts w:ascii="Times New Roman" w:hAnsi="Times New Roman"/>
          <w:b/>
          <w:noProof/>
          <w:color w:val="000000" w:themeColor="text1"/>
          <w:sz w:val="24"/>
        </w:rPr>
        <w:t xml:space="preserve">s’ to </w:t>
      </w:r>
      <w:r>
        <w:rPr>
          <w:rFonts w:ascii="Times New Roman" w:hAnsi="Times New Roman"/>
          <w:iCs/>
          <w:noProof/>
          <w:color w:val="000000" w:themeColor="text1"/>
          <w:sz w:val="24"/>
        </w:rPr>
        <w:t>put in place the procedures needed for functions to operate after a disastrous event and bring all functions back to normal the earliest possible</w:t>
      </w:r>
      <w:r>
        <w:rPr>
          <w:rFonts w:ascii="Times New Roman" w:hAnsi="Times New Roman"/>
          <w:noProof/>
          <w:color w:val="000000" w:themeColor="text1"/>
          <w:sz w:val="24"/>
        </w:rPr>
        <w:t>;</w:t>
      </w:r>
    </w:p>
    <w:p>
      <w:pPr>
        <w:pStyle w:val="BodyText"/>
        <w:numPr>
          <w:ilvl w:val="0"/>
          <w:numId w:val="114"/>
        </w:numPr>
        <w:spacing w:before="120" w:after="120" w:line="312" w:lineRule="auto"/>
        <w:ind w:left="714" w:hanging="357"/>
        <w:jc w:val="both"/>
        <w:rPr>
          <w:rFonts w:ascii="Times New Roman" w:hAnsi="Times New Roman"/>
          <w:noProof/>
          <w:sz w:val="24"/>
        </w:rPr>
      </w:pPr>
      <w:r>
        <w:rPr>
          <w:rFonts w:ascii="Times New Roman" w:hAnsi="Times New Roman"/>
          <w:noProof/>
          <w:sz w:val="24"/>
        </w:rPr>
        <w:t xml:space="preserve">A </w:t>
      </w:r>
      <w:r>
        <w:rPr>
          <w:rFonts w:ascii="Times New Roman" w:hAnsi="Times New Roman"/>
          <w:b/>
          <w:noProof/>
          <w:color w:val="000000" w:themeColor="text1"/>
          <w:sz w:val="24"/>
        </w:rPr>
        <w:t>‘</w:t>
      </w:r>
      <w:r>
        <w:rPr>
          <w:rFonts w:ascii="Times New Roman" w:hAnsi="Times New Roman"/>
          <w:b/>
          <w:iCs/>
          <w:noProof/>
          <w:color w:val="000000" w:themeColor="text1"/>
          <w:sz w:val="24"/>
        </w:rPr>
        <w:t>data access and authorisation plan</w:t>
      </w:r>
      <w:r>
        <w:rPr>
          <w:rFonts w:ascii="Times New Roman" w:hAnsi="Times New Roman"/>
          <w:b/>
          <w:noProof/>
          <w:color w:val="000000" w:themeColor="text1"/>
          <w:sz w:val="24"/>
        </w:rPr>
        <w:t>’</w:t>
      </w:r>
      <w:r>
        <w:rPr>
          <w:rFonts w:ascii="Times New Roman" w:hAnsi="Times New Roman"/>
          <w:i/>
          <w:noProof/>
          <w:color w:val="000000" w:themeColor="text1"/>
          <w:sz w:val="24"/>
        </w:rPr>
        <w:t xml:space="preserve"> </w:t>
      </w:r>
      <w:r>
        <w:rPr>
          <w:rFonts w:ascii="Times New Roman" w:hAnsi="Times New Roman"/>
          <w:noProof/>
          <w:sz w:val="24"/>
        </w:rPr>
        <w:t>which determines who has access to what data and under what conditions, to ensure privacy. Unauthorised access and security breaches should be monitored and appropriate actions should be taken to prevent any recurrence of breaches;</w:t>
      </w:r>
    </w:p>
    <w:p>
      <w:pPr>
        <w:pStyle w:val="ListParagraph"/>
        <w:numPr>
          <w:ilvl w:val="0"/>
          <w:numId w:val="114"/>
        </w:numPr>
        <w:spacing w:before="120" w:after="120" w:line="312" w:lineRule="auto"/>
        <w:jc w:val="both"/>
        <w:rPr>
          <w:rFonts w:ascii="Times New Roman" w:hAnsi="Times New Roman"/>
          <w:b w:val="0"/>
          <w:noProof/>
          <w:sz w:val="24"/>
          <w:u w:val="none"/>
          <w:lang w:val="en-GB" w:eastAsia="ar-SA"/>
        </w:rPr>
      </w:pPr>
      <w:r>
        <w:rPr>
          <w:rFonts w:ascii="Times New Roman" w:hAnsi="Times New Roman"/>
          <w:b w:val="0"/>
          <w:noProof/>
          <w:sz w:val="24"/>
          <w:u w:val="none"/>
          <w:lang w:val="en-GB" w:eastAsia="ar-SA"/>
        </w:rPr>
        <w:t xml:space="preserve">Use of </w:t>
      </w:r>
      <w:r>
        <w:rPr>
          <w:rFonts w:ascii="Times New Roman" w:hAnsi="Times New Roman"/>
          <w:noProof/>
          <w:sz w:val="24"/>
          <w:u w:val="none"/>
          <w:lang w:val="en-GB" w:eastAsia="ar-SA"/>
        </w:rPr>
        <w:t>qualified trust services</w:t>
      </w:r>
      <w:r>
        <w:rPr>
          <w:rFonts w:ascii="Times New Roman" w:hAnsi="Times New Roman"/>
          <w:b w:val="0"/>
          <w:noProof/>
          <w:sz w:val="24"/>
          <w:u w:val="none"/>
          <w:lang w:val="en-GB" w:eastAsia="ar-SA"/>
        </w:rPr>
        <w:t xml:space="preserve"> in line with the </w:t>
      </w:r>
      <w:r>
        <w:rPr>
          <w:rFonts w:ascii="Times New Roman" w:hAnsi="Times New Roman"/>
          <w:noProof/>
          <w:sz w:val="24"/>
          <w:u w:val="none"/>
          <w:lang w:val="en-GB" w:eastAsia="ar-SA"/>
        </w:rPr>
        <w:t>eIDAS regulation</w:t>
      </w:r>
      <w:r>
        <w:rPr>
          <w:rStyle w:val="FootnoteReference"/>
          <w:rFonts w:ascii="Times New Roman" w:hAnsi="Times New Roman"/>
          <w:b w:val="0"/>
          <w:noProof/>
          <w:sz w:val="24"/>
          <w:u w:val="none"/>
          <w:lang w:val="en-GB" w:eastAsia="ar-SA"/>
        </w:rPr>
        <w:footnoteReference w:id="36"/>
      </w:r>
      <w:r>
        <w:rPr>
          <w:rFonts w:ascii="Times New Roman" w:hAnsi="Times New Roman"/>
          <w:b w:val="0"/>
          <w:noProof/>
          <w:sz w:val="24"/>
          <w:u w:val="none"/>
          <w:lang w:val="en-GB" w:eastAsia="ar-SA"/>
        </w:rPr>
        <w:t xml:space="preserve"> to ensure the integrity, authenticity, confidentiality and non-repudiation of data.</w:t>
      </w:r>
    </w:p>
    <w:p>
      <w:pPr>
        <w:pStyle w:val="BodyText"/>
        <w:spacing w:after="200" w:line="312" w:lineRule="auto"/>
        <w:jc w:val="both"/>
        <w:rPr>
          <w:rFonts w:ascii="Times New Roman" w:eastAsia="MS PGothic" w:hAnsi="Times New Roman"/>
          <w:noProof/>
          <w:sz w:val="24"/>
        </w:rPr>
      </w:pPr>
      <w:r>
        <w:rPr>
          <w:rFonts w:ascii="Times New Roman" w:eastAsia="MS PGothic" w:hAnsi="Times New Roman"/>
          <w:noProof/>
          <w:sz w:val="24"/>
        </w:rPr>
        <w:t>When public a</w:t>
      </w:r>
      <w:r>
        <w:rPr>
          <w:rFonts w:ascii="Times New Roman" w:hAnsi="Times New Roman"/>
          <w:noProof/>
          <w:sz w:val="24"/>
        </w:rPr>
        <w:t xml:space="preserve">dministrations and other entities exchange official information, the information </w:t>
      </w:r>
      <w:r>
        <w:rPr>
          <w:rFonts w:ascii="Times New Roman" w:eastAsia="MS PGothic" w:hAnsi="Times New Roman"/>
          <w:noProof/>
          <w:sz w:val="24"/>
        </w:rPr>
        <w:t>should be transferred, depending on security requirements, via a secure, harmonised, managed and controlled network.</w:t>
      </w:r>
      <w:r>
        <w:rPr>
          <w:rStyle w:val="FootnoteReference"/>
          <w:rFonts w:ascii="Times New Roman" w:eastAsia="MS PGothic" w:hAnsi="Times New Roman"/>
          <w:noProof/>
          <w:sz w:val="24"/>
        </w:rPr>
        <w:footnoteReference w:id="37"/>
      </w:r>
      <w:r>
        <w:rPr>
          <w:rFonts w:ascii="Times New Roman" w:eastAsia="MS PGothic" w:hAnsi="Times New Roman"/>
          <w:noProof/>
          <w:sz w:val="24"/>
        </w:rPr>
        <w:t xml:space="preserve"> Transfer mechanisms </w:t>
      </w:r>
      <w:r>
        <w:rPr>
          <w:rFonts w:ascii="Times New Roman" w:hAnsi="Times New Roman"/>
          <w:noProof/>
          <w:sz w:val="24"/>
        </w:rPr>
        <w:t xml:space="preserve">should facilitate </w:t>
      </w:r>
      <w:r>
        <w:rPr>
          <w:rFonts w:ascii="Times New Roman" w:eastAsia="MS PGothic" w:hAnsi="Times New Roman"/>
          <w:noProof/>
          <w:sz w:val="24"/>
        </w:rPr>
        <w:t>information exchanges between administrations, businesses and citizens that are:</w:t>
      </w:r>
    </w:p>
    <w:p>
      <w:pPr>
        <w:pStyle w:val="BodyText"/>
        <w:numPr>
          <w:ilvl w:val="0"/>
          <w:numId w:val="115"/>
        </w:numPr>
        <w:spacing w:before="120" w:after="120" w:line="312" w:lineRule="auto"/>
        <w:ind w:left="714" w:hanging="357"/>
        <w:jc w:val="both"/>
        <w:rPr>
          <w:rFonts w:ascii="Times New Roman" w:hAnsi="Times New Roman"/>
          <w:noProof/>
          <w:sz w:val="24"/>
        </w:rPr>
      </w:pPr>
      <w:r>
        <w:rPr>
          <w:rFonts w:ascii="Times New Roman" w:hAnsi="Times New Roman"/>
          <w:b/>
          <w:iCs/>
          <w:noProof/>
          <w:color w:val="000000" w:themeColor="text1"/>
          <w:sz w:val="24"/>
        </w:rPr>
        <w:t>registered and verified</w:t>
      </w:r>
      <w:r>
        <w:rPr>
          <w:rFonts w:ascii="Times New Roman" w:hAnsi="Times New Roman"/>
          <w:noProof/>
          <w:sz w:val="24"/>
        </w:rPr>
        <w:t>, so that both sender and receiver have been identified and authenticated through agreed procedures and mechanisms;</w:t>
      </w:r>
    </w:p>
    <w:p>
      <w:pPr>
        <w:pStyle w:val="BodyText"/>
        <w:numPr>
          <w:ilvl w:val="0"/>
          <w:numId w:val="115"/>
        </w:numPr>
        <w:spacing w:before="120" w:after="120" w:line="312" w:lineRule="auto"/>
        <w:ind w:left="714" w:hanging="357"/>
        <w:jc w:val="both"/>
        <w:rPr>
          <w:rFonts w:ascii="Times New Roman" w:hAnsi="Times New Roman"/>
          <w:noProof/>
          <w:sz w:val="24"/>
        </w:rPr>
      </w:pPr>
      <w:r>
        <w:rPr>
          <w:rFonts w:ascii="Times New Roman" w:hAnsi="Times New Roman"/>
          <w:b/>
          <w:iCs/>
          <w:noProof/>
          <w:color w:val="000000" w:themeColor="text1"/>
          <w:sz w:val="24"/>
        </w:rPr>
        <w:t>encrypted</w:t>
      </w:r>
      <w:r>
        <w:rPr>
          <w:rFonts w:ascii="Times New Roman" w:hAnsi="Times New Roman"/>
          <w:noProof/>
          <w:sz w:val="24"/>
        </w:rPr>
        <w:t>, so that the confidentiality of the exchanged data is ensured;</w:t>
      </w:r>
    </w:p>
    <w:p>
      <w:pPr>
        <w:pStyle w:val="BodyText"/>
        <w:numPr>
          <w:ilvl w:val="0"/>
          <w:numId w:val="115"/>
        </w:numPr>
        <w:spacing w:before="120" w:after="120" w:line="312" w:lineRule="auto"/>
        <w:ind w:left="714" w:hanging="357"/>
        <w:jc w:val="both"/>
        <w:rPr>
          <w:rFonts w:ascii="Times New Roman" w:hAnsi="Times New Roman"/>
          <w:noProof/>
          <w:sz w:val="24"/>
        </w:rPr>
      </w:pPr>
      <w:r>
        <w:rPr>
          <w:rFonts w:ascii="Times New Roman" w:hAnsi="Times New Roman"/>
          <w:b/>
          <w:iCs/>
          <w:noProof/>
          <w:color w:val="000000" w:themeColor="text1"/>
          <w:sz w:val="24"/>
        </w:rPr>
        <w:t>time stamped</w:t>
      </w:r>
      <w:r>
        <w:rPr>
          <w:rFonts w:ascii="Times New Roman" w:hAnsi="Times New Roman"/>
          <w:i/>
          <w:iCs/>
          <w:noProof/>
          <w:color w:val="000000" w:themeColor="text1"/>
          <w:sz w:val="24"/>
        </w:rPr>
        <w:t>,</w:t>
      </w:r>
      <w:r>
        <w:rPr>
          <w:rFonts w:ascii="Times New Roman" w:hAnsi="Times New Roman"/>
          <w:noProof/>
          <w:color w:val="000000" w:themeColor="text1"/>
          <w:sz w:val="24"/>
        </w:rPr>
        <w:t xml:space="preserve"> </w:t>
      </w:r>
      <w:r>
        <w:rPr>
          <w:rFonts w:ascii="Times New Roman" w:hAnsi="Times New Roman"/>
          <w:noProof/>
          <w:sz w:val="24"/>
        </w:rPr>
        <w:t>to maintain accurate time of electronic records’ transfer and access;</w:t>
      </w:r>
    </w:p>
    <w:p>
      <w:pPr>
        <w:pStyle w:val="BodyText"/>
        <w:numPr>
          <w:ilvl w:val="0"/>
          <w:numId w:val="115"/>
        </w:numPr>
        <w:spacing w:before="120" w:after="120" w:line="312" w:lineRule="auto"/>
        <w:ind w:left="714" w:hanging="357"/>
        <w:jc w:val="both"/>
        <w:rPr>
          <w:rFonts w:ascii="Times New Roman" w:hAnsi="Times New Roman"/>
          <w:noProof/>
          <w:sz w:val="24"/>
        </w:rPr>
      </w:pPr>
      <w:r>
        <w:rPr>
          <w:rFonts w:ascii="Times New Roman" w:hAnsi="Times New Roman"/>
          <w:b/>
          <w:iCs/>
          <w:noProof/>
          <w:color w:val="000000" w:themeColor="text1"/>
          <w:sz w:val="24"/>
        </w:rPr>
        <w:t>logged</w:t>
      </w:r>
      <w:r>
        <w:rPr>
          <w:rFonts w:ascii="Times New Roman" w:hAnsi="Times New Roman"/>
          <w:iCs/>
          <w:noProof/>
          <w:sz w:val="24"/>
        </w:rPr>
        <w:t>,</w:t>
      </w:r>
      <w:r>
        <w:rPr>
          <w:rFonts w:ascii="Times New Roman" w:hAnsi="Times New Roman"/>
          <w:iCs/>
          <w:noProof/>
          <w:color w:val="2F5496" w:themeColor="accent5" w:themeShade="BF"/>
          <w:sz w:val="24"/>
        </w:rPr>
        <w:t xml:space="preserve"> </w:t>
      </w:r>
      <w:r>
        <w:rPr>
          <w:rFonts w:ascii="Times New Roman" w:hAnsi="Times New Roman"/>
          <w:noProof/>
          <w:sz w:val="24"/>
        </w:rPr>
        <w:t>for electronic records to be archived, thus ensuring a legal audit trail.</w:t>
      </w:r>
    </w:p>
    <w:p>
      <w:pPr>
        <w:pStyle w:val="BodyText"/>
        <w:spacing w:after="200" w:line="312" w:lineRule="auto"/>
        <w:jc w:val="both"/>
        <w:rPr>
          <w:rFonts w:ascii="Times New Roman" w:hAnsi="Times New Roman"/>
          <w:noProof/>
          <w:sz w:val="24"/>
        </w:rPr>
      </w:pPr>
      <w:r>
        <w:rPr>
          <w:rFonts w:ascii="Times New Roman" w:hAnsi="Times New Roman"/>
          <w:noProof/>
          <w:sz w:val="24"/>
        </w:rPr>
        <w:t>Appropriate mechanisms should allow secure exchange of electronically verified messages, records, forms and other kinds of information between the different systems; should handle specific security requirements and electronic identification and trust services such as electronic signatures/seals creation and verification; and should monitor traffic to detect intrusions, changes of data and other type of attacks.</w:t>
      </w:r>
    </w:p>
    <w:p>
      <w:pPr>
        <w:pStyle w:val="BodyText"/>
        <w:spacing w:after="200" w:line="312" w:lineRule="auto"/>
        <w:jc w:val="both"/>
        <w:rPr>
          <w:rFonts w:ascii="Times New Roman" w:hAnsi="Times New Roman"/>
          <w:noProof/>
          <w:sz w:val="24"/>
        </w:rPr>
      </w:pPr>
      <w:r>
        <w:rPr>
          <w:rFonts w:ascii="Times New Roman" w:hAnsi="Times New Roman"/>
          <w:noProof/>
          <w:sz w:val="24"/>
        </w:rPr>
        <w:t>Information must also be appropriately protected during transmission, processing and storage by different security processes such as:</w:t>
      </w:r>
    </w:p>
    <w:p>
      <w:pPr>
        <w:pStyle w:val="BodyText"/>
        <w:numPr>
          <w:ilvl w:val="0"/>
          <w:numId w:val="131"/>
        </w:numPr>
        <w:spacing w:before="120" w:after="120" w:line="312" w:lineRule="auto"/>
        <w:ind w:left="714" w:hanging="357"/>
        <w:jc w:val="both"/>
        <w:rPr>
          <w:rFonts w:ascii="Times New Roman" w:hAnsi="Times New Roman"/>
          <w:noProof/>
          <w:sz w:val="24"/>
        </w:rPr>
      </w:pPr>
      <w:r>
        <w:rPr>
          <w:rFonts w:ascii="Times New Roman" w:hAnsi="Times New Roman"/>
          <w:noProof/>
          <w:sz w:val="24"/>
        </w:rPr>
        <w:t>defining and applying security policies;</w:t>
      </w:r>
    </w:p>
    <w:p>
      <w:pPr>
        <w:pStyle w:val="BodyText"/>
        <w:numPr>
          <w:ilvl w:val="0"/>
          <w:numId w:val="131"/>
        </w:numPr>
        <w:spacing w:before="120" w:after="120" w:line="312" w:lineRule="auto"/>
        <w:ind w:left="714" w:hanging="357"/>
        <w:jc w:val="both"/>
        <w:rPr>
          <w:rFonts w:ascii="Times New Roman" w:hAnsi="Times New Roman"/>
          <w:noProof/>
          <w:sz w:val="24"/>
        </w:rPr>
      </w:pPr>
      <w:r>
        <w:rPr>
          <w:rFonts w:ascii="Times New Roman" w:hAnsi="Times New Roman"/>
          <w:noProof/>
          <w:sz w:val="24"/>
        </w:rPr>
        <w:t>security training and awareness;</w:t>
      </w:r>
    </w:p>
    <w:p>
      <w:pPr>
        <w:pStyle w:val="BodyText"/>
        <w:numPr>
          <w:ilvl w:val="0"/>
          <w:numId w:val="131"/>
        </w:numPr>
        <w:spacing w:before="120" w:after="120" w:line="312" w:lineRule="auto"/>
        <w:ind w:left="714" w:hanging="357"/>
        <w:jc w:val="both"/>
        <w:rPr>
          <w:rFonts w:ascii="Times New Roman" w:hAnsi="Times New Roman"/>
          <w:noProof/>
          <w:sz w:val="24"/>
        </w:rPr>
      </w:pPr>
      <w:r>
        <w:rPr>
          <w:rFonts w:ascii="Times New Roman" w:hAnsi="Times New Roman"/>
          <w:noProof/>
          <w:sz w:val="24"/>
        </w:rPr>
        <w:t>physical security (including access control);</w:t>
      </w:r>
    </w:p>
    <w:p>
      <w:pPr>
        <w:pStyle w:val="BodyText"/>
        <w:numPr>
          <w:ilvl w:val="0"/>
          <w:numId w:val="131"/>
        </w:numPr>
        <w:spacing w:before="120" w:after="120" w:line="312" w:lineRule="auto"/>
        <w:ind w:left="714" w:hanging="357"/>
        <w:jc w:val="both"/>
        <w:rPr>
          <w:rFonts w:ascii="Times New Roman" w:hAnsi="Times New Roman"/>
          <w:noProof/>
          <w:sz w:val="24"/>
        </w:rPr>
      </w:pPr>
      <w:r>
        <w:rPr>
          <w:rFonts w:ascii="Times New Roman" w:hAnsi="Times New Roman"/>
          <w:noProof/>
          <w:sz w:val="24"/>
        </w:rPr>
        <w:t>security in development;</w:t>
      </w:r>
    </w:p>
    <w:p>
      <w:pPr>
        <w:pStyle w:val="BodyText"/>
        <w:numPr>
          <w:ilvl w:val="0"/>
          <w:numId w:val="131"/>
        </w:numPr>
        <w:spacing w:before="120" w:after="120" w:line="312" w:lineRule="auto"/>
        <w:ind w:left="714" w:hanging="357"/>
        <w:jc w:val="both"/>
        <w:rPr>
          <w:rFonts w:ascii="Times New Roman" w:hAnsi="Times New Roman"/>
          <w:noProof/>
          <w:sz w:val="24"/>
        </w:rPr>
      </w:pPr>
      <w:r>
        <w:rPr>
          <w:rFonts w:ascii="Times New Roman" w:hAnsi="Times New Roman"/>
          <w:noProof/>
          <w:sz w:val="24"/>
        </w:rPr>
        <w:t>security in operations (including security monitoring, incident handling, vulnerability management);</w:t>
      </w:r>
    </w:p>
    <w:p>
      <w:pPr>
        <w:pStyle w:val="BodyText"/>
        <w:numPr>
          <w:ilvl w:val="0"/>
          <w:numId w:val="131"/>
        </w:numPr>
        <w:spacing w:before="120" w:after="120" w:line="312" w:lineRule="auto"/>
        <w:ind w:left="714" w:hanging="357"/>
        <w:jc w:val="both"/>
        <w:rPr>
          <w:rFonts w:ascii="Times New Roman" w:hAnsi="Times New Roman"/>
          <w:noProof/>
          <w:sz w:val="24"/>
        </w:rPr>
      </w:pPr>
      <w:r>
        <w:rPr>
          <w:rFonts w:ascii="Times New Roman" w:hAnsi="Times New Roman"/>
          <w:noProof/>
          <w:sz w:val="24"/>
        </w:rPr>
        <w:t>security reviews (including audits and technical checks).</w:t>
      </w:r>
    </w:p>
    <w:p>
      <w:pPr>
        <w:pStyle w:val="BodyText"/>
        <w:spacing w:after="200" w:line="312" w:lineRule="auto"/>
        <w:jc w:val="both"/>
        <w:rPr>
          <w:rFonts w:ascii="Times New Roman" w:hAnsi="Times New Roman"/>
          <w:noProof/>
          <w:sz w:val="24"/>
        </w:rPr>
      </w:pPr>
      <w:r>
        <w:rPr>
          <w:rFonts w:ascii="Times New Roman" w:hAnsi="Times New Roman"/>
          <w:noProof/>
          <w:sz w:val="24"/>
        </w:rPr>
        <w:t>As data from different Member States may be subject to different data protection implementation approaches, common requirements for data protection should be agreed before providing aggregated services.</w:t>
      </w:r>
    </w:p>
    <w:p>
      <w:pPr>
        <w:pStyle w:val="BodyText"/>
        <w:spacing w:after="200" w:line="312" w:lineRule="auto"/>
        <w:jc w:val="both"/>
        <w:rPr>
          <w:rFonts w:ascii="Times New Roman" w:eastAsia="MS PGothic" w:hAnsi="Times New Roman"/>
          <w:i/>
          <w:iCs/>
          <w:noProof/>
          <w:sz w:val="24"/>
        </w:rPr>
      </w:pPr>
      <w:r>
        <w:rPr>
          <w:rFonts w:ascii="Times New Roman" w:eastAsia="MS PGothic" w:hAnsi="Times New Roman"/>
          <w:noProof/>
          <w:sz w:val="24"/>
        </w:rPr>
        <w:t>The provision of secure data exchange also requires several management functions, including:</w:t>
      </w:r>
    </w:p>
    <w:p>
      <w:pPr>
        <w:pStyle w:val="bulletbodytext"/>
        <w:numPr>
          <w:ilvl w:val="0"/>
          <w:numId w:val="116"/>
        </w:numPr>
        <w:spacing w:before="120" w:after="120" w:line="312" w:lineRule="auto"/>
        <w:ind w:left="709" w:hanging="352"/>
        <w:jc w:val="both"/>
        <w:rPr>
          <w:rFonts w:ascii="Times New Roman" w:hAnsi="Times New Roman"/>
          <w:iCs/>
          <w:noProof/>
          <w:sz w:val="24"/>
        </w:rPr>
      </w:pPr>
      <w:r>
        <w:rPr>
          <w:rFonts w:ascii="Times New Roman" w:hAnsi="Times New Roman"/>
          <w:b/>
          <w:iCs/>
          <w:noProof/>
          <w:color w:val="000000" w:themeColor="text1"/>
          <w:sz w:val="24"/>
        </w:rPr>
        <w:t>service management</w:t>
      </w:r>
      <w:r>
        <w:rPr>
          <w:rFonts w:ascii="Times New Roman" w:hAnsi="Times New Roman"/>
          <w:iCs/>
          <w:noProof/>
          <w:color w:val="000000" w:themeColor="text1"/>
          <w:sz w:val="24"/>
        </w:rPr>
        <w:t xml:space="preserve"> </w:t>
      </w:r>
      <w:r>
        <w:rPr>
          <w:rFonts w:ascii="Times New Roman" w:hAnsi="Times New Roman"/>
          <w:noProof/>
          <w:sz w:val="24"/>
        </w:rPr>
        <w:t>to oversee all communications on identification, authentication, authorisation, data transport, etc., including access authorisations, revocation and audit;</w:t>
      </w:r>
    </w:p>
    <w:p>
      <w:pPr>
        <w:pStyle w:val="bulletbodytext"/>
        <w:numPr>
          <w:ilvl w:val="0"/>
          <w:numId w:val="116"/>
        </w:numPr>
        <w:spacing w:before="120" w:after="120" w:line="312" w:lineRule="auto"/>
        <w:ind w:left="709" w:hanging="352"/>
        <w:jc w:val="both"/>
        <w:rPr>
          <w:rFonts w:ascii="Times New Roman" w:hAnsi="Times New Roman"/>
          <w:iCs/>
          <w:noProof/>
          <w:sz w:val="24"/>
        </w:rPr>
      </w:pPr>
      <w:r>
        <w:rPr>
          <w:rFonts w:ascii="Times New Roman" w:hAnsi="Times New Roman"/>
          <w:b/>
          <w:iCs/>
          <w:noProof/>
          <w:color w:val="000000" w:themeColor="text1"/>
          <w:sz w:val="24"/>
        </w:rPr>
        <w:t>service registration</w:t>
      </w:r>
      <w:r>
        <w:rPr>
          <w:rFonts w:ascii="Times New Roman" w:hAnsi="Times New Roman"/>
          <w:iCs/>
          <w:noProof/>
          <w:color w:val="000000" w:themeColor="text1"/>
          <w:sz w:val="24"/>
        </w:rPr>
        <w:t xml:space="preserve"> </w:t>
      </w:r>
      <w:r>
        <w:rPr>
          <w:rFonts w:ascii="Times New Roman" w:hAnsi="Times New Roman"/>
          <w:noProof/>
          <w:sz w:val="24"/>
        </w:rPr>
        <w:t>to provide, subject to proper authorisation, access to available services through prior localisation and verification that the service is trustworthy;</w:t>
      </w:r>
    </w:p>
    <w:p>
      <w:pPr>
        <w:pStyle w:val="bulletbodytext"/>
        <w:numPr>
          <w:ilvl w:val="0"/>
          <w:numId w:val="116"/>
        </w:numPr>
        <w:spacing w:before="120" w:after="120" w:line="312" w:lineRule="auto"/>
        <w:ind w:left="709" w:hanging="352"/>
        <w:jc w:val="both"/>
        <w:rPr>
          <w:rFonts w:ascii="Times New Roman" w:hAnsi="Times New Roman"/>
          <w:noProof/>
          <w:sz w:val="24"/>
        </w:rPr>
      </w:pPr>
      <w:r>
        <w:rPr>
          <w:rFonts w:ascii="Times New Roman" w:hAnsi="Times New Roman"/>
          <w:b/>
          <w:iCs/>
          <w:noProof/>
          <w:color w:val="000000" w:themeColor="text1"/>
          <w:sz w:val="24"/>
        </w:rPr>
        <w:t>service</w:t>
      </w:r>
      <w:r>
        <w:rPr>
          <w:rFonts w:ascii="Times New Roman" w:hAnsi="Times New Roman"/>
          <w:i/>
          <w:iCs/>
          <w:noProof/>
          <w:color w:val="000000" w:themeColor="text1"/>
          <w:sz w:val="24"/>
        </w:rPr>
        <w:t xml:space="preserve"> </w:t>
      </w:r>
      <w:r>
        <w:rPr>
          <w:rFonts w:ascii="Times New Roman" w:hAnsi="Times New Roman"/>
          <w:b/>
          <w:iCs/>
          <w:noProof/>
          <w:color w:val="000000" w:themeColor="text1"/>
          <w:sz w:val="24"/>
        </w:rPr>
        <w:t>logging</w:t>
      </w:r>
      <w:r>
        <w:rPr>
          <w:rFonts w:ascii="Times New Roman" w:hAnsi="Times New Roman"/>
          <w:iCs/>
          <w:noProof/>
          <w:color w:val="000000" w:themeColor="text1"/>
          <w:sz w:val="24"/>
        </w:rPr>
        <w:t xml:space="preserve"> </w:t>
      </w:r>
      <w:r>
        <w:rPr>
          <w:rFonts w:ascii="Times New Roman" w:hAnsi="Times New Roman"/>
          <w:noProof/>
          <w:color w:val="000000" w:themeColor="text1"/>
          <w:sz w:val="24"/>
        </w:rPr>
        <w:t xml:space="preserve">to ensure </w:t>
      </w:r>
      <w:r>
        <w:rPr>
          <w:rFonts w:ascii="Times New Roman" w:hAnsi="Times New Roman"/>
          <w:noProof/>
          <w:sz w:val="24"/>
        </w:rPr>
        <w:t>that all data exchanges</w:t>
      </w:r>
      <w:r>
        <w:rPr>
          <w:rFonts w:ascii="Times New Roman" w:eastAsia="Times New Roman" w:hAnsi="Times New Roman"/>
          <w:noProof/>
          <w:sz w:val="24"/>
          <w:lang w:eastAsia="en-GB"/>
        </w:rPr>
        <w:t xml:space="preserve"> </w:t>
      </w:r>
      <w:r>
        <w:rPr>
          <w:rFonts w:ascii="Times New Roman" w:hAnsi="Times New Roman"/>
          <w:noProof/>
          <w:sz w:val="24"/>
        </w:rPr>
        <w:t xml:space="preserve">are logged </w:t>
      </w:r>
      <w:r>
        <w:rPr>
          <w:rFonts w:ascii="Times New Roman" w:eastAsia="Times New Roman" w:hAnsi="Times New Roman"/>
          <w:noProof/>
          <w:sz w:val="24"/>
          <w:lang w:eastAsia="en-GB"/>
        </w:rPr>
        <w:t>for future reference</w:t>
      </w:r>
      <w:r>
        <w:rPr>
          <w:rFonts w:ascii="Times New Roman" w:hAnsi="Times New Roman"/>
          <w:noProof/>
          <w:sz w:val="24"/>
        </w:rPr>
        <w:t xml:space="preserve"> and archived when necessary.</w:t>
      </w:r>
    </w:p>
    <w:p>
      <w:pPr>
        <w:pStyle w:val="bulletbodytext"/>
        <w:numPr>
          <w:ilvl w:val="0"/>
          <w:numId w:val="0"/>
        </w:numPr>
        <w:spacing w:after="200" w:line="312" w:lineRule="auto"/>
        <w:ind w:left="720" w:hanging="720"/>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589917" cy="871268"/>
                <wp:effectExtent l="57150" t="38100" r="48895" b="81280"/>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17" cy="871268"/>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46:</w:t>
                            </w:r>
                          </w:p>
                          <w:p>
                            <w:pPr>
                              <w:ind w:left="142"/>
                              <w:jc w:val="both"/>
                              <w:rPr>
                                <w:rFonts w:ascii="Corbel" w:hAnsi="Corbel"/>
                                <w:b/>
                                <w:sz w:val="24"/>
                              </w:rPr>
                            </w:pPr>
                            <w:r>
                              <w:rPr>
                                <w:rFonts w:ascii="Corbel" w:hAnsi="Corbel"/>
                                <w:b/>
                                <w:sz w:val="24"/>
                              </w:rPr>
                              <w:t>Consider the specific security and privacy requirements and identify measures for the provision of each public service according to risk management plans.</w:t>
                            </w:r>
                          </w:p>
                          <w:p>
                            <w:pPr>
                              <w:ind w:left="142"/>
                              <w:jc w:val="both"/>
                              <w:rPr>
                                <w:rFonts w:asciiTheme="minorHAnsi" w:hAnsiTheme="minorHAnsi"/>
                                <w:sz w:val="24"/>
                              </w:rPr>
                            </w:pPr>
                          </w:p>
                        </w:txbxContent>
                      </wps:txbx>
                      <wps:bodyPr rot="0" vert="horz" wrap="square" lIns="91440" tIns="45720" rIns="91440" bIns="45720" anchor="t" anchorCtr="0">
                        <a:noAutofit/>
                      </wps:bodyPr>
                    </wps:wsp>
                  </a:graphicData>
                </a:graphic>
              </wp:inline>
            </w:drawing>
          </mc:Choice>
          <mc:Fallback>
            <w:pict>
              <v:shape id="_x0000_s1071" type="#_x0000_t202" style="width:440.15pt;height:6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Fonts w:ascii="Corbel" w:hAnsi="Corbel"/>
                          <w:b/>
                          <w:i/>
                          <w:sz w:val="24"/>
                        </w:rPr>
                      </w:pPr>
                      <w:r>
                        <w:rPr>
                          <w:rStyle w:val="ListParagraphChar"/>
                          <w:rFonts w:ascii="Corbel" w:eastAsia="MS Mincho" w:hAnsi="Corbel"/>
                          <w:b w:val="0"/>
                          <w:i/>
                          <w:noProof w:val="0"/>
                          <w:sz w:val="24"/>
                          <w:u w:val="none"/>
                          <w:lang w:val="en-GB"/>
                        </w:rPr>
                        <w:t>Recommendation 46:</w:t>
                      </w:r>
                    </w:p>
                    <w:p>
                      <w:pPr>
                        <w:ind w:left="142"/>
                        <w:jc w:val="both"/>
                        <w:rPr>
                          <w:rFonts w:ascii="Corbel" w:hAnsi="Corbel"/>
                          <w:b/>
                          <w:sz w:val="24"/>
                        </w:rPr>
                      </w:pPr>
                      <w:r>
                        <w:rPr>
                          <w:rFonts w:ascii="Corbel" w:hAnsi="Corbel"/>
                          <w:b/>
                          <w:sz w:val="24"/>
                        </w:rPr>
                        <w:t>Consider the specific security and privacy requirements and identify measures for the provision of each public service according to risk management plans.</w:t>
                      </w:r>
                    </w:p>
                    <w:p>
                      <w:pPr>
                        <w:ind w:left="142"/>
                        <w:jc w:val="both"/>
                        <w:rPr>
                          <w:rFonts w:asciiTheme="minorHAnsi" w:hAnsiTheme="minorHAnsi"/>
                          <w:sz w:val="24"/>
                        </w:rPr>
                      </w:pPr>
                    </w:p>
                  </w:txbxContent>
                </v:textbox>
                <w10:anchorlock/>
              </v:shape>
            </w:pict>
          </mc:Fallback>
        </mc:AlternateContent>
      </w:r>
    </w:p>
    <w:p>
      <w:pPr>
        <w:pStyle w:val="bulletbodytext"/>
        <w:numPr>
          <w:ilvl w:val="0"/>
          <w:numId w:val="0"/>
        </w:numPr>
        <w:spacing w:after="200" w:line="312" w:lineRule="auto"/>
        <w:ind w:left="720" w:hanging="720"/>
        <w:rPr>
          <w:rFonts w:ascii="Times New Roman" w:hAnsi="Times New Roman"/>
          <w:noProof/>
          <w:sz w:val="24"/>
        </w:rPr>
      </w:pPr>
      <w:r>
        <w:rPr>
          <w:rFonts w:ascii="Times New Roman" w:hAnsi="Times New Roman"/>
          <w:noProof/>
          <w:sz w:val="24"/>
          <w:lang w:val="en-US" w:eastAsia="en-US"/>
        </w:rPr>
        <mc:AlternateContent>
          <mc:Choice Requires="wps">
            <w:drawing>
              <wp:inline distT="0" distB="0" distL="0" distR="0">
                <wp:extent cx="5589905" cy="793630"/>
                <wp:effectExtent l="57150" t="38100" r="48895" b="8318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79363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p>
                            <w:pPr>
                              <w:spacing w:after="120"/>
                              <w:jc w:val="both"/>
                              <w:rPr>
                                <w:rStyle w:val="ListParagraphChar"/>
                                <w:rFonts w:ascii="Corbel" w:eastAsia="MS Mincho" w:hAnsi="Corbel"/>
                                <w:b w:val="0"/>
                                <w:i/>
                                <w:noProof w:val="0"/>
                                <w:sz w:val="24"/>
                                <w:u w:val="none"/>
                                <w:lang w:val="en-GB"/>
                              </w:rPr>
                            </w:pPr>
                            <w:r>
                              <w:rPr>
                                <w:rStyle w:val="ListParagraphChar"/>
                                <w:rFonts w:ascii="Corbel" w:eastAsia="MS Mincho" w:hAnsi="Corbel"/>
                                <w:b w:val="0"/>
                                <w:i/>
                                <w:noProof w:val="0"/>
                                <w:sz w:val="24"/>
                                <w:u w:val="none"/>
                                <w:lang w:val="en-GB"/>
                              </w:rPr>
                              <w:t>Recommendation 47:</w:t>
                            </w:r>
                          </w:p>
                          <w:p>
                            <w:pPr>
                              <w:ind w:left="284"/>
                              <w:jc w:val="both"/>
                              <w:rPr>
                                <w:rFonts w:ascii="Corbel" w:hAnsi="Corbel"/>
                                <w:b/>
                                <w:sz w:val="24"/>
                              </w:rPr>
                            </w:pPr>
                            <w:r>
                              <w:rPr>
                                <w:rFonts w:ascii="Corbel" w:hAnsi="Corbel"/>
                                <w:b/>
                                <w:sz w:val="24"/>
                              </w:rPr>
                              <w:t>Use trust services according to the Regulation on eID and Trust Services as mechanisms that ensure secure and protected data exchange in public services.</w:t>
                            </w:r>
                          </w:p>
                        </w:txbxContent>
                      </wps:txbx>
                      <wps:bodyPr rot="0" vert="horz" wrap="square" lIns="91440" tIns="45720" rIns="91440" bIns="45720" anchor="t" anchorCtr="0">
                        <a:noAutofit/>
                      </wps:bodyPr>
                    </wps:wsp>
                  </a:graphicData>
                </a:graphic>
              </wp:inline>
            </w:drawing>
          </mc:Choice>
          <mc:Fallback>
            <w:pict>
              <v:shape id="_x0000_s1072" type="#_x0000_t202" style="width:440.15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" fillcolor="#010101 [38]" stroked="f">
                <v:fill color2="#a3a3a3 [3174]" rotate="t" colors="0 #afafaf;.5 #a5a5a5;1 #929292" focus="100%" type="gradient">
                  <o:fill v:ext="view" type="gradientUnscaled"/>
                </v:fill>
                <v:shadow on="t" color="black" opacity="41287f" offset="0,1.5pt"/>
                <v:textbox>
                  <w:txbxContent>
                    <w:p>
                      <w:pPr>
                        <w:spacing w:after="120"/>
                        <w:jc w:val="both"/>
                        <w:rPr>
                          <w:rStyle w:val="ListParagraphChar"/>
                          <w:rFonts w:ascii="Corbel" w:eastAsia="MS Mincho" w:hAnsi="Corbel"/>
                          <w:b w:val="0"/>
                          <w:i/>
                          <w:noProof w:val="0"/>
                          <w:sz w:val="24"/>
                          <w:u w:val="none"/>
                          <w:lang w:val="en-GB"/>
                        </w:rPr>
                      </w:pPr>
                      <w:r>
                        <w:rPr>
                          <w:rStyle w:val="ListParagraphChar"/>
                          <w:rFonts w:ascii="Corbel" w:eastAsia="MS Mincho" w:hAnsi="Corbel"/>
                          <w:b w:val="0"/>
                          <w:i/>
                          <w:noProof w:val="0"/>
                          <w:sz w:val="24"/>
                          <w:u w:val="none"/>
                          <w:lang w:val="en-GB"/>
                        </w:rPr>
                        <w:t>Recommendation 47:</w:t>
                      </w:r>
                    </w:p>
                    <w:p>
                      <w:pPr>
                        <w:ind w:left="284"/>
                        <w:jc w:val="both"/>
                        <w:rPr>
                          <w:rFonts w:ascii="Corbel" w:hAnsi="Corbel"/>
                          <w:b/>
                          <w:sz w:val="24"/>
                        </w:rPr>
                      </w:pPr>
                      <w:r>
                        <w:rPr>
                          <w:rFonts w:ascii="Corbel" w:hAnsi="Corbel"/>
                          <w:b/>
                          <w:sz w:val="24"/>
                        </w:rPr>
                        <w:t>Use trust services according to the Regulation on eID and Trust Services as mechanisms that ensure secure and protected data exchange in public services.</w:t>
                      </w:r>
                    </w:p>
                  </w:txbxContent>
                </v:textbox>
                <w10:anchorlock/>
              </v:shape>
            </w:pict>
          </mc:Fallback>
        </mc:AlternateContent>
      </w:r>
    </w:p>
    <w:p>
      <w:pPr>
        <w:pStyle w:val="Heading1"/>
        <w:pageBreakBefore w:val="0"/>
        <w:numPr>
          <w:ilvl w:val="0"/>
          <w:numId w:val="1"/>
        </w:numPr>
        <w:tabs>
          <w:tab w:val="clear" w:pos="851"/>
          <w:tab w:val="clear" w:pos="2133"/>
        </w:tabs>
        <w:spacing w:after="240" w:line="240" w:lineRule="auto"/>
        <w:ind w:left="567" w:hanging="567"/>
        <w:jc w:val="both"/>
        <w:rPr>
          <w:smallCaps/>
          <w:noProof/>
          <w:kern w:val="0"/>
          <w:lang w:eastAsia="en-US"/>
        </w:rPr>
      </w:pPr>
      <w:bookmarkStart w:id="668" w:name="_Toc437853315"/>
      <w:bookmarkStart w:id="669" w:name="_Toc437871594"/>
      <w:bookmarkStart w:id="670" w:name="_Toc437871711"/>
      <w:bookmarkStart w:id="671" w:name="_Toc437871828"/>
      <w:bookmarkStart w:id="672" w:name="_Toc437871945"/>
      <w:bookmarkStart w:id="673" w:name="_Toc437872061"/>
      <w:bookmarkStart w:id="674" w:name="_Toc437872178"/>
      <w:bookmarkStart w:id="675" w:name="_Toc435461808"/>
      <w:bookmarkStart w:id="676" w:name="_Toc435461881"/>
      <w:bookmarkStart w:id="677" w:name="_Toc435461954"/>
      <w:bookmarkStart w:id="678" w:name="_Toc435462026"/>
      <w:bookmarkStart w:id="679" w:name="_Toc435462099"/>
      <w:bookmarkStart w:id="680" w:name="_Toc435462172"/>
      <w:bookmarkStart w:id="681" w:name="_Toc435462242"/>
      <w:bookmarkStart w:id="682" w:name="_Toc438118896"/>
      <w:bookmarkStart w:id="683" w:name="_Toc438125471"/>
      <w:bookmarkStart w:id="684" w:name="_Toc438134958"/>
      <w:bookmarkStart w:id="685" w:name="_Toc438136319"/>
      <w:bookmarkStart w:id="686" w:name="_Toc438141530"/>
      <w:bookmarkStart w:id="687" w:name="_Toc432525313"/>
      <w:bookmarkStart w:id="688" w:name="_Toc432438617"/>
      <w:bookmarkStart w:id="689" w:name="_Toc432440467"/>
      <w:bookmarkStart w:id="690" w:name="_Toc432440930"/>
      <w:bookmarkStart w:id="691" w:name="_Toc432523886"/>
      <w:bookmarkStart w:id="692" w:name="_Toc432525314"/>
      <w:bookmarkStart w:id="693" w:name="_Toc432438618"/>
      <w:bookmarkStart w:id="694" w:name="_Toc432440468"/>
      <w:bookmarkStart w:id="695" w:name="_Toc432440931"/>
      <w:bookmarkStart w:id="696" w:name="_Toc432523887"/>
      <w:bookmarkStart w:id="697" w:name="_Toc432525315"/>
      <w:bookmarkStart w:id="698" w:name="_Toc437853319"/>
      <w:bookmarkStart w:id="699" w:name="_Toc437871598"/>
      <w:bookmarkStart w:id="700" w:name="_Toc437871715"/>
      <w:bookmarkStart w:id="701" w:name="_Toc437871832"/>
      <w:bookmarkStart w:id="702" w:name="_Toc437871949"/>
      <w:bookmarkStart w:id="703" w:name="_Toc437872065"/>
      <w:bookmarkStart w:id="704" w:name="_Toc437872182"/>
      <w:bookmarkStart w:id="705" w:name="_Toc437853320"/>
      <w:bookmarkStart w:id="706" w:name="_Toc437871599"/>
      <w:bookmarkStart w:id="707" w:name="_Toc437871716"/>
      <w:bookmarkStart w:id="708" w:name="_Toc437871833"/>
      <w:bookmarkStart w:id="709" w:name="_Toc437871950"/>
      <w:bookmarkStart w:id="710" w:name="_Toc437872066"/>
      <w:bookmarkStart w:id="711" w:name="_Toc437872183"/>
      <w:bookmarkStart w:id="712" w:name="_Toc432438620"/>
      <w:bookmarkStart w:id="713" w:name="_Toc432440470"/>
      <w:bookmarkStart w:id="714" w:name="_Toc432440933"/>
      <w:bookmarkStart w:id="715" w:name="_Toc432523889"/>
      <w:bookmarkStart w:id="716" w:name="_Toc432525317"/>
      <w:bookmarkStart w:id="717" w:name="_Toc437871602"/>
      <w:bookmarkStart w:id="718" w:name="_Toc437871719"/>
      <w:bookmarkStart w:id="719" w:name="_Toc437871836"/>
      <w:bookmarkStart w:id="720" w:name="_Toc437871953"/>
      <w:bookmarkStart w:id="721" w:name="_Toc437872069"/>
      <w:bookmarkStart w:id="722" w:name="_Toc437872186"/>
      <w:bookmarkStart w:id="723" w:name="_Toc201374073"/>
      <w:bookmarkStart w:id="724" w:name="_Toc201374074"/>
      <w:bookmarkStart w:id="725" w:name="_Toc201374075"/>
      <w:bookmarkStart w:id="726" w:name="_Toc201374077"/>
      <w:bookmarkStart w:id="727" w:name="_Toc199672149"/>
      <w:bookmarkStart w:id="728" w:name="_Toc199751435"/>
      <w:bookmarkStart w:id="729" w:name="_Toc199753248"/>
      <w:bookmarkStart w:id="730" w:name="_Toc199753401"/>
      <w:bookmarkStart w:id="731" w:name="_Toc199834832"/>
      <w:bookmarkStart w:id="732" w:name="_Toc199834988"/>
      <w:bookmarkStart w:id="733" w:name="_Toc199835291"/>
      <w:bookmarkStart w:id="734" w:name="_Toc199835564"/>
      <w:bookmarkStart w:id="735" w:name="_Toc199837635"/>
      <w:bookmarkStart w:id="736" w:name="_Toc199837789"/>
      <w:bookmarkStart w:id="737" w:name="_Toc199839228"/>
      <w:bookmarkStart w:id="738" w:name="_Toc199840648"/>
      <w:bookmarkStart w:id="739" w:name="_Toc199840742"/>
      <w:bookmarkStart w:id="740" w:name="_Toc199927676"/>
      <w:bookmarkStart w:id="741" w:name="_Toc199927884"/>
      <w:bookmarkStart w:id="742" w:name="_Toc199930208"/>
      <w:bookmarkStart w:id="743" w:name="_Toc200525221"/>
      <w:bookmarkStart w:id="744" w:name="_Toc200525393"/>
      <w:bookmarkStart w:id="745" w:name="_Toc200526479"/>
      <w:bookmarkStart w:id="746" w:name="_Interoperability_layers"/>
      <w:bookmarkStart w:id="747" w:name="_Toc438141534"/>
      <w:bookmarkStart w:id="748" w:name="_Toc437871609"/>
      <w:bookmarkStart w:id="749" w:name="_Toc437871726"/>
      <w:bookmarkStart w:id="750" w:name="_Toc437871843"/>
      <w:bookmarkStart w:id="751" w:name="_Toc437871960"/>
      <w:bookmarkStart w:id="752" w:name="_Toc437872076"/>
      <w:bookmarkStart w:id="753" w:name="_Toc437872193"/>
      <w:bookmarkStart w:id="754" w:name="_Toc438118900"/>
      <w:bookmarkStart w:id="755" w:name="_Toc438125475"/>
      <w:bookmarkStart w:id="756" w:name="_Toc438134962"/>
      <w:bookmarkStart w:id="757" w:name="_Toc438136323"/>
      <w:bookmarkStart w:id="758" w:name="_Toc438141535"/>
      <w:bookmarkStart w:id="759" w:name="_Interoperability_agreements_[Under"/>
      <w:bookmarkStart w:id="760" w:name="_Toc433213719"/>
      <w:bookmarkStart w:id="761" w:name="_Toc433215878"/>
      <w:bookmarkStart w:id="762" w:name="_Toc433216000"/>
      <w:bookmarkStart w:id="763" w:name="_Toc433216079"/>
      <w:bookmarkStart w:id="764" w:name="_Toc433216158"/>
      <w:bookmarkStart w:id="765" w:name="_Toc433269396"/>
      <w:bookmarkStart w:id="766" w:name="_Toc437871613"/>
      <w:bookmarkStart w:id="767" w:name="_Toc437871730"/>
      <w:bookmarkStart w:id="768" w:name="_Toc437871847"/>
      <w:bookmarkStart w:id="769" w:name="_Toc437871964"/>
      <w:bookmarkStart w:id="770" w:name="_Toc437872080"/>
      <w:bookmarkStart w:id="771" w:name="_Toc437872197"/>
      <w:bookmarkStart w:id="772" w:name="_Toc438118904"/>
      <w:bookmarkStart w:id="773" w:name="_Toc438125479"/>
      <w:bookmarkStart w:id="774" w:name="_Toc438134966"/>
      <w:bookmarkStart w:id="775" w:name="_Toc438136327"/>
      <w:bookmarkStart w:id="776" w:name="_Toc438141540"/>
      <w:bookmarkStart w:id="777" w:name="_Toc438141542"/>
      <w:bookmarkStart w:id="778" w:name="_Toc438141543"/>
      <w:bookmarkStart w:id="779" w:name="_Toc438141544"/>
      <w:bookmarkStart w:id="780" w:name="_Toc438141545"/>
      <w:bookmarkStart w:id="781" w:name="_Toc438141546"/>
      <w:bookmarkStart w:id="782" w:name="_Toc437871615"/>
      <w:bookmarkStart w:id="783" w:name="_Toc437871732"/>
      <w:bookmarkStart w:id="784" w:name="_Toc437871849"/>
      <w:bookmarkStart w:id="785" w:name="_Toc437871966"/>
      <w:bookmarkStart w:id="786" w:name="_Toc437872082"/>
      <w:bookmarkStart w:id="787" w:name="_Toc437872199"/>
      <w:bookmarkStart w:id="788" w:name="_Toc438118906"/>
      <w:bookmarkStart w:id="789" w:name="_Toc438125481"/>
      <w:bookmarkStart w:id="790" w:name="_Toc438134968"/>
      <w:bookmarkStart w:id="791" w:name="_Toc438136329"/>
      <w:bookmarkStart w:id="792" w:name="_Toc438141547"/>
      <w:bookmarkStart w:id="793" w:name="_Toc438134970"/>
      <w:bookmarkStart w:id="794" w:name="_Toc438136331"/>
      <w:bookmarkStart w:id="795" w:name="_Toc438141549"/>
      <w:bookmarkStart w:id="796" w:name="_Toc438141551"/>
      <w:bookmarkStart w:id="797" w:name="_Toc438141552"/>
      <w:bookmarkStart w:id="798" w:name="_Toc438141553"/>
      <w:bookmarkStart w:id="799" w:name="_Toc437871618"/>
      <w:bookmarkStart w:id="800" w:name="_Toc437871735"/>
      <w:bookmarkStart w:id="801" w:name="_Toc437871852"/>
      <w:bookmarkStart w:id="802" w:name="_Toc437871969"/>
      <w:bookmarkStart w:id="803" w:name="_Toc437872085"/>
      <w:bookmarkStart w:id="804" w:name="_Toc437872202"/>
      <w:bookmarkStart w:id="805" w:name="_Toc438118909"/>
      <w:bookmarkStart w:id="806" w:name="_Toc438125484"/>
      <w:bookmarkStart w:id="807" w:name="_Toc438134972"/>
      <w:bookmarkStart w:id="808" w:name="_Toc438136333"/>
      <w:bookmarkStart w:id="809" w:name="_Toc438141554"/>
      <w:bookmarkStart w:id="810" w:name="_Toc438141556"/>
      <w:bookmarkStart w:id="811" w:name="_Toc438141557"/>
      <w:bookmarkStart w:id="812" w:name="_Toc438141558"/>
      <w:bookmarkStart w:id="813" w:name="_Toc437871620"/>
      <w:bookmarkStart w:id="814" w:name="_Toc437871737"/>
      <w:bookmarkStart w:id="815" w:name="_Toc437871854"/>
      <w:bookmarkStart w:id="816" w:name="_Toc437871971"/>
      <w:bookmarkStart w:id="817" w:name="_Toc437872087"/>
      <w:bookmarkStart w:id="818" w:name="_Toc437872204"/>
      <w:bookmarkStart w:id="819" w:name="_Toc438118911"/>
      <w:bookmarkStart w:id="820" w:name="_Toc438125486"/>
      <w:bookmarkStart w:id="821" w:name="_Toc438134974"/>
      <w:bookmarkStart w:id="822" w:name="_Toc438136335"/>
      <w:bookmarkStart w:id="823" w:name="_Toc438141559"/>
      <w:bookmarkStart w:id="824" w:name="_Toc437871622"/>
      <w:bookmarkStart w:id="825" w:name="_Toc437871739"/>
      <w:bookmarkStart w:id="826" w:name="_Toc437871856"/>
      <w:bookmarkStart w:id="827" w:name="_Toc437871973"/>
      <w:bookmarkStart w:id="828" w:name="_Toc437872089"/>
      <w:bookmarkStart w:id="829" w:name="_Toc437872206"/>
      <w:bookmarkStart w:id="830" w:name="_Toc438118913"/>
      <w:bookmarkStart w:id="831" w:name="_Toc438125488"/>
      <w:bookmarkStart w:id="832" w:name="_Toc438134976"/>
      <w:bookmarkStart w:id="833" w:name="_Toc438136337"/>
      <w:bookmarkStart w:id="834" w:name="_Toc438141562"/>
      <w:bookmarkStart w:id="835" w:name="_Toc435790947"/>
      <w:bookmarkStart w:id="836" w:name="_Toc435792151"/>
      <w:bookmarkStart w:id="837" w:name="_Toc435790948"/>
      <w:bookmarkStart w:id="838" w:name="_Toc435792152"/>
      <w:bookmarkStart w:id="839" w:name="_Toc435790949"/>
      <w:bookmarkStart w:id="840" w:name="_Toc435792153"/>
      <w:bookmarkStart w:id="841" w:name="_Conclusion"/>
      <w:bookmarkStart w:id="842" w:name="_Toc454189007"/>
      <w:bookmarkStart w:id="843" w:name="_Toc454196256"/>
      <w:bookmarkStart w:id="844" w:name="_Toc469580888"/>
      <w:bookmarkStart w:id="845" w:name="_Toc469902813"/>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rPr>
          <w:smallCaps/>
          <w:noProof/>
          <w:kern w:val="0"/>
          <w:lang w:eastAsia="en-US"/>
        </w:rPr>
        <w:t>Conclusion</w:t>
      </w:r>
      <w:bookmarkEnd w:id="842"/>
      <w:bookmarkEnd w:id="843"/>
      <w:bookmarkEnd w:id="844"/>
      <w:bookmarkEnd w:id="845"/>
    </w:p>
    <w:p>
      <w:pPr>
        <w:pStyle w:val="BodyText"/>
        <w:spacing w:after="200" w:line="312" w:lineRule="auto"/>
        <w:jc w:val="both"/>
        <w:rPr>
          <w:rFonts w:ascii="Times New Roman" w:hAnsi="Times New Roman"/>
          <w:noProof/>
          <w:sz w:val="24"/>
        </w:rPr>
      </w:pPr>
      <w:r>
        <w:rPr>
          <w:rFonts w:ascii="Times New Roman" w:hAnsi="Times New Roman"/>
          <w:noProof/>
          <w:sz w:val="24"/>
        </w:rPr>
        <w:t>In recent decades, European public administrations have invested in ICT to modernise their internal operations, reduce costs and improve the services they offer to citizens and businesses. Despite the significant progress made and benefits obtained already, administrations still face considerable barriers to exchanging information and collaborating electronically. These include legislative barriers, incompatible business processes and information models, and the diversity of technologies used. This is because, historically, information systems were set up in the public sector independently of each other and not in a coordinated way. The diversity of institutional configurations across Europe adds another layer of complexity at EU level.</w:t>
      </w:r>
    </w:p>
    <w:p>
      <w:pPr>
        <w:pStyle w:val="BodyText"/>
        <w:spacing w:after="200" w:line="312" w:lineRule="auto"/>
        <w:jc w:val="both"/>
        <w:rPr>
          <w:rFonts w:ascii="Times New Roman" w:hAnsi="Times New Roman"/>
          <w:noProof/>
          <w:sz w:val="24"/>
        </w:rPr>
      </w:pPr>
      <w:r>
        <w:rPr>
          <w:rFonts w:ascii="Times New Roman" w:hAnsi="Times New Roman"/>
          <w:noProof/>
          <w:sz w:val="24"/>
        </w:rPr>
        <w:t>Interoperability is a prerequisite for enabling electronic communication and exchange of information between public administrations. This makes it also a prerequisite for achieving a digital single market. Interoperability programmes in the EU have evolved over time. At first, they were concerned with achieving interoperability in particular domains, then with putting in place common infrastructure. More recently, they have started to address interoperability at the semantic level. Governance, compatibility of legal regimes, alignment of business processes and secure access to data sources are some of the issues to be addressed next, to provide fully fledged public services.</w:t>
      </w:r>
    </w:p>
    <w:p>
      <w:pPr>
        <w:pStyle w:val="BodyText"/>
        <w:spacing w:after="200" w:line="312" w:lineRule="auto"/>
        <w:jc w:val="both"/>
        <w:rPr>
          <w:noProof/>
        </w:rPr>
      </w:pPr>
      <w:r>
        <w:rPr>
          <w:rFonts w:ascii="Times New Roman" w:hAnsi="Times New Roman"/>
          <w:noProof/>
          <w:sz w:val="24"/>
        </w:rPr>
        <w:t xml:space="preserve">The EIF promotes electronic communication among European public administrations by providing a set of common models, principles and recommendations. It acknowledges and stresses the fact that interoperability is not only an ICT matter, as it has layers of implications ranging from the legal to the technical. Addressing issues in a holistic approach in all these layers and at different administrative levels from local to EU remains a challenge. The EIF identifies four layers of interoperability challenges (legal, organisational, semantic and technical) at the same time pointing out the essential role of governance to ensure </w:t>
      </w:r>
      <w:r>
        <w:rPr>
          <w:rFonts w:ascii="Times New Roman" w:eastAsia="MS Mincho" w:hAnsi="Times New Roman"/>
          <w:noProof/>
          <w:sz w:val="24"/>
          <w:lang w:eastAsia="ja-JP"/>
        </w:rPr>
        <w:t>coordination of relevant activities across all levels and sectors of administration.</w:t>
      </w:r>
    </w:p>
    <w:p>
      <w:pPr>
        <w:pStyle w:val="BodyText"/>
        <w:spacing w:after="200" w:line="312" w:lineRule="auto"/>
        <w:jc w:val="both"/>
        <w:rPr>
          <w:rFonts w:ascii="Times New Roman" w:hAnsi="Times New Roman"/>
          <w:noProof/>
          <w:sz w:val="24"/>
        </w:rPr>
      </w:pPr>
      <w:r>
        <w:rPr>
          <w:rFonts w:ascii="Times New Roman" w:hAnsi="Times New Roman"/>
          <w:noProof/>
          <w:sz w:val="24"/>
        </w:rPr>
        <w:t>The EIF conceptual model for public services covers the design, planning, development, operation and maintenance of integrated public services at all governmental levels from local to EU level. The principles set out here guide decision-making on establishing interoperable European public services. Moreover, the EIF offers practical tools in the form of a set of actionable recommendations.</w:t>
      </w:r>
    </w:p>
    <w:p>
      <w:pPr>
        <w:pStyle w:val="BodyText"/>
        <w:spacing w:after="200" w:line="312" w:lineRule="auto"/>
        <w:jc w:val="both"/>
        <w:rPr>
          <w:rFonts w:ascii="Times New Roman" w:hAnsi="Times New Roman"/>
          <w:noProof/>
          <w:sz w:val="24"/>
        </w:rPr>
      </w:pPr>
      <w:r>
        <w:rPr>
          <w:rFonts w:ascii="Times New Roman" w:hAnsi="Times New Roman"/>
          <w:noProof/>
          <w:sz w:val="24"/>
        </w:rPr>
        <w:t>The components of the EIF are depicted in Figure 5.</w:t>
      </w:r>
    </w:p>
    <w:p>
      <w:pPr>
        <w:pStyle w:val="Caption"/>
        <w:spacing w:before="0" w:after="120" w:line="312" w:lineRule="auto"/>
        <w:rPr>
          <w:noProof/>
          <w:szCs w:val="20"/>
        </w:rPr>
      </w:pPr>
      <w:bookmarkStart w:id="846" w:name="_Toc469580894"/>
      <w:bookmarkStart w:id="847" w:name="_Toc469902820"/>
      <w:r>
        <w:rPr>
          <w:noProof/>
          <w:szCs w:val="20"/>
        </w:rPr>
        <w:t xml:space="preserve">Figure </w:t>
      </w:r>
      <w:r>
        <w:rPr>
          <w:noProof/>
          <w:szCs w:val="20"/>
        </w:rPr>
        <w:fldChar w:fldCharType="begin"/>
      </w:r>
      <w:r>
        <w:rPr>
          <w:noProof/>
          <w:szCs w:val="20"/>
        </w:rPr>
        <w:instrText xml:space="preserve"> SEQ Figure \* ARABIC </w:instrText>
      </w:r>
      <w:r>
        <w:rPr>
          <w:noProof/>
          <w:szCs w:val="20"/>
        </w:rPr>
        <w:fldChar w:fldCharType="separate"/>
      </w:r>
      <w:r>
        <w:rPr>
          <w:noProof/>
          <w:szCs w:val="20"/>
        </w:rPr>
        <w:t>5</w:t>
      </w:r>
      <w:r>
        <w:rPr>
          <w:noProof/>
          <w:szCs w:val="20"/>
        </w:rPr>
        <w:fldChar w:fldCharType="end"/>
      </w:r>
      <w:r>
        <w:rPr>
          <w:noProof/>
          <w:szCs w:val="20"/>
        </w:rPr>
        <w:t>: EIF conceptual model relations</w:t>
      </w:r>
      <w:bookmarkEnd w:id="846"/>
      <w:bookmarkEnd w:id="847"/>
    </w:p>
    <w:p>
      <w:pPr>
        <w:pStyle w:val="BodyText"/>
        <w:spacing w:after="200" w:line="312" w:lineRule="auto"/>
        <w:jc w:val="both"/>
        <w:rPr>
          <w:rFonts w:ascii="Times New Roman" w:hAnsi="Times New Roman"/>
          <w:noProof/>
          <w:sz w:val="24"/>
        </w:rPr>
      </w:pPr>
      <w:r>
        <w:rPr>
          <w:rFonts w:ascii="Times New Roman" w:hAnsi="Times New Roman"/>
          <w:noProof/>
          <w:sz w:val="24"/>
          <w:lang w:val="en-US" w:eastAsia="en-US"/>
        </w:rPr>
        <w:drawing>
          <wp:inline distT="0" distB="0" distL="0" distR="0">
            <wp:extent cx="5758815" cy="3239135"/>
            <wp:effectExtent l="0" t="0" r="0" b="0"/>
            <wp:docPr id="7" name="Picture 7" descr="C:\Users\gatteco\AppData\Local\Microsoft\Windows\Temporary Internet Files\Content.Outlook\BSE5B81O\SLIDE CE DEF B-N _EIF Conceptual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tteco\AppData\Local\Microsoft\Windows\Temporary Internet Files\Content.Outlook\BSE5B81O\SLIDE CE DEF B-N _EIF Conceptual Mode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8815" cy="3239135"/>
                    </a:xfrm>
                    <a:prstGeom prst="rect">
                      <a:avLst/>
                    </a:prstGeom>
                    <a:noFill/>
                    <a:ln>
                      <a:noFill/>
                    </a:ln>
                  </pic:spPr>
                </pic:pic>
              </a:graphicData>
            </a:graphic>
          </wp:inline>
        </w:drawing>
      </w:r>
    </w:p>
    <w:p>
      <w:pPr>
        <w:pStyle w:val="BodyText"/>
        <w:spacing w:after="200" w:line="312" w:lineRule="auto"/>
        <w:jc w:val="both"/>
        <w:rPr>
          <w:rFonts w:ascii="Times New Roman" w:hAnsi="Times New Roman"/>
          <w:noProof/>
          <w:sz w:val="24"/>
        </w:rPr>
      </w:pPr>
      <w:r>
        <w:rPr>
          <w:rFonts w:ascii="Times New Roman" w:hAnsi="Times New Roman"/>
          <w:noProof/>
          <w:sz w:val="24"/>
        </w:rPr>
        <w:t>The revised EIF is a key instrument for establishing interoperable digital public services at regional, national and EU level, thereby contributing to making the digital single market a reality.</w:t>
      </w:r>
    </w:p>
    <w:p>
      <w:pPr>
        <w:pStyle w:val="Heading1"/>
        <w:pageBreakBefore w:val="0"/>
        <w:numPr>
          <w:ilvl w:val="0"/>
          <w:numId w:val="1"/>
        </w:numPr>
        <w:tabs>
          <w:tab w:val="clear" w:pos="851"/>
          <w:tab w:val="clear" w:pos="2133"/>
        </w:tabs>
        <w:spacing w:after="240" w:line="240" w:lineRule="auto"/>
        <w:ind w:left="567" w:hanging="567"/>
        <w:jc w:val="both"/>
        <w:rPr>
          <w:smallCaps/>
          <w:noProof/>
          <w:kern w:val="0"/>
          <w:lang w:eastAsia="en-US"/>
        </w:rPr>
      </w:pPr>
      <w:bookmarkStart w:id="848" w:name="_Toc438241632"/>
      <w:bookmarkStart w:id="849" w:name="_Toc454189008"/>
      <w:bookmarkStart w:id="850" w:name="_Toc454196257"/>
      <w:bookmarkStart w:id="851" w:name="_Toc469580889"/>
      <w:bookmarkStart w:id="852" w:name="_Toc469902814"/>
      <w:r>
        <w:rPr>
          <w:smallCaps/>
          <w:noProof/>
          <w:kern w:val="0"/>
          <w:lang w:eastAsia="en-US"/>
        </w:rPr>
        <w:t>Annex</w:t>
      </w:r>
      <w:bookmarkEnd w:id="848"/>
      <w:bookmarkEnd w:id="849"/>
      <w:bookmarkEnd w:id="850"/>
      <w:bookmarkEnd w:id="851"/>
      <w:bookmarkEnd w:id="852"/>
    </w:p>
    <w:p>
      <w:pPr>
        <w:pStyle w:val="Heading2"/>
        <w:rPr>
          <w:noProof/>
        </w:rPr>
      </w:pPr>
      <w:bookmarkStart w:id="853" w:name="_Toc219017232"/>
      <w:bookmarkStart w:id="854" w:name="_Toc438241633"/>
      <w:bookmarkStart w:id="855" w:name="_Toc454189009"/>
      <w:bookmarkStart w:id="856" w:name="_Toc454196258"/>
      <w:bookmarkStart w:id="857" w:name="_Toc469580890"/>
      <w:bookmarkStart w:id="858" w:name="_Toc469902815"/>
      <w:r>
        <w:rPr>
          <w:noProof/>
        </w:rPr>
        <w:t>Abbreviations</w:t>
      </w:r>
      <w:bookmarkEnd w:id="853"/>
      <w:bookmarkEnd w:id="854"/>
      <w:bookmarkEnd w:id="855"/>
      <w:bookmarkEnd w:id="856"/>
      <w:bookmarkEnd w:id="857"/>
      <w:bookmarkEnd w:id="858"/>
    </w:p>
    <w:tbl>
      <w:tblPr>
        <w:tblW w:w="92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80" w:firstRow="0" w:lastRow="0" w:firstColumn="1" w:lastColumn="0" w:noHBand="0" w:noVBand="0"/>
      </w:tblPr>
      <w:tblGrid>
        <w:gridCol w:w="1550"/>
        <w:gridCol w:w="7738"/>
      </w:tblGrid>
      <w:tr>
        <w:tc>
          <w:tcPr>
            <w:tcW w:w="1550" w:type="dxa"/>
            <w:shd w:val="clear" w:color="auto" w:fill="1F3864" w:themeFill="accent5" w:themeFillShade="80"/>
            <w:tcMar>
              <w:top w:w="113" w:type="dxa"/>
              <w:bottom w:w="113" w:type="dxa"/>
            </w:tcMar>
            <w:vAlign w:val="center"/>
          </w:tcPr>
          <w:p>
            <w:pPr>
              <w:pStyle w:val="BodyText"/>
              <w:rPr>
                <w:rFonts w:ascii="Times New Roman" w:eastAsia="MS Mincho" w:hAnsi="Times New Roman"/>
                <w:noProof/>
                <w:color w:val="FFFFFF" w:themeColor="background1"/>
                <w:sz w:val="24"/>
              </w:rPr>
            </w:pPr>
            <w:r>
              <w:rPr>
                <w:rFonts w:ascii="Times New Roman" w:eastAsia="MS Mincho" w:hAnsi="Times New Roman"/>
                <w:noProof/>
                <w:color w:val="FFFFFF" w:themeColor="background1"/>
                <w:sz w:val="24"/>
              </w:rPr>
              <w:t>Abbreviation</w:t>
            </w:r>
          </w:p>
        </w:tc>
        <w:tc>
          <w:tcPr>
            <w:tcW w:w="7738" w:type="dxa"/>
            <w:shd w:val="clear" w:color="auto" w:fill="1F3864" w:themeFill="accent5" w:themeFillShade="80"/>
            <w:tcMar>
              <w:top w:w="113" w:type="dxa"/>
              <w:bottom w:w="113" w:type="dxa"/>
            </w:tcMar>
            <w:vAlign w:val="center"/>
          </w:tcPr>
          <w:p>
            <w:pPr>
              <w:pStyle w:val="BodyText"/>
              <w:rPr>
                <w:rFonts w:ascii="Times New Roman" w:eastAsia="MS Mincho" w:hAnsi="Times New Roman"/>
                <w:noProof/>
                <w:color w:val="FFFFFF" w:themeColor="background1"/>
                <w:sz w:val="24"/>
              </w:rPr>
            </w:pPr>
            <w:r>
              <w:rPr>
                <w:rFonts w:ascii="Times New Roman" w:eastAsia="MS Mincho" w:hAnsi="Times New Roman"/>
                <w:noProof/>
                <w:color w:val="FFFFFF" w:themeColor="background1"/>
                <w:sz w:val="24"/>
              </w:rPr>
              <w:t>Meaning</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A2A </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Administration to administration</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A2B </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Administration to business</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A2C </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Administration to citizen</w:t>
            </w:r>
          </w:p>
        </w:tc>
      </w:tr>
      <w:tr>
        <w:tc>
          <w:tcPr>
            <w:tcW w:w="1550" w:type="dxa"/>
            <w:tcMar>
              <w:top w:w="113" w:type="dxa"/>
              <w:bottom w:w="113" w:type="dxa"/>
            </w:tcMar>
            <w:vAlign w:val="center"/>
          </w:tcPr>
          <w:p>
            <w:pPr>
              <w:pStyle w:val="BodyText"/>
              <w:rPr>
                <w:rFonts w:ascii="Times New Roman" w:eastAsia="MS Mincho" w:hAnsi="Times New Roman"/>
                <w:i/>
                <w:noProof/>
                <w:sz w:val="24"/>
              </w:rPr>
            </w:pPr>
            <w:r>
              <w:rPr>
                <w:rFonts w:ascii="Times New Roman" w:eastAsia="MS Mincho" w:hAnsi="Times New Roman"/>
                <w:noProof/>
                <w:sz w:val="24"/>
              </w:rPr>
              <w:t>DIF</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Domain-specific interoperability framework</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DSM</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Digital single market</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EC</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European Commission</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EIC</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European interoperability cartography</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EIF</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European interoperability framework</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EIRA</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European interoperability reference architecture</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EU</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European Union</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EUPL</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European Union public licence</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ICT</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Information and communication technology</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INSPIRE</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Directive 2007/2/EC of the European Parliament and of the Council of 14 March 2007 establishing an Infrastructure for Spatial Information in the European Community (INSPIRE)</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ISA</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Interoperability solutions for European public administrations</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ISA²</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Interoperability solutions and common frameworks for European public administrations, business and citizens</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MoU</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Memorandum of understanding</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MS</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Member State</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NIF</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National interoperability framework</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NIFO</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National Interoperability Framework Observatory</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PSI</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Public sector information</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SLA</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Service level agreement</w:t>
            </w:r>
          </w:p>
        </w:tc>
      </w:tr>
      <w:tr>
        <w:tc>
          <w:tcPr>
            <w:tcW w:w="1550"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SOA</w:t>
            </w:r>
          </w:p>
        </w:tc>
        <w:tc>
          <w:tcPr>
            <w:tcW w:w="7738" w:type="dxa"/>
            <w:tcMar>
              <w:top w:w="113" w:type="dxa"/>
              <w:bottom w:w="113" w:type="dxa"/>
            </w:tcMar>
            <w:vAlign w:val="center"/>
          </w:tcPr>
          <w:p>
            <w:pPr>
              <w:pStyle w:val="BodyText"/>
              <w:rPr>
                <w:rFonts w:ascii="Times New Roman" w:eastAsia="MS Mincho" w:hAnsi="Times New Roman"/>
                <w:noProof/>
                <w:sz w:val="24"/>
              </w:rPr>
            </w:pPr>
            <w:r>
              <w:rPr>
                <w:rFonts w:ascii="Times New Roman" w:eastAsia="MS Mincho" w:hAnsi="Times New Roman"/>
                <w:noProof/>
                <w:sz w:val="24"/>
              </w:rPr>
              <w:t>Service-oriented architecture</w:t>
            </w:r>
          </w:p>
        </w:tc>
      </w:tr>
    </w:tbl>
    <w:p>
      <w:pPr>
        <w:pStyle w:val="Heading2"/>
        <w:numPr>
          <w:ilvl w:val="0"/>
          <w:numId w:val="0"/>
        </w:numPr>
        <w:ind w:left="1285"/>
        <w:rPr>
          <w:noProof/>
        </w:rPr>
      </w:pPr>
    </w:p>
    <w:sectPr>
      <w:headerReference w:type="even" r:id="rId25"/>
      <w:headerReference w:type="default" r:id="rId26"/>
      <w:footerReference w:type="even" r:id="rId27"/>
      <w:footerReference w:type="default" r:id="rId28"/>
      <w:headerReference w:type="first" r:id="rId29"/>
      <w:footerReference w:type="first" r:id="rId30"/>
      <w:type w:val="continuous"/>
      <w:pgSz w:w="11905" w:h="16837" w:code="9"/>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Univers for KPMG">
    <w:altName w:val="Trebuchet MS"/>
    <w:charset w:val="00"/>
    <w:family w:val="swiss"/>
    <w:pitch w:val="variable"/>
    <w:sig w:usb0="00000001" w:usb1="5000204A"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rbel">
    <w:panose1 w:val="020B0503020204020204"/>
    <w:charset w:val="00"/>
    <w:family w:val="swiss"/>
    <w:pitch w:val="variable"/>
    <w:sig w:usb0="A00002EF" w:usb1="4000A44B" w:usb2="00000000" w:usb3="00000000" w:csb0="0000019F" w:csb1="00000000"/>
  </w:font>
  <w:font w:name="GAAAAA+TimesNewRomanPSMT">
    <w:altName w:val="Times New Roman"/>
    <w:charset w:val="00"/>
    <w:family w:val="auto"/>
    <w:pitch w:val="default"/>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framePr w:wrap="around" w:vAnchor="text" w:hAnchor="margin" w:xAlign="right" w:y="1"/>
    </w:pPr>
    <w:r>
      <w:fldChar w:fldCharType="begin"/>
    </w:r>
    <w:r>
      <w:instrText xml:space="preserve">PAGE  </w:instrText>
    </w:r>
    <w:r>
      <w:fldChar w:fldCharType="end"/>
    </w:r>
  </w:p>
  <w:p>
    <w:pP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709475"/>
      <w:docPartObj>
        <w:docPartGallery w:val="Page Numbers (Bottom of Page)"/>
        <w:docPartUnique/>
      </w:docPartObj>
    </w:sdtPr>
    <w:sdtContent>
      <w:p>
        <w:pPr>
          <w:jc w:val="center"/>
        </w:pPr>
        <w:r>
          <w:fldChar w:fldCharType="begin"/>
        </w:r>
        <w:r>
          <w:instrText xml:space="preserve"> PAGE   \* MERGEFORMAT </w:instrText>
        </w:r>
        <w:r>
          <w:fldChar w:fldCharType="separate"/>
        </w:r>
        <w:r>
          <w:rPr>
            <w:noProof/>
          </w:rPr>
          <w:t>3</w:t>
        </w:r>
        <w:r>
          <w:fldChar w:fldCharType="end"/>
        </w:r>
      </w:p>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jc w:val="center"/>
        <w:rPr>
          <w:color w:val="0070C0"/>
        </w:rPr>
      </w:pPr>
      <w:r>
        <w:rPr>
          <w:color w:val="0070C0"/>
        </w:rPr>
        <w:separator/>
      </w:r>
      <w:r>
        <w:rPr>
          <w:color w:val="0070C0"/>
        </w:rPr>
        <w:separator/>
      </w:r>
    </w:p>
  </w:footnote>
  <w:footnote w:type="continuationSeparator" w:id="0">
    <w:p>
      <w:r>
        <w:continuationSeparator/>
      </w:r>
    </w:p>
  </w:footnote>
  <w:footnote w:id="1">
    <w:p>
      <w:pPr>
        <w:pStyle w:val="FootnoteText"/>
        <w:ind w:left="0" w:firstLine="0"/>
        <w:jc w:val="both"/>
      </w:pPr>
      <w:r>
        <w:rPr>
          <w:rStyle w:val="FootnoteReference"/>
        </w:rPr>
        <w:footnoteRef/>
      </w:r>
      <w:r>
        <w:t xml:space="preserve"> </w:t>
      </w:r>
      <w:hyperlink r:id="rId1" w:history="1">
        <w:r>
          <w:t>COM(2015) 192 final, Communication from the Commission to the European Parliament, the Council, the European Economic and Social Committee and the Committee of the Regions - A Digital Single Market Strategy for Europe, Brussels, 06.05.2015.</w:t>
        </w:r>
      </w:hyperlink>
    </w:p>
  </w:footnote>
  <w:footnote w:id="2">
    <w:p>
      <w:pPr>
        <w:pStyle w:val="FootnoteText"/>
        <w:tabs>
          <w:tab w:val="left" w:pos="0"/>
        </w:tabs>
        <w:ind w:left="0" w:firstLine="0"/>
      </w:pPr>
      <w:r>
        <w:rPr>
          <w:vertAlign w:val="superscript"/>
        </w:rPr>
        <w:footnoteRef/>
      </w:r>
      <w:r>
        <w:t xml:space="preserve"> ‘Organisations’ here means public administration units or any entity acting on their behalf, or EU institutions or bodies.</w:t>
      </w:r>
    </w:p>
  </w:footnote>
  <w:footnote w:id="3">
    <w:p>
      <w:pPr>
        <w:pStyle w:val="FootnoteText"/>
        <w:tabs>
          <w:tab w:val="left" w:pos="0"/>
        </w:tabs>
        <w:ind w:left="0" w:firstLine="0"/>
      </w:pPr>
      <w:r>
        <w:rPr>
          <w:vertAlign w:val="superscript"/>
        </w:rPr>
        <w:footnoteRef/>
      </w:r>
      <w:r>
        <w:t xml:space="preserve"> Established by Decision (EU) 2015/2240 of the European Parliament and of the Council of 25 November 2015.</w:t>
      </w:r>
    </w:p>
  </w:footnote>
  <w:footnote w:id="4">
    <w:p>
      <w:pPr>
        <w:pStyle w:val="FootnoteText"/>
        <w:tabs>
          <w:tab w:val="left" w:pos="0"/>
        </w:tabs>
        <w:ind w:left="0" w:firstLine="0"/>
      </w:pPr>
      <w:r>
        <w:rPr>
          <w:vertAlign w:val="superscript"/>
        </w:rPr>
        <w:footnoteRef/>
      </w:r>
      <w:r>
        <w:t xml:space="preserve"> </w:t>
      </w:r>
      <w:hyperlink r:id="rId2" w:history="1">
        <w:r>
          <w:rPr>
            <w:rStyle w:val="Hyperlink"/>
          </w:rPr>
          <w:t>http://eur-lex.europa.eu/legal-content/EN/TXT/PDF/?uri=CELEX:12012E/TXT&amp;from=EN</w:t>
        </w:r>
      </w:hyperlink>
      <w:r>
        <w:t>.</w:t>
      </w:r>
    </w:p>
  </w:footnote>
  <w:footnote w:id="5">
    <w:p>
      <w:pPr>
        <w:pStyle w:val="FootnoteText"/>
        <w:ind w:left="0" w:firstLine="0"/>
      </w:pPr>
      <w:r>
        <w:rPr>
          <w:vertAlign w:val="superscript"/>
        </w:rPr>
        <w:footnoteRef/>
      </w:r>
      <w:r>
        <w:t xml:space="preserve"> For example Directive 2007/2/EC establishing an Infrastructure for Spatial Information in the European Community (INSPIRE), and the relevant implementing regulations and guidelines.</w:t>
      </w:r>
    </w:p>
  </w:footnote>
  <w:footnote w:id="6">
    <w:p>
      <w:pPr>
        <w:pStyle w:val="FootnoteText"/>
        <w:ind w:left="0" w:firstLine="0"/>
      </w:pPr>
      <w:r>
        <w:rPr>
          <w:vertAlign w:val="superscript"/>
        </w:rPr>
        <w:footnoteRef/>
      </w:r>
      <w:r>
        <w:t xml:space="preserve"> The principles remain practically the same as in the previous EIF. Their grouping and the exact scope of each recommendation have been updated to reflect recent policy and technical development.</w:t>
      </w:r>
    </w:p>
  </w:footnote>
  <w:footnote w:id="7">
    <w:p>
      <w:pPr>
        <w:pStyle w:val="FootnoteText"/>
        <w:ind w:left="0" w:firstLine="0"/>
      </w:pPr>
      <w:r>
        <w:rPr>
          <w:vertAlign w:val="superscript"/>
        </w:rPr>
        <w:footnoteRef/>
      </w:r>
      <w:r>
        <w:t xml:space="preserve"> Directive 2003/98/EC and as revised by Directive 2013/37/EU.</w:t>
      </w:r>
    </w:p>
  </w:footnote>
  <w:footnote w:id="8">
    <w:p>
      <w:pPr>
        <w:pStyle w:val="FootnoteText"/>
        <w:ind w:left="0" w:firstLine="0"/>
        <w:rPr>
          <w:rStyle w:val="FootnoteReference"/>
          <w:vertAlign w:val="baseline"/>
        </w:rPr>
      </w:pPr>
      <w:r>
        <w:rPr>
          <w:rStyle w:val="FootnoteReference"/>
        </w:rPr>
        <w:footnoteRef/>
      </w:r>
      <w:r>
        <w:rPr>
          <w:rStyle w:val="FootnoteReference"/>
          <w:vertAlign w:val="baseline"/>
        </w:rPr>
        <w:t xml:space="preserve"> Directive 2007/2/EC establishing an Infrastructure for Spatial Information in the European Community (INSPIRE). The recent REFIT evaluation (COM(2016)478 and SWD(2016)273) has shown that there are still serious obstacles to the principle of openness throughout the EU.</w:t>
      </w:r>
    </w:p>
  </w:footnote>
  <w:footnote w:id="9">
    <w:p>
      <w:pPr>
        <w:pStyle w:val="FootnoteText"/>
        <w:ind w:left="0" w:firstLine="0"/>
      </w:pPr>
      <w:r>
        <w:rPr>
          <w:vertAlign w:val="superscript"/>
        </w:rPr>
        <w:footnoteRef/>
      </w:r>
      <w:r>
        <w:t xml:space="preserve"> FRAND: fair, reasonable and non-discriminatory.</w:t>
      </w:r>
    </w:p>
  </w:footnote>
  <w:footnote w:id="10">
    <w:p>
      <w:pPr>
        <w:pStyle w:val="FootnoteText"/>
        <w:ind w:left="0" w:firstLine="0"/>
      </w:pPr>
      <w:r>
        <w:rPr>
          <w:vertAlign w:val="superscript"/>
        </w:rPr>
        <w:footnoteRef/>
      </w:r>
      <w:r>
        <w:t xml:space="preserve"> This fosters competition since providers working under various business models may compete to deliver products, technologies and services based on such specifications.</w:t>
      </w:r>
    </w:p>
  </w:footnote>
  <w:footnote w:id="11">
    <w:p>
      <w:pPr>
        <w:pStyle w:val="FootnoteText"/>
        <w:ind w:left="0" w:firstLine="0"/>
      </w:pPr>
      <w:r>
        <w:rPr>
          <w:vertAlign w:val="superscript"/>
        </w:rPr>
        <w:footnoteRef/>
      </w:r>
      <w:r>
        <w:t xml:space="preserve"> For example, with the establishment of the Digital Single Gateway, a DSM action.</w:t>
      </w:r>
    </w:p>
  </w:footnote>
  <w:footnote w:id="12">
    <w:p>
      <w:pPr>
        <w:pStyle w:val="FootnoteText"/>
        <w:ind w:left="0" w:firstLine="0"/>
      </w:pPr>
      <w:r>
        <w:rPr>
          <w:vertAlign w:val="superscript"/>
        </w:rPr>
        <w:footnoteRef/>
      </w:r>
      <w:r>
        <w:t xml:space="preserve"> </w:t>
      </w:r>
      <w:hyperlink r:id="rId3" w:history="1">
        <w:r>
          <w:rPr>
            <w:rStyle w:val="Hyperlink"/>
          </w:rPr>
          <w:t>https://joinup.ec.europa.eu/community/isa/document/sharing-and-reuse-framework-fostering-collaboration-among-public-administrati</w:t>
        </w:r>
      </w:hyperlink>
      <w:r>
        <w:t xml:space="preserve"> </w:t>
      </w:r>
    </w:p>
  </w:footnote>
  <w:footnote w:id="13">
    <w:p>
      <w:pPr>
        <w:pStyle w:val="FootnoteText"/>
        <w:ind w:left="0" w:firstLine="0"/>
      </w:pPr>
      <w:r>
        <w:rPr>
          <w:vertAlign w:val="superscript"/>
        </w:rPr>
        <w:footnoteRef/>
      </w:r>
      <w:r>
        <w:t>At EU level, the Joinup platform (</w:t>
      </w:r>
      <w:hyperlink r:id="rId4" w:history="1">
        <w:r>
          <w:rPr>
            <w:rStyle w:val="Hyperlink"/>
          </w:rPr>
          <w:t>https://joinup.ec.europa.eu/</w:t>
        </w:r>
      </w:hyperlink>
      <w:r>
        <w:t>) has been set up to share open source software components, semantic assets, building blocks and best practices. The European Commission has also introduced the EUPL licence to encourage sharing of software components.</w:t>
      </w:r>
    </w:p>
  </w:footnote>
  <w:footnote w:id="14">
    <w:p>
      <w:pPr>
        <w:pStyle w:val="FootnoteText"/>
        <w:ind w:left="0" w:firstLine="0"/>
      </w:pPr>
      <w:r>
        <w:rPr>
          <w:vertAlign w:val="superscript"/>
        </w:rPr>
        <w:footnoteRef/>
      </w:r>
      <w:r>
        <w:t xml:space="preserve"> Directive (EU) 2016/2102 of the European Parliament and of the Council of 26 October 2016 on the accessibility of websites and mobile applications of public sector bodies, and work launched by the Commission on a ‘European Accessibility Act’.</w:t>
      </w:r>
    </w:p>
  </w:footnote>
  <w:footnote w:id="15">
    <w:p>
      <w:pPr>
        <w:pStyle w:val="FootnoteText"/>
        <w:ind w:left="0" w:firstLine="0"/>
      </w:pPr>
      <w:r>
        <w:rPr>
          <w:vertAlign w:val="superscript"/>
        </w:rPr>
        <w:footnoteRef/>
      </w:r>
      <w:r>
        <w:t xml:space="preserve"> See also EC standardisation mandate No 376 on the development of European standards for public procurement of accessible ICT products and services.</w:t>
      </w:r>
    </w:p>
  </w:footnote>
  <w:footnote w:id="16">
    <w:p>
      <w:pPr>
        <w:pStyle w:val="FootnoteText"/>
        <w:ind w:left="0" w:firstLine="0"/>
      </w:pPr>
      <w:r>
        <w:rPr>
          <w:vertAlign w:val="superscript"/>
          <w:lang w:eastAsia="ar-SA"/>
        </w:rPr>
        <w:footnoteRef/>
      </w:r>
      <w:r>
        <w:rPr>
          <w:lang w:eastAsia="ar-SA"/>
        </w:rPr>
        <w:t xml:space="preserve"> Regulation (EU) 2016/679 of the European Parliament and of the Council of 27 April 2016 on the protection of natural persons with regard to the processing of personal data and on the free movement of such data.</w:t>
      </w:r>
      <w:r>
        <w:rPr>
          <w:vertAlign w:val="superscript"/>
        </w:rPr>
        <w:br/>
      </w:r>
      <w:r>
        <w:t>Directive (EU) 2016/680 of the European Parliament and of the Council of 27 April 2016 on the protection of natural persons with regard to the processing of personal data by competent authorities for the purposes of the prevention, investigation, detection or prosecution of criminal offences or the execution of criminal penalties.</w:t>
      </w:r>
    </w:p>
  </w:footnote>
  <w:footnote w:id="17">
    <w:p>
      <w:pPr>
        <w:pStyle w:val="FootnoteText"/>
        <w:ind w:left="0" w:firstLine="0"/>
      </w:pPr>
      <w:r>
        <w:rPr>
          <w:vertAlign w:val="superscript"/>
        </w:rPr>
        <w:footnoteRef/>
      </w:r>
      <w:r>
        <w:t xml:space="preserve"> Regulation (EU) 910/2014 on electronic identification and trust services for electronic transactions in the internal market</w:t>
      </w:r>
      <w:r>
        <w:rPr>
          <w:b/>
        </w:rPr>
        <w:t>.</w:t>
      </w:r>
    </w:p>
  </w:footnote>
  <w:footnote w:id="18">
    <w:p>
      <w:pPr>
        <w:pStyle w:val="FootnoteText"/>
        <w:ind w:left="0" w:firstLine="0"/>
      </w:pPr>
      <w:r>
        <w:rPr>
          <w:vertAlign w:val="superscript"/>
        </w:rPr>
        <w:footnoteRef/>
      </w:r>
      <w:r>
        <w:t xml:space="preserve"> As defined by the second version of the model requirements for the management of electronic records (MoReq2): a record is ‘information created, received, and maintained as evidence and information by an organisation or person, in pursuance of legal obligations or in the transaction of businesses.</w:t>
      </w:r>
    </w:p>
  </w:footnote>
  <w:footnote w:id="19">
    <w:p>
      <w:pPr>
        <w:pStyle w:val="FootnoteText"/>
        <w:ind w:left="0" w:firstLine="0"/>
      </w:pPr>
      <w:r>
        <w:rPr>
          <w:vertAlign w:val="superscript"/>
        </w:rPr>
        <w:footnoteRef/>
      </w:r>
      <w:r>
        <w:t xml:space="preserve"> e.g. cloud computing, Internet of Things, big data, and software-as-a-service.</w:t>
      </w:r>
    </w:p>
  </w:footnote>
  <w:footnote w:id="20">
    <w:p>
      <w:pPr>
        <w:pStyle w:val="FootnoteText"/>
        <w:ind w:left="0" w:firstLine="0"/>
      </w:pPr>
      <w:r>
        <w:rPr>
          <w:vertAlign w:val="superscript"/>
        </w:rPr>
        <w:footnoteRef/>
      </w:r>
      <w:r>
        <w:t xml:space="preserve"> Article 1 of the INSPIRE Directive restricts its scope to ‘the purposes of Community environmental policies or activities which may have an impact on the environment’.</w:t>
      </w:r>
    </w:p>
  </w:footnote>
  <w:footnote w:id="21">
    <w:p>
      <w:pPr>
        <w:pStyle w:val="FootnoteText"/>
        <w:ind w:left="0" w:firstLine="0"/>
      </w:pPr>
      <w:r>
        <w:rPr>
          <w:vertAlign w:val="superscript"/>
        </w:rPr>
        <w:footnoteRef/>
      </w:r>
      <w:r>
        <w:t xml:space="preserve"> The ISA² programme is an example of such political support.</w:t>
      </w:r>
    </w:p>
  </w:footnote>
  <w:footnote w:id="22">
    <w:p>
      <w:pPr>
        <w:pStyle w:val="FootnoteText"/>
        <w:ind w:left="0" w:firstLine="0"/>
      </w:pPr>
      <w:r>
        <w:rPr>
          <w:vertAlign w:val="superscript"/>
        </w:rPr>
        <w:footnoteRef/>
      </w:r>
      <w:r>
        <w:t xml:space="preserve"> See for example the Report from the Commission to the Council and the European Parliament on the implementation of Directive 2007/2/EC of March 2007 establishing an Infrastructure for Spatial Information in the European Community (INSPIRE) pursuant to Article 23, 2016.</w:t>
      </w:r>
    </w:p>
  </w:footnote>
  <w:footnote w:id="23">
    <w:p>
      <w:pPr>
        <w:pStyle w:val="FootnoteText"/>
        <w:ind w:left="0" w:firstLine="0"/>
      </w:pPr>
      <w:r>
        <w:rPr>
          <w:vertAlign w:val="superscript"/>
        </w:rPr>
        <w:footnoteRef/>
      </w:r>
      <w:r>
        <w:t xml:space="preserve"> For example the common assessment method for standards and specifications (CAMSS) developed in the context of the ISA programme.</w:t>
      </w:r>
    </w:p>
  </w:footnote>
  <w:footnote w:id="24">
    <w:p>
      <w:pPr>
        <w:pStyle w:val="FootnoteText"/>
        <w:ind w:left="0" w:firstLine="0"/>
      </w:pPr>
      <w:r>
        <w:rPr>
          <w:vertAlign w:val="superscript"/>
        </w:rPr>
        <w:footnoteRef/>
      </w:r>
      <w:r>
        <w:t xml:space="preserve"> Compliance models could include options like mandatory, comply-or-explain, good-to-have, optional, etc.</w:t>
      </w:r>
    </w:p>
  </w:footnote>
  <w:footnote w:id="25">
    <w:p>
      <w:pPr>
        <w:pStyle w:val="FootnoteText"/>
        <w:ind w:left="0" w:firstLine="0"/>
      </w:pPr>
      <w:r>
        <w:rPr>
          <w:vertAlign w:val="superscript"/>
        </w:rPr>
        <w:footnoteRef/>
      </w:r>
      <w:r>
        <w:t xml:space="preserve"> For example the asset description metadata schema (ADMS) developed in the context of the ISA programme.</w:t>
      </w:r>
    </w:p>
  </w:footnote>
  <w:footnote w:id="26">
    <w:p>
      <w:pPr>
        <w:pStyle w:val="FootnoteText"/>
        <w:ind w:left="0" w:firstLine="0"/>
      </w:pPr>
      <w:r>
        <w:rPr>
          <w:vertAlign w:val="superscript"/>
        </w:rPr>
        <w:footnoteRef/>
      </w:r>
      <w:r>
        <w:t xml:space="preserve"> A ‘building block’ is a self-contained, interoperable and replaceable unit encapsulating an internal structure.</w:t>
      </w:r>
    </w:p>
  </w:footnote>
  <w:footnote w:id="27">
    <w:p>
      <w:pPr>
        <w:pStyle w:val="FootnoteText"/>
        <w:ind w:left="0" w:firstLine="0"/>
      </w:pPr>
      <w:r>
        <w:rPr>
          <w:vertAlign w:val="superscript"/>
        </w:rPr>
        <w:footnoteRef/>
      </w:r>
      <w:r>
        <w:t xml:space="preserve"> For example the Eurovoc thesaurus and the European skills, competence and occupations (ESCO) taxonomy. </w:t>
      </w:r>
    </w:p>
  </w:footnote>
  <w:footnote w:id="28">
    <w:p>
      <w:pPr>
        <w:pStyle w:val="FootnoteText"/>
        <w:ind w:left="0" w:firstLine="0"/>
      </w:pPr>
      <w:r>
        <w:rPr>
          <w:vertAlign w:val="superscript"/>
        </w:rPr>
        <w:footnoteRef/>
      </w:r>
      <w:r>
        <w:t xml:space="preserve"> The core person, core business, core location and core public service developed by the ISA Programme are examples of cross-sector, reusable data models.</w:t>
      </w:r>
    </w:p>
  </w:footnote>
  <w:footnote w:id="29">
    <w:p>
      <w:pPr>
        <w:pStyle w:val="FootnoteText"/>
        <w:ind w:left="0" w:firstLine="0"/>
        <w:rPr>
          <w:rFonts w:asciiTheme="minorHAnsi" w:hAnsiTheme="minorHAnsi"/>
        </w:rPr>
      </w:pPr>
      <w:r>
        <w:rPr>
          <w:vertAlign w:val="superscript"/>
        </w:rPr>
        <w:footnoteRef/>
      </w:r>
      <w:r>
        <w:t xml:space="preserve"> Peristeras V., ‘Semantic Standards: Preventing Waste in the Information Industry’, IEEE Intelligent Systems, No 4, July-Aug. 2013, vol. 28, pp: 72-75.</w:t>
      </w:r>
    </w:p>
  </w:footnote>
  <w:footnote w:id="30">
    <w:p>
      <w:pPr>
        <w:pStyle w:val="FootnoteText"/>
        <w:ind w:left="0" w:firstLine="0"/>
      </w:pPr>
      <w:r>
        <w:rPr>
          <w:vertAlign w:val="superscript"/>
        </w:rPr>
        <w:footnoteRef/>
      </w:r>
      <w:r>
        <w:t xml:space="preserve"> Service oriented architecture (SOA) is an implementation of that concept.</w:t>
      </w:r>
    </w:p>
  </w:footnote>
  <w:footnote w:id="31">
    <w:p>
      <w:pPr>
        <w:pStyle w:val="FootnoteText"/>
        <w:ind w:left="0" w:firstLine="0"/>
        <w:rPr>
          <w:rFonts w:asciiTheme="minorHAnsi" w:hAnsiTheme="minorHAnsi"/>
          <w:sz w:val="18"/>
          <w:szCs w:val="18"/>
        </w:rPr>
      </w:pPr>
      <w:r>
        <w:rPr>
          <w:vertAlign w:val="superscript"/>
        </w:rPr>
        <w:footnoteRef/>
      </w:r>
      <w:r>
        <w:t xml:space="preserve"> The interoperability maturity model (IMM) developed in the context of the ISA programme can be used to assess a service’s readiness for interoperability.</w:t>
      </w:r>
    </w:p>
  </w:footnote>
  <w:footnote w:id="32">
    <w:p>
      <w:pPr>
        <w:pStyle w:val="FootnoteText"/>
        <w:ind w:left="0" w:firstLine="0"/>
      </w:pPr>
      <w:r>
        <w:rPr>
          <w:vertAlign w:val="superscript"/>
        </w:rPr>
        <w:footnoteRef/>
      </w:r>
      <w:r>
        <w:t xml:space="preserve"> For example the European interoperability reference Architecture (EIRA).</w:t>
      </w:r>
    </w:p>
  </w:footnote>
  <w:footnote w:id="33">
    <w:p>
      <w:pPr>
        <w:pStyle w:val="FootnoteText"/>
        <w:ind w:left="0" w:firstLine="0"/>
      </w:pPr>
      <w:r>
        <w:rPr>
          <w:vertAlign w:val="superscript"/>
        </w:rPr>
        <w:footnoteRef/>
      </w:r>
      <w:r>
        <w:t xml:space="preserve"> At European level, the European interoperability cartography (EIC), available via the Joinup platform, is a valuable tool for identifying reusable interoperability solutions.</w:t>
      </w:r>
    </w:p>
  </w:footnote>
  <w:footnote w:id="34">
    <w:p>
      <w:pPr>
        <w:pStyle w:val="FootnoteText"/>
        <w:ind w:left="0" w:firstLine="0"/>
      </w:pPr>
      <w:r>
        <w:rPr>
          <w:vertAlign w:val="superscript"/>
        </w:rPr>
        <w:footnoteRef/>
      </w:r>
      <w:r>
        <w:t xml:space="preserve"> For example those included in the DCAT-AP specification developed in the context of the ISA programme.</w:t>
      </w:r>
    </w:p>
  </w:footnote>
  <w:footnote w:id="35">
    <w:p>
      <w:pPr>
        <w:pStyle w:val="FootnoteText"/>
        <w:ind w:left="0" w:firstLine="0"/>
      </w:pPr>
      <w:r>
        <w:rPr>
          <w:vertAlign w:val="superscript"/>
        </w:rPr>
        <w:footnoteRef/>
      </w:r>
      <w:r>
        <w:t xml:space="preserve"> The DCAT-AP, the Core Public Service Vocabulary and the Asset Description Metadata Schema are examples of specifications used to describe open data, public services and interoperability solutions respectively. For example: GeoDCAT-AP is an extension of DCAT-AP for describing geospatial datasets, dataset series, and services. It provides an RDF syntax binding for the union of metadata elements defined in the core profile of ISO 19115:2003 and those defined in the framework of the INSPIRE Directive.</w:t>
      </w:r>
    </w:p>
  </w:footnote>
  <w:footnote w:id="36">
    <w:p>
      <w:pPr>
        <w:pStyle w:val="FootnoteText"/>
        <w:rPr>
          <w:lang w:val="en-US"/>
        </w:rPr>
      </w:pPr>
      <w:r>
        <w:rPr>
          <w:rStyle w:val="FootnoteReference"/>
        </w:rPr>
        <w:footnoteRef/>
      </w:r>
      <w:r>
        <w:t xml:space="preserve"> Regulation (EU) No 910/ 2014.</w:t>
      </w:r>
      <w:r>
        <w:rPr>
          <w:b/>
          <w:sz w:val="24"/>
          <w:lang w:eastAsia="ar-SA"/>
        </w:rPr>
        <w:t xml:space="preserve"> </w:t>
      </w:r>
    </w:p>
  </w:footnote>
  <w:footnote w:id="37">
    <w:p>
      <w:pPr>
        <w:pStyle w:val="FootnoteText"/>
        <w:ind w:left="0" w:firstLine="0"/>
        <w:rPr>
          <w:i/>
        </w:rPr>
      </w:pPr>
      <w:r>
        <w:rPr>
          <w:vertAlign w:val="superscript"/>
        </w:rPr>
        <w:footnoteRef/>
      </w:r>
      <w:r>
        <w:t xml:space="preserve"> For example the TestaNG secured network.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lang w:eastAsia="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456.65pt;height:182.65pt;rotation:315;z-index:-251640832;mso-position-horizontal:center;mso-position-horizontal-relative:margin;mso-position-vertical:center;mso-position-vertical-relative:margin" o:allowincell="f" fillcolor="#e7e6e6 [3214]"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lang w:eastAsia="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56.65pt;height:182.65pt;rotation:315;z-index:-251642880;mso-position-horizontal:center;mso-position-horizontal-relative:margin;mso-position-vertical:center;mso-position-vertical-relative:margin" o:allowincell="f" fillcolor="#e7e6e6 [32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4BE5A82"/>
    <w:lvl w:ilvl="0">
      <w:start w:val="1"/>
      <w:numFmt w:val="decimal"/>
      <w:lvlText w:val="%1."/>
      <w:lvlJc w:val="left"/>
      <w:pPr>
        <w:tabs>
          <w:tab w:val="num" w:pos="1492"/>
        </w:tabs>
        <w:ind w:left="1492" w:hanging="360"/>
      </w:pPr>
    </w:lvl>
  </w:abstractNum>
  <w:abstractNum w:abstractNumId="1">
    <w:nsid w:val="FFFFFF7D"/>
    <w:multiLevelType w:val="singleLevel"/>
    <w:tmpl w:val="8E307498"/>
    <w:lvl w:ilvl="0">
      <w:start w:val="1"/>
      <w:numFmt w:val="decimal"/>
      <w:lvlText w:val="%1."/>
      <w:lvlJc w:val="left"/>
      <w:pPr>
        <w:tabs>
          <w:tab w:val="num" w:pos="1209"/>
        </w:tabs>
        <w:ind w:left="1209" w:hanging="360"/>
      </w:pPr>
    </w:lvl>
  </w:abstractNum>
  <w:abstractNum w:abstractNumId="2">
    <w:nsid w:val="FFFFFF7E"/>
    <w:multiLevelType w:val="singleLevel"/>
    <w:tmpl w:val="C6BEDC92"/>
    <w:lvl w:ilvl="0">
      <w:start w:val="1"/>
      <w:numFmt w:val="decimal"/>
      <w:lvlText w:val="%1."/>
      <w:lvlJc w:val="left"/>
      <w:pPr>
        <w:tabs>
          <w:tab w:val="num" w:pos="926"/>
        </w:tabs>
        <w:ind w:left="926" w:hanging="360"/>
      </w:pPr>
    </w:lvl>
  </w:abstractNum>
  <w:abstractNum w:abstractNumId="3">
    <w:nsid w:val="FFFFFF7F"/>
    <w:multiLevelType w:val="singleLevel"/>
    <w:tmpl w:val="E0DE24E4"/>
    <w:lvl w:ilvl="0">
      <w:start w:val="1"/>
      <w:numFmt w:val="decimal"/>
      <w:lvlText w:val="%1."/>
      <w:lvlJc w:val="left"/>
      <w:pPr>
        <w:tabs>
          <w:tab w:val="num" w:pos="643"/>
        </w:tabs>
        <w:ind w:left="643" w:hanging="360"/>
      </w:pPr>
    </w:lvl>
  </w:abstractNum>
  <w:abstractNum w:abstractNumId="4">
    <w:nsid w:val="FFFFFF80"/>
    <w:multiLevelType w:val="singleLevel"/>
    <w:tmpl w:val="4330E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3643FB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F302A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3C0A1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5848D4A"/>
    <w:lvl w:ilvl="0">
      <w:start w:val="1"/>
      <w:numFmt w:val="decimal"/>
      <w:lvlText w:val="%1."/>
      <w:lvlJc w:val="left"/>
      <w:pPr>
        <w:tabs>
          <w:tab w:val="num" w:pos="360"/>
        </w:tabs>
        <w:ind w:left="360" w:hanging="360"/>
      </w:pPr>
    </w:lvl>
  </w:abstractNum>
  <w:abstractNum w:abstractNumId="9">
    <w:nsid w:val="00000001"/>
    <w:multiLevelType w:val="multilevel"/>
    <w:tmpl w:val="D438E47C"/>
    <w:lvl w:ilvl="0">
      <w:start w:val="1"/>
      <w:numFmt w:val="decimal"/>
      <w:lvlText w:val="%1"/>
      <w:lvlJc w:val="left"/>
      <w:pPr>
        <w:tabs>
          <w:tab w:val="num" w:pos="2133"/>
        </w:tabs>
        <w:ind w:left="2133" w:hanging="432"/>
      </w:pPr>
      <w:rPr>
        <w:rFonts w:cs="Times New Roman"/>
      </w:rPr>
    </w:lvl>
    <w:lvl w:ilvl="1">
      <w:start w:val="1"/>
      <w:numFmt w:val="decimal"/>
      <w:pStyle w:val="Heading2"/>
      <w:lvlText w:val="%1.%2"/>
      <w:lvlJc w:val="left"/>
      <w:pPr>
        <w:tabs>
          <w:tab w:val="num" w:pos="4971"/>
        </w:tabs>
        <w:ind w:left="4971" w:hanging="576"/>
      </w:pPr>
      <w:rPr>
        <w:rFonts w:ascii="Times New Roman" w:hAnsi="Times New Roman" w:cs="Times New Roman" w:hint="default"/>
        <w:b/>
        <w:color w:val="000000" w:themeColor="text1"/>
      </w:rPr>
    </w:lvl>
    <w:lvl w:ilvl="2">
      <w:start w:val="1"/>
      <w:numFmt w:val="decimal"/>
      <w:pStyle w:val="Heading3"/>
      <w:lvlText w:val="%1.%2.%3"/>
      <w:lvlJc w:val="left"/>
      <w:pPr>
        <w:tabs>
          <w:tab w:val="num" w:pos="1004"/>
        </w:tabs>
        <w:ind w:left="1004" w:hanging="720"/>
      </w:pPr>
      <w:rPr>
        <w:rFonts w:cs="Times New Roman"/>
        <w:color w:val="000000" w:themeColor="text1"/>
      </w:rPr>
    </w:lvl>
    <w:lvl w:ilvl="3">
      <w:start w:val="1"/>
      <w:numFmt w:val="decimal"/>
      <w:pStyle w:val="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
    <w:nsid w:val="00000004"/>
    <w:multiLevelType w:val="singleLevel"/>
    <w:tmpl w:val="00000004"/>
    <w:name w:val="WW8Num3"/>
    <w:lvl w:ilvl="0">
      <w:start w:val="1"/>
      <w:numFmt w:val="bullet"/>
      <w:lvlText w:val=""/>
      <w:lvlJc w:val="left"/>
      <w:pPr>
        <w:tabs>
          <w:tab w:val="num" w:pos="720"/>
        </w:tabs>
        <w:ind w:left="720" w:hanging="360"/>
      </w:pPr>
      <w:rPr>
        <w:rFonts w:ascii="Symbol" w:hAnsi="Symbol"/>
      </w:rPr>
    </w:lvl>
  </w:abstractNum>
  <w:abstractNum w:abstractNumId="11">
    <w:nsid w:val="00000011"/>
    <w:multiLevelType w:val="singleLevel"/>
    <w:tmpl w:val="00000011"/>
    <w:name w:val="WW8Num16"/>
    <w:lvl w:ilvl="0">
      <w:start w:val="1"/>
      <w:numFmt w:val="bullet"/>
      <w:lvlText w:val=""/>
      <w:lvlJc w:val="left"/>
      <w:pPr>
        <w:tabs>
          <w:tab w:val="num" w:pos="1080"/>
        </w:tabs>
        <w:ind w:left="1080" w:hanging="360"/>
      </w:pPr>
      <w:rPr>
        <w:rFonts w:ascii="Symbol" w:hAnsi="Symbol"/>
      </w:rPr>
    </w:lvl>
  </w:abstractNum>
  <w:abstractNum w:abstractNumId="12">
    <w:nsid w:val="00000014"/>
    <w:multiLevelType w:val="singleLevel"/>
    <w:tmpl w:val="00000014"/>
    <w:name w:val="WW8Num18"/>
    <w:lvl w:ilvl="0">
      <w:start w:val="1"/>
      <w:numFmt w:val="bullet"/>
      <w:lvlText w:val=""/>
      <w:lvlJc w:val="left"/>
      <w:pPr>
        <w:tabs>
          <w:tab w:val="num" w:pos="720"/>
        </w:tabs>
        <w:ind w:left="720" w:hanging="360"/>
      </w:pPr>
      <w:rPr>
        <w:rFonts w:ascii="Symbol" w:hAnsi="Symbol"/>
      </w:rPr>
    </w:lvl>
  </w:abstractNum>
  <w:abstractNum w:abstractNumId="13">
    <w:nsid w:val="0000001D"/>
    <w:multiLevelType w:val="singleLevel"/>
    <w:tmpl w:val="0000001D"/>
    <w:name w:val="WW8Num25"/>
    <w:lvl w:ilvl="0">
      <w:start w:val="1"/>
      <w:numFmt w:val="decimal"/>
      <w:lvlText w:val="%1)"/>
      <w:lvlJc w:val="left"/>
      <w:pPr>
        <w:tabs>
          <w:tab w:val="num" w:pos="720"/>
        </w:tabs>
        <w:ind w:left="720" w:hanging="360"/>
      </w:pPr>
      <w:rPr>
        <w:rFonts w:ascii="Symbol" w:hAnsi="Symbol" w:cs="Times New Roman"/>
      </w:rPr>
    </w:lvl>
  </w:abstractNum>
  <w:abstractNum w:abstractNumId="14">
    <w:nsid w:val="0000001F"/>
    <w:multiLevelType w:val="singleLevel"/>
    <w:tmpl w:val="0000001F"/>
    <w:name w:val="WW8Num30"/>
    <w:lvl w:ilvl="0">
      <w:start w:val="1"/>
      <w:numFmt w:val="bullet"/>
      <w:lvlText w:val=""/>
      <w:lvlJc w:val="left"/>
      <w:pPr>
        <w:tabs>
          <w:tab w:val="num" w:pos="720"/>
        </w:tabs>
        <w:ind w:left="720" w:hanging="360"/>
      </w:pPr>
      <w:rPr>
        <w:rFonts w:ascii="Symbol" w:hAnsi="Symbol"/>
      </w:rPr>
    </w:lvl>
  </w:abstractNum>
  <w:abstractNum w:abstractNumId="15">
    <w:nsid w:val="00056FF0"/>
    <w:multiLevelType w:val="hybridMultilevel"/>
    <w:tmpl w:val="65B2F18C"/>
    <w:lvl w:ilvl="0" w:tplc="0ACEF342">
      <w:start w:val="1"/>
      <w:numFmt w:val="bullet"/>
      <w:lvlText w:val=""/>
      <w:lvlJc w:val="left"/>
      <w:pPr>
        <w:ind w:left="720" w:hanging="360"/>
      </w:pPr>
      <w:rPr>
        <w:rFonts w:ascii="Wingdings" w:hAnsi="Wingdings" w:hint="default"/>
        <w:color w:val="0070C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4048E3"/>
    <w:multiLevelType w:val="multilevel"/>
    <w:tmpl w:val="2176230C"/>
    <w:lvl w:ilvl="0">
      <w:start w:val="37"/>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02826473"/>
    <w:multiLevelType w:val="multilevel"/>
    <w:tmpl w:val="7740533A"/>
    <w:lvl w:ilvl="0">
      <w:start w:val="11"/>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03661636"/>
    <w:multiLevelType w:val="multilevel"/>
    <w:tmpl w:val="14C64B5E"/>
    <w:lvl w:ilvl="0">
      <w:start w:val="25"/>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03FC1464"/>
    <w:multiLevelType w:val="hybridMultilevel"/>
    <w:tmpl w:val="C644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45F5767"/>
    <w:multiLevelType w:val="multilevel"/>
    <w:tmpl w:val="CB6C670E"/>
    <w:lvl w:ilvl="0">
      <w:start w:val="17"/>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046A08A4"/>
    <w:multiLevelType w:val="hybridMultilevel"/>
    <w:tmpl w:val="39504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4FD7AB4"/>
    <w:multiLevelType w:val="hybridMultilevel"/>
    <w:tmpl w:val="5BD68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A051568"/>
    <w:multiLevelType w:val="hybridMultilevel"/>
    <w:tmpl w:val="B9A691A6"/>
    <w:lvl w:ilvl="0" w:tplc="0809001B">
      <w:start w:val="1"/>
      <w:numFmt w:val="lowerRoman"/>
      <w:lvlText w:val="%1."/>
      <w:lvlJc w:val="right"/>
      <w:pPr>
        <w:ind w:left="720" w:hanging="360"/>
      </w:pPr>
      <w:rPr>
        <w:rFonts w:hint="default"/>
        <w:i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A5F17FE"/>
    <w:multiLevelType w:val="multilevel"/>
    <w:tmpl w:val="EA28B9C6"/>
    <w:lvl w:ilvl="0">
      <w:start w:val="35"/>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0BA569E2"/>
    <w:multiLevelType w:val="hybridMultilevel"/>
    <w:tmpl w:val="E6468DFE"/>
    <w:lvl w:ilvl="0" w:tplc="08090001">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0C276E8B"/>
    <w:multiLevelType w:val="multilevel"/>
    <w:tmpl w:val="B948A5BA"/>
    <w:lvl w:ilvl="0">
      <w:start w:val="7"/>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0E4926D1"/>
    <w:multiLevelType w:val="hybridMultilevel"/>
    <w:tmpl w:val="D6F86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EF344EB"/>
    <w:multiLevelType w:val="hybridMultilevel"/>
    <w:tmpl w:val="6D54B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26D13AF"/>
    <w:multiLevelType w:val="multilevel"/>
    <w:tmpl w:val="2B8E621E"/>
    <w:lvl w:ilvl="0">
      <w:start w:val="33"/>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15FB7B2B"/>
    <w:multiLevelType w:val="multilevel"/>
    <w:tmpl w:val="21949B48"/>
    <w:lvl w:ilvl="0">
      <w:start w:val="29"/>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164A43DC"/>
    <w:multiLevelType w:val="multilevel"/>
    <w:tmpl w:val="E46CBEDE"/>
    <w:lvl w:ilvl="0">
      <w:start w:val="26"/>
      <w:numFmt w:val="decimal"/>
      <w:lvlText w:val="Recommendation %1. "/>
      <w:lvlJc w:val="left"/>
      <w:pPr>
        <w:ind w:left="170" w:hanging="170"/>
      </w:pPr>
      <w:rPr>
        <w:rFonts w:ascii="Times New Roman" w:hAnsi="Times New Roman"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165912AE"/>
    <w:multiLevelType w:val="hybridMultilevel"/>
    <w:tmpl w:val="888ABDA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8E533FD"/>
    <w:multiLevelType w:val="multilevel"/>
    <w:tmpl w:val="53183AC4"/>
    <w:lvl w:ilvl="0">
      <w:start w:val="3"/>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19A628A4"/>
    <w:multiLevelType w:val="hybridMultilevel"/>
    <w:tmpl w:val="005AE7E2"/>
    <w:lvl w:ilvl="0" w:tplc="70F2837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19E93565"/>
    <w:multiLevelType w:val="hybridMultilevel"/>
    <w:tmpl w:val="966E90F2"/>
    <w:lvl w:ilvl="0" w:tplc="0809000F">
      <w:start w:val="1"/>
      <w:numFmt w:val="decimal"/>
      <w:lvlText w:val="%1."/>
      <w:lvlJc w:val="left"/>
      <w:pPr>
        <w:tabs>
          <w:tab w:val="num" w:pos="720"/>
        </w:tabs>
        <w:ind w:left="720" w:hanging="360"/>
      </w:pPr>
      <w:rPr>
        <w:rFonts w:hint="default"/>
      </w:rPr>
    </w:lvl>
    <w:lvl w:ilvl="1" w:tplc="22DA4D1E">
      <w:start w:val="1"/>
      <w:numFmt w:val="lowerLetter"/>
      <w:lvlText w:val="%2)"/>
      <w:lvlJc w:val="left"/>
      <w:pPr>
        <w:ind w:left="1440" w:hanging="360"/>
      </w:pPr>
      <w:rPr>
        <w:rFonts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Arial"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Arial"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6">
    <w:nsid w:val="1A805B6F"/>
    <w:multiLevelType w:val="multilevel"/>
    <w:tmpl w:val="B0647658"/>
    <w:lvl w:ilvl="0">
      <w:start w:val="43"/>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1D9939CB"/>
    <w:multiLevelType w:val="hybridMultilevel"/>
    <w:tmpl w:val="6FC442CE"/>
    <w:lvl w:ilvl="0" w:tplc="324E5E1C">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1DF754CF"/>
    <w:multiLevelType w:val="hybridMultilevel"/>
    <w:tmpl w:val="217E4C6C"/>
    <w:lvl w:ilvl="0" w:tplc="3564A29E">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1E4C0A95"/>
    <w:multiLevelType w:val="multilevel"/>
    <w:tmpl w:val="5946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1E956A5C"/>
    <w:multiLevelType w:val="hybridMultilevel"/>
    <w:tmpl w:val="1F428FDA"/>
    <w:lvl w:ilvl="0" w:tplc="1EF62E60">
      <w:start w:val="1"/>
      <w:numFmt w:val="bullet"/>
      <w:lvlText w:val=""/>
      <w:lvlJc w:val="left"/>
      <w:pPr>
        <w:tabs>
          <w:tab w:val="num" w:pos="1077"/>
        </w:tabs>
        <w:ind w:left="1077" w:hanging="360"/>
      </w:pPr>
      <w:rPr>
        <w:rFonts w:ascii="Symbol" w:hAnsi="Symbol" w:hint="default"/>
        <w:color w:val="auto"/>
      </w:rPr>
    </w:lvl>
    <w:lvl w:ilvl="1" w:tplc="04100005">
      <w:start w:val="1"/>
      <w:numFmt w:val="bullet"/>
      <w:lvlText w:val=""/>
      <w:lvlJc w:val="left"/>
      <w:pPr>
        <w:tabs>
          <w:tab w:val="num" w:pos="1797"/>
        </w:tabs>
        <w:ind w:left="1797" w:hanging="360"/>
      </w:pPr>
      <w:rPr>
        <w:rFonts w:ascii="Wingdings" w:hAnsi="Wingdings" w:hint="default"/>
      </w:rPr>
    </w:lvl>
    <w:lvl w:ilvl="2" w:tplc="643604BC" w:tentative="1">
      <w:start w:val="1"/>
      <w:numFmt w:val="bullet"/>
      <w:lvlText w:val="•"/>
      <w:lvlJc w:val="left"/>
      <w:pPr>
        <w:tabs>
          <w:tab w:val="num" w:pos="2517"/>
        </w:tabs>
        <w:ind w:left="2517" w:hanging="360"/>
      </w:pPr>
      <w:rPr>
        <w:rFonts w:ascii="Times New Roman" w:hAnsi="Times New Roman" w:hint="default"/>
      </w:rPr>
    </w:lvl>
    <w:lvl w:ilvl="3" w:tplc="FFE8137A" w:tentative="1">
      <w:start w:val="1"/>
      <w:numFmt w:val="bullet"/>
      <w:lvlText w:val="•"/>
      <w:lvlJc w:val="left"/>
      <w:pPr>
        <w:tabs>
          <w:tab w:val="num" w:pos="3237"/>
        </w:tabs>
        <w:ind w:left="3237" w:hanging="360"/>
      </w:pPr>
      <w:rPr>
        <w:rFonts w:ascii="Times New Roman" w:hAnsi="Times New Roman" w:hint="default"/>
      </w:rPr>
    </w:lvl>
    <w:lvl w:ilvl="4" w:tplc="B19C1AE2" w:tentative="1">
      <w:start w:val="1"/>
      <w:numFmt w:val="bullet"/>
      <w:lvlText w:val="•"/>
      <w:lvlJc w:val="left"/>
      <w:pPr>
        <w:tabs>
          <w:tab w:val="num" w:pos="3957"/>
        </w:tabs>
        <w:ind w:left="3957" w:hanging="360"/>
      </w:pPr>
      <w:rPr>
        <w:rFonts w:ascii="Times New Roman" w:hAnsi="Times New Roman" w:hint="default"/>
      </w:rPr>
    </w:lvl>
    <w:lvl w:ilvl="5" w:tplc="96D4E7CC" w:tentative="1">
      <w:start w:val="1"/>
      <w:numFmt w:val="bullet"/>
      <w:lvlText w:val="•"/>
      <w:lvlJc w:val="left"/>
      <w:pPr>
        <w:tabs>
          <w:tab w:val="num" w:pos="4677"/>
        </w:tabs>
        <w:ind w:left="4677" w:hanging="360"/>
      </w:pPr>
      <w:rPr>
        <w:rFonts w:ascii="Times New Roman" w:hAnsi="Times New Roman" w:hint="default"/>
      </w:rPr>
    </w:lvl>
    <w:lvl w:ilvl="6" w:tplc="36025060" w:tentative="1">
      <w:start w:val="1"/>
      <w:numFmt w:val="bullet"/>
      <w:lvlText w:val="•"/>
      <w:lvlJc w:val="left"/>
      <w:pPr>
        <w:tabs>
          <w:tab w:val="num" w:pos="5397"/>
        </w:tabs>
        <w:ind w:left="5397" w:hanging="360"/>
      </w:pPr>
      <w:rPr>
        <w:rFonts w:ascii="Times New Roman" w:hAnsi="Times New Roman" w:hint="default"/>
      </w:rPr>
    </w:lvl>
    <w:lvl w:ilvl="7" w:tplc="037E7562" w:tentative="1">
      <w:start w:val="1"/>
      <w:numFmt w:val="bullet"/>
      <w:lvlText w:val="•"/>
      <w:lvlJc w:val="left"/>
      <w:pPr>
        <w:tabs>
          <w:tab w:val="num" w:pos="6117"/>
        </w:tabs>
        <w:ind w:left="6117" w:hanging="360"/>
      </w:pPr>
      <w:rPr>
        <w:rFonts w:ascii="Times New Roman" w:hAnsi="Times New Roman" w:hint="default"/>
      </w:rPr>
    </w:lvl>
    <w:lvl w:ilvl="8" w:tplc="B4F23D86" w:tentative="1">
      <w:start w:val="1"/>
      <w:numFmt w:val="bullet"/>
      <w:lvlText w:val="•"/>
      <w:lvlJc w:val="left"/>
      <w:pPr>
        <w:tabs>
          <w:tab w:val="num" w:pos="6837"/>
        </w:tabs>
        <w:ind w:left="6837" w:hanging="360"/>
      </w:pPr>
      <w:rPr>
        <w:rFonts w:ascii="Times New Roman" w:hAnsi="Times New Roman" w:hint="default"/>
      </w:rPr>
    </w:lvl>
  </w:abstractNum>
  <w:abstractNum w:abstractNumId="41">
    <w:nsid w:val="1ED34443"/>
    <w:multiLevelType w:val="hybridMultilevel"/>
    <w:tmpl w:val="CFD8170E"/>
    <w:lvl w:ilvl="0" w:tplc="BDB09716">
      <w:start w:val="1"/>
      <w:numFmt w:val="decimal"/>
      <w:lvlText w:val="%1."/>
      <w:lvlJc w:val="left"/>
      <w:pPr>
        <w:ind w:left="720" w:hanging="360"/>
      </w:pPr>
      <w:rPr>
        <w:rFonts w:hint="default"/>
        <w:i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0E23B07"/>
    <w:multiLevelType w:val="multilevel"/>
    <w:tmpl w:val="4C606F88"/>
    <w:lvl w:ilvl="0">
      <w:start w:val="2"/>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2457455A"/>
    <w:multiLevelType w:val="hybridMultilevel"/>
    <w:tmpl w:val="F1BA179A"/>
    <w:lvl w:ilvl="0" w:tplc="E8524E5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24841902"/>
    <w:multiLevelType w:val="singleLevel"/>
    <w:tmpl w:val="0AF0FC64"/>
    <w:lvl w:ilvl="0">
      <w:start w:val="1"/>
      <w:numFmt w:val="bullet"/>
      <w:lvlText w:val=""/>
      <w:lvlJc w:val="left"/>
      <w:pPr>
        <w:ind w:left="720" w:hanging="360"/>
      </w:pPr>
      <w:rPr>
        <w:rFonts w:ascii="Wingdings" w:hAnsi="Wingdings" w:hint="default"/>
        <w:color w:val="0070C0"/>
        <w:sz w:val="20"/>
      </w:rPr>
    </w:lvl>
  </w:abstractNum>
  <w:abstractNum w:abstractNumId="45">
    <w:nsid w:val="26A82F74"/>
    <w:multiLevelType w:val="multilevel"/>
    <w:tmpl w:val="A0486AEA"/>
    <w:lvl w:ilvl="0">
      <w:start w:val="1"/>
      <w:numFmt w:val="decimal"/>
      <w:lvlText w:val="%1."/>
      <w:lvlJc w:val="left"/>
      <w:pPr>
        <w:tabs>
          <w:tab w:val="num" w:pos="360"/>
        </w:tabs>
        <w:ind w:left="360" w:hanging="360"/>
      </w:pPr>
      <w:rPr>
        <w:rFonts w:ascii="Arial" w:hAnsi="Arial" w:hint="default"/>
        <w:b/>
        <w:i w:val="0"/>
        <w:color w:val="97989A"/>
        <w:sz w:val="16"/>
      </w:rPr>
    </w:lvl>
    <w:lvl w:ilvl="1">
      <w:start w:val="1"/>
      <w:numFmt w:val="lowerLetter"/>
      <w:lvlText w:val="%2)"/>
      <w:lvlJc w:val="left"/>
      <w:pPr>
        <w:tabs>
          <w:tab w:val="num" w:pos="720"/>
        </w:tabs>
        <w:ind w:left="720" w:hanging="360"/>
      </w:pPr>
      <w:rPr>
        <w:rFonts w:ascii="Arial" w:hAnsi="Arial" w:hint="default"/>
        <w:b/>
        <w:i w:val="0"/>
        <w:color w:val="97989A"/>
        <w:sz w:val="16"/>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2AA8249E"/>
    <w:multiLevelType w:val="hybridMultilevel"/>
    <w:tmpl w:val="6584E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D2352F0"/>
    <w:multiLevelType w:val="hybridMultilevel"/>
    <w:tmpl w:val="9F90DE4E"/>
    <w:lvl w:ilvl="0" w:tplc="BF56C882">
      <w:start w:val="1"/>
      <w:numFmt w:val="bullet"/>
      <w:lvlText w:val=""/>
      <w:lvlJc w:val="left"/>
      <w:pPr>
        <w:tabs>
          <w:tab w:val="num" w:pos="357"/>
        </w:tabs>
        <w:ind w:left="357" w:hanging="35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nsid w:val="2D60078B"/>
    <w:multiLevelType w:val="hybridMultilevel"/>
    <w:tmpl w:val="1E34098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9">
    <w:nsid w:val="2ED13742"/>
    <w:multiLevelType w:val="hybridMultilevel"/>
    <w:tmpl w:val="29B6B0D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0723B62"/>
    <w:multiLevelType w:val="singleLevel"/>
    <w:tmpl w:val="27509402"/>
    <w:lvl w:ilvl="0">
      <w:start w:val="1"/>
      <w:numFmt w:val="bullet"/>
      <w:lvlText w:val=""/>
      <w:lvlJc w:val="left"/>
      <w:pPr>
        <w:ind w:left="720" w:hanging="360"/>
      </w:pPr>
      <w:rPr>
        <w:rFonts w:ascii="Symbol" w:hAnsi="Symbol" w:hint="default"/>
        <w:color w:val="auto"/>
        <w:sz w:val="22"/>
        <w:szCs w:val="22"/>
      </w:rPr>
    </w:lvl>
  </w:abstractNum>
  <w:abstractNum w:abstractNumId="51">
    <w:nsid w:val="311363BE"/>
    <w:multiLevelType w:val="singleLevel"/>
    <w:tmpl w:val="08090001"/>
    <w:lvl w:ilvl="0">
      <w:start w:val="1"/>
      <w:numFmt w:val="bullet"/>
      <w:lvlText w:val=""/>
      <w:lvlJc w:val="left"/>
      <w:pPr>
        <w:ind w:left="720" w:hanging="360"/>
      </w:pPr>
      <w:rPr>
        <w:rFonts w:ascii="Symbol" w:hAnsi="Symbol" w:hint="default"/>
        <w:color w:val="auto"/>
        <w:sz w:val="20"/>
      </w:rPr>
    </w:lvl>
  </w:abstractNum>
  <w:abstractNum w:abstractNumId="52">
    <w:nsid w:val="32314BA1"/>
    <w:multiLevelType w:val="multilevel"/>
    <w:tmpl w:val="D982DA7C"/>
    <w:lvl w:ilvl="0">
      <w:start w:val="13"/>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326E5758"/>
    <w:multiLevelType w:val="multilevel"/>
    <w:tmpl w:val="9F54F1A6"/>
    <w:lvl w:ilvl="0">
      <w:start w:val="5"/>
      <w:numFmt w:val="decimal"/>
      <w:lvlText w:val="Recommendation %1. "/>
      <w:lvlJc w:val="left"/>
      <w:pPr>
        <w:ind w:left="170" w:hanging="170"/>
      </w:pPr>
      <w:rPr>
        <w:rFonts w:ascii="Times New Roman" w:hAnsi="Times New Roman" w:hint="default"/>
        <w:b/>
        <w:color w:val="002060"/>
        <w:sz w:val="22"/>
        <w:u w:val="single"/>
        <w14:textOutline w14:w="9525" w14:cap="rnd" w14:cmpd="sng" w14:algn="ctr">
          <w14:solidFill>
            <w14:schemeClr w14:val="accent1"/>
          </w14:solidFill>
          <w14:prstDash w14:val="solid"/>
          <w14:bevel/>
        </w14:textOut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33A044A6"/>
    <w:multiLevelType w:val="multilevel"/>
    <w:tmpl w:val="05749E0E"/>
    <w:lvl w:ilvl="0">
      <w:start w:val="19"/>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34CF3696"/>
    <w:multiLevelType w:val="multilevel"/>
    <w:tmpl w:val="9356F444"/>
    <w:lvl w:ilvl="0">
      <w:start w:val="8"/>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362C031F"/>
    <w:multiLevelType w:val="hybridMultilevel"/>
    <w:tmpl w:val="20C8FFD4"/>
    <w:lvl w:ilvl="0" w:tplc="1AF811B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6A80E96"/>
    <w:multiLevelType w:val="multilevel"/>
    <w:tmpl w:val="621E9614"/>
    <w:lvl w:ilvl="0">
      <w:start w:val="18"/>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36BA3D52"/>
    <w:multiLevelType w:val="multilevel"/>
    <w:tmpl w:val="A4945FF0"/>
    <w:lvl w:ilvl="0">
      <w:start w:val="16"/>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36D13B44"/>
    <w:multiLevelType w:val="multilevel"/>
    <w:tmpl w:val="ADA2A28C"/>
    <w:lvl w:ilvl="0">
      <w:start w:val="5"/>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37F91358"/>
    <w:multiLevelType w:val="hybridMultilevel"/>
    <w:tmpl w:val="86B41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3829446F"/>
    <w:multiLevelType w:val="multilevel"/>
    <w:tmpl w:val="E0E086F0"/>
    <w:lvl w:ilvl="0">
      <w:start w:val="28"/>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382D60E2"/>
    <w:multiLevelType w:val="hybridMultilevel"/>
    <w:tmpl w:val="F8AC711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3">
    <w:nsid w:val="38CF1D48"/>
    <w:multiLevelType w:val="multilevel"/>
    <w:tmpl w:val="097C2238"/>
    <w:lvl w:ilvl="0">
      <w:start w:val="31"/>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392620B8"/>
    <w:multiLevelType w:val="multilevel"/>
    <w:tmpl w:val="A5121860"/>
    <w:lvl w:ilvl="0">
      <w:start w:val="23"/>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398F71C2"/>
    <w:multiLevelType w:val="singleLevel"/>
    <w:tmpl w:val="08090001"/>
    <w:lvl w:ilvl="0">
      <w:start w:val="1"/>
      <w:numFmt w:val="bullet"/>
      <w:lvlText w:val=""/>
      <w:lvlJc w:val="left"/>
      <w:pPr>
        <w:ind w:left="783" w:hanging="360"/>
      </w:pPr>
      <w:rPr>
        <w:rFonts w:ascii="Symbol" w:hAnsi="Symbol" w:hint="default"/>
        <w:color w:val="auto"/>
        <w:sz w:val="20"/>
      </w:rPr>
    </w:lvl>
  </w:abstractNum>
  <w:abstractNum w:abstractNumId="66">
    <w:nsid w:val="3B7F49BB"/>
    <w:multiLevelType w:val="multilevel"/>
    <w:tmpl w:val="AED479C0"/>
    <w:lvl w:ilvl="0">
      <w:start w:val="36"/>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3CD6114E"/>
    <w:multiLevelType w:val="hybridMultilevel"/>
    <w:tmpl w:val="27205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3CF96358"/>
    <w:multiLevelType w:val="multilevel"/>
    <w:tmpl w:val="4B764A72"/>
    <w:lvl w:ilvl="0">
      <w:start w:val="47"/>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3D676844"/>
    <w:multiLevelType w:val="hybridMultilevel"/>
    <w:tmpl w:val="1EE23A8E"/>
    <w:lvl w:ilvl="0" w:tplc="DCDA3EB8">
      <w:start w:val="1"/>
      <w:numFmt w:val="bullet"/>
      <w:lvlText w:val=""/>
      <w:lvlJc w:val="left"/>
      <w:pPr>
        <w:ind w:left="720" w:hanging="360"/>
      </w:pPr>
      <w:rPr>
        <w:rFonts w:ascii="Wingdings" w:hAnsi="Wingdings" w:hint="default"/>
        <w:color w:val="0070C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3D826D15"/>
    <w:multiLevelType w:val="multilevel"/>
    <w:tmpl w:val="B0D8E6DC"/>
    <w:lvl w:ilvl="0">
      <w:start w:val="15"/>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3E981D13"/>
    <w:multiLevelType w:val="multilevel"/>
    <w:tmpl w:val="F48068E8"/>
    <w:lvl w:ilvl="0">
      <w:start w:val="42"/>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3F4925CB"/>
    <w:multiLevelType w:val="hybridMultilevel"/>
    <w:tmpl w:val="4EBAB4B2"/>
    <w:lvl w:ilvl="0" w:tplc="1EF62E60">
      <w:start w:val="1"/>
      <w:numFmt w:val="bullet"/>
      <w:lvlText w:val=""/>
      <w:lvlJc w:val="left"/>
      <w:pPr>
        <w:tabs>
          <w:tab w:val="num" w:pos="1077"/>
        </w:tabs>
        <w:ind w:left="1077" w:hanging="360"/>
      </w:pPr>
      <w:rPr>
        <w:rFonts w:ascii="Symbol" w:hAnsi="Symbol" w:hint="default"/>
        <w:color w:val="auto"/>
      </w:rPr>
    </w:lvl>
    <w:lvl w:ilvl="1" w:tplc="08090003">
      <w:start w:val="1"/>
      <w:numFmt w:val="bullet"/>
      <w:lvlText w:val="o"/>
      <w:lvlJc w:val="left"/>
      <w:pPr>
        <w:tabs>
          <w:tab w:val="num" w:pos="1797"/>
        </w:tabs>
        <w:ind w:left="1797" w:hanging="360"/>
      </w:pPr>
      <w:rPr>
        <w:rFonts w:ascii="Courier New" w:hAnsi="Courier New" w:cs="Courier New" w:hint="default"/>
      </w:rPr>
    </w:lvl>
    <w:lvl w:ilvl="2" w:tplc="643604BC" w:tentative="1">
      <w:start w:val="1"/>
      <w:numFmt w:val="bullet"/>
      <w:lvlText w:val="•"/>
      <w:lvlJc w:val="left"/>
      <w:pPr>
        <w:tabs>
          <w:tab w:val="num" w:pos="2517"/>
        </w:tabs>
        <w:ind w:left="2517" w:hanging="360"/>
      </w:pPr>
      <w:rPr>
        <w:rFonts w:ascii="Times New Roman" w:hAnsi="Times New Roman" w:hint="default"/>
      </w:rPr>
    </w:lvl>
    <w:lvl w:ilvl="3" w:tplc="FFE8137A" w:tentative="1">
      <w:start w:val="1"/>
      <w:numFmt w:val="bullet"/>
      <w:lvlText w:val="•"/>
      <w:lvlJc w:val="left"/>
      <w:pPr>
        <w:tabs>
          <w:tab w:val="num" w:pos="3237"/>
        </w:tabs>
        <w:ind w:left="3237" w:hanging="360"/>
      </w:pPr>
      <w:rPr>
        <w:rFonts w:ascii="Times New Roman" w:hAnsi="Times New Roman" w:hint="default"/>
      </w:rPr>
    </w:lvl>
    <w:lvl w:ilvl="4" w:tplc="B19C1AE2" w:tentative="1">
      <w:start w:val="1"/>
      <w:numFmt w:val="bullet"/>
      <w:lvlText w:val="•"/>
      <w:lvlJc w:val="left"/>
      <w:pPr>
        <w:tabs>
          <w:tab w:val="num" w:pos="3957"/>
        </w:tabs>
        <w:ind w:left="3957" w:hanging="360"/>
      </w:pPr>
      <w:rPr>
        <w:rFonts w:ascii="Times New Roman" w:hAnsi="Times New Roman" w:hint="default"/>
      </w:rPr>
    </w:lvl>
    <w:lvl w:ilvl="5" w:tplc="96D4E7CC" w:tentative="1">
      <w:start w:val="1"/>
      <w:numFmt w:val="bullet"/>
      <w:lvlText w:val="•"/>
      <w:lvlJc w:val="left"/>
      <w:pPr>
        <w:tabs>
          <w:tab w:val="num" w:pos="4677"/>
        </w:tabs>
        <w:ind w:left="4677" w:hanging="360"/>
      </w:pPr>
      <w:rPr>
        <w:rFonts w:ascii="Times New Roman" w:hAnsi="Times New Roman" w:hint="default"/>
      </w:rPr>
    </w:lvl>
    <w:lvl w:ilvl="6" w:tplc="36025060" w:tentative="1">
      <w:start w:val="1"/>
      <w:numFmt w:val="bullet"/>
      <w:lvlText w:val="•"/>
      <w:lvlJc w:val="left"/>
      <w:pPr>
        <w:tabs>
          <w:tab w:val="num" w:pos="5397"/>
        </w:tabs>
        <w:ind w:left="5397" w:hanging="360"/>
      </w:pPr>
      <w:rPr>
        <w:rFonts w:ascii="Times New Roman" w:hAnsi="Times New Roman" w:hint="default"/>
      </w:rPr>
    </w:lvl>
    <w:lvl w:ilvl="7" w:tplc="037E7562" w:tentative="1">
      <w:start w:val="1"/>
      <w:numFmt w:val="bullet"/>
      <w:lvlText w:val="•"/>
      <w:lvlJc w:val="left"/>
      <w:pPr>
        <w:tabs>
          <w:tab w:val="num" w:pos="6117"/>
        </w:tabs>
        <w:ind w:left="6117" w:hanging="360"/>
      </w:pPr>
      <w:rPr>
        <w:rFonts w:ascii="Times New Roman" w:hAnsi="Times New Roman" w:hint="default"/>
      </w:rPr>
    </w:lvl>
    <w:lvl w:ilvl="8" w:tplc="B4F23D86" w:tentative="1">
      <w:start w:val="1"/>
      <w:numFmt w:val="bullet"/>
      <w:lvlText w:val="•"/>
      <w:lvlJc w:val="left"/>
      <w:pPr>
        <w:tabs>
          <w:tab w:val="num" w:pos="6837"/>
        </w:tabs>
        <w:ind w:left="6837" w:hanging="360"/>
      </w:pPr>
      <w:rPr>
        <w:rFonts w:ascii="Times New Roman" w:hAnsi="Times New Roman" w:hint="default"/>
      </w:rPr>
    </w:lvl>
  </w:abstractNum>
  <w:abstractNum w:abstractNumId="73">
    <w:nsid w:val="3FA90AB0"/>
    <w:multiLevelType w:val="hybridMultilevel"/>
    <w:tmpl w:val="E940FDD8"/>
    <w:lvl w:ilvl="0" w:tplc="CA26B2E8">
      <w:start w:val="1"/>
      <w:numFmt w:val="bullet"/>
      <w:lvlText w:val=""/>
      <w:lvlJc w:val="left"/>
      <w:pPr>
        <w:ind w:left="720" w:hanging="360"/>
      </w:pPr>
      <w:rPr>
        <w:rFonts w:ascii="Symbol" w:hAnsi="Symbol" w:hint="default"/>
        <w:color w:val="auto"/>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nsid w:val="41175ED8"/>
    <w:multiLevelType w:val="hybridMultilevel"/>
    <w:tmpl w:val="BB8C6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nsid w:val="42AB6C2F"/>
    <w:multiLevelType w:val="hybridMultilevel"/>
    <w:tmpl w:val="2E2A83FE"/>
    <w:lvl w:ilvl="0" w:tplc="5E14A26A">
      <w:start w:val="1"/>
      <w:numFmt w:val="decimal"/>
      <w:lvlText w:val="Recommendation %1. "/>
      <w:lvlJc w:val="left"/>
      <w:pPr>
        <w:tabs>
          <w:tab w:val="num" w:pos="3978"/>
        </w:tabs>
        <w:ind w:left="3978" w:hanging="360"/>
      </w:pPr>
      <w:rPr>
        <w:rFonts w:cs="Times New Roman" w:hint="default"/>
        <w:b w:val="0"/>
        <w:bCs w:val="0"/>
        <w:i w:val="0"/>
        <w:iCs w:val="0"/>
        <w:caps w:val="0"/>
        <w:smallCaps w:val="0"/>
        <w:strike w:val="0"/>
        <w:dstrike w:val="0"/>
        <w:noProof w:val="0"/>
        <w:vanish w:val="0"/>
        <w:color w:val="0000FF"/>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tabs>
          <w:tab w:val="num" w:pos="3924"/>
        </w:tabs>
        <w:ind w:left="3924" w:hanging="360"/>
      </w:pPr>
      <w:rPr>
        <w:rFonts w:ascii="Symbol" w:hAnsi="Symbol" w:hint="default"/>
        <w:b w:val="0"/>
        <w:bCs w:val="0"/>
        <w:i w:val="0"/>
        <w:iCs w:val="0"/>
        <w:caps w:val="0"/>
        <w:smallCaps w:val="0"/>
        <w:strike w:val="0"/>
        <w:dstrike w:val="0"/>
        <w:noProof w:val="0"/>
        <w:vanish w:val="0"/>
        <w:color w:val="0000FF"/>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809001B">
      <w:start w:val="1"/>
      <w:numFmt w:val="lowerRoman"/>
      <w:lvlText w:val="%3."/>
      <w:lvlJc w:val="right"/>
      <w:pPr>
        <w:tabs>
          <w:tab w:val="num" w:pos="4644"/>
        </w:tabs>
        <w:ind w:left="4644" w:hanging="180"/>
      </w:pPr>
    </w:lvl>
    <w:lvl w:ilvl="3" w:tplc="0809000F" w:tentative="1">
      <w:start w:val="1"/>
      <w:numFmt w:val="decimal"/>
      <w:lvlText w:val="%4."/>
      <w:lvlJc w:val="left"/>
      <w:pPr>
        <w:tabs>
          <w:tab w:val="num" w:pos="5364"/>
        </w:tabs>
        <w:ind w:left="5364" w:hanging="360"/>
      </w:pPr>
    </w:lvl>
    <w:lvl w:ilvl="4" w:tplc="08090019" w:tentative="1">
      <w:start w:val="1"/>
      <w:numFmt w:val="lowerLetter"/>
      <w:lvlText w:val="%5."/>
      <w:lvlJc w:val="left"/>
      <w:pPr>
        <w:tabs>
          <w:tab w:val="num" w:pos="6084"/>
        </w:tabs>
        <w:ind w:left="6084" w:hanging="360"/>
      </w:pPr>
    </w:lvl>
    <w:lvl w:ilvl="5" w:tplc="0809001B" w:tentative="1">
      <w:start w:val="1"/>
      <w:numFmt w:val="lowerRoman"/>
      <w:lvlText w:val="%6."/>
      <w:lvlJc w:val="right"/>
      <w:pPr>
        <w:tabs>
          <w:tab w:val="num" w:pos="6804"/>
        </w:tabs>
        <w:ind w:left="6804" w:hanging="180"/>
      </w:pPr>
    </w:lvl>
    <w:lvl w:ilvl="6" w:tplc="0809000F" w:tentative="1">
      <w:start w:val="1"/>
      <w:numFmt w:val="decimal"/>
      <w:lvlText w:val="%7."/>
      <w:lvlJc w:val="left"/>
      <w:pPr>
        <w:tabs>
          <w:tab w:val="num" w:pos="7524"/>
        </w:tabs>
        <w:ind w:left="7524" w:hanging="360"/>
      </w:pPr>
    </w:lvl>
    <w:lvl w:ilvl="7" w:tplc="08090019" w:tentative="1">
      <w:start w:val="1"/>
      <w:numFmt w:val="lowerLetter"/>
      <w:lvlText w:val="%8."/>
      <w:lvlJc w:val="left"/>
      <w:pPr>
        <w:tabs>
          <w:tab w:val="num" w:pos="8244"/>
        </w:tabs>
        <w:ind w:left="8244" w:hanging="360"/>
      </w:pPr>
    </w:lvl>
    <w:lvl w:ilvl="8" w:tplc="0809001B" w:tentative="1">
      <w:start w:val="1"/>
      <w:numFmt w:val="lowerRoman"/>
      <w:lvlText w:val="%9."/>
      <w:lvlJc w:val="right"/>
      <w:pPr>
        <w:tabs>
          <w:tab w:val="num" w:pos="8964"/>
        </w:tabs>
        <w:ind w:left="8964" w:hanging="180"/>
      </w:pPr>
    </w:lvl>
  </w:abstractNum>
  <w:abstractNum w:abstractNumId="76">
    <w:nsid w:val="42E9262D"/>
    <w:multiLevelType w:val="multilevel"/>
    <w:tmpl w:val="08D8A0C4"/>
    <w:lvl w:ilvl="0">
      <w:start w:val="48"/>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436C43DE"/>
    <w:multiLevelType w:val="hybridMultilevel"/>
    <w:tmpl w:val="A8FC644A"/>
    <w:lvl w:ilvl="0" w:tplc="08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4006E49"/>
    <w:multiLevelType w:val="hybridMultilevel"/>
    <w:tmpl w:val="B0DEE472"/>
    <w:lvl w:ilvl="0" w:tplc="AEBE19D0">
      <w:start w:val="1"/>
      <w:numFmt w:val="bullet"/>
      <w:lvlText w:val=""/>
      <w:lvlJc w:val="left"/>
      <w:pPr>
        <w:tabs>
          <w:tab w:val="num" w:pos="720"/>
        </w:tabs>
        <w:ind w:left="720" w:hanging="360"/>
      </w:pPr>
      <w:rPr>
        <w:rFonts w:ascii="Wingdings" w:hAnsi="Wingdings" w:hint="default"/>
        <w:color w:val="0070C0"/>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nsid w:val="452E2F7E"/>
    <w:multiLevelType w:val="multilevel"/>
    <w:tmpl w:val="E676E66C"/>
    <w:lvl w:ilvl="0">
      <w:start w:val="40"/>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45DB1C56"/>
    <w:multiLevelType w:val="hybridMultilevel"/>
    <w:tmpl w:val="AE1884F0"/>
    <w:lvl w:ilvl="0" w:tplc="E8524E56">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5E40987"/>
    <w:multiLevelType w:val="singleLevel"/>
    <w:tmpl w:val="1C82EAA6"/>
    <w:lvl w:ilvl="0">
      <w:start w:val="1"/>
      <w:numFmt w:val="bullet"/>
      <w:lvlText w:val=""/>
      <w:lvlJc w:val="left"/>
      <w:pPr>
        <w:tabs>
          <w:tab w:val="num" w:pos="340"/>
        </w:tabs>
        <w:ind w:left="340" w:hanging="340"/>
      </w:pPr>
      <w:rPr>
        <w:rFonts w:ascii="Symbol" w:hAnsi="Symbol" w:hint="default"/>
        <w:color w:val="auto"/>
        <w:sz w:val="22"/>
      </w:rPr>
    </w:lvl>
  </w:abstractNum>
  <w:abstractNum w:abstractNumId="82">
    <w:nsid w:val="484E0947"/>
    <w:multiLevelType w:val="multilevel"/>
    <w:tmpl w:val="B186EE6C"/>
    <w:lvl w:ilvl="0">
      <w:start w:val="38"/>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48AD4B6C"/>
    <w:multiLevelType w:val="multilevel"/>
    <w:tmpl w:val="A10E2864"/>
    <w:lvl w:ilvl="0">
      <w:start w:val="45"/>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4A7A6280"/>
    <w:multiLevelType w:val="hybridMultilevel"/>
    <w:tmpl w:val="BA2CB158"/>
    <w:lvl w:ilvl="0" w:tplc="FCB44D3C">
      <w:start w:val="1"/>
      <w:numFmt w:val="bullet"/>
      <w:lvlText w:val=""/>
      <w:lvlJc w:val="left"/>
      <w:pPr>
        <w:ind w:left="720" w:hanging="360"/>
      </w:pPr>
      <w:rPr>
        <w:rFonts w:ascii="Wingdings" w:hAnsi="Wingdings" w:hint="default"/>
        <w:color w:val="0070C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nsid w:val="4A822553"/>
    <w:multiLevelType w:val="multilevel"/>
    <w:tmpl w:val="BA8E5F30"/>
    <w:lvl w:ilvl="0">
      <w:start w:val="39"/>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527E6846"/>
    <w:multiLevelType w:val="hybridMultilevel"/>
    <w:tmpl w:val="6A48A2E2"/>
    <w:lvl w:ilvl="0" w:tplc="4C142742">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2FC447B"/>
    <w:multiLevelType w:val="multilevel"/>
    <w:tmpl w:val="ECD8B2EA"/>
    <w:lvl w:ilvl="0">
      <w:start w:val="46"/>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54A20AAA"/>
    <w:multiLevelType w:val="hybridMultilevel"/>
    <w:tmpl w:val="356E0CB8"/>
    <w:lvl w:ilvl="0" w:tplc="B1D4B938">
      <w:start w:val="4"/>
      <w:numFmt w:val="decimal"/>
      <w:lvlText w:val="Recommendation %1."/>
      <w:lvlJc w:val="left"/>
      <w:pPr>
        <w:ind w:left="720" w:hanging="360"/>
      </w:pPr>
      <w:rPr>
        <w:rFonts w:hint="default"/>
        <w:u w:val="singl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nsid w:val="54B144F2"/>
    <w:multiLevelType w:val="singleLevel"/>
    <w:tmpl w:val="FCB44D3C"/>
    <w:lvl w:ilvl="0">
      <w:start w:val="1"/>
      <w:numFmt w:val="bullet"/>
      <w:lvlText w:val=""/>
      <w:lvlJc w:val="left"/>
      <w:pPr>
        <w:ind w:left="360" w:hanging="360"/>
      </w:pPr>
      <w:rPr>
        <w:rFonts w:ascii="Wingdings" w:hAnsi="Wingdings" w:hint="default"/>
        <w:color w:val="0070C0"/>
        <w:sz w:val="20"/>
      </w:rPr>
    </w:lvl>
  </w:abstractNum>
  <w:abstractNum w:abstractNumId="90">
    <w:nsid w:val="576464C1"/>
    <w:multiLevelType w:val="hybridMultilevel"/>
    <w:tmpl w:val="6BC84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80B6B47"/>
    <w:multiLevelType w:val="multilevel"/>
    <w:tmpl w:val="AA0AAB90"/>
    <w:lvl w:ilvl="0">
      <w:start w:val="1"/>
      <w:numFmt w:val="decimal"/>
      <w:pStyle w:val="ListParagraph"/>
      <w:lvlText w:val="Recommendation %1. "/>
      <w:lvlJc w:val="left"/>
      <w:pPr>
        <w:ind w:left="170" w:hanging="17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582D07AA"/>
    <w:multiLevelType w:val="hybridMultilevel"/>
    <w:tmpl w:val="98244AA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nsid w:val="58A74B39"/>
    <w:multiLevelType w:val="multilevel"/>
    <w:tmpl w:val="1EC49EBA"/>
    <w:lvl w:ilvl="0">
      <w:start w:val="4"/>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58C5427C"/>
    <w:multiLevelType w:val="multilevel"/>
    <w:tmpl w:val="B23AC732"/>
    <w:lvl w:ilvl="0">
      <w:start w:val="9"/>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58E805BF"/>
    <w:multiLevelType w:val="multilevel"/>
    <w:tmpl w:val="CF36C45E"/>
    <w:lvl w:ilvl="0">
      <w:start w:val="12"/>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nsid w:val="5BA62AF7"/>
    <w:multiLevelType w:val="hybridMultilevel"/>
    <w:tmpl w:val="B27E145E"/>
    <w:lvl w:ilvl="0" w:tplc="D0A49D2A">
      <w:start w:val="1"/>
      <w:numFmt w:val="bullet"/>
      <w:lvlText w:val=""/>
      <w:lvlJc w:val="left"/>
      <w:pPr>
        <w:tabs>
          <w:tab w:val="num" w:pos="720"/>
        </w:tabs>
        <w:ind w:left="720" w:hanging="360"/>
      </w:pPr>
      <w:rPr>
        <w:rFonts w:ascii="Symbol" w:hAnsi="Symbol" w:hint="default"/>
        <w:color w:val="auto"/>
        <w:sz w:val="20"/>
      </w:rPr>
    </w:lvl>
    <w:lvl w:ilvl="1" w:tplc="7750B8E4">
      <w:start w:val="1156"/>
      <w:numFmt w:val="bullet"/>
      <w:lvlText w:val="–"/>
      <w:lvlJc w:val="left"/>
      <w:pPr>
        <w:tabs>
          <w:tab w:val="num" w:pos="1440"/>
        </w:tabs>
        <w:ind w:left="1440" w:hanging="360"/>
      </w:pPr>
      <w:rPr>
        <w:rFonts w:ascii="Trebuchet MS" w:hAnsi="Trebuchet MS" w:hint="default"/>
      </w:rPr>
    </w:lvl>
    <w:lvl w:ilvl="2" w:tplc="82CA1018" w:tentative="1">
      <w:start w:val="1"/>
      <w:numFmt w:val="bullet"/>
      <w:lvlText w:val="•"/>
      <w:lvlJc w:val="left"/>
      <w:pPr>
        <w:tabs>
          <w:tab w:val="num" w:pos="2160"/>
        </w:tabs>
        <w:ind w:left="2160" w:hanging="360"/>
      </w:pPr>
      <w:rPr>
        <w:rFonts w:ascii="Times New Roman" w:hAnsi="Times New Roman" w:hint="default"/>
      </w:rPr>
    </w:lvl>
    <w:lvl w:ilvl="3" w:tplc="C64E5B24" w:tentative="1">
      <w:start w:val="1"/>
      <w:numFmt w:val="bullet"/>
      <w:lvlText w:val="•"/>
      <w:lvlJc w:val="left"/>
      <w:pPr>
        <w:tabs>
          <w:tab w:val="num" w:pos="2880"/>
        </w:tabs>
        <w:ind w:left="2880" w:hanging="360"/>
      </w:pPr>
      <w:rPr>
        <w:rFonts w:ascii="Times New Roman" w:hAnsi="Times New Roman" w:hint="default"/>
      </w:rPr>
    </w:lvl>
    <w:lvl w:ilvl="4" w:tplc="DC36C00C" w:tentative="1">
      <w:start w:val="1"/>
      <w:numFmt w:val="bullet"/>
      <w:lvlText w:val="•"/>
      <w:lvlJc w:val="left"/>
      <w:pPr>
        <w:tabs>
          <w:tab w:val="num" w:pos="3600"/>
        </w:tabs>
        <w:ind w:left="3600" w:hanging="360"/>
      </w:pPr>
      <w:rPr>
        <w:rFonts w:ascii="Times New Roman" w:hAnsi="Times New Roman" w:hint="default"/>
      </w:rPr>
    </w:lvl>
    <w:lvl w:ilvl="5" w:tplc="27809F0E" w:tentative="1">
      <w:start w:val="1"/>
      <w:numFmt w:val="bullet"/>
      <w:lvlText w:val="•"/>
      <w:lvlJc w:val="left"/>
      <w:pPr>
        <w:tabs>
          <w:tab w:val="num" w:pos="4320"/>
        </w:tabs>
        <w:ind w:left="4320" w:hanging="360"/>
      </w:pPr>
      <w:rPr>
        <w:rFonts w:ascii="Times New Roman" w:hAnsi="Times New Roman" w:hint="default"/>
      </w:rPr>
    </w:lvl>
    <w:lvl w:ilvl="6" w:tplc="49408A62" w:tentative="1">
      <w:start w:val="1"/>
      <w:numFmt w:val="bullet"/>
      <w:lvlText w:val="•"/>
      <w:lvlJc w:val="left"/>
      <w:pPr>
        <w:tabs>
          <w:tab w:val="num" w:pos="5040"/>
        </w:tabs>
        <w:ind w:left="5040" w:hanging="360"/>
      </w:pPr>
      <w:rPr>
        <w:rFonts w:ascii="Times New Roman" w:hAnsi="Times New Roman" w:hint="default"/>
      </w:rPr>
    </w:lvl>
    <w:lvl w:ilvl="7" w:tplc="5748F05A" w:tentative="1">
      <w:start w:val="1"/>
      <w:numFmt w:val="bullet"/>
      <w:lvlText w:val="•"/>
      <w:lvlJc w:val="left"/>
      <w:pPr>
        <w:tabs>
          <w:tab w:val="num" w:pos="5760"/>
        </w:tabs>
        <w:ind w:left="5760" w:hanging="360"/>
      </w:pPr>
      <w:rPr>
        <w:rFonts w:ascii="Times New Roman" w:hAnsi="Times New Roman" w:hint="default"/>
      </w:rPr>
    </w:lvl>
    <w:lvl w:ilvl="8" w:tplc="2C7843E8" w:tentative="1">
      <w:start w:val="1"/>
      <w:numFmt w:val="bullet"/>
      <w:lvlText w:val="•"/>
      <w:lvlJc w:val="left"/>
      <w:pPr>
        <w:tabs>
          <w:tab w:val="num" w:pos="6480"/>
        </w:tabs>
        <w:ind w:left="6480" w:hanging="360"/>
      </w:pPr>
      <w:rPr>
        <w:rFonts w:ascii="Times New Roman" w:hAnsi="Times New Roman" w:hint="default"/>
      </w:rPr>
    </w:lvl>
  </w:abstractNum>
  <w:abstractNum w:abstractNumId="97">
    <w:nsid w:val="5DE4431A"/>
    <w:multiLevelType w:val="singleLevel"/>
    <w:tmpl w:val="AD7A9ABC"/>
    <w:lvl w:ilvl="0">
      <w:start w:val="1"/>
      <w:numFmt w:val="bullet"/>
      <w:lvlText w:val=""/>
      <w:lvlJc w:val="left"/>
      <w:pPr>
        <w:tabs>
          <w:tab w:val="num" w:pos="340"/>
        </w:tabs>
        <w:ind w:left="340" w:hanging="340"/>
      </w:pPr>
      <w:rPr>
        <w:rFonts w:ascii="Symbol" w:hAnsi="Symbol" w:hint="default"/>
        <w:color w:val="auto"/>
        <w:sz w:val="22"/>
      </w:rPr>
    </w:lvl>
  </w:abstractNum>
  <w:abstractNum w:abstractNumId="98">
    <w:nsid w:val="5EF11740"/>
    <w:multiLevelType w:val="multilevel"/>
    <w:tmpl w:val="9BC453B0"/>
    <w:lvl w:ilvl="0">
      <w:start w:val="24"/>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nsid w:val="60C24249"/>
    <w:multiLevelType w:val="multilevel"/>
    <w:tmpl w:val="F71C7794"/>
    <w:lvl w:ilvl="0">
      <w:start w:val="41"/>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nsid w:val="618A2CEF"/>
    <w:multiLevelType w:val="multilevel"/>
    <w:tmpl w:val="0CAE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61FE1048"/>
    <w:multiLevelType w:val="hybridMultilevel"/>
    <w:tmpl w:val="7D663350"/>
    <w:lvl w:ilvl="0" w:tplc="A11297EA">
      <w:start w:val="1"/>
      <w:numFmt w:val="bullet"/>
      <w:lvlText w:val=""/>
      <w:lvlJc w:val="left"/>
      <w:pPr>
        <w:ind w:left="720" w:hanging="360"/>
      </w:pPr>
      <w:rPr>
        <w:rFonts w:ascii="Wingdings" w:hAnsi="Wingdings" w:hint="default"/>
        <w:color w:val="0070C0"/>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nsid w:val="63D230DE"/>
    <w:multiLevelType w:val="singleLevel"/>
    <w:tmpl w:val="CDBAE940"/>
    <w:lvl w:ilvl="0">
      <w:start w:val="1"/>
      <w:numFmt w:val="bullet"/>
      <w:lvlText w:val=""/>
      <w:lvlJc w:val="left"/>
      <w:pPr>
        <w:tabs>
          <w:tab w:val="num" w:pos="340"/>
        </w:tabs>
        <w:ind w:left="340" w:hanging="340"/>
      </w:pPr>
      <w:rPr>
        <w:rFonts w:ascii="Symbol" w:hAnsi="Symbol" w:hint="default"/>
        <w:color w:val="auto"/>
        <w:sz w:val="22"/>
      </w:rPr>
    </w:lvl>
  </w:abstractNum>
  <w:abstractNum w:abstractNumId="103">
    <w:nsid w:val="66545F84"/>
    <w:multiLevelType w:val="multilevel"/>
    <w:tmpl w:val="1C30C1F2"/>
    <w:lvl w:ilvl="0">
      <w:start w:val="27"/>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nsid w:val="669A71D5"/>
    <w:multiLevelType w:val="hybridMultilevel"/>
    <w:tmpl w:val="8A4C2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671012E3"/>
    <w:multiLevelType w:val="hybridMultilevel"/>
    <w:tmpl w:val="7B52887A"/>
    <w:lvl w:ilvl="0" w:tplc="3B84AD22">
      <w:start w:val="1"/>
      <w:numFmt w:val="bullet"/>
      <w:lvlText w:val=""/>
      <w:lvlJc w:val="left"/>
      <w:pPr>
        <w:ind w:left="0" w:hanging="360"/>
      </w:pPr>
      <w:rPr>
        <w:rFonts w:ascii="Symbol" w:hAnsi="Symbol" w:hint="default"/>
        <w:color w:val="auto"/>
        <w:sz w:val="20"/>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06">
    <w:nsid w:val="676C79A1"/>
    <w:multiLevelType w:val="hybridMultilevel"/>
    <w:tmpl w:val="17DCDB98"/>
    <w:lvl w:ilvl="0" w:tplc="97AC05EE">
      <w:start w:val="1"/>
      <w:numFmt w:val="bullet"/>
      <w:lvlText w:val=""/>
      <w:lvlJc w:val="left"/>
      <w:pPr>
        <w:ind w:left="720" w:hanging="360"/>
      </w:pPr>
      <w:rPr>
        <w:rFonts w:ascii="Wingdings" w:hAnsi="Wingdings" w:hint="default"/>
        <w:color w:val="0070C0"/>
        <w:sz w:val="20"/>
        <w:szCs w:val="20"/>
      </w:rPr>
    </w:lvl>
    <w:lvl w:ilvl="1" w:tplc="0F30F742">
      <w:start w:val="1"/>
      <w:numFmt w:val="bullet"/>
      <w:lvlText w:val=""/>
      <w:lvlJc w:val="left"/>
      <w:pPr>
        <w:ind w:left="1440" w:hanging="360"/>
      </w:pPr>
      <w:rPr>
        <w:rFonts w:ascii="Wingdings" w:hAnsi="Wingdings" w:hint="default"/>
        <w:color w:val="0070C0"/>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8443CE3"/>
    <w:multiLevelType w:val="multilevel"/>
    <w:tmpl w:val="971EFFD8"/>
    <w:lvl w:ilvl="0">
      <w:start w:val="44"/>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nsid w:val="69762C1B"/>
    <w:multiLevelType w:val="multilevel"/>
    <w:tmpl w:val="B954722E"/>
    <w:lvl w:ilvl="0">
      <w:start w:val="34"/>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nsid w:val="69930774"/>
    <w:multiLevelType w:val="multilevel"/>
    <w:tmpl w:val="B1022390"/>
    <w:lvl w:ilvl="0">
      <w:start w:val="22"/>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nsid w:val="6C833A77"/>
    <w:multiLevelType w:val="hybridMultilevel"/>
    <w:tmpl w:val="603A2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70372F1F"/>
    <w:multiLevelType w:val="singleLevel"/>
    <w:tmpl w:val="D74E7DB6"/>
    <w:lvl w:ilvl="0">
      <w:start w:val="1"/>
      <w:numFmt w:val="bullet"/>
      <w:lvlText w:val=""/>
      <w:lvlJc w:val="left"/>
      <w:pPr>
        <w:ind w:left="360" w:hanging="360"/>
      </w:pPr>
      <w:rPr>
        <w:rFonts w:ascii="Wingdings" w:hAnsi="Wingdings" w:hint="default"/>
        <w:color w:val="0070C0"/>
        <w:sz w:val="20"/>
      </w:rPr>
    </w:lvl>
  </w:abstractNum>
  <w:abstractNum w:abstractNumId="112">
    <w:nsid w:val="716801E9"/>
    <w:multiLevelType w:val="hybridMultilevel"/>
    <w:tmpl w:val="765AF368"/>
    <w:lvl w:ilvl="0" w:tplc="7ADA9158">
      <w:start w:val="1"/>
      <w:numFmt w:val="bullet"/>
      <w:lvlText w:val=""/>
      <w:lvlJc w:val="left"/>
      <w:pPr>
        <w:ind w:left="720" w:hanging="360"/>
      </w:pPr>
      <w:rPr>
        <w:rFonts w:ascii="Wingdings" w:hAnsi="Wingdings" w:hint="default"/>
        <w:color w:val="0070C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1D54CAE"/>
    <w:multiLevelType w:val="multilevel"/>
    <w:tmpl w:val="F2F43868"/>
    <w:lvl w:ilvl="0">
      <w:start w:val="32"/>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nsid w:val="71E40A90"/>
    <w:multiLevelType w:val="multilevel"/>
    <w:tmpl w:val="780E1966"/>
    <w:lvl w:ilvl="0">
      <w:start w:val="14"/>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nsid w:val="72590310"/>
    <w:multiLevelType w:val="multilevel"/>
    <w:tmpl w:val="48D235DE"/>
    <w:lvl w:ilvl="0">
      <w:start w:val="10"/>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nsid w:val="734F7C04"/>
    <w:multiLevelType w:val="hybridMultilevel"/>
    <w:tmpl w:val="2CE6F1EE"/>
    <w:lvl w:ilvl="0" w:tplc="CD2C9FA4">
      <w:start w:val="1"/>
      <w:numFmt w:val="bullet"/>
      <w:lvlText w:val=""/>
      <w:lvlJc w:val="left"/>
      <w:pPr>
        <w:ind w:left="720" w:hanging="360"/>
      </w:pPr>
      <w:rPr>
        <w:rFonts w:ascii="Symbol" w:hAnsi="Symbol" w:hint="default"/>
        <w:color w:val="auto"/>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73566E98"/>
    <w:multiLevelType w:val="hybridMultilevel"/>
    <w:tmpl w:val="218074B0"/>
    <w:lvl w:ilvl="0" w:tplc="4C142742">
      <w:start w:val="1"/>
      <w:numFmt w:val="bullet"/>
      <w:lvlText w:val=""/>
      <w:lvlJc w:val="left"/>
      <w:pPr>
        <w:ind w:left="720" w:hanging="360"/>
      </w:pPr>
      <w:rPr>
        <w:rFonts w:ascii="Wingdings" w:hAnsi="Wingdings" w:hint="default"/>
        <w:color w:val="0070C0"/>
      </w:rPr>
    </w:lvl>
    <w:lvl w:ilvl="1" w:tplc="30243EAC">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4290CCD"/>
    <w:multiLevelType w:val="hybridMultilevel"/>
    <w:tmpl w:val="03E484BA"/>
    <w:lvl w:ilvl="0" w:tplc="7898CBC6">
      <w:start w:val="1"/>
      <w:numFmt w:val="bullet"/>
      <w:pStyle w:val="bulletbodytex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Wingdings" w:hAnsi="Wingdings" w:hint="default"/>
        <w:color w:val="auto"/>
      </w:rPr>
    </w:lvl>
    <w:lvl w:ilvl="2" w:tplc="96D87078"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19">
    <w:nsid w:val="75575B7A"/>
    <w:multiLevelType w:val="multilevel"/>
    <w:tmpl w:val="8D5A57F0"/>
    <w:lvl w:ilvl="0">
      <w:start w:val="30"/>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nsid w:val="76B13AA1"/>
    <w:multiLevelType w:val="multilevel"/>
    <w:tmpl w:val="B61C041E"/>
    <w:lvl w:ilvl="0">
      <w:start w:val="1"/>
      <w:numFmt w:val="decimal"/>
      <w:lvlText w:val="Recommendation %1. "/>
      <w:lvlJc w:val="left"/>
      <w:pPr>
        <w:ind w:left="170" w:hanging="170"/>
      </w:pPr>
      <w:rPr>
        <w:rFonts w:ascii="Times New Roman" w:hAnsi="Times New Roman"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nsid w:val="78AB1CBF"/>
    <w:multiLevelType w:val="hybridMultilevel"/>
    <w:tmpl w:val="886038A0"/>
    <w:lvl w:ilvl="0" w:tplc="E05E1E96">
      <w:start w:val="1"/>
      <w:numFmt w:val="bullet"/>
      <w:lvlText w:val=""/>
      <w:lvlJc w:val="left"/>
      <w:pPr>
        <w:ind w:left="720" w:hanging="360"/>
      </w:pPr>
      <w:rPr>
        <w:rFonts w:ascii="Wingdings" w:hAnsi="Wingdings" w:hint="default"/>
        <w:color w:val="0070C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7A653E3A"/>
    <w:multiLevelType w:val="singleLevel"/>
    <w:tmpl w:val="98AC913A"/>
    <w:lvl w:ilvl="0">
      <w:start w:val="1"/>
      <w:numFmt w:val="bullet"/>
      <w:lvlText w:val=""/>
      <w:lvlJc w:val="left"/>
      <w:pPr>
        <w:tabs>
          <w:tab w:val="num" w:pos="340"/>
        </w:tabs>
        <w:ind w:left="340" w:hanging="340"/>
      </w:pPr>
      <w:rPr>
        <w:rFonts w:ascii="Symbol" w:hAnsi="Symbol" w:hint="default"/>
        <w:color w:val="auto"/>
        <w:sz w:val="22"/>
      </w:rPr>
    </w:lvl>
  </w:abstractNum>
  <w:abstractNum w:abstractNumId="123">
    <w:nsid w:val="7B4A1453"/>
    <w:multiLevelType w:val="multilevel"/>
    <w:tmpl w:val="6B16C7BA"/>
    <w:lvl w:ilvl="0">
      <w:start w:val="21"/>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nsid w:val="7BAC54B5"/>
    <w:multiLevelType w:val="multilevel"/>
    <w:tmpl w:val="A942E692"/>
    <w:lvl w:ilvl="0">
      <w:start w:val="6"/>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nsid w:val="7C064FEB"/>
    <w:multiLevelType w:val="hybridMultilevel"/>
    <w:tmpl w:val="E152B620"/>
    <w:lvl w:ilvl="0" w:tplc="69BA7A2E">
      <w:start w:val="1"/>
      <w:numFmt w:val="bullet"/>
      <w:lvlText w:val=""/>
      <w:lvlJc w:val="left"/>
      <w:pPr>
        <w:tabs>
          <w:tab w:val="num" w:pos="1080"/>
        </w:tabs>
        <w:ind w:left="1080" w:hanging="360"/>
      </w:pPr>
      <w:rPr>
        <w:rFonts w:ascii="Wingdings" w:hAnsi="Wingdings" w:hint="default"/>
        <w:color w:val="0070C0"/>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6">
    <w:nsid w:val="7D602980"/>
    <w:multiLevelType w:val="hybridMultilevel"/>
    <w:tmpl w:val="AE86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7D8E7327"/>
    <w:multiLevelType w:val="hybridMultilevel"/>
    <w:tmpl w:val="DB840028"/>
    <w:lvl w:ilvl="0" w:tplc="A11297EA">
      <w:start w:val="1"/>
      <w:numFmt w:val="bullet"/>
      <w:lvlText w:val=""/>
      <w:lvlJc w:val="left"/>
      <w:pPr>
        <w:ind w:left="720" w:hanging="360"/>
      </w:pPr>
      <w:rPr>
        <w:rFonts w:ascii="Wingdings" w:hAnsi="Wingdings" w:hint="default"/>
        <w:color w:val="0070C0"/>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8">
    <w:nsid w:val="7E87577B"/>
    <w:multiLevelType w:val="hybridMultilevel"/>
    <w:tmpl w:val="8AE4D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7EB837D6"/>
    <w:multiLevelType w:val="hybridMultilevel"/>
    <w:tmpl w:val="78A6F780"/>
    <w:lvl w:ilvl="0" w:tplc="E8524E5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7EC644F4"/>
    <w:multiLevelType w:val="hybridMultilevel"/>
    <w:tmpl w:val="F9D03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7F7D2FF0"/>
    <w:multiLevelType w:val="hybridMultilevel"/>
    <w:tmpl w:val="8292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7F8A350A"/>
    <w:multiLevelType w:val="multilevel"/>
    <w:tmpl w:val="71BA6C20"/>
    <w:lvl w:ilvl="0">
      <w:start w:val="20"/>
      <w:numFmt w:val="decimal"/>
      <w:lvlText w:val="Recommendation %1. "/>
      <w:lvlJc w:val="left"/>
      <w:pPr>
        <w:ind w:left="170" w:hanging="170"/>
      </w:pPr>
      <w:rPr>
        <w:rFonts w:ascii="Candara" w:hAnsi="Candara" w:hint="default"/>
        <w:b/>
        <w:sz w:val="22"/>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118"/>
  </w:num>
  <w:num w:numId="3">
    <w:abstractNumId w:val="47"/>
  </w:num>
  <w:num w:numId="4">
    <w:abstractNumId w:val="34"/>
  </w:num>
  <w:num w:numId="5">
    <w:abstractNumId w:val="43"/>
  </w:num>
  <w:num w:numId="6">
    <w:abstractNumId w:val="125"/>
  </w:num>
  <w:num w:numId="7">
    <w:abstractNumId w:val="90"/>
  </w:num>
  <w:num w:numId="8">
    <w:abstractNumId w:val="41"/>
  </w:num>
  <w:num w:numId="9">
    <w:abstractNumId w:val="40"/>
  </w:num>
  <w:num w:numId="10">
    <w:abstractNumId w:val="89"/>
  </w:num>
  <w:num w:numId="11">
    <w:abstractNumId w:val="111"/>
  </w:num>
  <w:num w:numId="12">
    <w:abstractNumId w:val="96"/>
  </w:num>
  <w:num w:numId="13">
    <w:abstractNumId w:val="106"/>
  </w:num>
  <w:num w:numId="14">
    <w:abstractNumId w:val="86"/>
  </w:num>
  <w:num w:numId="15">
    <w:abstractNumId w:val="75"/>
  </w:num>
  <w:num w:numId="16">
    <w:abstractNumId w:val="27"/>
  </w:num>
  <w:num w:numId="17">
    <w:abstractNumId w:val="104"/>
  </w:num>
  <w:num w:numId="18">
    <w:abstractNumId w:val="35"/>
  </w:num>
  <w:num w:numId="19">
    <w:abstractNumId w:val="25"/>
  </w:num>
  <w:num w:numId="20">
    <w:abstractNumId w:val="69"/>
  </w:num>
  <w:num w:numId="21">
    <w:abstractNumId w:val="15"/>
  </w:num>
  <w:num w:numId="22">
    <w:abstractNumId w:val="112"/>
  </w:num>
  <w:num w:numId="23">
    <w:abstractNumId w:val="88"/>
  </w:num>
  <w:num w:numId="24">
    <w:abstractNumId w:val="120"/>
  </w:num>
  <w:num w:numId="25">
    <w:abstractNumId w:val="91"/>
  </w:num>
  <w:num w:numId="26">
    <w:abstractNumId w:val="42"/>
  </w:num>
  <w:num w:numId="27">
    <w:abstractNumId w:val="33"/>
  </w:num>
  <w:num w:numId="28">
    <w:abstractNumId w:val="93"/>
  </w:num>
  <w:num w:numId="29">
    <w:abstractNumId w:val="116"/>
  </w:num>
  <w:num w:numId="30">
    <w:abstractNumId w:val="121"/>
  </w:num>
  <w:num w:numId="31">
    <w:abstractNumId w:val="59"/>
  </w:num>
  <w:num w:numId="32">
    <w:abstractNumId w:val="53"/>
  </w:num>
  <w:num w:numId="33">
    <w:abstractNumId w:val="124"/>
  </w:num>
  <w:num w:numId="34">
    <w:abstractNumId w:val="26"/>
  </w:num>
  <w:num w:numId="35">
    <w:abstractNumId w:val="55"/>
  </w:num>
  <w:num w:numId="36">
    <w:abstractNumId w:val="94"/>
  </w:num>
  <w:num w:numId="37">
    <w:abstractNumId w:val="115"/>
  </w:num>
  <w:num w:numId="38">
    <w:abstractNumId w:val="17"/>
  </w:num>
  <w:num w:numId="39">
    <w:abstractNumId w:val="95"/>
  </w:num>
  <w:num w:numId="40">
    <w:abstractNumId w:val="52"/>
  </w:num>
  <w:num w:numId="41">
    <w:abstractNumId w:val="114"/>
  </w:num>
  <w:num w:numId="42">
    <w:abstractNumId w:val="70"/>
  </w:num>
  <w:num w:numId="43">
    <w:abstractNumId w:val="58"/>
  </w:num>
  <w:num w:numId="44">
    <w:abstractNumId w:val="20"/>
  </w:num>
  <w:num w:numId="45">
    <w:abstractNumId w:val="57"/>
  </w:num>
  <w:num w:numId="46">
    <w:abstractNumId w:val="54"/>
  </w:num>
  <w:num w:numId="47">
    <w:abstractNumId w:val="132"/>
  </w:num>
  <w:num w:numId="48">
    <w:abstractNumId w:val="123"/>
  </w:num>
  <w:num w:numId="49">
    <w:abstractNumId w:val="109"/>
  </w:num>
  <w:num w:numId="50">
    <w:abstractNumId w:val="64"/>
  </w:num>
  <w:num w:numId="51">
    <w:abstractNumId w:val="98"/>
  </w:num>
  <w:num w:numId="52">
    <w:abstractNumId w:val="18"/>
  </w:num>
  <w:num w:numId="53">
    <w:abstractNumId w:val="31"/>
  </w:num>
  <w:num w:numId="54">
    <w:abstractNumId w:val="103"/>
  </w:num>
  <w:num w:numId="55">
    <w:abstractNumId w:val="61"/>
  </w:num>
  <w:num w:numId="56">
    <w:abstractNumId w:val="30"/>
  </w:num>
  <w:num w:numId="57">
    <w:abstractNumId w:val="119"/>
  </w:num>
  <w:num w:numId="58">
    <w:abstractNumId w:val="63"/>
  </w:num>
  <w:num w:numId="59">
    <w:abstractNumId w:val="113"/>
  </w:num>
  <w:num w:numId="60">
    <w:abstractNumId w:val="85"/>
  </w:num>
  <w:num w:numId="61">
    <w:abstractNumId w:val="79"/>
  </w:num>
  <w:num w:numId="62">
    <w:abstractNumId w:val="29"/>
  </w:num>
  <w:num w:numId="63">
    <w:abstractNumId w:val="108"/>
  </w:num>
  <w:num w:numId="64">
    <w:abstractNumId w:val="24"/>
  </w:num>
  <w:num w:numId="65">
    <w:abstractNumId w:val="66"/>
  </w:num>
  <w:num w:numId="66">
    <w:abstractNumId w:val="16"/>
  </w:num>
  <w:num w:numId="67">
    <w:abstractNumId w:val="82"/>
  </w:num>
  <w:num w:numId="68">
    <w:abstractNumId w:val="99"/>
  </w:num>
  <w:num w:numId="69">
    <w:abstractNumId w:val="71"/>
  </w:num>
  <w:num w:numId="70">
    <w:abstractNumId w:val="36"/>
  </w:num>
  <w:num w:numId="71">
    <w:abstractNumId w:val="107"/>
  </w:num>
  <w:num w:numId="72">
    <w:abstractNumId w:val="83"/>
  </w:num>
  <w:num w:numId="73">
    <w:abstractNumId w:val="87"/>
  </w:num>
  <w:num w:numId="74">
    <w:abstractNumId w:val="68"/>
  </w:num>
  <w:num w:numId="75">
    <w:abstractNumId w:val="76"/>
  </w:num>
  <w:num w:numId="76">
    <w:abstractNumId w:val="44"/>
  </w:num>
  <w:num w:numId="77">
    <w:abstractNumId w:val="50"/>
  </w:num>
  <w:num w:numId="78">
    <w:abstractNumId w:val="45"/>
  </w:num>
  <w:num w:numId="79">
    <w:abstractNumId w:val="78"/>
  </w:num>
  <w:num w:numId="80">
    <w:abstractNumId w:val="91"/>
  </w:num>
  <w:num w:numId="81">
    <w:abstractNumId w:val="91"/>
  </w:num>
  <w:num w:numId="82">
    <w:abstractNumId w:val="97"/>
  </w:num>
  <w:num w:numId="83">
    <w:abstractNumId w:val="81"/>
  </w:num>
  <w:num w:numId="84">
    <w:abstractNumId w:val="117"/>
  </w:num>
  <w:num w:numId="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2"/>
  </w:num>
  <w:num w:numId="87">
    <w:abstractNumId w:val="84"/>
  </w:num>
  <w:num w:numId="88">
    <w:abstractNumId w:val="65"/>
  </w:num>
  <w:num w:numId="89">
    <w:abstractNumId w:val="51"/>
  </w:num>
  <w:num w:numId="90">
    <w:abstractNumId w:val="122"/>
  </w:num>
  <w:num w:numId="91">
    <w:abstractNumId w:val="102"/>
  </w:num>
  <w:num w:numId="92">
    <w:abstractNumId w:val="127"/>
  </w:num>
  <w:num w:numId="93">
    <w:abstractNumId w:val="101"/>
  </w:num>
  <w:num w:numId="94">
    <w:abstractNumId w:val="86"/>
  </w:num>
  <w:num w:numId="95">
    <w:abstractNumId w:val="48"/>
  </w:num>
  <w:num w:numId="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9"/>
  </w:num>
  <w:num w:numId="99">
    <w:abstractNumId w:val="129"/>
  </w:num>
  <w:num w:numId="100">
    <w:abstractNumId w:val="7"/>
  </w:num>
  <w:num w:numId="101">
    <w:abstractNumId w:val="6"/>
  </w:num>
  <w:num w:numId="102">
    <w:abstractNumId w:val="5"/>
  </w:num>
  <w:num w:numId="103">
    <w:abstractNumId w:val="4"/>
  </w:num>
  <w:num w:numId="104">
    <w:abstractNumId w:val="8"/>
  </w:num>
  <w:num w:numId="105">
    <w:abstractNumId w:val="3"/>
  </w:num>
  <w:num w:numId="106">
    <w:abstractNumId w:val="2"/>
  </w:num>
  <w:num w:numId="107">
    <w:abstractNumId w:val="1"/>
  </w:num>
  <w:num w:numId="108">
    <w:abstractNumId w:val="0"/>
  </w:num>
  <w:num w:numId="109">
    <w:abstractNumId w:val="80"/>
  </w:num>
  <w:num w:numId="110">
    <w:abstractNumId w:val="22"/>
  </w:num>
  <w:num w:numId="111">
    <w:abstractNumId w:val="60"/>
  </w:num>
  <w:num w:numId="112">
    <w:abstractNumId w:val="9"/>
  </w:num>
  <w:num w:numId="113">
    <w:abstractNumId w:val="28"/>
  </w:num>
  <w:num w:numId="114">
    <w:abstractNumId w:val="56"/>
  </w:num>
  <w:num w:numId="115">
    <w:abstractNumId w:val="67"/>
  </w:num>
  <w:num w:numId="116">
    <w:abstractNumId w:val="126"/>
  </w:num>
  <w:num w:numId="117">
    <w:abstractNumId w:val="37"/>
  </w:num>
  <w:num w:numId="118">
    <w:abstractNumId w:val="38"/>
  </w:num>
  <w:num w:numId="119">
    <w:abstractNumId w:val="105"/>
  </w:num>
  <w:num w:numId="120">
    <w:abstractNumId w:val="131"/>
  </w:num>
  <w:num w:numId="121">
    <w:abstractNumId w:val="73"/>
  </w:num>
  <w:num w:numId="122">
    <w:abstractNumId w:val="118"/>
  </w:num>
  <w:num w:numId="123">
    <w:abstractNumId w:val="19"/>
  </w:num>
  <w:num w:numId="124">
    <w:abstractNumId w:val="128"/>
  </w:num>
  <w:num w:numId="125">
    <w:abstractNumId w:val="130"/>
  </w:num>
  <w:num w:numId="126">
    <w:abstractNumId w:val="46"/>
  </w:num>
  <w:num w:numId="127">
    <w:abstractNumId w:val="21"/>
  </w:num>
  <w:num w:numId="128">
    <w:abstractNumId w:val="62"/>
  </w:num>
  <w:num w:numId="129">
    <w:abstractNumId w:val="100"/>
  </w:num>
  <w:num w:numId="130">
    <w:abstractNumId w:val="39"/>
  </w:num>
  <w:num w:numId="131">
    <w:abstractNumId w:val="74"/>
  </w:num>
  <w:num w:numId="132">
    <w:abstractNumId w:val="110"/>
  </w:num>
  <w:num w:numId="133">
    <w:abstractNumId w:val="72"/>
  </w:num>
  <w:num w:numId="134">
    <w:abstractNumId w:val="32"/>
  </w:num>
  <w:num w:numId="135">
    <w:abstractNumId w:val="23"/>
  </w:num>
  <w:num w:numId="136">
    <w:abstractNumId w:val="77"/>
  </w:num>
  <w:numIdMacAtCleanup w:val="1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 P">
    <w15:presenceInfo w15:providerId="Windows Live" w15:userId="887b190c449c8f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hideSpellingErrors/>
  <w:hideGrammaticalErrors/>
  <w:activeWritingStyle w:appName="MSWord" w:lang="en-GB" w:vendorID="64" w:dllVersion="131078" w:nlCheck="1" w:checkStyle="1"/>
  <w:activeWritingStyle w:appName="MSWord" w:lang="fr-BE"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en-AU" w:vendorID="64" w:dllVersion="131078" w:nlCheck="1" w:checkStyle="1"/>
  <w:activeWritingStyle w:appName="MSWord" w:lang="fr-FR" w:vendorID="64" w:dllVersion="131078" w:nlCheck="1" w:checkStyle="1"/>
  <w:activeWritingStyle w:appName="MSWord" w:lang="es-ES"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720"/>
  <w:hyphenationZone w:val="283"/>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lt;UNUSED&gt;"/>
    <w:docVar w:name="LW_ANNEX_NBR_FIRST" w:val="2"/>
    <w:docVar w:name="LW_ANNEX_NBR_LAST" w:val="2"/>
    <w:docVar w:name="LW_CONFIDENCE" w:val=" "/>
    <w:docVar w:name="LW_CONST_RESTREINT_UE" w:val="RESTREINT UE"/>
    <w:docVar w:name="LW_CORRIGENDUM" w:val="&lt;UNUSED&gt;"/>
    <w:docVar w:name="LW_COVERPAGE_GUID" w:val="2B919C75A83F43069AFF435BC3ADC270"/>
    <w:docVar w:name="LW_CROSSREFERENCE" w:val="{SWD(2017) 112 final}_x000b_{SWD(2017) 113 final}"/>
    <w:docVar w:name="LW_DocType" w:val="NORMAL"/>
    <w:docVar w:name="LW_EMISSION" w:val="23.3.2017"/>
    <w:docVar w:name="LW_EMISSION_ISODATE" w:val="2017-03-23"/>
    <w:docVar w:name="LW_EMISSION_LOCATION" w:val="BRX"/>
    <w:docVar w:name="LW_EMISSION_PREFIX" w:val="Brussels, "/>
    <w:docVar w:name="LW_EMISSION_SUFFIX" w:val=" "/>
    <w:docVar w:name="LW_ID_DOCTYPE_NONLW" w:val="CP-039"/>
    <w:docVar w:name="LW_LANGUE" w:val="EN"/>
    <w:docVar w:name="LW_MARKING" w:val="&lt;UNUSED&gt;"/>
    <w:docVar w:name="LW_NOM.INST" w:val="EUROPEAN COMMISSION"/>
    <w:docVar w:name="LW_NOM.INST_JOINTDOC" w:val="&lt;EMPTY&gt;"/>
    <w:docVar w:name="LW_OBJETACTEPRINCIPAL.CP" w:val="European Interoperability Framework - Implementation Strategy"/>
    <w:docVar w:name="LW_PART_NBR" w:val="1"/>
    <w:docVar w:name="LW_PART_NBR_TOTAL" w:val="1"/>
    <w:docVar w:name="LW_REF.INST.NEW" w:val="COM"/>
    <w:docVar w:name="LW_REF.INST.NEW_ADOPTED" w:val="final"/>
    <w:docVar w:name="LW_REF.INST.NEW_TEXT" w:val="(2017) 134"/>
    <w:docVar w:name="LW_REF.INTERNE" w:val="&lt;UNUSED&gt;"/>
    <w:docVar w:name="LW_SUPERTITRE" w:val="&lt;UNUSED&gt;"/>
    <w:docVar w:name="LW_TITRE.OBJ.CP" w:val="to the _x000b_COMMUNICATION FROM THE COMMISSION TO THE EUROPEAN PARLIAMENT, THE COUNCIL, THE EUROPEAN ECONOMIC AND SOCIAL COMMITTEE AND THE COMMITTEE OF THE REGIONS"/>
    <w:docVar w:name="LW_TYPE.DOC.CP" w:val="ANNEX_x000b_"/>
    <w:docVar w:name="LW_TYPEACTEPRINCIPAL.CP" w:val="&lt;UNUSED&gt;"/>
    <w:docVar w:name="Stamp" w:val="\\dossiers.dgt.cec.eu.int\dossiers\DIGIT\DIGIT-2010-00046\DIGIT-2010-00046-00-01-EN-REV-00.DOC"/>
  </w:docVar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nl-BE" w:eastAsia="nl-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qFormat="1"/>
    <w:lsdException w:name="table of figures" w:uiPriority="99"/>
    <w:lsdException w:name="footnote reference"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Univers for KPMG" w:hAnsi="Univers for KPMG"/>
      <w:szCs w:val="24"/>
      <w:lang w:val="en-GB" w:eastAsia="ja-JP"/>
    </w:rPr>
  </w:style>
  <w:style w:type="paragraph" w:styleId="Heading1">
    <w:name w:val="heading 1"/>
    <w:basedOn w:val="Normal"/>
    <w:next w:val="Normal"/>
    <w:link w:val="Heading1Char"/>
    <w:qFormat/>
    <w:pPr>
      <w:keepNext/>
      <w:pageBreakBefore/>
      <w:tabs>
        <w:tab w:val="left" w:pos="851"/>
      </w:tabs>
      <w:spacing w:before="240" w:after="500" w:line="280" w:lineRule="atLeast"/>
      <w:outlineLvl w:val="0"/>
    </w:pPr>
    <w:rPr>
      <w:rFonts w:ascii="Times New Roman" w:eastAsia="Times New Roman" w:hAnsi="Times New Roman"/>
      <w:b/>
      <w:bCs/>
      <w:kern w:val="32"/>
      <w:sz w:val="24"/>
      <w:szCs w:val="32"/>
      <w:lang w:eastAsia="ar-SA"/>
    </w:rPr>
  </w:style>
  <w:style w:type="paragraph" w:styleId="Heading2">
    <w:name w:val="heading 2"/>
    <w:basedOn w:val="Normal"/>
    <w:next w:val="Normal"/>
    <w:link w:val="Heading2Char"/>
    <w:qFormat/>
    <w:pPr>
      <w:keepNext/>
      <w:numPr>
        <w:ilvl w:val="1"/>
        <w:numId w:val="1"/>
      </w:numPr>
      <w:suppressAutoHyphens/>
      <w:spacing w:before="240" w:after="240" w:line="276" w:lineRule="auto"/>
      <w:ind w:left="680" w:hanging="680"/>
      <w:outlineLvl w:val="1"/>
    </w:pPr>
    <w:rPr>
      <w:rFonts w:ascii="Times New Roman" w:eastAsia="Times New Roman" w:hAnsi="Times New Roman"/>
      <w:b/>
      <w:bCs/>
      <w:iCs/>
      <w:color w:val="000000" w:themeColor="text1"/>
      <w:sz w:val="24"/>
      <w:szCs w:val="28"/>
      <w:lang w:eastAsia="ar-SA"/>
    </w:rPr>
  </w:style>
  <w:style w:type="paragraph" w:styleId="Heading3">
    <w:name w:val="heading 3"/>
    <w:basedOn w:val="Normal"/>
    <w:next w:val="Normal"/>
    <w:link w:val="Heading3Char"/>
    <w:autoRedefine/>
    <w:qFormat/>
    <w:pPr>
      <w:keepNext/>
      <w:numPr>
        <w:ilvl w:val="2"/>
        <w:numId w:val="1"/>
      </w:numPr>
      <w:tabs>
        <w:tab w:val="clear" w:pos="1004"/>
        <w:tab w:val="num" w:pos="2846"/>
      </w:tabs>
      <w:suppressAutoHyphens/>
      <w:spacing w:before="240" w:after="240" w:line="276" w:lineRule="auto"/>
      <w:ind w:left="720"/>
      <w:outlineLvl w:val="2"/>
    </w:pPr>
    <w:rPr>
      <w:rFonts w:ascii="Times New Roman" w:eastAsia="Times New Roman" w:hAnsi="Times New Roman"/>
      <w:bCs/>
      <w:color w:val="000000" w:themeColor="text1"/>
      <w:sz w:val="24"/>
      <w:lang w:eastAsia="ar-SA"/>
    </w:rPr>
  </w:style>
  <w:style w:type="paragraph" w:styleId="Heading4">
    <w:name w:val="heading 4"/>
    <w:basedOn w:val="Normal"/>
    <w:next w:val="Normal"/>
    <w:link w:val="Heading4Char"/>
    <w:qFormat/>
    <w:pPr>
      <w:keepNext/>
      <w:numPr>
        <w:ilvl w:val="3"/>
        <w:numId w:val="1"/>
      </w:numPr>
      <w:suppressAutoHyphens/>
      <w:spacing w:before="180" w:after="60"/>
      <w:outlineLvl w:val="3"/>
    </w:pPr>
    <w:rPr>
      <w:rFonts w:ascii="Arial Narrow" w:eastAsia="Times New Roman" w:hAnsi="Arial Narrow"/>
      <w:b/>
      <w:bCs/>
      <w:color w:val="000080"/>
      <w:szCs w:val="28"/>
      <w:lang w:eastAsia="ar-SA"/>
    </w:rPr>
  </w:style>
  <w:style w:type="paragraph" w:styleId="Heading5">
    <w:name w:val="heading 5"/>
    <w:basedOn w:val="Normal"/>
    <w:next w:val="Normal"/>
    <w:link w:val="Heading5Char"/>
    <w:qFormat/>
    <w:pPr>
      <w:tabs>
        <w:tab w:val="num" w:pos="1008"/>
      </w:tabs>
      <w:suppressAutoHyphens/>
      <w:spacing w:before="240" w:after="60"/>
      <w:ind w:left="1008" w:hanging="1008"/>
      <w:outlineLvl w:val="4"/>
    </w:pPr>
    <w:rPr>
      <w:rFonts w:eastAsia="Times New Roman"/>
      <w:b/>
      <w:bCs/>
      <w:i/>
      <w:iCs/>
      <w:sz w:val="26"/>
      <w:szCs w:val="26"/>
      <w:lang w:eastAsia="ar-SA"/>
    </w:rPr>
  </w:style>
  <w:style w:type="paragraph" w:styleId="Heading6">
    <w:name w:val="heading 6"/>
    <w:basedOn w:val="Normal"/>
    <w:next w:val="Normal"/>
    <w:link w:val="Heading6Char"/>
    <w:qFormat/>
    <w:pPr>
      <w:tabs>
        <w:tab w:val="num" w:pos="1152"/>
      </w:tabs>
      <w:suppressAutoHyphens/>
      <w:spacing w:before="240" w:after="60"/>
      <w:ind w:left="1152" w:hanging="1152"/>
      <w:outlineLvl w:val="5"/>
    </w:pPr>
    <w:rPr>
      <w:rFonts w:eastAsia="Times New Roman"/>
      <w:b/>
      <w:bCs/>
      <w:szCs w:val="22"/>
      <w:lang w:eastAsia="ar-SA"/>
    </w:rPr>
  </w:style>
  <w:style w:type="paragraph" w:styleId="Heading7">
    <w:name w:val="heading 7"/>
    <w:basedOn w:val="Normal"/>
    <w:next w:val="Normal"/>
    <w:link w:val="Heading7Char"/>
    <w:qFormat/>
    <w:pPr>
      <w:tabs>
        <w:tab w:val="num" w:pos="1296"/>
      </w:tabs>
      <w:suppressAutoHyphens/>
      <w:spacing w:before="240" w:after="60"/>
      <w:ind w:left="1296" w:hanging="1296"/>
      <w:outlineLvl w:val="6"/>
    </w:pPr>
    <w:rPr>
      <w:rFonts w:eastAsia="Times New Roman"/>
      <w:lang w:eastAsia="ar-SA"/>
    </w:rPr>
  </w:style>
  <w:style w:type="paragraph" w:styleId="Heading8">
    <w:name w:val="heading 8"/>
    <w:basedOn w:val="Normal"/>
    <w:next w:val="Normal"/>
    <w:link w:val="Heading8Char"/>
    <w:qFormat/>
    <w:pPr>
      <w:tabs>
        <w:tab w:val="num" w:pos="1440"/>
      </w:tabs>
      <w:suppressAutoHyphens/>
      <w:spacing w:before="240" w:after="60"/>
      <w:ind w:left="1440" w:hanging="1440"/>
      <w:outlineLvl w:val="7"/>
    </w:pPr>
    <w:rPr>
      <w:rFonts w:eastAsia="Times New Roman"/>
      <w:i/>
      <w:iCs/>
      <w:lang w:eastAsia="ar-SA"/>
    </w:rPr>
  </w:style>
  <w:style w:type="paragraph" w:styleId="Heading9">
    <w:name w:val="heading 9"/>
    <w:basedOn w:val="Normal"/>
    <w:next w:val="Normal"/>
    <w:link w:val="Heading9Char"/>
    <w:qFormat/>
    <w:pPr>
      <w:tabs>
        <w:tab w:val="num" w:pos="1584"/>
      </w:tabs>
      <w:suppressAutoHyphens/>
      <w:spacing w:before="240" w:after="60"/>
      <w:ind w:left="1584" w:hanging="1584"/>
      <w:outlineLvl w:val="8"/>
    </w:pPr>
    <w:rPr>
      <w:rFonts w:ascii="Arial" w:eastAsia="Times New Roman" w:hAnsi="Arial" w:cs="Arial"/>
      <w:szCs w:val="22"/>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eastAsia="Times New Roman"/>
      <w:b/>
      <w:bCs/>
      <w:kern w:val="32"/>
      <w:sz w:val="24"/>
      <w:szCs w:val="32"/>
      <w:lang w:val="en-GB" w:eastAsia="ar-SA"/>
    </w:rPr>
  </w:style>
  <w:style w:type="character" w:customStyle="1" w:styleId="Heading2Char">
    <w:name w:val="Heading 2 Char"/>
    <w:link w:val="Heading2"/>
    <w:locked/>
    <w:rPr>
      <w:rFonts w:eastAsia="Times New Roman"/>
      <w:b/>
      <w:bCs/>
      <w:iCs/>
      <w:color w:val="000000" w:themeColor="text1"/>
      <w:sz w:val="24"/>
      <w:szCs w:val="28"/>
      <w:lang w:val="en-GB" w:eastAsia="ar-SA"/>
    </w:rPr>
  </w:style>
  <w:style w:type="character" w:customStyle="1" w:styleId="Heading3Char">
    <w:name w:val="Heading 3 Char"/>
    <w:link w:val="Heading3"/>
    <w:locked/>
    <w:rPr>
      <w:rFonts w:eastAsia="Times New Roman"/>
      <w:bCs/>
      <w:color w:val="000000" w:themeColor="text1"/>
      <w:sz w:val="24"/>
      <w:szCs w:val="24"/>
      <w:lang w:val="en-GB" w:eastAsia="ar-SA"/>
    </w:rPr>
  </w:style>
  <w:style w:type="character" w:customStyle="1" w:styleId="Heading4Char">
    <w:name w:val="Heading 4 Char"/>
    <w:link w:val="Heading4"/>
    <w:locked/>
    <w:rPr>
      <w:rFonts w:ascii="Arial Narrow" w:eastAsia="Times New Roman" w:hAnsi="Arial Narrow"/>
      <w:b/>
      <w:bCs/>
      <w:noProof/>
      <w:color w:val="000080"/>
      <w:szCs w:val="28"/>
      <w:lang w:val="en-GB" w:eastAsia="ar-SA"/>
    </w:rPr>
  </w:style>
  <w:style w:type="character" w:customStyle="1" w:styleId="Heading5Char">
    <w:name w:val="Heading 5 Char"/>
    <w:link w:val="Heading5"/>
    <w:semiHidden/>
    <w:locked/>
    <w:rPr>
      <w:b/>
      <w:bCs/>
      <w:i/>
      <w:iCs/>
      <w:sz w:val="26"/>
      <w:szCs w:val="26"/>
      <w:lang w:val="en-GB" w:eastAsia="ar-SA" w:bidi="ar-SA"/>
    </w:rPr>
  </w:style>
  <w:style w:type="character" w:customStyle="1" w:styleId="Heading6Char">
    <w:name w:val="Heading 6 Char"/>
    <w:link w:val="Heading6"/>
    <w:semiHidden/>
    <w:locked/>
    <w:rPr>
      <w:b/>
      <w:bCs/>
      <w:sz w:val="22"/>
      <w:szCs w:val="22"/>
      <w:lang w:val="en-GB" w:eastAsia="ar-SA" w:bidi="ar-SA"/>
    </w:rPr>
  </w:style>
  <w:style w:type="character" w:customStyle="1" w:styleId="Heading7Char">
    <w:name w:val="Heading 7 Char"/>
    <w:link w:val="Heading7"/>
    <w:semiHidden/>
    <w:locked/>
    <w:rPr>
      <w:sz w:val="22"/>
      <w:szCs w:val="24"/>
      <w:lang w:val="en-GB" w:eastAsia="ar-SA" w:bidi="ar-SA"/>
    </w:rPr>
  </w:style>
  <w:style w:type="character" w:customStyle="1" w:styleId="Heading8Char">
    <w:name w:val="Heading 8 Char"/>
    <w:link w:val="Heading8"/>
    <w:semiHidden/>
    <w:locked/>
    <w:rPr>
      <w:i/>
      <w:iCs/>
      <w:sz w:val="22"/>
      <w:szCs w:val="24"/>
      <w:lang w:val="en-GB" w:eastAsia="ar-SA" w:bidi="ar-SA"/>
    </w:rPr>
  </w:style>
  <w:style w:type="character" w:customStyle="1" w:styleId="Heading9Char">
    <w:name w:val="Heading 9 Char"/>
    <w:link w:val="Heading9"/>
    <w:semiHidden/>
    <w:locked/>
    <w:rPr>
      <w:rFonts w:ascii="Arial" w:hAnsi="Arial" w:cs="Arial"/>
      <w:sz w:val="22"/>
      <w:szCs w:val="22"/>
      <w:lang w:val="en-GB" w:eastAsia="ar-SA" w:bidi="ar-SA"/>
    </w:rPr>
  </w:style>
  <w:style w:type="character" w:styleId="Hyperlink">
    <w:name w:val="Hyperlink"/>
    <w:uiPriority w:val="99"/>
    <w:rPr>
      <w:rFonts w:cs="Times New Roman"/>
      <w:color w:val="0000FF"/>
      <w:u w:val="single"/>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noProof/>
      <w:sz w:val="16"/>
      <w:szCs w:val="16"/>
      <w:lang w:val="en-GB" w:eastAsia="ja-JP"/>
    </w:rPr>
  </w:style>
  <w:style w:type="paragraph" w:styleId="Header">
    <w:name w:val="header"/>
    <w:basedOn w:val="Normal"/>
    <w:link w:val="HeaderChar"/>
    <w:unhideWhenUsed/>
    <w:pPr>
      <w:tabs>
        <w:tab w:val="center" w:pos="4536"/>
        <w:tab w:val="right" w:pos="9072"/>
      </w:tabs>
    </w:pPr>
  </w:style>
  <w:style w:type="character" w:customStyle="1" w:styleId="HeaderChar">
    <w:name w:val="Header Char"/>
    <w:basedOn w:val="DefaultParagraphFont"/>
    <w:link w:val="Header"/>
    <w:rPr>
      <w:rFonts w:ascii="Univers for KPMG" w:hAnsi="Univers for KPMG"/>
      <w:noProof/>
      <w:szCs w:val="24"/>
      <w:lang w:val="en-GB" w:eastAsia="ja-JP"/>
    </w:rPr>
  </w:style>
  <w:style w:type="paragraph" w:styleId="BodyText">
    <w:name w:val="Body Text"/>
    <w:basedOn w:val="Normal"/>
    <w:link w:val="BodyTextChar1"/>
    <w:pPr>
      <w:suppressAutoHyphens/>
    </w:pPr>
    <w:rPr>
      <w:rFonts w:eastAsia="Times New Roman"/>
      <w:lang w:eastAsia="ar-SA"/>
    </w:rPr>
  </w:style>
  <w:style w:type="character" w:customStyle="1" w:styleId="BodyTextChar1">
    <w:name w:val="Body Text Char1"/>
    <w:link w:val="BodyText"/>
    <w:locked/>
    <w:rPr>
      <w:sz w:val="22"/>
      <w:szCs w:val="24"/>
      <w:lang w:val="en-GB" w:eastAsia="ar-SA" w:bidi="ar-SA"/>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Univers for KPMG" w:hAnsi="Univers for KPMG"/>
      <w:noProof/>
      <w:szCs w:val="24"/>
      <w:lang w:val="en-GB" w:eastAsia="ja-JP"/>
    </w:rPr>
  </w:style>
  <w:style w:type="paragraph" w:styleId="FootnoteText">
    <w:name w:val="footnote text"/>
    <w:aliases w:val="Testo nota a piè di pagina_Rientro,stile 1,Footnote,Footnote1,Footnote2,Footnote3,Footnote4,Footnote5,Footnote6,Footnote7,Footnote8,Footnote9,Footnote10,Footnote11,Footnote21,Footnote31,Footnote41,Footnote51,Footnote61,ft,fn,Fußnotentextf"/>
    <w:basedOn w:val="Normal"/>
    <w:uiPriority w:val="99"/>
    <w:unhideWhenUsed/>
    <w:qFormat/>
    <w:pPr>
      <w:ind w:left="720" w:hanging="720"/>
    </w:pPr>
    <w:rPr>
      <w:rFonts w:ascii="Times New Roman" w:hAnsi="Times New Roman"/>
      <w:szCs w:val="20"/>
    </w:rPr>
  </w:style>
  <w:style w:type="paragraph" w:styleId="TOC1">
    <w:name w:val="toc 1"/>
    <w:basedOn w:val="Normal"/>
    <w:next w:val="Normal"/>
    <w:autoRedefine/>
    <w:uiPriority w:val="39"/>
    <w:pPr>
      <w:spacing w:before="360"/>
    </w:pPr>
    <w:rPr>
      <w:rFonts w:ascii="Times New Roman" w:hAnsi="Times New Roman"/>
      <w:b/>
      <w:bCs/>
      <w:caps/>
      <w:sz w:val="24"/>
    </w:rPr>
  </w:style>
  <w:style w:type="paragraph" w:styleId="TOC2">
    <w:name w:val="toc 2"/>
    <w:basedOn w:val="Normal"/>
    <w:next w:val="Normal"/>
    <w:autoRedefine/>
    <w:uiPriority w:val="39"/>
    <w:pPr>
      <w:spacing w:before="240"/>
    </w:pPr>
    <w:rPr>
      <w:rFonts w:ascii="Times New Roman" w:hAnsi="Times New Roman"/>
      <w:b/>
      <w:bCs/>
      <w:sz w:val="22"/>
      <w:szCs w:val="20"/>
    </w:rPr>
  </w:style>
  <w:style w:type="character" w:styleId="FootnoteReference">
    <w:name w:val="footnote reference"/>
    <w:aliases w:val="Footnote Refernece,BVI fnr,callout,16 Point,Superscript 6 Point,Footnote Reference Superscript,Ref,de nota al pie,-E Fußnotenzeichen,number,SUPERS,EN Footnote Reference,-E Fuﬂnotenzeichen,-E Fuûnotenzeichen,Footnote number,F,FR, BVI f"/>
    <w:basedOn w:val="DefaultParagraphFont"/>
    <w:link w:val="FootnotesymbolCarZchn"/>
    <w:uiPriority w:val="99"/>
    <w:unhideWhenUsed/>
    <w:qFormat/>
    <w:rPr>
      <w:vertAlign w:val="superscript"/>
    </w:rPr>
  </w:style>
  <w:style w:type="paragraph" w:styleId="Caption">
    <w:name w:val="caption"/>
    <w:basedOn w:val="Normal"/>
    <w:next w:val="Default"/>
    <w:qFormat/>
    <w:pPr>
      <w:autoSpaceDE w:val="0"/>
      <w:autoSpaceDN w:val="0"/>
      <w:adjustRightInd w:val="0"/>
      <w:spacing w:before="120" w:after="240"/>
      <w:jc w:val="center"/>
    </w:pPr>
    <w:rPr>
      <w:rFonts w:ascii="Times New Roman" w:eastAsia="Times New Roman" w:hAnsi="Times New Roman"/>
      <w:lang w:eastAsia="en-GB"/>
    </w:rPr>
  </w:style>
  <w:style w:type="paragraph" w:customStyle="1" w:styleId="Default">
    <w:name w:val="Default"/>
    <w:pPr>
      <w:autoSpaceDE w:val="0"/>
      <w:autoSpaceDN w:val="0"/>
      <w:adjustRightInd w:val="0"/>
    </w:pPr>
    <w:rPr>
      <w:rFonts w:ascii="Arial" w:eastAsia="Times New Roman" w:hAnsi="Arial" w:cs="Arial"/>
      <w:color w:val="000000"/>
      <w:sz w:val="24"/>
      <w:szCs w:val="24"/>
      <w:lang w:val="en-GB" w:eastAsia="en-GB"/>
    </w:rPr>
  </w:style>
  <w:style w:type="paragraph" w:styleId="CommentText">
    <w:name w:val="annotation text"/>
    <w:basedOn w:val="Normal"/>
    <w:link w:val="CommentTextChar"/>
    <w:uiPriority w:val="99"/>
    <w:semiHidden/>
    <w:rPr>
      <w:rFonts w:eastAsia="Times New Roman"/>
      <w:szCs w:val="20"/>
      <w:lang w:eastAsia="en-GB"/>
    </w:rPr>
  </w:style>
  <w:style w:type="character" w:customStyle="1" w:styleId="CommentTextChar">
    <w:name w:val="Comment Text Char"/>
    <w:link w:val="CommentText"/>
    <w:uiPriority w:val="99"/>
    <w:semiHidden/>
    <w:locked/>
    <w:rPr>
      <w:lang w:val="en-GB" w:eastAsia="en-GB" w:bidi="ar-SA"/>
    </w:rPr>
  </w:style>
  <w:style w:type="paragraph" w:customStyle="1" w:styleId="bulletbodytext">
    <w:name w:val="bullet body text"/>
    <w:basedOn w:val="Normal"/>
    <w:pPr>
      <w:numPr>
        <w:numId w:val="2"/>
      </w:numPr>
    </w:pPr>
  </w:style>
  <w:style w:type="character" w:customStyle="1" w:styleId="BodyTextChar">
    <w:name w:val="Body Text Char"/>
    <w:uiPriority w:val="99"/>
    <w:semiHidden/>
    <w:locked/>
    <w:rPr>
      <w:sz w:val="22"/>
      <w:szCs w:val="24"/>
      <w:lang w:val="en-GB" w:eastAsia="ar-SA" w:bidi="ar-SA"/>
    </w:rPr>
  </w:style>
  <w:style w:type="paragraph" w:styleId="ListParagraph">
    <w:name w:val="List Paragraph"/>
    <w:basedOn w:val="Normal"/>
    <w:link w:val="ListParagraphChar"/>
    <w:uiPriority w:val="34"/>
    <w:qFormat/>
    <w:pPr>
      <w:numPr>
        <w:numId w:val="25"/>
      </w:numPr>
      <w:contextualSpacing/>
    </w:pPr>
    <w:rPr>
      <w:rFonts w:ascii="Candara" w:eastAsia="Times New Roman" w:hAnsi="Candara"/>
      <w:b/>
      <w:sz w:val="22"/>
      <w:u w:val="single"/>
      <w:lang w:val="en-US" w:eastAsia="en-US"/>
    </w:rPr>
  </w:style>
  <w:style w:type="character" w:customStyle="1" w:styleId="ListParagraphChar">
    <w:name w:val="List Paragraph Char"/>
    <w:basedOn w:val="DefaultParagraphFont"/>
    <w:link w:val="ListParagraph"/>
    <w:uiPriority w:val="34"/>
    <w:rPr>
      <w:rFonts w:ascii="Candara" w:eastAsia="Times New Roman" w:hAnsi="Candara"/>
      <w:b/>
      <w:noProof/>
      <w:sz w:val="22"/>
      <w:szCs w:val="24"/>
      <w:u w:val="single"/>
      <w:lang w:val="en-US" w:eastAsia="en-US"/>
    </w:rPr>
  </w:style>
  <w:style w:type="paragraph" w:styleId="Revision">
    <w:name w:val="Revision"/>
    <w:hidden/>
    <w:uiPriority w:val="99"/>
    <w:semiHidden/>
    <w:rPr>
      <w:sz w:val="22"/>
      <w:szCs w:val="24"/>
      <w:lang w:val="en-GB" w:eastAsia="ja-JP"/>
    </w:rPr>
  </w:style>
  <w:style w:type="paragraph" w:styleId="TableofFigures">
    <w:name w:val="table of figures"/>
    <w:basedOn w:val="Normal"/>
    <w:next w:val="Normal"/>
    <w:link w:val="TableofFiguresChar"/>
    <w:uiPriority w:val="99"/>
    <w:unhideWhenUsed/>
    <w:rPr>
      <w:rFonts w:ascii="Times New Roman" w:hAnsi="Times New Roman"/>
      <w:sz w:val="24"/>
    </w:rPr>
  </w:style>
  <w:style w:type="character" w:customStyle="1" w:styleId="TableofFiguresChar">
    <w:name w:val="Table of Figures Char"/>
    <w:basedOn w:val="DefaultParagraphFont"/>
    <w:link w:val="TableofFigures"/>
    <w:uiPriority w:val="99"/>
    <w:rPr>
      <w:sz w:val="24"/>
      <w:szCs w:val="24"/>
      <w:lang w:val="en-GB" w:eastAsia="ja-JP"/>
    </w:rPr>
  </w:style>
  <w:style w:type="paragraph" w:styleId="Date">
    <w:name w:val="Date"/>
    <w:basedOn w:val="Normal"/>
    <w:next w:val="Normal"/>
    <w:link w:val="DateChar"/>
  </w:style>
  <w:style w:type="character" w:customStyle="1" w:styleId="DateChar">
    <w:name w:val="Date Char"/>
    <w:basedOn w:val="DefaultParagraphFont"/>
    <w:link w:val="Date"/>
    <w:rPr>
      <w:rFonts w:ascii="Univers for KPMG" w:hAnsi="Univers for KPMG"/>
      <w:noProof/>
      <w:szCs w:val="24"/>
      <w:lang w:val="en-GB" w:eastAsia="ja-JP"/>
    </w:rPr>
  </w:style>
  <w:style w:type="paragraph" w:customStyle="1" w:styleId="Pagedecouverture">
    <w:name w:val="Page de couverture"/>
    <w:basedOn w:val="Normal"/>
    <w:next w:val="Normal"/>
    <w:pPr>
      <w:jc w:val="both"/>
    </w:pPr>
    <w:rPr>
      <w:rFonts w:ascii="Times New Roman" w:eastAsiaTheme="minorHAnsi" w:hAnsi="Times New Roman"/>
      <w:sz w:val="24"/>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semiHidden/>
    <w:unhideWhenUsed/>
    <w:rPr>
      <w:rFonts w:eastAsia="MS Mincho"/>
      <w:b/>
      <w:bCs/>
      <w:lang w:eastAsia="ja-JP"/>
    </w:rPr>
  </w:style>
  <w:style w:type="character" w:customStyle="1" w:styleId="CommentSubjectChar">
    <w:name w:val="Comment Subject Char"/>
    <w:basedOn w:val="CommentTextChar"/>
    <w:link w:val="CommentSubject"/>
    <w:semiHidden/>
    <w:rPr>
      <w:rFonts w:ascii="Univers for KPMG" w:hAnsi="Univers for KPMG"/>
      <w:b/>
      <w:bCs/>
      <w:noProof/>
      <w:lang w:val="en-GB" w:eastAsia="ja-JP" w:bidi="ar-SA"/>
    </w:rPr>
  </w:style>
  <w:style w:type="character" w:styleId="FollowedHyperlink">
    <w:name w:val="FollowedHyperlink"/>
    <w:basedOn w:val="DefaultParagraphFont"/>
    <w:semiHidden/>
    <w:unhideWhenUsed/>
    <w:rPr>
      <w:color w:val="954F72"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noProof/>
      <w:color w:val="000000" w:themeColor="text1"/>
      <w:sz w:val="24"/>
    </w:rPr>
  </w:style>
  <w:style w:type="character" w:customStyle="1" w:styleId="FooterCoverPageChar">
    <w:name w:val="Footer Cover Page Char"/>
    <w:basedOn w:val="DateChar"/>
    <w:link w:val="FooterCoverPage"/>
    <w:rPr>
      <w:rFonts w:ascii="Univers for KPMG" w:hAnsi="Univers for KPMG"/>
      <w:noProof/>
      <w:color w:val="000000" w:themeColor="text1"/>
      <w:sz w:val="24"/>
      <w:szCs w:val="24"/>
      <w:lang w:val="en-GB" w:eastAsia="ja-JP"/>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noProof/>
      <w:color w:val="000000" w:themeColor="text1"/>
      <w:sz w:val="24"/>
    </w:rPr>
  </w:style>
  <w:style w:type="character" w:customStyle="1" w:styleId="HeaderCoverPageChar">
    <w:name w:val="Header Cover Page Char"/>
    <w:basedOn w:val="DateChar"/>
    <w:link w:val="HeaderCoverPage"/>
    <w:rPr>
      <w:rFonts w:ascii="Univers for KPMG" w:hAnsi="Univers for KPMG"/>
      <w:noProof/>
      <w:color w:val="000000" w:themeColor="text1"/>
      <w:sz w:val="24"/>
      <w:szCs w:val="24"/>
      <w:lang w:val="en-GB" w:eastAsia="ja-JP"/>
    </w:rPr>
  </w:style>
  <w:style w:type="character" w:customStyle="1" w:styleId="CommentTextChar1">
    <w:name w:val="Comment Text Char1"/>
    <w:uiPriority w:val="99"/>
    <w:semiHidden/>
    <w:locked/>
    <w:rPr>
      <w:lang w:val="en-GB" w:eastAsia="en-GB" w:bidi="ar-SA"/>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rFonts w:ascii="Times New Roman" w:hAnsi="Times New Roman"/>
      <w:szCs w:val="20"/>
      <w:vertAlign w:val="superscript"/>
      <w:lang w:val="nl-BE" w:eastAsia="nl-BE"/>
    </w:rPr>
  </w:style>
  <w:style w:type="paragraph" w:styleId="TOCHeading">
    <w:name w:val="TOC Heading"/>
    <w:basedOn w:val="Heading1"/>
    <w:next w:val="Normal"/>
    <w:uiPriority w:val="39"/>
    <w:semiHidden/>
    <w:unhideWhenUsed/>
    <w:qFormat/>
    <w:pPr>
      <w:keepLines/>
      <w:pageBreakBefore w:val="0"/>
      <w:tabs>
        <w:tab w:val="clear" w:pos="851"/>
      </w:tabs>
      <w:spacing w:before="480" w:after="0" w:line="276" w:lineRule="auto"/>
      <w:outlineLvl w:val="9"/>
    </w:pPr>
    <w:rPr>
      <w:rFonts w:asciiTheme="majorHAnsi" w:eastAsiaTheme="majorEastAsia" w:hAnsiTheme="majorHAnsi" w:cstheme="majorBidi"/>
      <w:color w:val="2E74B5" w:themeColor="accent1" w:themeShade="BF"/>
      <w:kern w:val="0"/>
      <w:sz w:val="28"/>
      <w:szCs w:val="28"/>
      <w:lang w:val="en-US" w:eastAsia="ja-JP"/>
    </w:rPr>
  </w:style>
  <w:style w:type="paragraph" w:styleId="TOC3">
    <w:name w:val="toc 3"/>
    <w:basedOn w:val="Normal"/>
    <w:next w:val="Normal"/>
    <w:autoRedefine/>
    <w:uiPriority w:val="39"/>
    <w:unhideWhenUsed/>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nl-BE" w:eastAsia="nl-B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qFormat="1"/>
    <w:lsdException w:name="table of figures" w:uiPriority="99"/>
    <w:lsdException w:name="footnote reference"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Univers for KPMG" w:hAnsi="Univers for KPMG"/>
      <w:szCs w:val="24"/>
      <w:lang w:val="en-GB" w:eastAsia="ja-JP"/>
    </w:rPr>
  </w:style>
  <w:style w:type="paragraph" w:styleId="Heading1">
    <w:name w:val="heading 1"/>
    <w:basedOn w:val="Normal"/>
    <w:next w:val="Normal"/>
    <w:link w:val="Heading1Char"/>
    <w:qFormat/>
    <w:pPr>
      <w:keepNext/>
      <w:pageBreakBefore/>
      <w:tabs>
        <w:tab w:val="left" w:pos="851"/>
      </w:tabs>
      <w:spacing w:before="240" w:after="500" w:line="280" w:lineRule="atLeast"/>
      <w:outlineLvl w:val="0"/>
    </w:pPr>
    <w:rPr>
      <w:rFonts w:ascii="Times New Roman" w:eastAsia="Times New Roman" w:hAnsi="Times New Roman"/>
      <w:b/>
      <w:bCs/>
      <w:kern w:val="32"/>
      <w:sz w:val="24"/>
      <w:szCs w:val="32"/>
      <w:lang w:eastAsia="ar-SA"/>
    </w:rPr>
  </w:style>
  <w:style w:type="paragraph" w:styleId="Heading2">
    <w:name w:val="heading 2"/>
    <w:basedOn w:val="Normal"/>
    <w:next w:val="Normal"/>
    <w:link w:val="Heading2Char"/>
    <w:qFormat/>
    <w:pPr>
      <w:keepNext/>
      <w:numPr>
        <w:ilvl w:val="1"/>
        <w:numId w:val="1"/>
      </w:numPr>
      <w:suppressAutoHyphens/>
      <w:spacing w:before="240" w:after="240" w:line="276" w:lineRule="auto"/>
      <w:ind w:left="680" w:hanging="680"/>
      <w:outlineLvl w:val="1"/>
    </w:pPr>
    <w:rPr>
      <w:rFonts w:ascii="Times New Roman" w:eastAsia="Times New Roman" w:hAnsi="Times New Roman"/>
      <w:b/>
      <w:bCs/>
      <w:iCs/>
      <w:color w:val="000000" w:themeColor="text1"/>
      <w:sz w:val="24"/>
      <w:szCs w:val="28"/>
      <w:lang w:eastAsia="ar-SA"/>
    </w:rPr>
  </w:style>
  <w:style w:type="paragraph" w:styleId="Heading3">
    <w:name w:val="heading 3"/>
    <w:basedOn w:val="Normal"/>
    <w:next w:val="Normal"/>
    <w:link w:val="Heading3Char"/>
    <w:autoRedefine/>
    <w:qFormat/>
    <w:pPr>
      <w:keepNext/>
      <w:numPr>
        <w:ilvl w:val="2"/>
        <w:numId w:val="1"/>
      </w:numPr>
      <w:tabs>
        <w:tab w:val="clear" w:pos="1004"/>
        <w:tab w:val="num" w:pos="2846"/>
      </w:tabs>
      <w:suppressAutoHyphens/>
      <w:spacing w:before="240" w:after="240" w:line="276" w:lineRule="auto"/>
      <w:ind w:left="720"/>
      <w:outlineLvl w:val="2"/>
    </w:pPr>
    <w:rPr>
      <w:rFonts w:ascii="Times New Roman" w:eastAsia="Times New Roman" w:hAnsi="Times New Roman"/>
      <w:bCs/>
      <w:color w:val="000000" w:themeColor="text1"/>
      <w:sz w:val="24"/>
      <w:lang w:eastAsia="ar-SA"/>
    </w:rPr>
  </w:style>
  <w:style w:type="paragraph" w:styleId="Heading4">
    <w:name w:val="heading 4"/>
    <w:basedOn w:val="Normal"/>
    <w:next w:val="Normal"/>
    <w:link w:val="Heading4Char"/>
    <w:qFormat/>
    <w:pPr>
      <w:keepNext/>
      <w:numPr>
        <w:ilvl w:val="3"/>
        <w:numId w:val="1"/>
      </w:numPr>
      <w:suppressAutoHyphens/>
      <w:spacing w:before="180" w:after="60"/>
      <w:outlineLvl w:val="3"/>
    </w:pPr>
    <w:rPr>
      <w:rFonts w:ascii="Arial Narrow" w:eastAsia="Times New Roman" w:hAnsi="Arial Narrow"/>
      <w:b/>
      <w:bCs/>
      <w:color w:val="000080"/>
      <w:szCs w:val="28"/>
      <w:lang w:eastAsia="ar-SA"/>
    </w:rPr>
  </w:style>
  <w:style w:type="paragraph" w:styleId="Heading5">
    <w:name w:val="heading 5"/>
    <w:basedOn w:val="Normal"/>
    <w:next w:val="Normal"/>
    <w:link w:val="Heading5Char"/>
    <w:qFormat/>
    <w:pPr>
      <w:tabs>
        <w:tab w:val="num" w:pos="1008"/>
      </w:tabs>
      <w:suppressAutoHyphens/>
      <w:spacing w:before="240" w:after="60"/>
      <w:ind w:left="1008" w:hanging="1008"/>
      <w:outlineLvl w:val="4"/>
    </w:pPr>
    <w:rPr>
      <w:rFonts w:eastAsia="Times New Roman"/>
      <w:b/>
      <w:bCs/>
      <w:i/>
      <w:iCs/>
      <w:sz w:val="26"/>
      <w:szCs w:val="26"/>
      <w:lang w:eastAsia="ar-SA"/>
    </w:rPr>
  </w:style>
  <w:style w:type="paragraph" w:styleId="Heading6">
    <w:name w:val="heading 6"/>
    <w:basedOn w:val="Normal"/>
    <w:next w:val="Normal"/>
    <w:link w:val="Heading6Char"/>
    <w:qFormat/>
    <w:pPr>
      <w:tabs>
        <w:tab w:val="num" w:pos="1152"/>
      </w:tabs>
      <w:suppressAutoHyphens/>
      <w:spacing w:before="240" w:after="60"/>
      <w:ind w:left="1152" w:hanging="1152"/>
      <w:outlineLvl w:val="5"/>
    </w:pPr>
    <w:rPr>
      <w:rFonts w:eastAsia="Times New Roman"/>
      <w:b/>
      <w:bCs/>
      <w:szCs w:val="22"/>
      <w:lang w:eastAsia="ar-SA"/>
    </w:rPr>
  </w:style>
  <w:style w:type="paragraph" w:styleId="Heading7">
    <w:name w:val="heading 7"/>
    <w:basedOn w:val="Normal"/>
    <w:next w:val="Normal"/>
    <w:link w:val="Heading7Char"/>
    <w:qFormat/>
    <w:pPr>
      <w:tabs>
        <w:tab w:val="num" w:pos="1296"/>
      </w:tabs>
      <w:suppressAutoHyphens/>
      <w:spacing w:before="240" w:after="60"/>
      <w:ind w:left="1296" w:hanging="1296"/>
      <w:outlineLvl w:val="6"/>
    </w:pPr>
    <w:rPr>
      <w:rFonts w:eastAsia="Times New Roman"/>
      <w:lang w:eastAsia="ar-SA"/>
    </w:rPr>
  </w:style>
  <w:style w:type="paragraph" w:styleId="Heading8">
    <w:name w:val="heading 8"/>
    <w:basedOn w:val="Normal"/>
    <w:next w:val="Normal"/>
    <w:link w:val="Heading8Char"/>
    <w:qFormat/>
    <w:pPr>
      <w:tabs>
        <w:tab w:val="num" w:pos="1440"/>
      </w:tabs>
      <w:suppressAutoHyphens/>
      <w:spacing w:before="240" w:after="60"/>
      <w:ind w:left="1440" w:hanging="1440"/>
      <w:outlineLvl w:val="7"/>
    </w:pPr>
    <w:rPr>
      <w:rFonts w:eastAsia="Times New Roman"/>
      <w:i/>
      <w:iCs/>
      <w:lang w:eastAsia="ar-SA"/>
    </w:rPr>
  </w:style>
  <w:style w:type="paragraph" w:styleId="Heading9">
    <w:name w:val="heading 9"/>
    <w:basedOn w:val="Normal"/>
    <w:next w:val="Normal"/>
    <w:link w:val="Heading9Char"/>
    <w:qFormat/>
    <w:pPr>
      <w:tabs>
        <w:tab w:val="num" w:pos="1584"/>
      </w:tabs>
      <w:suppressAutoHyphens/>
      <w:spacing w:before="240" w:after="60"/>
      <w:ind w:left="1584" w:hanging="1584"/>
      <w:outlineLvl w:val="8"/>
    </w:pPr>
    <w:rPr>
      <w:rFonts w:ascii="Arial" w:eastAsia="Times New Roman" w:hAnsi="Arial" w:cs="Arial"/>
      <w:szCs w:val="22"/>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eastAsia="Times New Roman"/>
      <w:b/>
      <w:bCs/>
      <w:kern w:val="32"/>
      <w:sz w:val="24"/>
      <w:szCs w:val="32"/>
      <w:lang w:val="en-GB" w:eastAsia="ar-SA"/>
    </w:rPr>
  </w:style>
  <w:style w:type="character" w:customStyle="1" w:styleId="Heading2Char">
    <w:name w:val="Heading 2 Char"/>
    <w:link w:val="Heading2"/>
    <w:locked/>
    <w:rPr>
      <w:rFonts w:eastAsia="Times New Roman"/>
      <w:b/>
      <w:bCs/>
      <w:iCs/>
      <w:color w:val="000000" w:themeColor="text1"/>
      <w:sz w:val="24"/>
      <w:szCs w:val="28"/>
      <w:lang w:val="en-GB" w:eastAsia="ar-SA"/>
    </w:rPr>
  </w:style>
  <w:style w:type="character" w:customStyle="1" w:styleId="Heading3Char">
    <w:name w:val="Heading 3 Char"/>
    <w:link w:val="Heading3"/>
    <w:locked/>
    <w:rPr>
      <w:rFonts w:eastAsia="Times New Roman"/>
      <w:bCs/>
      <w:color w:val="000000" w:themeColor="text1"/>
      <w:sz w:val="24"/>
      <w:szCs w:val="24"/>
      <w:lang w:val="en-GB" w:eastAsia="ar-SA"/>
    </w:rPr>
  </w:style>
  <w:style w:type="character" w:customStyle="1" w:styleId="Heading4Char">
    <w:name w:val="Heading 4 Char"/>
    <w:link w:val="Heading4"/>
    <w:locked/>
    <w:rPr>
      <w:rFonts w:ascii="Arial Narrow" w:eastAsia="Times New Roman" w:hAnsi="Arial Narrow"/>
      <w:b/>
      <w:bCs/>
      <w:noProof/>
      <w:color w:val="000080"/>
      <w:szCs w:val="28"/>
      <w:lang w:val="en-GB" w:eastAsia="ar-SA"/>
    </w:rPr>
  </w:style>
  <w:style w:type="character" w:customStyle="1" w:styleId="Heading5Char">
    <w:name w:val="Heading 5 Char"/>
    <w:link w:val="Heading5"/>
    <w:semiHidden/>
    <w:locked/>
    <w:rPr>
      <w:b/>
      <w:bCs/>
      <w:i/>
      <w:iCs/>
      <w:sz w:val="26"/>
      <w:szCs w:val="26"/>
      <w:lang w:val="en-GB" w:eastAsia="ar-SA" w:bidi="ar-SA"/>
    </w:rPr>
  </w:style>
  <w:style w:type="character" w:customStyle="1" w:styleId="Heading6Char">
    <w:name w:val="Heading 6 Char"/>
    <w:link w:val="Heading6"/>
    <w:semiHidden/>
    <w:locked/>
    <w:rPr>
      <w:b/>
      <w:bCs/>
      <w:sz w:val="22"/>
      <w:szCs w:val="22"/>
      <w:lang w:val="en-GB" w:eastAsia="ar-SA" w:bidi="ar-SA"/>
    </w:rPr>
  </w:style>
  <w:style w:type="character" w:customStyle="1" w:styleId="Heading7Char">
    <w:name w:val="Heading 7 Char"/>
    <w:link w:val="Heading7"/>
    <w:semiHidden/>
    <w:locked/>
    <w:rPr>
      <w:sz w:val="22"/>
      <w:szCs w:val="24"/>
      <w:lang w:val="en-GB" w:eastAsia="ar-SA" w:bidi="ar-SA"/>
    </w:rPr>
  </w:style>
  <w:style w:type="character" w:customStyle="1" w:styleId="Heading8Char">
    <w:name w:val="Heading 8 Char"/>
    <w:link w:val="Heading8"/>
    <w:semiHidden/>
    <w:locked/>
    <w:rPr>
      <w:i/>
      <w:iCs/>
      <w:sz w:val="22"/>
      <w:szCs w:val="24"/>
      <w:lang w:val="en-GB" w:eastAsia="ar-SA" w:bidi="ar-SA"/>
    </w:rPr>
  </w:style>
  <w:style w:type="character" w:customStyle="1" w:styleId="Heading9Char">
    <w:name w:val="Heading 9 Char"/>
    <w:link w:val="Heading9"/>
    <w:semiHidden/>
    <w:locked/>
    <w:rPr>
      <w:rFonts w:ascii="Arial" w:hAnsi="Arial" w:cs="Arial"/>
      <w:sz w:val="22"/>
      <w:szCs w:val="22"/>
      <w:lang w:val="en-GB" w:eastAsia="ar-SA" w:bidi="ar-SA"/>
    </w:rPr>
  </w:style>
  <w:style w:type="character" w:styleId="Hyperlink">
    <w:name w:val="Hyperlink"/>
    <w:uiPriority w:val="99"/>
    <w:rPr>
      <w:rFonts w:cs="Times New Roman"/>
      <w:color w:val="0000FF"/>
      <w:u w:val="single"/>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noProof/>
      <w:sz w:val="16"/>
      <w:szCs w:val="16"/>
      <w:lang w:val="en-GB" w:eastAsia="ja-JP"/>
    </w:rPr>
  </w:style>
  <w:style w:type="paragraph" w:styleId="Header">
    <w:name w:val="header"/>
    <w:basedOn w:val="Normal"/>
    <w:link w:val="HeaderChar"/>
    <w:unhideWhenUsed/>
    <w:pPr>
      <w:tabs>
        <w:tab w:val="center" w:pos="4536"/>
        <w:tab w:val="right" w:pos="9072"/>
      </w:tabs>
    </w:pPr>
  </w:style>
  <w:style w:type="character" w:customStyle="1" w:styleId="HeaderChar">
    <w:name w:val="Header Char"/>
    <w:basedOn w:val="DefaultParagraphFont"/>
    <w:link w:val="Header"/>
    <w:rPr>
      <w:rFonts w:ascii="Univers for KPMG" w:hAnsi="Univers for KPMG"/>
      <w:noProof/>
      <w:szCs w:val="24"/>
      <w:lang w:val="en-GB" w:eastAsia="ja-JP"/>
    </w:rPr>
  </w:style>
  <w:style w:type="paragraph" w:styleId="BodyText">
    <w:name w:val="Body Text"/>
    <w:basedOn w:val="Normal"/>
    <w:link w:val="BodyTextChar1"/>
    <w:pPr>
      <w:suppressAutoHyphens/>
    </w:pPr>
    <w:rPr>
      <w:rFonts w:eastAsia="Times New Roman"/>
      <w:lang w:eastAsia="ar-SA"/>
    </w:rPr>
  </w:style>
  <w:style w:type="character" w:customStyle="1" w:styleId="BodyTextChar1">
    <w:name w:val="Body Text Char1"/>
    <w:link w:val="BodyText"/>
    <w:locked/>
    <w:rPr>
      <w:sz w:val="22"/>
      <w:szCs w:val="24"/>
      <w:lang w:val="en-GB" w:eastAsia="ar-SA" w:bidi="ar-SA"/>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Univers for KPMG" w:hAnsi="Univers for KPMG"/>
      <w:noProof/>
      <w:szCs w:val="24"/>
      <w:lang w:val="en-GB" w:eastAsia="ja-JP"/>
    </w:rPr>
  </w:style>
  <w:style w:type="paragraph" w:styleId="FootnoteText">
    <w:name w:val="footnote text"/>
    <w:aliases w:val="Testo nota a piè di pagina_Rientro,stile 1,Footnote,Footnote1,Footnote2,Footnote3,Footnote4,Footnote5,Footnote6,Footnote7,Footnote8,Footnote9,Footnote10,Footnote11,Footnote21,Footnote31,Footnote41,Footnote51,Footnote61,ft,fn,Fußnotentextf"/>
    <w:basedOn w:val="Normal"/>
    <w:uiPriority w:val="99"/>
    <w:unhideWhenUsed/>
    <w:qFormat/>
    <w:pPr>
      <w:ind w:left="720" w:hanging="720"/>
    </w:pPr>
    <w:rPr>
      <w:rFonts w:ascii="Times New Roman" w:hAnsi="Times New Roman"/>
      <w:szCs w:val="20"/>
    </w:rPr>
  </w:style>
  <w:style w:type="paragraph" w:styleId="TOC1">
    <w:name w:val="toc 1"/>
    <w:basedOn w:val="Normal"/>
    <w:next w:val="Normal"/>
    <w:autoRedefine/>
    <w:uiPriority w:val="39"/>
    <w:pPr>
      <w:spacing w:before="360"/>
    </w:pPr>
    <w:rPr>
      <w:rFonts w:ascii="Times New Roman" w:hAnsi="Times New Roman"/>
      <w:b/>
      <w:bCs/>
      <w:caps/>
      <w:sz w:val="24"/>
    </w:rPr>
  </w:style>
  <w:style w:type="paragraph" w:styleId="TOC2">
    <w:name w:val="toc 2"/>
    <w:basedOn w:val="Normal"/>
    <w:next w:val="Normal"/>
    <w:autoRedefine/>
    <w:uiPriority w:val="39"/>
    <w:pPr>
      <w:spacing w:before="240"/>
    </w:pPr>
    <w:rPr>
      <w:rFonts w:ascii="Times New Roman" w:hAnsi="Times New Roman"/>
      <w:b/>
      <w:bCs/>
      <w:sz w:val="22"/>
      <w:szCs w:val="20"/>
    </w:rPr>
  </w:style>
  <w:style w:type="character" w:styleId="FootnoteReference">
    <w:name w:val="footnote reference"/>
    <w:aliases w:val="Footnote Refernece,BVI fnr,callout,16 Point,Superscript 6 Point,Footnote Reference Superscript,Ref,de nota al pie,-E Fußnotenzeichen,number,SUPERS,EN Footnote Reference,-E Fuﬂnotenzeichen,-E Fuûnotenzeichen,Footnote number,F,FR, BVI f"/>
    <w:basedOn w:val="DefaultParagraphFont"/>
    <w:link w:val="FootnotesymbolCarZchn"/>
    <w:uiPriority w:val="99"/>
    <w:unhideWhenUsed/>
    <w:qFormat/>
    <w:rPr>
      <w:vertAlign w:val="superscript"/>
    </w:rPr>
  </w:style>
  <w:style w:type="paragraph" w:styleId="Caption">
    <w:name w:val="caption"/>
    <w:basedOn w:val="Normal"/>
    <w:next w:val="Default"/>
    <w:qFormat/>
    <w:pPr>
      <w:autoSpaceDE w:val="0"/>
      <w:autoSpaceDN w:val="0"/>
      <w:adjustRightInd w:val="0"/>
      <w:spacing w:before="120" w:after="240"/>
      <w:jc w:val="center"/>
    </w:pPr>
    <w:rPr>
      <w:rFonts w:ascii="Times New Roman" w:eastAsia="Times New Roman" w:hAnsi="Times New Roman"/>
      <w:lang w:eastAsia="en-GB"/>
    </w:rPr>
  </w:style>
  <w:style w:type="paragraph" w:customStyle="1" w:styleId="Default">
    <w:name w:val="Default"/>
    <w:pPr>
      <w:autoSpaceDE w:val="0"/>
      <w:autoSpaceDN w:val="0"/>
      <w:adjustRightInd w:val="0"/>
    </w:pPr>
    <w:rPr>
      <w:rFonts w:ascii="Arial" w:eastAsia="Times New Roman" w:hAnsi="Arial" w:cs="Arial"/>
      <w:color w:val="000000"/>
      <w:sz w:val="24"/>
      <w:szCs w:val="24"/>
      <w:lang w:val="en-GB" w:eastAsia="en-GB"/>
    </w:rPr>
  </w:style>
  <w:style w:type="paragraph" w:styleId="CommentText">
    <w:name w:val="annotation text"/>
    <w:basedOn w:val="Normal"/>
    <w:link w:val="CommentTextChar"/>
    <w:uiPriority w:val="99"/>
    <w:semiHidden/>
    <w:rPr>
      <w:rFonts w:eastAsia="Times New Roman"/>
      <w:szCs w:val="20"/>
      <w:lang w:eastAsia="en-GB"/>
    </w:rPr>
  </w:style>
  <w:style w:type="character" w:customStyle="1" w:styleId="CommentTextChar">
    <w:name w:val="Comment Text Char"/>
    <w:link w:val="CommentText"/>
    <w:uiPriority w:val="99"/>
    <w:semiHidden/>
    <w:locked/>
    <w:rPr>
      <w:lang w:val="en-GB" w:eastAsia="en-GB" w:bidi="ar-SA"/>
    </w:rPr>
  </w:style>
  <w:style w:type="paragraph" w:customStyle="1" w:styleId="bulletbodytext">
    <w:name w:val="bullet body text"/>
    <w:basedOn w:val="Normal"/>
    <w:pPr>
      <w:numPr>
        <w:numId w:val="2"/>
      </w:numPr>
    </w:pPr>
  </w:style>
  <w:style w:type="character" w:customStyle="1" w:styleId="BodyTextChar">
    <w:name w:val="Body Text Char"/>
    <w:uiPriority w:val="99"/>
    <w:semiHidden/>
    <w:locked/>
    <w:rPr>
      <w:sz w:val="22"/>
      <w:szCs w:val="24"/>
      <w:lang w:val="en-GB" w:eastAsia="ar-SA" w:bidi="ar-SA"/>
    </w:rPr>
  </w:style>
  <w:style w:type="paragraph" w:styleId="ListParagraph">
    <w:name w:val="List Paragraph"/>
    <w:basedOn w:val="Normal"/>
    <w:link w:val="ListParagraphChar"/>
    <w:uiPriority w:val="34"/>
    <w:qFormat/>
    <w:pPr>
      <w:numPr>
        <w:numId w:val="25"/>
      </w:numPr>
      <w:contextualSpacing/>
    </w:pPr>
    <w:rPr>
      <w:rFonts w:ascii="Candara" w:eastAsia="Times New Roman" w:hAnsi="Candara"/>
      <w:b/>
      <w:sz w:val="22"/>
      <w:u w:val="single"/>
      <w:lang w:val="en-US" w:eastAsia="en-US"/>
    </w:rPr>
  </w:style>
  <w:style w:type="character" w:customStyle="1" w:styleId="ListParagraphChar">
    <w:name w:val="List Paragraph Char"/>
    <w:basedOn w:val="DefaultParagraphFont"/>
    <w:link w:val="ListParagraph"/>
    <w:uiPriority w:val="34"/>
    <w:rPr>
      <w:rFonts w:ascii="Candara" w:eastAsia="Times New Roman" w:hAnsi="Candara"/>
      <w:b/>
      <w:noProof/>
      <w:sz w:val="22"/>
      <w:szCs w:val="24"/>
      <w:u w:val="single"/>
      <w:lang w:val="en-US" w:eastAsia="en-US"/>
    </w:rPr>
  </w:style>
  <w:style w:type="paragraph" w:styleId="Revision">
    <w:name w:val="Revision"/>
    <w:hidden/>
    <w:uiPriority w:val="99"/>
    <w:semiHidden/>
    <w:rPr>
      <w:sz w:val="22"/>
      <w:szCs w:val="24"/>
      <w:lang w:val="en-GB" w:eastAsia="ja-JP"/>
    </w:rPr>
  </w:style>
  <w:style w:type="paragraph" w:styleId="TableofFigures">
    <w:name w:val="table of figures"/>
    <w:basedOn w:val="Normal"/>
    <w:next w:val="Normal"/>
    <w:link w:val="TableofFiguresChar"/>
    <w:uiPriority w:val="99"/>
    <w:unhideWhenUsed/>
    <w:rPr>
      <w:rFonts w:ascii="Times New Roman" w:hAnsi="Times New Roman"/>
      <w:sz w:val="24"/>
    </w:rPr>
  </w:style>
  <w:style w:type="character" w:customStyle="1" w:styleId="TableofFiguresChar">
    <w:name w:val="Table of Figures Char"/>
    <w:basedOn w:val="DefaultParagraphFont"/>
    <w:link w:val="TableofFigures"/>
    <w:uiPriority w:val="99"/>
    <w:rPr>
      <w:sz w:val="24"/>
      <w:szCs w:val="24"/>
      <w:lang w:val="en-GB" w:eastAsia="ja-JP"/>
    </w:rPr>
  </w:style>
  <w:style w:type="paragraph" w:styleId="Date">
    <w:name w:val="Date"/>
    <w:basedOn w:val="Normal"/>
    <w:next w:val="Normal"/>
    <w:link w:val="DateChar"/>
  </w:style>
  <w:style w:type="character" w:customStyle="1" w:styleId="DateChar">
    <w:name w:val="Date Char"/>
    <w:basedOn w:val="DefaultParagraphFont"/>
    <w:link w:val="Date"/>
    <w:rPr>
      <w:rFonts w:ascii="Univers for KPMG" w:hAnsi="Univers for KPMG"/>
      <w:noProof/>
      <w:szCs w:val="24"/>
      <w:lang w:val="en-GB" w:eastAsia="ja-JP"/>
    </w:rPr>
  </w:style>
  <w:style w:type="paragraph" w:customStyle="1" w:styleId="Pagedecouverture">
    <w:name w:val="Page de couverture"/>
    <w:basedOn w:val="Normal"/>
    <w:next w:val="Normal"/>
    <w:pPr>
      <w:jc w:val="both"/>
    </w:pPr>
    <w:rPr>
      <w:rFonts w:ascii="Times New Roman" w:eastAsiaTheme="minorHAnsi" w:hAnsi="Times New Roman"/>
      <w:sz w:val="24"/>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semiHidden/>
    <w:unhideWhenUsed/>
    <w:rPr>
      <w:rFonts w:eastAsia="MS Mincho"/>
      <w:b/>
      <w:bCs/>
      <w:lang w:eastAsia="ja-JP"/>
    </w:rPr>
  </w:style>
  <w:style w:type="character" w:customStyle="1" w:styleId="CommentSubjectChar">
    <w:name w:val="Comment Subject Char"/>
    <w:basedOn w:val="CommentTextChar"/>
    <w:link w:val="CommentSubject"/>
    <w:semiHidden/>
    <w:rPr>
      <w:rFonts w:ascii="Univers for KPMG" w:hAnsi="Univers for KPMG"/>
      <w:b/>
      <w:bCs/>
      <w:noProof/>
      <w:lang w:val="en-GB" w:eastAsia="ja-JP" w:bidi="ar-SA"/>
    </w:rPr>
  </w:style>
  <w:style w:type="character" w:styleId="FollowedHyperlink">
    <w:name w:val="FollowedHyperlink"/>
    <w:basedOn w:val="DefaultParagraphFont"/>
    <w:semiHidden/>
    <w:unhideWhenUsed/>
    <w:rPr>
      <w:color w:val="954F72"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noProof/>
      <w:color w:val="000000" w:themeColor="text1"/>
      <w:sz w:val="24"/>
    </w:rPr>
  </w:style>
  <w:style w:type="character" w:customStyle="1" w:styleId="FooterCoverPageChar">
    <w:name w:val="Footer Cover Page Char"/>
    <w:basedOn w:val="DateChar"/>
    <w:link w:val="FooterCoverPage"/>
    <w:rPr>
      <w:rFonts w:ascii="Univers for KPMG" w:hAnsi="Univers for KPMG"/>
      <w:noProof/>
      <w:color w:val="000000" w:themeColor="text1"/>
      <w:sz w:val="24"/>
      <w:szCs w:val="24"/>
      <w:lang w:val="en-GB" w:eastAsia="ja-JP"/>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noProof/>
      <w:color w:val="000000" w:themeColor="text1"/>
      <w:sz w:val="24"/>
    </w:rPr>
  </w:style>
  <w:style w:type="character" w:customStyle="1" w:styleId="HeaderCoverPageChar">
    <w:name w:val="Header Cover Page Char"/>
    <w:basedOn w:val="DateChar"/>
    <w:link w:val="HeaderCoverPage"/>
    <w:rPr>
      <w:rFonts w:ascii="Univers for KPMG" w:hAnsi="Univers for KPMG"/>
      <w:noProof/>
      <w:color w:val="000000" w:themeColor="text1"/>
      <w:sz w:val="24"/>
      <w:szCs w:val="24"/>
      <w:lang w:val="en-GB" w:eastAsia="ja-JP"/>
    </w:rPr>
  </w:style>
  <w:style w:type="character" w:customStyle="1" w:styleId="CommentTextChar1">
    <w:name w:val="Comment Text Char1"/>
    <w:uiPriority w:val="99"/>
    <w:semiHidden/>
    <w:locked/>
    <w:rPr>
      <w:lang w:val="en-GB" w:eastAsia="en-GB" w:bidi="ar-SA"/>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rFonts w:ascii="Times New Roman" w:hAnsi="Times New Roman"/>
      <w:szCs w:val="20"/>
      <w:vertAlign w:val="superscript"/>
      <w:lang w:val="nl-BE" w:eastAsia="nl-BE"/>
    </w:rPr>
  </w:style>
  <w:style w:type="paragraph" w:styleId="TOCHeading">
    <w:name w:val="TOC Heading"/>
    <w:basedOn w:val="Heading1"/>
    <w:next w:val="Normal"/>
    <w:uiPriority w:val="39"/>
    <w:semiHidden/>
    <w:unhideWhenUsed/>
    <w:qFormat/>
    <w:pPr>
      <w:keepLines/>
      <w:pageBreakBefore w:val="0"/>
      <w:tabs>
        <w:tab w:val="clear" w:pos="851"/>
      </w:tabs>
      <w:spacing w:before="480" w:after="0" w:line="276" w:lineRule="auto"/>
      <w:outlineLvl w:val="9"/>
    </w:pPr>
    <w:rPr>
      <w:rFonts w:asciiTheme="majorHAnsi" w:eastAsiaTheme="majorEastAsia" w:hAnsiTheme="majorHAnsi" w:cstheme="majorBidi"/>
      <w:color w:val="2E74B5" w:themeColor="accent1" w:themeShade="BF"/>
      <w:kern w:val="0"/>
      <w:sz w:val="28"/>
      <w:szCs w:val="28"/>
      <w:lang w:val="en-US" w:eastAsia="ja-JP"/>
    </w:rPr>
  </w:style>
  <w:style w:type="paragraph" w:styleId="TOC3">
    <w:name w:val="toc 3"/>
    <w:basedOn w:val="Normal"/>
    <w:next w:val="Normal"/>
    <w:autoRedefine/>
    <w:uiPriority w:val="39"/>
    <w:unhideWhenUsed/>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901">
      <w:bodyDiv w:val="1"/>
      <w:marLeft w:val="0"/>
      <w:marRight w:val="0"/>
      <w:marTop w:val="0"/>
      <w:marBottom w:val="0"/>
      <w:divBdr>
        <w:top w:val="none" w:sz="0" w:space="0" w:color="auto"/>
        <w:left w:val="none" w:sz="0" w:space="0" w:color="auto"/>
        <w:bottom w:val="none" w:sz="0" w:space="0" w:color="auto"/>
        <w:right w:val="none" w:sz="0" w:space="0" w:color="auto"/>
      </w:divBdr>
      <w:divsChild>
        <w:div w:id="741828105">
          <w:marLeft w:val="547"/>
          <w:marRight w:val="0"/>
          <w:marTop w:val="240"/>
          <w:marBottom w:val="0"/>
          <w:divBdr>
            <w:top w:val="none" w:sz="0" w:space="0" w:color="auto"/>
            <w:left w:val="none" w:sz="0" w:space="0" w:color="auto"/>
            <w:bottom w:val="none" w:sz="0" w:space="0" w:color="auto"/>
            <w:right w:val="none" w:sz="0" w:space="0" w:color="auto"/>
          </w:divBdr>
        </w:div>
        <w:div w:id="1571308039">
          <w:marLeft w:val="547"/>
          <w:marRight w:val="0"/>
          <w:marTop w:val="240"/>
          <w:marBottom w:val="0"/>
          <w:divBdr>
            <w:top w:val="none" w:sz="0" w:space="0" w:color="auto"/>
            <w:left w:val="none" w:sz="0" w:space="0" w:color="auto"/>
            <w:bottom w:val="none" w:sz="0" w:space="0" w:color="auto"/>
            <w:right w:val="none" w:sz="0" w:space="0" w:color="auto"/>
          </w:divBdr>
        </w:div>
      </w:divsChild>
    </w:div>
    <w:div w:id="14814081">
      <w:bodyDiv w:val="1"/>
      <w:marLeft w:val="0"/>
      <w:marRight w:val="0"/>
      <w:marTop w:val="0"/>
      <w:marBottom w:val="0"/>
      <w:divBdr>
        <w:top w:val="none" w:sz="0" w:space="0" w:color="auto"/>
        <w:left w:val="none" w:sz="0" w:space="0" w:color="auto"/>
        <w:bottom w:val="none" w:sz="0" w:space="0" w:color="auto"/>
        <w:right w:val="none" w:sz="0" w:space="0" w:color="auto"/>
      </w:divBdr>
      <w:divsChild>
        <w:div w:id="321590614">
          <w:marLeft w:val="547"/>
          <w:marRight w:val="0"/>
          <w:marTop w:val="86"/>
          <w:marBottom w:val="0"/>
          <w:divBdr>
            <w:top w:val="none" w:sz="0" w:space="0" w:color="auto"/>
            <w:left w:val="none" w:sz="0" w:space="0" w:color="auto"/>
            <w:bottom w:val="none" w:sz="0" w:space="0" w:color="auto"/>
            <w:right w:val="none" w:sz="0" w:space="0" w:color="auto"/>
          </w:divBdr>
        </w:div>
        <w:div w:id="544801630">
          <w:marLeft w:val="1166"/>
          <w:marRight w:val="0"/>
          <w:marTop w:val="86"/>
          <w:marBottom w:val="0"/>
          <w:divBdr>
            <w:top w:val="none" w:sz="0" w:space="0" w:color="auto"/>
            <w:left w:val="none" w:sz="0" w:space="0" w:color="auto"/>
            <w:bottom w:val="none" w:sz="0" w:space="0" w:color="auto"/>
            <w:right w:val="none" w:sz="0" w:space="0" w:color="auto"/>
          </w:divBdr>
        </w:div>
        <w:div w:id="893810768">
          <w:marLeft w:val="547"/>
          <w:marRight w:val="0"/>
          <w:marTop w:val="86"/>
          <w:marBottom w:val="0"/>
          <w:divBdr>
            <w:top w:val="none" w:sz="0" w:space="0" w:color="auto"/>
            <w:left w:val="none" w:sz="0" w:space="0" w:color="auto"/>
            <w:bottom w:val="none" w:sz="0" w:space="0" w:color="auto"/>
            <w:right w:val="none" w:sz="0" w:space="0" w:color="auto"/>
          </w:divBdr>
        </w:div>
        <w:div w:id="1022974953">
          <w:marLeft w:val="1166"/>
          <w:marRight w:val="0"/>
          <w:marTop w:val="86"/>
          <w:marBottom w:val="0"/>
          <w:divBdr>
            <w:top w:val="none" w:sz="0" w:space="0" w:color="auto"/>
            <w:left w:val="none" w:sz="0" w:space="0" w:color="auto"/>
            <w:bottom w:val="none" w:sz="0" w:space="0" w:color="auto"/>
            <w:right w:val="none" w:sz="0" w:space="0" w:color="auto"/>
          </w:divBdr>
        </w:div>
        <w:div w:id="1078863518">
          <w:marLeft w:val="1166"/>
          <w:marRight w:val="0"/>
          <w:marTop w:val="86"/>
          <w:marBottom w:val="0"/>
          <w:divBdr>
            <w:top w:val="none" w:sz="0" w:space="0" w:color="auto"/>
            <w:left w:val="none" w:sz="0" w:space="0" w:color="auto"/>
            <w:bottom w:val="none" w:sz="0" w:space="0" w:color="auto"/>
            <w:right w:val="none" w:sz="0" w:space="0" w:color="auto"/>
          </w:divBdr>
        </w:div>
        <w:div w:id="1246573908">
          <w:marLeft w:val="1166"/>
          <w:marRight w:val="0"/>
          <w:marTop w:val="86"/>
          <w:marBottom w:val="0"/>
          <w:divBdr>
            <w:top w:val="none" w:sz="0" w:space="0" w:color="auto"/>
            <w:left w:val="none" w:sz="0" w:space="0" w:color="auto"/>
            <w:bottom w:val="none" w:sz="0" w:space="0" w:color="auto"/>
            <w:right w:val="none" w:sz="0" w:space="0" w:color="auto"/>
          </w:divBdr>
        </w:div>
        <w:div w:id="1767728049">
          <w:marLeft w:val="547"/>
          <w:marRight w:val="0"/>
          <w:marTop w:val="86"/>
          <w:marBottom w:val="0"/>
          <w:divBdr>
            <w:top w:val="none" w:sz="0" w:space="0" w:color="auto"/>
            <w:left w:val="none" w:sz="0" w:space="0" w:color="auto"/>
            <w:bottom w:val="none" w:sz="0" w:space="0" w:color="auto"/>
            <w:right w:val="none" w:sz="0" w:space="0" w:color="auto"/>
          </w:divBdr>
        </w:div>
        <w:div w:id="1987313956">
          <w:marLeft w:val="1166"/>
          <w:marRight w:val="0"/>
          <w:marTop w:val="86"/>
          <w:marBottom w:val="0"/>
          <w:divBdr>
            <w:top w:val="none" w:sz="0" w:space="0" w:color="auto"/>
            <w:left w:val="none" w:sz="0" w:space="0" w:color="auto"/>
            <w:bottom w:val="none" w:sz="0" w:space="0" w:color="auto"/>
            <w:right w:val="none" w:sz="0" w:space="0" w:color="auto"/>
          </w:divBdr>
        </w:div>
        <w:div w:id="2090300529">
          <w:marLeft w:val="547"/>
          <w:marRight w:val="0"/>
          <w:marTop w:val="86"/>
          <w:marBottom w:val="0"/>
          <w:divBdr>
            <w:top w:val="none" w:sz="0" w:space="0" w:color="auto"/>
            <w:left w:val="none" w:sz="0" w:space="0" w:color="auto"/>
            <w:bottom w:val="none" w:sz="0" w:space="0" w:color="auto"/>
            <w:right w:val="none" w:sz="0" w:space="0" w:color="auto"/>
          </w:divBdr>
        </w:div>
      </w:divsChild>
    </w:div>
    <w:div w:id="59716517">
      <w:bodyDiv w:val="1"/>
      <w:marLeft w:val="0"/>
      <w:marRight w:val="0"/>
      <w:marTop w:val="0"/>
      <w:marBottom w:val="0"/>
      <w:divBdr>
        <w:top w:val="none" w:sz="0" w:space="0" w:color="auto"/>
        <w:left w:val="none" w:sz="0" w:space="0" w:color="auto"/>
        <w:bottom w:val="none" w:sz="0" w:space="0" w:color="auto"/>
        <w:right w:val="none" w:sz="0" w:space="0" w:color="auto"/>
      </w:divBdr>
      <w:divsChild>
        <w:div w:id="1479103652">
          <w:marLeft w:val="547"/>
          <w:marRight w:val="0"/>
          <w:marTop w:val="96"/>
          <w:marBottom w:val="0"/>
          <w:divBdr>
            <w:top w:val="none" w:sz="0" w:space="0" w:color="auto"/>
            <w:left w:val="none" w:sz="0" w:space="0" w:color="auto"/>
            <w:bottom w:val="none" w:sz="0" w:space="0" w:color="auto"/>
            <w:right w:val="none" w:sz="0" w:space="0" w:color="auto"/>
          </w:divBdr>
        </w:div>
        <w:div w:id="2015036676">
          <w:marLeft w:val="547"/>
          <w:marRight w:val="0"/>
          <w:marTop w:val="96"/>
          <w:marBottom w:val="0"/>
          <w:divBdr>
            <w:top w:val="none" w:sz="0" w:space="0" w:color="auto"/>
            <w:left w:val="none" w:sz="0" w:space="0" w:color="auto"/>
            <w:bottom w:val="none" w:sz="0" w:space="0" w:color="auto"/>
            <w:right w:val="none" w:sz="0" w:space="0" w:color="auto"/>
          </w:divBdr>
        </w:div>
      </w:divsChild>
    </w:div>
    <w:div w:id="73741253">
      <w:bodyDiv w:val="1"/>
      <w:marLeft w:val="0"/>
      <w:marRight w:val="0"/>
      <w:marTop w:val="0"/>
      <w:marBottom w:val="0"/>
      <w:divBdr>
        <w:top w:val="none" w:sz="0" w:space="0" w:color="auto"/>
        <w:left w:val="none" w:sz="0" w:space="0" w:color="auto"/>
        <w:bottom w:val="none" w:sz="0" w:space="0" w:color="auto"/>
        <w:right w:val="none" w:sz="0" w:space="0" w:color="auto"/>
      </w:divBdr>
    </w:div>
    <w:div w:id="102922522">
      <w:bodyDiv w:val="1"/>
      <w:marLeft w:val="0"/>
      <w:marRight w:val="0"/>
      <w:marTop w:val="0"/>
      <w:marBottom w:val="0"/>
      <w:divBdr>
        <w:top w:val="none" w:sz="0" w:space="0" w:color="auto"/>
        <w:left w:val="none" w:sz="0" w:space="0" w:color="auto"/>
        <w:bottom w:val="none" w:sz="0" w:space="0" w:color="auto"/>
        <w:right w:val="none" w:sz="0" w:space="0" w:color="auto"/>
      </w:divBdr>
      <w:divsChild>
        <w:div w:id="48921669">
          <w:marLeft w:val="547"/>
          <w:marRight w:val="0"/>
          <w:marTop w:val="120"/>
          <w:marBottom w:val="60"/>
          <w:divBdr>
            <w:top w:val="none" w:sz="0" w:space="0" w:color="auto"/>
            <w:left w:val="none" w:sz="0" w:space="0" w:color="auto"/>
            <w:bottom w:val="none" w:sz="0" w:space="0" w:color="auto"/>
            <w:right w:val="none" w:sz="0" w:space="0" w:color="auto"/>
          </w:divBdr>
        </w:div>
      </w:divsChild>
    </w:div>
    <w:div w:id="126974160">
      <w:bodyDiv w:val="1"/>
      <w:marLeft w:val="0"/>
      <w:marRight w:val="0"/>
      <w:marTop w:val="0"/>
      <w:marBottom w:val="0"/>
      <w:divBdr>
        <w:top w:val="none" w:sz="0" w:space="0" w:color="auto"/>
        <w:left w:val="none" w:sz="0" w:space="0" w:color="auto"/>
        <w:bottom w:val="none" w:sz="0" w:space="0" w:color="auto"/>
        <w:right w:val="none" w:sz="0" w:space="0" w:color="auto"/>
      </w:divBdr>
      <w:divsChild>
        <w:div w:id="1270703632">
          <w:marLeft w:val="547"/>
          <w:marRight w:val="0"/>
          <w:marTop w:val="96"/>
          <w:marBottom w:val="0"/>
          <w:divBdr>
            <w:top w:val="none" w:sz="0" w:space="0" w:color="auto"/>
            <w:left w:val="none" w:sz="0" w:space="0" w:color="auto"/>
            <w:bottom w:val="none" w:sz="0" w:space="0" w:color="auto"/>
            <w:right w:val="none" w:sz="0" w:space="0" w:color="auto"/>
          </w:divBdr>
        </w:div>
      </w:divsChild>
    </w:div>
    <w:div w:id="149955366">
      <w:bodyDiv w:val="1"/>
      <w:marLeft w:val="0"/>
      <w:marRight w:val="0"/>
      <w:marTop w:val="0"/>
      <w:marBottom w:val="0"/>
      <w:divBdr>
        <w:top w:val="none" w:sz="0" w:space="0" w:color="auto"/>
        <w:left w:val="none" w:sz="0" w:space="0" w:color="auto"/>
        <w:bottom w:val="none" w:sz="0" w:space="0" w:color="auto"/>
        <w:right w:val="none" w:sz="0" w:space="0" w:color="auto"/>
      </w:divBdr>
      <w:divsChild>
        <w:div w:id="959066696">
          <w:marLeft w:val="0"/>
          <w:marRight w:val="0"/>
          <w:marTop w:val="0"/>
          <w:marBottom w:val="0"/>
          <w:divBdr>
            <w:top w:val="none" w:sz="0" w:space="0" w:color="auto"/>
            <w:left w:val="none" w:sz="0" w:space="0" w:color="auto"/>
            <w:bottom w:val="none" w:sz="0" w:space="0" w:color="auto"/>
            <w:right w:val="none" w:sz="0" w:space="0" w:color="auto"/>
          </w:divBdr>
        </w:div>
      </w:divsChild>
    </w:div>
    <w:div w:id="209806272">
      <w:bodyDiv w:val="1"/>
      <w:marLeft w:val="0"/>
      <w:marRight w:val="0"/>
      <w:marTop w:val="0"/>
      <w:marBottom w:val="0"/>
      <w:divBdr>
        <w:top w:val="none" w:sz="0" w:space="0" w:color="auto"/>
        <w:left w:val="none" w:sz="0" w:space="0" w:color="auto"/>
        <w:bottom w:val="none" w:sz="0" w:space="0" w:color="auto"/>
        <w:right w:val="none" w:sz="0" w:space="0" w:color="auto"/>
      </w:divBdr>
    </w:div>
    <w:div w:id="246813583">
      <w:bodyDiv w:val="1"/>
      <w:marLeft w:val="0"/>
      <w:marRight w:val="0"/>
      <w:marTop w:val="0"/>
      <w:marBottom w:val="0"/>
      <w:divBdr>
        <w:top w:val="none" w:sz="0" w:space="0" w:color="auto"/>
        <w:left w:val="none" w:sz="0" w:space="0" w:color="auto"/>
        <w:bottom w:val="none" w:sz="0" w:space="0" w:color="auto"/>
        <w:right w:val="none" w:sz="0" w:space="0" w:color="auto"/>
      </w:divBdr>
      <w:divsChild>
        <w:div w:id="1214657897">
          <w:marLeft w:val="1166"/>
          <w:marRight w:val="0"/>
          <w:marTop w:val="86"/>
          <w:marBottom w:val="0"/>
          <w:divBdr>
            <w:top w:val="none" w:sz="0" w:space="0" w:color="auto"/>
            <w:left w:val="none" w:sz="0" w:space="0" w:color="auto"/>
            <w:bottom w:val="none" w:sz="0" w:space="0" w:color="auto"/>
            <w:right w:val="none" w:sz="0" w:space="0" w:color="auto"/>
          </w:divBdr>
        </w:div>
      </w:divsChild>
    </w:div>
    <w:div w:id="287707949">
      <w:bodyDiv w:val="1"/>
      <w:marLeft w:val="0"/>
      <w:marRight w:val="0"/>
      <w:marTop w:val="0"/>
      <w:marBottom w:val="0"/>
      <w:divBdr>
        <w:top w:val="none" w:sz="0" w:space="0" w:color="auto"/>
        <w:left w:val="none" w:sz="0" w:space="0" w:color="auto"/>
        <w:bottom w:val="none" w:sz="0" w:space="0" w:color="auto"/>
        <w:right w:val="none" w:sz="0" w:space="0" w:color="auto"/>
      </w:divBdr>
    </w:div>
    <w:div w:id="319768517">
      <w:bodyDiv w:val="1"/>
      <w:marLeft w:val="0"/>
      <w:marRight w:val="0"/>
      <w:marTop w:val="0"/>
      <w:marBottom w:val="0"/>
      <w:divBdr>
        <w:top w:val="none" w:sz="0" w:space="0" w:color="auto"/>
        <w:left w:val="none" w:sz="0" w:space="0" w:color="auto"/>
        <w:bottom w:val="none" w:sz="0" w:space="0" w:color="auto"/>
        <w:right w:val="none" w:sz="0" w:space="0" w:color="auto"/>
      </w:divBdr>
    </w:div>
    <w:div w:id="353267045">
      <w:bodyDiv w:val="1"/>
      <w:marLeft w:val="0"/>
      <w:marRight w:val="0"/>
      <w:marTop w:val="0"/>
      <w:marBottom w:val="0"/>
      <w:divBdr>
        <w:top w:val="none" w:sz="0" w:space="0" w:color="auto"/>
        <w:left w:val="none" w:sz="0" w:space="0" w:color="auto"/>
        <w:bottom w:val="none" w:sz="0" w:space="0" w:color="auto"/>
        <w:right w:val="none" w:sz="0" w:space="0" w:color="auto"/>
      </w:divBdr>
      <w:divsChild>
        <w:div w:id="1065760289">
          <w:marLeft w:val="1166"/>
          <w:marRight w:val="0"/>
          <w:marTop w:val="86"/>
          <w:marBottom w:val="0"/>
          <w:divBdr>
            <w:top w:val="none" w:sz="0" w:space="0" w:color="auto"/>
            <w:left w:val="none" w:sz="0" w:space="0" w:color="auto"/>
            <w:bottom w:val="none" w:sz="0" w:space="0" w:color="auto"/>
            <w:right w:val="none" w:sz="0" w:space="0" w:color="auto"/>
          </w:divBdr>
        </w:div>
      </w:divsChild>
    </w:div>
    <w:div w:id="379213979">
      <w:bodyDiv w:val="1"/>
      <w:marLeft w:val="0"/>
      <w:marRight w:val="0"/>
      <w:marTop w:val="0"/>
      <w:marBottom w:val="0"/>
      <w:divBdr>
        <w:top w:val="none" w:sz="0" w:space="0" w:color="auto"/>
        <w:left w:val="none" w:sz="0" w:space="0" w:color="auto"/>
        <w:bottom w:val="none" w:sz="0" w:space="0" w:color="auto"/>
        <w:right w:val="none" w:sz="0" w:space="0" w:color="auto"/>
      </w:divBdr>
      <w:divsChild>
        <w:div w:id="273513788">
          <w:marLeft w:val="1166"/>
          <w:marRight w:val="0"/>
          <w:marTop w:val="86"/>
          <w:marBottom w:val="0"/>
          <w:divBdr>
            <w:top w:val="none" w:sz="0" w:space="0" w:color="auto"/>
            <w:left w:val="none" w:sz="0" w:space="0" w:color="auto"/>
            <w:bottom w:val="none" w:sz="0" w:space="0" w:color="auto"/>
            <w:right w:val="none" w:sz="0" w:space="0" w:color="auto"/>
          </w:divBdr>
        </w:div>
      </w:divsChild>
    </w:div>
    <w:div w:id="439765868">
      <w:bodyDiv w:val="1"/>
      <w:marLeft w:val="0"/>
      <w:marRight w:val="0"/>
      <w:marTop w:val="0"/>
      <w:marBottom w:val="0"/>
      <w:divBdr>
        <w:top w:val="none" w:sz="0" w:space="0" w:color="auto"/>
        <w:left w:val="none" w:sz="0" w:space="0" w:color="auto"/>
        <w:bottom w:val="none" w:sz="0" w:space="0" w:color="auto"/>
        <w:right w:val="none" w:sz="0" w:space="0" w:color="auto"/>
      </w:divBdr>
      <w:divsChild>
        <w:div w:id="43218439">
          <w:marLeft w:val="1166"/>
          <w:marRight w:val="0"/>
          <w:marTop w:val="96"/>
          <w:marBottom w:val="0"/>
          <w:divBdr>
            <w:top w:val="none" w:sz="0" w:space="0" w:color="auto"/>
            <w:left w:val="none" w:sz="0" w:space="0" w:color="auto"/>
            <w:bottom w:val="none" w:sz="0" w:space="0" w:color="auto"/>
            <w:right w:val="none" w:sz="0" w:space="0" w:color="auto"/>
          </w:divBdr>
        </w:div>
        <w:div w:id="678580881">
          <w:marLeft w:val="1166"/>
          <w:marRight w:val="0"/>
          <w:marTop w:val="96"/>
          <w:marBottom w:val="0"/>
          <w:divBdr>
            <w:top w:val="none" w:sz="0" w:space="0" w:color="auto"/>
            <w:left w:val="none" w:sz="0" w:space="0" w:color="auto"/>
            <w:bottom w:val="none" w:sz="0" w:space="0" w:color="auto"/>
            <w:right w:val="none" w:sz="0" w:space="0" w:color="auto"/>
          </w:divBdr>
        </w:div>
        <w:div w:id="700398510">
          <w:marLeft w:val="1166"/>
          <w:marRight w:val="0"/>
          <w:marTop w:val="96"/>
          <w:marBottom w:val="0"/>
          <w:divBdr>
            <w:top w:val="none" w:sz="0" w:space="0" w:color="auto"/>
            <w:left w:val="none" w:sz="0" w:space="0" w:color="auto"/>
            <w:bottom w:val="none" w:sz="0" w:space="0" w:color="auto"/>
            <w:right w:val="none" w:sz="0" w:space="0" w:color="auto"/>
          </w:divBdr>
        </w:div>
        <w:div w:id="945843731">
          <w:marLeft w:val="547"/>
          <w:marRight w:val="0"/>
          <w:marTop w:val="106"/>
          <w:marBottom w:val="0"/>
          <w:divBdr>
            <w:top w:val="none" w:sz="0" w:space="0" w:color="auto"/>
            <w:left w:val="none" w:sz="0" w:space="0" w:color="auto"/>
            <w:bottom w:val="none" w:sz="0" w:space="0" w:color="auto"/>
            <w:right w:val="none" w:sz="0" w:space="0" w:color="auto"/>
          </w:divBdr>
        </w:div>
        <w:div w:id="982780626">
          <w:marLeft w:val="1166"/>
          <w:marRight w:val="0"/>
          <w:marTop w:val="96"/>
          <w:marBottom w:val="0"/>
          <w:divBdr>
            <w:top w:val="none" w:sz="0" w:space="0" w:color="auto"/>
            <w:left w:val="none" w:sz="0" w:space="0" w:color="auto"/>
            <w:bottom w:val="none" w:sz="0" w:space="0" w:color="auto"/>
            <w:right w:val="none" w:sz="0" w:space="0" w:color="auto"/>
          </w:divBdr>
        </w:div>
        <w:div w:id="1302615145">
          <w:marLeft w:val="1166"/>
          <w:marRight w:val="0"/>
          <w:marTop w:val="96"/>
          <w:marBottom w:val="0"/>
          <w:divBdr>
            <w:top w:val="none" w:sz="0" w:space="0" w:color="auto"/>
            <w:left w:val="none" w:sz="0" w:space="0" w:color="auto"/>
            <w:bottom w:val="none" w:sz="0" w:space="0" w:color="auto"/>
            <w:right w:val="none" w:sz="0" w:space="0" w:color="auto"/>
          </w:divBdr>
        </w:div>
        <w:div w:id="1397431938">
          <w:marLeft w:val="1166"/>
          <w:marRight w:val="0"/>
          <w:marTop w:val="96"/>
          <w:marBottom w:val="0"/>
          <w:divBdr>
            <w:top w:val="none" w:sz="0" w:space="0" w:color="auto"/>
            <w:left w:val="none" w:sz="0" w:space="0" w:color="auto"/>
            <w:bottom w:val="none" w:sz="0" w:space="0" w:color="auto"/>
            <w:right w:val="none" w:sz="0" w:space="0" w:color="auto"/>
          </w:divBdr>
        </w:div>
        <w:div w:id="1706054414">
          <w:marLeft w:val="1166"/>
          <w:marRight w:val="0"/>
          <w:marTop w:val="96"/>
          <w:marBottom w:val="0"/>
          <w:divBdr>
            <w:top w:val="none" w:sz="0" w:space="0" w:color="auto"/>
            <w:left w:val="none" w:sz="0" w:space="0" w:color="auto"/>
            <w:bottom w:val="none" w:sz="0" w:space="0" w:color="auto"/>
            <w:right w:val="none" w:sz="0" w:space="0" w:color="auto"/>
          </w:divBdr>
        </w:div>
        <w:div w:id="1833525724">
          <w:marLeft w:val="547"/>
          <w:marRight w:val="0"/>
          <w:marTop w:val="106"/>
          <w:marBottom w:val="0"/>
          <w:divBdr>
            <w:top w:val="none" w:sz="0" w:space="0" w:color="auto"/>
            <w:left w:val="none" w:sz="0" w:space="0" w:color="auto"/>
            <w:bottom w:val="none" w:sz="0" w:space="0" w:color="auto"/>
            <w:right w:val="none" w:sz="0" w:space="0" w:color="auto"/>
          </w:divBdr>
        </w:div>
      </w:divsChild>
    </w:div>
    <w:div w:id="440301837">
      <w:bodyDiv w:val="1"/>
      <w:marLeft w:val="0"/>
      <w:marRight w:val="0"/>
      <w:marTop w:val="0"/>
      <w:marBottom w:val="0"/>
      <w:divBdr>
        <w:top w:val="none" w:sz="0" w:space="0" w:color="auto"/>
        <w:left w:val="none" w:sz="0" w:space="0" w:color="auto"/>
        <w:bottom w:val="none" w:sz="0" w:space="0" w:color="auto"/>
        <w:right w:val="none" w:sz="0" w:space="0" w:color="auto"/>
      </w:divBdr>
      <w:divsChild>
        <w:div w:id="366487457">
          <w:marLeft w:val="547"/>
          <w:marRight w:val="0"/>
          <w:marTop w:val="77"/>
          <w:marBottom w:val="0"/>
          <w:divBdr>
            <w:top w:val="none" w:sz="0" w:space="0" w:color="auto"/>
            <w:left w:val="none" w:sz="0" w:space="0" w:color="auto"/>
            <w:bottom w:val="none" w:sz="0" w:space="0" w:color="auto"/>
            <w:right w:val="none" w:sz="0" w:space="0" w:color="auto"/>
          </w:divBdr>
        </w:div>
        <w:div w:id="600993574">
          <w:marLeft w:val="547"/>
          <w:marRight w:val="0"/>
          <w:marTop w:val="77"/>
          <w:marBottom w:val="0"/>
          <w:divBdr>
            <w:top w:val="none" w:sz="0" w:space="0" w:color="auto"/>
            <w:left w:val="none" w:sz="0" w:space="0" w:color="auto"/>
            <w:bottom w:val="none" w:sz="0" w:space="0" w:color="auto"/>
            <w:right w:val="none" w:sz="0" w:space="0" w:color="auto"/>
          </w:divBdr>
        </w:div>
        <w:div w:id="856042381">
          <w:marLeft w:val="547"/>
          <w:marRight w:val="0"/>
          <w:marTop w:val="77"/>
          <w:marBottom w:val="0"/>
          <w:divBdr>
            <w:top w:val="none" w:sz="0" w:space="0" w:color="auto"/>
            <w:left w:val="none" w:sz="0" w:space="0" w:color="auto"/>
            <w:bottom w:val="none" w:sz="0" w:space="0" w:color="auto"/>
            <w:right w:val="none" w:sz="0" w:space="0" w:color="auto"/>
          </w:divBdr>
        </w:div>
        <w:div w:id="1916816490">
          <w:marLeft w:val="547"/>
          <w:marRight w:val="0"/>
          <w:marTop w:val="77"/>
          <w:marBottom w:val="0"/>
          <w:divBdr>
            <w:top w:val="none" w:sz="0" w:space="0" w:color="auto"/>
            <w:left w:val="none" w:sz="0" w:space="0" w:color="auto"/>
            <w:bottom w:val="none" w:sz="0" w:space="0" w:color="auto"/>
            <w:right w:val="none" w:sz="0" w:space="0" w:color="auto"/>
          </w:divBdr>
        </w:div>
      </w:divsChild>
    </w:div>
    <w:div w:id="476534422">
      <w:bodyDiv w:val="1"/>
      <w:marLeft w:val="0"/>
      <w:marRight w:val="0"/>
      <w:marTop w:val="0"/>
      <w:marBottom w:val="0"/>
      <w:divBdr>
        <w:top w:val="none" w:sz="0" w:space="0" w:color="auto"/>
        <w:left w:val="none" w:sz="0" w:space="0" w:color="auto"/>
        <w:bottom w:val="none" w:sz="0" w:space="0" w:color="auto"/>
        <w:right w:val="none" w:sz="0" w:space="0" w:color="auto"/>
      </w:divBdr>
    </w:div>
    <w:div w:id="524640748">
      <w:bodyDiv w:val="1"/>
      <w:marLeft w:val="0"/>
      <w:marRight w:val="0"/>
      <w:marTop w:val="0"/>
      <w:marBottom w:val="0"/>
      <w:divBdr>
        <w:top w:val="none" w:sz="0" w:space="0" w:color="auto"/>
        <w:left w:val="none" w:sz="0" w:space="0" w:color="auto"/>
        <w:bottom w:val="none" w:sz="0" w:space="0" w:color="auto"/>
        <w:right w:val="none" w:sz="0" w:space="0" w:color="auto"/>
      </w:divBdr>
    </w:div>
    <w:div w:id="562763803">
      <w:bodyDiv w:val="1"/>
      <w:marLeft w:val="0"/>
      <w:marRight w:val="0"/>
      <w:marTop w:val="0"/>
      <w:marBottom w:val="0"/>
      <w:divBdr>
        <w:top w:val="none" w:sz="0" w:space="0" w:color="auto"/>
        <w:left w:val="none" w:sz="0" w:space="0" w:color="auto"/>
        <w:bottom w:val="none" w:sz="0" w:space="0" w:color="auto"/>
        <w:right w:val="none" w:sz="0" w:space="0" w:color="auto"/>
      </w:divBdr>
      <w:divsChild>
        <w:div w:id="658071803">
          <w:marLeft w:val="547"/>
          <w:marRight w:val="0"/>
          <w:marTop w:val="96"/>
          <w:marBottom w:val="0"/>
          <w:divBdr>
            <w:top w:val="none" w:sz="0" w:space="0" w:color="auto"/>
            <w:left w:val="none" w:sz="0" w:space="0" w:color="auto"/>
            <w:bottom w:val="none" w:sz="0" w:space="0" w:color="auto"/>
            <w:right w:val="none" w:sz="0" w:space="0" w:color="auto"/>
          </w:divBdr>
        </w:div>
        <w:div w:id="1231188693">
          <w:marLeft w:val="547"/>
          <w:marRight w:val="0"/>
          <w:marTop w:val="96"/>
          <w:marBottom w:val="0"/>
          <w:divBdr>
            <w:top w:val="none" w:sz="0" w:space="0" w:color="auto"/>
            <w:left w:val="none" w:sz="0" w:space="0" w:color="auto"/>
            <w:bottom w:val="none" w:sz="0" w:space="0" w:color="auto"/>
            <w:right w:val="none" w:sz="0" w:space="0" w:color="auto"/>
          </w:divBdr>
        </w:div>
      </w:divsChild>
    </w:div>
    <w:div w:id="571156087">
      <w:bodyDiv w:val="1"/>
      <w:marLeft w:val="0"/>
      <w:marRight w:val="0"/>
      <w:marTop w:val="0"/>
      <w:marBottom w:val="0"/>
      <w:divBdr>
        <w:top w:val="none" w:sz="0" w:space="0" w:color="auto"/>
        <w:left w:val="none" w:sz="0" w:space="0" w:color="auto"/>
        <w:bottom w:val="none" w:sz="0" w:space="0" w:color="auto"/>
        <w:right w:val="none" w:sz="0" w:space="0" w:color="auto"/>
      </w:divBdr>
    </w:div>
    <w:div w:id="653918520">
      <w:bodyDiv w:val="1"/>
      <w:marLeft w:val="0"/>
      <w:marRight w:val="0"/>
      <w:marTop w:val="0"/>
      <w:marBottom w:val="0"/>
      <w:divBdr>
        <w:top w:val="none" w:sz="0" w:space="0" w:color="auto"/>
        <w:left w:val="none" w:sz="0" w:space="0" w:color="auto"/>
        <w:bottom w:val="none" w:sz="0" w:space="0" w:color="auto"/>
        <w:right w:val="none" w:sz="0" w:space="0" w:color="auto"/>
      </w:divBdr>
    </w:div>
    <w:div w:id="730809632">
      <w:bodyDiv w:val="1"/>
      <w:marLeft w:val="0"/>
      <w:marRight w:val="0"/>
      <w:marTop w:val="0"/>
      <w:marBottom w:val="0"/>
      <w:divBdr>
        <w:top w:val="none" w:sz="0" w:space="0" w:color="auto"/>
        <w:left w:val="none" w:sz="0" w:space="0" w:color="auto"/>
        <w:bottom w:val="none" w:sz="0" w:space="0" w:color="auto"/>
        <w:right w:val="none" w:sz="0" w:space="0" w:color="auto"/>
      </w:divBdr>
    </w:div>
    <w:div w:id="820386949">
      <w:bodyDiv w:val="1"/>
      <w:marLeft w:val="0"/>
      <w:marRight w:val="0"/>
      <w:marTop w:val="0"/>
      <w:marBottom w:val="0"/>
      <w:divBdr>
        <w:top w:val="none" w:sz="0" w:space="0" w:color="auto"/>
        <w:left w:val="none" w:sz="0" w:space="0" w:color="auto"/>
        <w:bottom w:val="none" w:sz="0" w:space="0" w:color="auto"/>
        <w:right w:val="none" w:sz="0" w:space="0" w:color="auto"/>
      </w:divBdr>
    </w:div>
    <w:div w:id="851070562">
      <w:bodyDiv w:val="1"/>
      <w:marLeft w:val="0"/>
      <w:marRight w:val="0"/>
      <w:marTop w:val="0"/>
      <w:marBottom w:val="0"/>
      <w:divBdr>
        <w:top w:val="none" w:sz="0" w:space="0" w:color="auto"/>
        <w:left w:val="none" w:sz="0" w:space="0" w:color="auto"/>
        <w:bottom w:val="none" w:sz="0" w:space="0" w:color="auto"/>
        <w:right w:val="none" w:sz="0" w:space="0" w:color="auto"/>
      </w:divBdr>
    </w:div>
    <w:div w:id="865410134">
      <w:bodyDiv w:val="1"/>
      <w:marLeft w:val="0"/>
      <w:marRight w:val="0"/>
      <w:marTop w:val="0"/>
      <w:marBottom w:val="0"/>
      <w:divBdr>
        <w:top w:val="none" w:sz="0" w:space="0" w:color="auto"/>
        <w:left w:val="none" w:sz="0" w:space="0" w:color="auto"/>
        <w:bottom w:val="none" w:sz="0" w:space="0" w:color="auto"/>
        <w:right w:val="none" w:sz="0" w:space="0" w:color="auto"/>
      </w:divBdr>
    </w:div>
    <w:div w:id="899290648">
      <w:bodyDiv w:val="1"/>
      <w:marLeft w:val="0"/>
      <w:marRight w:val="0"/>
      <w:marTop w:val="0"/>
      <w:marBottom w:val="0"/>
      <w:divBdr>
        <w:top w:val="none" w:sz="0" w:space="0" w:color="auto"/>
        <w:left w:val="none" w:sz="0" w:space="0" w:color="auto"/>
        <w:bottom w:val="none" w:sz="0" w:space="0" w:color="auto"/>
        <w:right w:val="none" w:sz="0" w:space="0" w:color="auto"/>
      </w:divBdr>
    </w:div>
    <w:div w:id="915669505">
      <w:bodyDiv w:val="1"/>
      <w:marLeft w:val="0"/>
      <w:marRight w:val="0"/>
      <w:marTop w:val="0"/>
      <w:marBottom w:val="0"/>
      <w:divBdr>
        <w:top w:val="none" w:sz="0" w:space="0" w:color="auto"/>
        <w:left w:val="none" w:sz="0" w:space="0" w:color="auto"/>
        <w:bottom w:val="none" w:sz="0" w:space="0" w:color="auto"/>
        <w:right w:val="none" w:sz="0" w:space="0" w:color="auto"/>
      </w:divBdr>
      <w:divsChild>
        <w:div w:id="725954263">
          <w:marLeft w:val="547"/>
          <w:marRight w:val="0"/>
          <w:marTop w:val="115"/>
          <w:marBottom w:val="0"/>
          <w:divBdr>
            <w:top w:val="none" w:sz="0" w:space="0" w:color="auto"/>
            <w:left w:val="none" w:sz="0" w:space="0" w:color="auto"/>
            <w:bottom w:val="none" w:sz="0" w:space="0" w:color="auto"/>
            <w:right w:val="none" w:sz="0" w:space="0" w:color="auto"/>
          </w:divBdr>
        </w:div>
        <w:div w:id="1233930297">
          <w:marLeft w:val="547"/>
          <w:marRight w:val="0"/>
          <w:marTop w:val="115"/>
          <w:marBottom w:val="0"/>
          <w:divBdr>
            <w:top w:val="none" w:sz="0" w:space="0" w:color="auto"/>
            <w:left w:val="none" w:sz="0" w:space="0" w:color="auto"/>
            <w:bottom w:val="none" w:sz="0" w:space="0" w:color="auto"/>
            <w:right w:val="none" w:sz="0" w:space="0" w:color="auto"/>
          </w:divBdr>
        </w:div>
        <w:div w:id="1712001463">
          <w:marLeft w:val="547"/>
          <w:marRight w:val="0"/>
          <w:marTop w:val="115"/>
          <w:marBottom w:val="0"/>
          <w:divBdr>
            <w:top w:val="none" w:sz="0" w:space="0" w:color="auto"/>
            <w:left w:val="none" w:sz="0" w:space="0" w:color="auto"/>
            <w:bottom w:val="none" w:sz="0" w:space="0" w:color="auto"/>
            <w:right w:val="none" w:sz="0" w:space="0" w:color="auto"/>
          </w:divBdr>
        </w:div>
      </w:divsChild>
    </w:div>
    <w:div w:id="916475248">
      <w:bodyDiv w:val="1"/>
      <w:marLeft w:val="0"/>
      <w:marRight w:val="0"/>
      <w:marTop w:val="0"/>
      <w:marBottom w:val="0"/>
      <w:divBdr>
        <w:top w:val="none" w:sz="0" w:space="0" w:color="auto"/>
        <w:left w:val="none" w:sz="0" w:space="0" w:color="auto"/>
        <w:bottom w:val="none" w:sz="0" w:space="0" w:color="auto"/>
        <w:right w:val="none" w:sz="0" w:space="0" w:color="auto"/>
      </w:divBdr>
    </w:div>
    <w:div w:id="924220828">
      <w:bodyDiv w:val="1"/>
      <w:marLeft w:val="0"/>
      <w:marRight w:val="0"/>
      <w:marTop w:val="0"/>
      <w:marBottom w:val="0"/>
      <w:divBdr>
        <w:top w:val="none" w:sz="0" w:space="0" w:color="auto"/>
        <w:left w:val="none" w:sz="0" w:space="0" w:color="auto"/>
        <w:bottom w:val="none" w:sz="0" w:space="0" w:color="auto"/>
        <w:right w:val="none" w:sz="0" w:space="0" w:color="auto"/>
      </w:divBdr>
    </w:div>
    <w:div w:id="1015962963">
      <w:bodyDiv w:val="1"/>
      <w:marLeft w:val="0"/>
      <w:marRight w:val="0"/>
      <w:marTop w:val="0"/>
      <w:marBottom w:val="0"/>
      <w:divBdr>
        <w:top w:val="none" w:sz="0" w:space="0" w:color="auto"/>
        <w:left w:val="none" w:sz="0" w:space="0" w:color="auto"/>
        <w:bottom w:val="none" w:sz="0" w:space="0" w:color="auto"/>
        <w:right w:val="none" w:sz="0" w:space="0" w:color="auto"/>
      </w:divBdr>
      <w:divsChild>
        <w:div w:id="63572261">
          <w:marLeft w:val="1166"/>
          <w:marRight w:val="0"/>
          <w:marTop w:val="77"/>
          <w:marBottom w:val="0"/>
          <w:divBdr>
            <w:top w:val="none" w:sz="0" w:space="0" w:color="auto"/>
            <w:left w:val="none" w:sz="0" w:space="0" w:color="auto"/>
            <w:bottom w:val="none" w:sz="0" w:space="0" w:color="auto"/>
            <w:right w:val="none" w:sz="0" w:space="0" w:color="auto"/>
          </w:divBdr>
        </w:div>
        <w:div w:id="179442280">
          <w:marLeft w:val="1166"/>
          <w:marRight w:val="0"/>
          <w:marTop w:val="77"/>
          <w:marBottom w:val="0"/>
          <w:divBdr>
            <w:top w:val="none" w:sz="0" w:space="0" w:color="auto"/>
            <w:left w:val="none" w:sz="0" w:space="0" w:color="auto"/>
            <w:bottom w:val="none" w:sz="0" w:space="0" w:color="auto"/>
            <w:right w:val="none" w:sz="0" w:space="0" w:color="auto"/>
          </w:divBdr>
        </w:div>
        <w:div w:id="417095365">
          <w:marLeft w:val="1166"/>
          <w:marRight w:val="0"/>
          <w:marTop w:val="77"/>
          <w:marBottom w:val="0"/>
          <w:divBdr>
            <w:top w:val="none" w:sz="0" w:space="0" w:color="auto"/>
            <w:left w:val="none" w:sz="0" w:space="0" w:color="auto"/>
            <w:bottom w:val="none" w:sz="0" w:space="0" w:color="auto"/>
            <w:right w:val="none" w:sz="0" w:space="0" w:color="auto"/>
          </w:divBdr>
        </w:div>
        <w:div w:id="575748820">
          <w:marLeft w:val="547"/>
          <w:marRight w:val="0"/>
          <w:marTop w:val="86"/>
          <w:marBottom w:val="0"/>
          <w:divBdr>
            <w:top w:val="none" w:sz="0" w:space="0" w:color="auto"/>
            <w:left w:val="none" w:sz="0" w:space="0" w:color="auto"/>
            <w:bottom w:val="none" w:sz="0" w:space="0" w:color="auto"/>
            <w:right w:val="none" w:sz="0" w:space="0" w:color="auto"/>
          </w:divBdr>
        </w:div>
        <w:div w:id="1056048250">
          <w:marLeft w:val="1166"/>
          <w:marRight w:val="0"/>
          <w:marTop w:val="77"/>
          <w:marBottom w:val="0"/>
          <w:divBdr>
            <w:top w:val="none" w:sz="0" w:space="0" w:color="auto"/>
            <w:left w:val="none" w:sz="0" w:space="0" w:color="auto"/>
            <w:bottom w:val="none" w:sz="0" w:space="0" w:color="auto"/>
            <w:right w:val="none" w:sz="0" w:space="0" w:color="auto"/>
          </w:divBdr>
        </w:div>
      </w:divsChild>
    </w:div>
    <w:div w:id="1031999219">
      <w:bodyDiv w:val="1"/>
      <w:marLeft w:val="0"/>
      <w:marRight w:val="0"/>
      <w:marTop w:val="0"/>
      <w:marBottom w:val="0"/>
      <w:divBdr>
        <w:top w:val="none" w:sz="0" w:space="0" w:color="auto"/>
        <w:left w:val="none" w:sz="0" w:space="0" w:color="auto"/>
        <w:bottom w:val="none" w:sz="0" w:space="0" w:color="auto"/>
        <w:right w:val="none" w:sz="0" w:space="0" w:color="auto"/>
      </w:divBdr>
      <w:divsChild>
        <w:div w:id="439492933">
          <w:marLeft w:val="547"/>
          <w:marRight w:val="0"/>
          <w:marTop w:val="77"/>
          <w:marBottom w:val="0"/>
          <w:divBdr>
            <w:top w:val="none" w:sz="0" w:space="0" w:color="auto"/>
            <w:left w:val="none" w:sz="0" w:space="0" w:color="auto"/>
            <w:bottom w:val="none" w:sz="0" w:space="0" w:color="auto"/>
            <w:right w:val="none" w:sz="0" w:space="0" w:color="auto"/>
          </w:divBdr>
        </w:div>
        <w:div w:id="678234579">
          <w:marLeft w:val="547"/>
          <w:marRight w:val="0"/>
          <w:marTop w:val="77"/>
          <w:marBottom w:val="0"/>
          <w:divBdr>
            <w:top w:val="none" w:sz="0" w:space="0" w:color="auto"/>
            <w:left w:val="none" w:sz="0" w:space="0" w:color="auto"/>
            <w:bottom w:val="none" w:sz="0" w:space="0" w:color="auto"/>
            <w:right w:val="none" w:sz="0" w:space="0" w:color="auto"/>
          </w:divBdr>
        </w:div>
        <w:div w:id="1373457058">
          <w:marLeft w:val="547"/>
          <w:marRight w:val="0"/>
          <w:marTop w:val="77"/>
          <w:marBottom w:val="0"/>
          <w:divBdr>
            <w:top w:val="none" w:sz="0" w:space="0" w:color="auto"/>
            <w:left w:val="none" w:sz="0" w:space="0" w:color="auto"/>
            <w:bottom w:val="none" w:sz="0" w:space="0" w:color="auto"/>
            <w:right w:val="none" w:sz="0" w:space="0" w:color="auto"/>
          </w:divBdr>
        </w:div>
        <w:div w:id="1399472582">
          <w:marLeft w:val="547"/>
          <w:marRight w:val="0"/>
          <w:marTop w:val="77"/>
          <w:marBottom w:val="0"/>
          <w:divBdr>
            <w:top w:val="none" w:sz="0" w:space="0" w:color="auto"/>
            <w:left w:val="none" w:sz="0" w:space="0" w:color="auto"/>
            <w:bottom w:val="none" w:sz="0" w:space="0" w:color="auto"/>
            <w:right w:val="none" w:sz="0" w:space="0" w:color="auto"/>
          </w:divBdr>
        </w:div>
      </w:divsChild>
    </w:div>
    <w:div w:id="1093089431">
      <w:bodyDiv w:val="1"/>
      <w:marLeft w:val="0"/>
      <w:marRight w:val="0"/>
      <w:marTop w:val="0"/>
      <w:marBottom w:val="0"/>
      <w:divBdr>
        <w:top w:val="none" w:sz="0" w:space="0" w:color="auto"/>
        <w:left w:val="none" w:sz="0" w:space="0" w:color="auto"/>
        <w:bottom w:val="none" w:sz="0" w:space="0" w:color="auto"/>
        <w:right w:val="none" w:sz="0" w:space="0" w:color="auto"/>
      </w:divBdr>
    </w:div>
    <w:div w:id="1110010925">
      <w:bodyDiv w:val="1"/>
      <w:marLeft w:val="0"/>
      <w:marRight w:val="0"/>
      <w:marTop w:val="0"/>
      <w:marBottom w:val="0"/>
      <w:divBdr>
        <w:top w:val="none" w:sz="0" w:space="0" w:color="auto"/>
        <w:left w:val="none" w:sz="0" w:space="0" w:color="auto"/>
        <w:bottom w:val="none" w:sz="0" w:space="0" w:color="auto"/>
        <w:right w:val="none" w:sz="0" w:space="0" w:color="auto"/>
      </w:divBdr>
    </w:div>
    <w:div w:id="1121072369">
      <w:bodyDiv w:val="1"/>
      <w:marLeft w:val="0"/>
      <w:marRight w:val="0"/>
      <w:marTop w:val="0"/>
      <w:marBottom w:val="0"/>
      <w:divBdr>
        <w:top w:val="none" w:sz="0" w:space="0" w:color="auto"/>
        <w:left w:val="none" w:sz="0" w:space="0" w:color="auto"/>
        <w:bottom w:val="none" w:sz="0" w:space="0" w:color="auto"/>
        <w:right w:val="none" w:sz="0" w:space="0" w:color="auto"/>
      </w:divBdr>
      <w:divsChild>
        <w:div w:id="1331330996">
          <w:marLeft w:val="547"/>
          <w:marRight w:val="0"/>
          <w:marTop w:val="240"/>
          <w:marBottom w:val="0"/>
          <w:divBdr>
            <w:top w:val="none" w:sz="0" w:space="0" w:color="auto"/>
            <w:left w:val="none" w:sz="0" w:space="0" w:color="auto"/>
            <w:bottom w:val="none" w:sz="0" w:space="0" w:color="auto"/>
            <w:right w:val="none" w:sz="0" w:space="0" w:color="auto"/>
          </w:divBdr>
        </w:div>
      </w:divsChild>
    </w:div>
    <w:div w:id="1147674367">
      <w:bodyDiv w:val="1"/>
      <w:marLeft w:val="0"/>
      <w:marRight w:val="0"/>
      <w:marTop w:val="0"/>
      <w:marBottom w:val="0"/>
      <w:divBdr>
        <w:top w:val="none" w:sz="0" w:space="0" w:color="auto"/>
        <w:left w:val="none" w:sz="0" w:space="0" w:color="auto"/>
        <w:bottom w:val="none" w:sz="0" w:space="0" w:color="auto"/>
        <w:right w:val="none" w:sz="0" w:space="0" w:color="auto"/>
      </w:divBdr>
    </w:div>
    <w:div w:id="1168977706">
      <w:bodyDiv w:val="1"/>
      <w:marLeft w:val="0"/>
      <w:marRight w:val="0"/>
      <w:marTop w:val="0"/>
      <w:marBottom w:val="0"/>
      <w:divBdr>
        <w:top w:val="none" w:sz="0" w:space="0" w:color="auto"/>
        <w:left w:val="none" w:sz="0" w:space="0" w:color="auto"/>
        <w:bottom w:val="none" w:sz="0" w:space="0" w:color="auto"/>
        <w:right w:val="none" w:sz="0" w:space="0" w:color="auto"/>
      </w:divBdr>
      <w:divsChild>
        <w:div w:id="796023899">
          <w:marLeft w:val="547"/>
          <w:marRight w:val="0"/>
          <w:marTop w:val="96"/>
          <w:marBottom w:val="0"/>
          <w:divBdr>
            <w:top w:val="none" w:sz="0" w:space="0" w:color="auto"/>
            <w:left w:val="none" w:sz="0" w:space="0" w:color="auto"/>
            <w:bottom w:val="none" w:sz="0" w:space="0" w:color="auto"/>
            <w:right w:val="none" w:sz="0" w:space="0" w:color="auto"/>
          </w:divBdr>
        </w:div>
      </w:divsChild>
    </w:div>
    <w:div w:id="1182865584">
      <w:bodyDiv w:val="1"/>
      <w:marLeft w:val="0"/>
      <w:marRight w:val="0"/>
      <w:marTop w:val="0"/>
      <w:marBottom w:val="0"/>
      <w:divBdr>
        <w:top w:val="none" w:sz="0" w:space="0" w:color="auto"/>
        <w:left w:val="none" w:sz="0" w:space="0" w:color="auto"/>
        <w:bottom w:val="none" w:sz="0" w:space="0" w:color="auto"/>
        <w:right w:val="none" w:sz="0" w:space="0" w:color="auto"/>
      </w:divBdr>
    </w:div>
    <w:div w:id="1184517400">
      <w:bodyDiv w:val="1"/>
      <w:marLeft w:val="0"/>
      <w:marRight w:val="0"/>
      <w:marTop w:val="0"/>
      <w:marBottom w:val="0"/>
      <w:divBdr>
        <w:top w:val="none" w:sz="0" w:space="0" w:color="auto"/>
        <w:left w:val="none" w:sz="0" w:space="0" w:color="auto"/>
        <w:bottom w:val="none" w:sz="0" w:space="0" w:color="auto"/>
        <w:right w:val="none" w:sz="0" w:space="0" w:color="auto"/>
      </w:divBdr>
      <w:divsChild>
        <w:div w:id="2114129389">
          <w:marLeft w:val="547"/>
          <w:marRight w:val="0"/>
          <w:marTop w:val="120"/>
          <w:marBottom w:val="60"/>
          <w:divBdr>
            <w:top w:val="none" w:sz="0" w:space="0" w:color="auto"/>
            <w:left w:val="none" w:sz="0" w:space="0" w:color="auto"/>
            <w:bottom w:val="none" w:sz="0" w:space="0" w:color="auto"/>
            <w:right w:val="none" w:sz="0" w:space="0" w:color="auto"/>
          </w:divBdr>
        </w:div>
      </w:divsChild>
    </w:div>
    <w:div w:id="1324579405">
      <w:bodyDiv w:val="1"/>
      <w:marLeft w:val="0"/>
      <w:marRight w:val="0"/>
      <w:marTop w:val="0"/>
      <w:marBottom w:val="0"/>
      <w:divBdr>
        <w:top w:val="none" w:sz="0" w:space="0" w:color="auto"/>
        <w:left w:val="none" w:sz="0" w:space="0" w:color="auto"/>
        <w:bottom w:val="none" w:sz="0" w:space="0" w:color="auto"/>
        <w:right w:val="none" w:sz="0" w:space="0" w:color="auto"/>
      </w:divBdr>
      <w:divsChild>
        <w:div w:id="1297444840">
          <w:marLeft w:val="547"/>
          <w:marRight w:val="0"/>
          <w:marTop w:val="106"/>
          <w:marBottom w:val="0"/>
          <w:divBdr>
            <w:top w:val="none" w:sz="0" w:space="0" w:color="auto"/>
            <w:left w:val="none" w:sz="0" w:space="0" w:color="auto"/>
            <w:bottom w:val="none" w:sz="0" w:space="0" w:color="auto"/>
            <w:right w:val="none" w:sz="0" w:space="0" w:color="auto"/>
          </w:divBdr>
        </w:div>
      </w:divsChild>
    </w:div>
    <w:div w:id="1342127022">
      <w:bodyDiv w:val="1"/>
      <w:marLeft w:val="0"/>
      <w:marRight w:val="0"/>
      <w:marTop w:val="0"/>
      <w:marBottom w:val="0"/>
      <w:divBdr>
        <w:top w:val="none" w:sz="0" w:space="0" w:color="auto"/>
        <w:left w:val="none" w:sz="0" w:space="0" w:color="auto"/>
        <w:bottom w:val="none" w:sz="0" w:space="0" w:color="auto"/>
        <w:right w:val="none" w:sz="0" w:space="0" w:color="auto"/>
      </w:divBdr>
    </w:div>
    <w:div w:id="1371492041">
      <w:bodyDiv w:val="1"/>
      <w:marLeft w:val="0"/>
      <w:marRight w:val="0"/>
      <w:marTop w:val="0"/>
      <w:marBottom w:val="0"/>
      <w:divBdr>
        <w:top w:val="none" w:sz="0" w:space="0" w:color="auto"/>
        <w:left w:val="none" w:sz="0" w:space="0" w:color="auto"/>
        <w:bottom w:val="none" w:sz="0" w:space="0" w:color="auto"/>
        <w:right w:val="none" w:sz="0" w:space="0" w:color="auto"/>
      </w:divBdr>
    </w:div>
    <w:div w:id="1386681295">
      <w:bodyDiv w:val="1"/>
      <w:marLeft w:val="0"/>
      <w:marRight w:val="0"/>
      <w:marTop w:val="0"/>
      <w:marBottom w:val="0"/>
      <w:divBdr>
        <w:top w:val="none" w:sz="0" w:space="0" w:color="auto"/>
        <w:left w:val="none" w:sz="0" w:space="0" w:color="auto"/>
        <w:bottom w:val="none" w:sz="0" w:space="0" w:color="auto"/>
        <w:right w:val="none" w:sz="0" w:space="0" w:color="auto"/>
      </w:divBdr>
    </w:div>
    <w:div w:id="1495991082">
      <w:bodyDiv w:val="1"/>
      <w:marLeft w:val="0"/>
      <w:marRight w:val="0"/>
      <w:marTop w:val="0"/>
      <w:marBottom w:val="0"/>
      <w:divBdr>
        <w:top w:val="none" w:sz="0" w:space="0" w:color="auto"/>
        <w:left w:val="none" w:sz="0" w:space="0" w:color="auto"/>
        <w:bottom w:val="none" w:sz="0" w:space="0" w:color="auto"/>
        <w:right w:val="none" w:sz="0" w:space="0" w:color="auto"/>
      </w:divBdr>
    </w:div>
    <w:div w:id="1501657588">
      <w:bodyDiv w:val="1"/>
      <w:marLeft w:val="0"/>
      <w:marRight w:val="0"/>
      <w:marTop w:val="0"/>
      <w:marBottom w:val="0"/>
      <w:divBdr>
        <w:top w:val="none" w:sz="0" w:space="0" w:color="auto"/>
        <w:left w:val="none" w:sz="0" w:space="0" w:color="auto"/>
        <w:bottom w:val="none" w:sz="0" w:space="0" w:color="auto"/>
        <w:right w:val="none" w:sz="0" w:space="0" w:color="auto"/>
      </w:divBdr>
      <w:divsChild>
        <w:div w:id="182523255">
          <w:marLeft w:val="1166"/>
          <w:marRight w:val="0"/>
          <w:marTop w:val="86"/>
          <w:marBottom w:val="0"/>
          <w:divBdr>
            <w:top w:val="none" w:sz="0" w:space="0" w:color="auto"/>
            <w:left w:val="none" w:sz="0" w:space="0" w:color="auto"/>
            <w:bottom w:val="none" w:sz="0" w:space="0" w:color="auto"/>
            <w:right w:val="none" w:sz="0" w:space="0" w:color="auto"/>
          </w:divBdr>
        </w:div>
        <w:div w:id="871498166">
          <w:marLeft w:val="547"/>
          <w:marRight w:val="0"/>
          <w:marTop w:val="86"/>
          <w:marBottom w:val="0"/>
          <w:divBdr>
            <w:top w:val="none" w:sz="0" w:space="0" w:color="auto"/>
            <w:left w:val="none" w:sz="0" w:space="0" w:color="auto"/>
            <w:bottom w:val="none" w:sz="0" w:space="0" w:color="auto"/>
            <w:right w:val="none" w:sz="0" w:space="0" w:color="auto"/>
          </w:divBdr>
        </w:div>
        <w:div w:id="943074369">
          <w:marLeft w:val="1166"/>
          <w:marRight w:val="0"/>
          <w:marTop w:val="86"/>
          <w:marBottom w:val="0"/>
          <w:divBdr>
            <w:top w:val="none" w:sz="0" w:space="0" w:color="auto"/>
            <w:left w:val="none" w:sz="0" w:space="0" w:color="auto"/>
            <w:bottom w:val="none" w:sz="0" w:space="0" w:color="auto"/>
            <w:right w:val="none" w:sz="0" w:space="0" w:color="auto"/>
          </w:divBdr>
        </w:div>
        <w:div w:id="1039358018">
          <w:marLeft w:val="547"/>
          <w:marRight w:val="0"/>
          <w:marTop w:val="86"/>
          <w:marBottom w:val="0"/>
          <w:divBdr>
            <w:top w:val="none" w:sz="0" w:space="0" w:color="auto"/>
            <w:left w:val="none" w:sz="0" w:space="0" w:color="auto"/>
            <w:bottom w:val="none" w:sz="0" w:space="0" w:color="auto"/>
            <w:right w:val="none" w:sz="0" w:space="0" w:color="auto"/>
          </w:divBdr>
        </w:div>
        <w:div w:id="1346250394">
          <w:marLeft w:val="547"/>
          <w:marRight w:val="0"/>
          <w:marTop w:val="86"/>
          <w:marBottom w:val="0"/>
          <w:divBdr>
            <w:top w:val="none" w:sz="0" w:space="0" w:color="auto"/>
            <w:left w:val="none" w:sz="0" w:space="0" w:color="auto"/>
            <w:bottom w:val="none" w:sz="0" w:space="0" w:color="auto"/>
            <w:right w:val="none" w:sz="0" w:space="0" w:color="auto"/>
          </w:divBdr>
        </w:div>
        <w:div w:id="1681929782">
          <w:marLeft w:val="547"/>
          <w:marRight w:val="0"/>
          <w:marTop w:val="86"/>
          <w:marBottom w:val="0"/>
          <w:divBdr>
            <w:top w:val="none" w:sz="0" w:space="0" w:color="auto"/>
            <w:left w:val="none" w:sz="0" w:space="0" w:color="auto"/>
            <w:bottom w:val="none" w:sz="0" w:space="0" w:color="auto"/>
            <w:right w:val="none" w:sz="0" w:space="0" w:color="auto"/>
          </w:divBdr>
        </w:div>
      </w:divsChild>
    </w:div>
    <w:div w:id="1502037687">
      <w:bodyDiv w:val="1"/>
      <w:marLeft w:val="0"/>
      <w:marRight w:val="0"/>
      <w:marTop w:val="0"/>
      <w:marBottom w:val="0"/>
      <w:divBdr>
        <w:top w:val="none" w:sz="0" w:space="0" w:color="auto"/>
        <w:left w:val="none" w:sz="0" w:space="0" w:color="auto"/>
        <w:bottom w:val="none" w:sz="0" w:space="0" w:color="auto"/>
        <w:right w:val="none" w:sz="0" w:space="0" w:color="auto"/>
      </w:divBdr>
    </w:div>
    <w:div w:id="1562398055">
      <w:bodyDiv w:val="1"/>
      <w:marLeft w:val="0"/>
      <w:marRight w:val="0"/>
      <w:marTop w:val="0"/>
      <w:marBottom w:val="0"/>
      <w:divBdr>
        <w:top w:val="none" w:sz="0" w:space="0" w:color="auto"/>
        <w:left w:val="none" w:sz="0" w:space="0" w:color="auto"/>
        <w:bottom w:val="none" w:sz="0" w:space="0" w:color="auto"/>
        <w:right w:val="none" w:sz="0" w:space="0" w:color="auto"/>
      </w:divBdr>
      <w:divsChild>
        <w:div w:id="1235319226">
          <w:marLeft w:val="446"/>
          <w:marRight w:val="0"/>
          <w:marTop w:val="240"/>
          <w:marBottom w:val="0"/>
          <w:divBdr>
            <w:top w:val="none" w:sz="0" w:space="0" w:color="auto"/>
            <w:left w:val="none" w:sz="0" w:space="0" w:color="auto"/>
            <w:bottom w:val="none" w:sz="0" w:space="0" w:color="auto"/>
            <w:right w:val="none" w:sz="0" w:space="0" w:color="auto"/>
          </w:divBdr>
        </w:div>
        <w:div w:id="1899052092">
          <w:marLeft w:val="446"/>
          <w:marRight w:val="0"/>
          <w:marTop w:val="240"/>
          <w:marBottom w:val="0"/>
          <w:divBdr>
            <w:top w:val="none" w:sz="0" w:space="0" w:color="auto"/>
            <w:left w:val="none" w:sz="0" w:space="0" w:color="auto"/>
            <w:bottom w:val="none" w:sz="0" w:space="0" w:color="auto"/>
            <w:right w:val="none" w:sz="0" w:space="0" w:color="auto"/>
          </w:divBdr>
        </w:div>
      </w:divsChild>
    </w:div>
    <w:div w:id="1584293916">
      <w:bodyDiv w:val="1"/>
      <w:marLeft w:val="0"/>
      <w:marRight w:val="0"/>
      <w:marTop w:val="0"/>
      <w:marBottom w:val="0"/>
      <w:divBdr>
        <w:top w:val="none" w:sz="0" w:space="0" w:color="auto"/>
        <w:left w:val="none" w:sz="0" w:space="0" w:color="auto"/>
        <w:bottom w:val="none" w:sz="0" w:space="0" w:color="auto"/>
        <w:right w:val="none" w:sz="0" w:space="0" w:color="auto"/>
      </w:divBdr>
    </w:div>
    <w:div w:id="1631130406">
      <w:bodyDiv w:val="1"/>
      <w:marLeft w:val="0"/>
      <w:marRight w:val="0"/>
      <w:marTop w:val="0"/>
      <w:marBottom w:val="0"/>
      <w:divBdr>
        <w:top w:val="none" w:sz="0" w:space="0" w:color="auto"/>
        <w:left w:val="none" w:sz="0" w:space="0" w:color="auto"/>
        <w:bottom w:val="none" w:sz="0" w:space="0" w:color="auto"/>
        <w:right w:val="none" w:sz="0" w:space="0" w:color="auto"/>
      </w:divBdr>
      <w:divsChild>
        <w:div w:id="303582739">
          <w:marLeft w:val="0"/>
          <w:marRight w:val="0"/>
          <w:marTop w:val="0"/>
          <w:marBottom w:val="0"/>
          <w:divBdr>
            <w:top w:val="single" w:sz="6" w:space="0" w:color="FFFFFF"/>
            <w:left w:val="single" w:sz="6" w:space="0" w:color="FFFFFF"/>
            <w:bottom w:val="single" w:sz="6" w:space="0" w:color="FFFFFF"/>
            <w:right w:val="single" w:sz="6" w:space="0" w:color="FFFFFF"/>
          </w:divBdr>
          <w:divsChild>
            <w:div w:id="1534033432">
              <w:marLeft w:val="0"/>
              <w:marRight w:val="0"/>
              <w:marTop w:val="0"/>
              <w:marBottom w:val="0"/>
              <w:divBdr>
                <w:top w:val="none" w:sz="0" w:space="0" w:color="auto"/>
                <w:left w:val="none" w:sz="0" w:space="0" w:color="auto"/>
                <w:bottom w:val="none" w:sz="0" w:space="0" w:color="auto"/>
                <w:right w:val="none" w:sz="0" w:space="0" w:color="auto"/>
              </w:divBdr>
              <w:divsChild>
                <w:div w:id="1646542054">
                  <w:marLeft w:val="0"/>
                  <w:marRight w:val="0"/>
                  <w:marTop w:val="0"/>
                  <w:marBottom w:val="0"/>
                  <w:divBdr>
                    <w:top w:val="none" w:sz="0" w:space="0" w:color="auto"/>
                    <w:left w:val="none" w:sz="0" w:space="0" w:color="auto"/>
                    <w:bottom w:val="none" w:sz="0" w:space="0" w:color="auto"/>
                    <w:right w:val="none" w:sz="0" w:space="0" w:color="auto"/>
                  </w:divBdr>
                  <w:divsChild>
                    <w:div w:id="1725828276">
                      <w:marLeft w:val="0"/>
                      <w:marRight w:val="0"/>
                      <w:marTop w:val="0"/>
                      <w:marBottom w:val="0"/>
                      <w:divBdr>
                        <w:top w:val="none" w:sz="0" w:space="0" w:color="auto"/>
                        <w:left w:val="none" w:sz="0" w:space="0" w:color="auto"/>
                        <w:bottom w:val="none" w:sz="0" w:space="0" w:color="auto"/>
                        <w:right w:val="none" w:sz="0" w:space="0" w:color="auto"/>
                      </w:divBdr>
                      <w:divsChild>
                        <w:div w:id="43991424">
                          <w:marLeft w:val="0"/>
                          <w:marRight w:val="0"/>
                          <w:marTop w:val="0"/>
                          <w:marBottom w:val="0"/>
                          <w:divBdr>
                            <w:top w:val="none" w:sz="0" w:space="0" w:color="auto"/>
                            <w:left w:val="none" w:sz="0" w:space="0" w:color="auto"/>
                            <w:bottom w:val="none" w:sz="0" w:space="0" w:color="auto"/>
                            <w:right w:val="none" w:sz="0" w:space="0" w:color="auto"/>
                          </w:divBdr>
                          <w:divsChild>
                            <w:div w:id="1449003819">
                              <w:marLeft w:val="0"/>
                              <w:marRight w:val="0"/>
                              <w:marTop w:val="0"/>
                              <w:marBottom w:val="0"/>
                              <w:divBdr>
                                <w:top w:val="none" w:sz="0" w:space="0" w:color="auto"/>
                                <w:left w:val="none" w:sz="0" w:space="0" w:color="auto"/>
                                <w:bottom w:val="none" w:sz="0" w:space="0" w:color="auto"/>
                                <w:right w:val="none" w:sz="0" w:space="0" w:color="auto"/>
                              </w:divBdr>
                              <w:divsChild>
                                <w:div w:id="1666931640">
                                  <w:marLeft w:val="0"/>
                                  <w:marRight w:val="0"/>
                                  <w:marTop w:val="0"/>
                                  <w:marBottom w:val="0"/>
                                  <w:divBdr>
                                    <w:top w:val="none" w:sz="0" w:space="0" w:color="auto"/>
                                    <w:left w:val="none" w:sz="0" w:space="0" w:color="auto"/>
                                    <w:bottom w:val="none" w:sz="0" w:space="0" w:color="auto"/>
                                    <w:right w:val="none" w:sz="0" w:space="0" w:color="auto"/>
                                  </w:divBdr>
                                  <w:divsChild>
                                    <w:div w:id="155342086">
                                      <w:marLeft w:val="0"/>
                                      <w:marRight w:val="0"/>
                                      <w:marTop w:val="0"/>
                                      <w:marBottom w:val="0"/>
                                      <w:divBdr>
                                        <w:top w:val="none" w:sz="0" w:space="0" w:color="auto"/>
                                        <w:left w:val="none" w:sz="0" w:space="0" w:color="auto"/>
                                        <w:bottom w:val="none" w:sz="0" w:space="0" w:color="auto"/>
                                        <w:right w:val="none" w:sz="0" w:space="0" w:color="auto"/>
                                      </w:divBdr>
                                      <w:divsChild>
                                        <w:div w:id="14813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3531794">
      <w:bodyDiv w:val="1"/>
      <w:marLeft w:val="0"/>
      <w:marRight w:val="0"/>
      <w:marTop w:val="0"/>
      <w:marBottom w:val="0"/>
      <w:divBdr>
        <w:top w:val="none" w:sz="0" w:space="0" w:color="auto"/>
        <w:left w:val="none" w:sz="0" w:space="0" w:color="auto"/>
        <w:bottom w:val="none" w:sz="0" w:space="0" w:color="auto"/>
        <w:right w:val="none" w:sz="0" w:space="0" w:color="auto"/>
      </w:divBdr>
      <w:divsChild>
        <w:div w:id="2082367344">
          <w:marLeft w:val="547"/>
          <w:marRight w:val="0"/>
          <w:marTop w:val="120"/>
          <w:marBottom w:val="60"/>
          <w:divBdr>
            <w:top w:val="none" w:sz="0" w:space="0" w:color="auto"/>
            <w:left w:val="none" w:sz="0" w:space="0" w:color="auto"/>
            <w:bottom w:val="none" w:sz="0" w:space="0" w:color="auto"/>
            <w:right w:val="none" w:sz="0" w:space="0" w:color="auto"/>
          </w:divBdr>
        </w:div>
      </w:divsChild>
    </w:div>
    <w:div w:id="1729381317">
      <w:bodyDiv w:val="1"/>
      <w:marLeft w:val="0"/>
      <w:marRight w:val="0"/>
      <w:marTop w:val="0"/>
      <w:marBottom w:val="0"/>
      <w:divBdr>
        <w:top w:val="none" w:sz="0" w:space="0" w:color="auto"/>
        <w:left w:val="none" w:sz="0" w:space="0" w:color="auto"/>
        <w:bottom w:val="none" w:sz="0" w:space="0" w:color="auto"/>
        <w:right w:val="none" w:sz="0" w:space="0" w:color="auto"/>
      </w:divBdr>
    </w:div>
    <w:div w:id="1765802711">
      <w:bodyDiv w:val="1"/>
      <w:marLeft w:val="0"/>
      <w:marRight w:val="0"/>
      <w:marTop w:val="0"/>
      <w:marBottom w:val="0"/>
      <w:divBdr>
        <w:top w:val="none" w:sz="0" w:space="0" w:color="auto"/>
        <w:left w:val="none" w:sz="0" w:space="0" w:color="auto"/>
        <w:bottom w:val="none" w:sz="0" w:space="0" w:color="auto"/>
        <w:right w:val="none" w:sz="0" w:space="0" w:color="auto"/>
      </w:divBdr>
    </w:div>
    <w:div w:id="1778519255">
      <w:bodyDiv w:val="1"/>
      <w:marLeft w:val="0"/>
      <w:marRight w:val="0"/>
      <w:marTop w:val="0"/>
      <w:marBottom w:val="0"/>
      <w:divBdr>
        <w:top w:val="none" w:sz="0" w:space="0" w:color="auto"/>
        <w:left w:val="none" w:sz="0" w:space="0" w:color="auto"/>
        <w:bottom w:val="none" w:sz="0" w:space="0" w:color="auto"/>
        <w:right w:val="none" w:sz="0" w:space="0" w:color="auto"/>
      </w:divBdr>
      <w:divsChild>
        <w:div w:id="320159706">
          <w:marLeft w:val="835"/>
          <w:marRight w:val="0"/>
          <w:marTop w:val="77"/>
          <w:marBottom w:val="0"/>
          <w:divBdr>
            <w:top w:val="none" w:sz="0" w:space="0" w:color="auto"/>
            <w:left w:val="none" w:sz="0" w:space="0" w:color="auto"/>
            <w:bottom w:val="none" w:sz="0" w:space="0" w:color="auto"/>
            <w:right w:val="none" w:sz="0" w:space="0" w:color="auto"/>
          </w:divBdr>
        </w:div>
        <w:div w:id="390858440">
          <w:marLeft w:val="835"/>
          <w:marRight w:val="0"/>
          <w:marTop w:val="77"/>
          <w:marBottom w:val="0"/>
          <w:divBdr>
            <w:top w:val="none" w:sz="0" w:space="0" w:color="auto"/>
            <w:left w:val="none" w:sz="0" w:space="0" w:color="auto"/>
            <w:bottom w:val="none" w:sz="0" w:space="0" w:color="auto"/>
            <w:right w:val="none" w:sz="0" w:space="0" w:color="auto"/>
          </w:divBdr>
        </w:div>
        <w:div w:id="524560773">
          <w:marLeft w:val="835"/>
          <w:marRight w:val="0"/>
          <w:marTop w:val="77"/>
          <w:marBottom w:val="0"/>
          <w:divBdr>
            <w:top w:val="none" w:sz="0" w:space="0" w:color="auto"/>
            <w:left w:val="none" w:sz="0" w:space="0" w:color="auto"/>
            <w:bottom w:val="none" w:sz="0" w:space="0" w:color="auto"/>
            <w:right w:val="none" w:sz="0" w:space="0" w:color="auto"/>
          </w:divBdr>
        </w:div>
        <w:div w:id="650719068">
          <w:marLeft w:val="835"/>
          <w:marRight w:val="0"/>
          <w:marTop w:val="77"/>
          <w:marBottom w:val="0"/>
          <w:divBdr>
            <w:top w:val="none" w:sz="0" w:space="0" w:color="auto"/>
            <w:left w:val="none" w:sz="0" w:space="0" w:color="auto"/>
            <w:bottom w:val="none" w:sz="0" w:space="0" w:color="auto"/>
            <w:right w:val="none" w:sz="0" w:space="0" w:color="auto"/>
          </w:divBdr>
        </w:div>
        <w:div w:id="1326670241">
          <w:marLeft w:val="835"/>
          <w:marRight w:val="0"/>
          <w:marTop w:val="77"/>
          <w:marBottom w:val="0"/>
          <w:divBdr>
            <w:top w:val="none" w:sz="0" w:space="0" w:color="auto"/>
            <w:left w:val="none" w:sz="0" w:space="0" w:color="auto"/>
            <w:bottom w:val="none" w:sz="0" w:space="0" w:color="auto"/>
            <w:right w:val="none" w:sz="0" w:space="0" w:color="auto"/>
          </w:divBdr>
        </w:div>
        <w:div w:id="1576892133">
          <w:marLeft w:val="835"/>
          <w:marRight w:val="0"/>
          <w:marTop w:val="77"/>
          <w:marBottom w:val="0"/>
          <w:divBdr>
            <w:top w:val="none" w:sz="0" w:space="0" w:color="auto"/>
            <w:left w:val="none" w:sz="0" w:space="0" w:color="auto"/>
            <w:bottom w:val="none" w:sz="0" w:space="0" w:color="auto"/>
            <w:right w:val="none" w:sz="0" w:space="0" w:color="auto"/>
          </w:divBdr>
        </w:div>
        <w:div w:id="1944142575">
          <w:marLeft w:val="835"/>
          <w:marRight w:val="0"/>
          <w:marTop w:val="77"/>
          <w:marBottom w:val="0"/>
          <w:divBdr>
            <w:top w:val="none" w:sz="0" w:space="0" w:color="auto"/>
            <w:left w:val="none" w:sz="0" w:space="0" w:color="auto"/>
            <w:bottom w:val="none" w:sz="0" w:space="0" w:color="auto"/>
            <w:right w:val="none" w:sz="0" w:space="0" w:color="auto"/>
          </w:divBdr>
        </w:div>
      </w:divsChild>
    </w:div>
    <w:div w:id="1785348375">
      <w:bodyDiv w:val="1"/>
      <w:marLeft w:val="0"/>
      <w:marRight w:val="0"/>
      <w:marTop w:val="0"/>
      <w:marBottom w:val="0"/>
      <w:divBdr>
        <w:top w:val="none" w:sz="0" w:space="0" w:color="auto"/>
        <w:left w:val="none" w:sz="0" w:space="0" w:color="auto"/>
        <w:bottom w:val="none" w:sz="0" w:space="0" w:color="auto"/>
        <w:right w:val="none" w:sz="0" w:space="0" w:color="auto"/>
      </w:divBdr>
    </w:div>
    <w:div w:id="1797335683">
      <w:bodyDiv w:val="1"/>
      <w:marLeft w:val="0"/>
      <w:marRight w:val="0"/>
      <w:marTop w:val="0"/>
      <w:marBottom w:val="0"/>
      <w:divBdr>
        <w:top w:val="none" w:sz="0" w:space="0" w:color="auto"/>
        <w:left w:val="none" w:sz="0" w:space="0" w:color="auto"/>
        <w:bottom w:val="none" w:sz="0" w:space="0" w:color="auto"/>
        <w:right w:val="none" w:sz="0" w:space="0" w:color="auto"/>
      </w:divBdr>
      <w:divsChild>
        <w:div w:id="394934836">
          <w:marLeft w:val="547"/>
          <w:marRight w:val="0"/>
          <w:marTop w:val="120"/>
          <w:marBottom w:val="60"/>
          <w:divBdr>
            <w:top w:val="none" w:sz="0" w:space="0" w:color="auto"/>
            <w:left w:val="none" w:sz="0" w:space="0" w:color="auto"/>
            <w:bottom w:val="none" w:sz="0" w:space="0" w:color="auto"/>
            <w:right w:val="none" w:sz="0" w:space="0" w:color="auto"/>
          </w:divBdr>
        </w:div>
      </w:divsChild>
    </w:div>
    <w:div w:id="1841191710">
      <w:bodyDiv w:val="1"/>
      <w:marLeft w:val="0"/>
      <w:marRight w:val="0"/>
      <w:marTop w:val="0"/>
      <w:marBottom w:val="0"/>
      <w:divBdr>
        <w:top w:val="none" w:sz="0" w:space="0" w:color="auto"/>
        <w:left w:val="none" w:sz="0" w:space="0" w:color="auto"/>
        <w:bottom w:val="none" w:sz="0" w:space="0" w:color="auto"/>
        <w:right w:val="none" w:sz="0" w:space="0" w:color="auto"/>
      </w:divBdr>
    </w:div>
    <w:div w:id="1883012097">
      <w:bodyDiv w:val="1"/>
      <w:marLeft w:val="0"/>
      <w:marRight w:val="0"/>
      <w:marTop w:val="0"/>
      <w:marBottom w:val="0"/>
      <w:divBdr>
        <w:top w:val="none" w:sz="0" w:space="0" w:color="auto"/>
        <w:left w:val="none" w:sz="0" w:space="0" w:color="auto"/>
        <w:bottom w:val="none" w:sz="0" w:space="0" w:color="auto"/>
        <w:right w:val="none" w:sz="0" w:space="0" w:color="auto"/>
      </w:divBdr>
    </w:div>
    <w:div w:id="1927877410">
      <w:bodyDiv w:val="1"/>
      <w:marLeft w:val="0"/>
      <w:marRight w:val="0"/>
      <w:marTop w:val="0"/>
      <w:marBottom w:val="0"/>
      <w:divBdr>
        <w:top w:val="none" w:sz="0" w:space="0" w:color="auto"/>
        <w:left w:val="none" w:sz="0" w:space="0" w:color="auto"/>
        <w:bottom w:val="none" w:sz="0" w:space="0" w:color="auto"/>
        <w:right w:val="none" w:sz="0" w:space="0" w:color="auto"/>
      </w:divBdr>
      <w:divsChild>
        <w:div w:id="166100063">
          <w:marLeft w:val="1166"/>
          <w:marRight w:val="0"/>
          <w:marTop w:val="77"/>
          <w:marBottom w:val="0"/>
          <w:divBdr>
            <w:top w:val="none" w:sz="0" w:space="0" w:color="auto"/>
            <w:left w:val="none" w:sz="0" w:space="0" w:color="auto"/>
            <w:bottom w:val="none" w:sz="0" w:space="0" w:color="auto"/>
            <w:right w:val="none" w:sz="0" w:space="0" w:color="auto"/>
          </w:divBdr>
        </w:div>
        <w:div w:id="315307551">
          <w:marLeft w:val="547"/>
          <w:marRight w:val="0"/>
          <w:marTop w:val="86"/>
          <w:marBottom w:val="0"/>
          <w:divBdr>
            <w:top w:val="none" w:sz="0" w:space="0" w:color="auto"/>
            <w:left w:val="none" w:sz="0" w:space="0" w:color="auto"/>
            <w:bottom w:val="none" w:sz="0" w:space="0" w:color="auto"/>
            <w:right w:val="none" w:sz="0" w:space="0" w:color="auto"/>
          </w:divBdr>
        </w:div>
        <w:div w:id="1245383222">
          <w:marLeft w:val="1166"/>
          <w:marRight w:val="0"/>
          <w:marTop w:val="77"/>
          <w:marBottom w:val="0"/>
          <w:divBdr>
            <w:top w:val="none" w:sz="0" w:space="0" w:color="auto"/>
            <w:left w:val="none" w:sz="0" w:space="0" w:color="auto"/>
            <w:bottom w:val="none" w:sz="0" w:space="0" w:color="auto"/>
            <w:right w:val="none" w:sz="0" w:space="0" w:color="auto"/>
          </w:divBdr>
        </w:div>
        <w:div w:id="1367562032">
          <w:marLeft w:val="1166"/>
          <w:marRight w:val="0"/>
          <w:marTop w:val="77"/>
          <w:marBottom w:val="0"/>
          <w:divBdr>
            <w:top w:val="none" w:sz="0" w:space="0" w:color="auto"/>
            <w:left w:val="none" w:sz="0" w:space="0" w:color="auto"/>
            <w:bottom w:val="none" w:sz="0" w:space="0" w:color="auto"/>
            <w:right w:val="none" w:sz="0" w:space="0" w:color="auto"/>
          </w:divBdr>
        </w:div>
        <w:div w:id="2075467404">
          <w:marLeft w:val="1166"/>
          <w:marRight w:val="0"/>
          <w:marTop w:val="77"/>
          <w:marBottom w:val="0"/>
          <w:divBdr>
            <w:top w:val="none" w:sz="0" w:space="0" w:color="auto"/>
            <w:left w:val="none" w:sz="0" w:space="0" w:color="auto"/>
            <w:bottom w:val="none" w:sz="0" w:space="0" w:color="auto"/>
            <w:right w:val="none" w:sz="0" w:space="0" w:color="auto"/>
          </w:divBdr>
        </w:div>
      </w:divsChild>
    </w:div>
    <w:div w:id="1956447966">
      <w:bodyDiv w:val="1"/>
      <w:marLeft w:val="0"/>
      <w:marRight w:val="0"/>
      <w:marTop w:val="0"/>
      <w:marBottom w:val="0"/>
      <w:divBdr>
        <w:top w:val="none" w:sz="0" w:space="0" w:color="auto"/>
        <w:left w:val="none" w:sz="0" w:space="0" w:color="auto"/>
        <w:bottom w:val="none" w:sz="0" w:space="0" w:color="auto"/>
        <w:right w:val="none" w:sz="0" w:space="0" w:color="auto"/>
      </w:divBdr>
    </w:div>
    <w:div w:id="2002198381">
      <w:bodyDiv w:val="1"/>
      <w:marLeft w:val="0"/>
      <w:marRight w:val="0"/>
      <w:marTop w:val="0"/>
      <w:marBottom w:val="0"/>
      <w:divBdr>
        <w:top w:val="none" w:sz="0" w:space="0" w:color="auto"/>
        <w:left w:val="none" w:sz="0" w:space="0" w:color="auto"/>
        <w:bottom w:val="none" w:sz="0" w:space="0" w:color="auto"/>
        <w:right w:val="none" w:sz="0" w:space="0" w:color="auto"/>
      </w:divBdr>
      <w:divsChild>
        <w:div w:id="1760329216">
          <w:marLeft w:val="547"/>
          <w:marRight w:val="0"/>
          <w:marTop w:val="96"/>
          <w:marBottom w:val="0"/>
          <w:divBdr>
            <w:top w:val="none" w:sz="0" w:space="0" w:color="auto"/>
            <w:left w:val="none" w:sz="0" w:space="0" w:color="auto"/>
            <w:bottom w:val="none" w:sz="0" w:space="0" w:color="auto"/>
            <w:right w:val="none" w:sz="0" w:space="0" w:color="auto"/>
          </w:divBdr>
        </w:div>
      </w:divsChild>
    </w:div>
    <w:div w:id="2112358018">
      <w:bodyDiv w:val="1"/>
      <w:marLeft w:val="0"/>
      <w:marRight w:val="0"/>
      <w:marTop w:val="0"/>
      <w:marBottom w:val="0"/>
      <w:divBdr>
        <w:top w:val="none" w:sz="0" w:space="0" w:color="auto"/>
        <w:left w:val="none" w:sz="0" w:space="0" w:color="auto"/>
        <w:bottom w:val="none" w:sz="0" w:space="0" w:color="auto"/>
        <w:right w:val="none" w:sz="0" w:space="0" w:color="auto"/>
      </w:divBdr>
      <w:divsChild>
        <w:div w:id="1771463807">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header" Target="header5.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diagramColors" Target="diagrams/colors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theme" Target="theme/theme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diagramQuickStyle" Target="diagrams/quickStyle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footer" Target="footer4.xml"/><Relationship Id="rId30"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s://joinup.ec.europa.eu/community/isa/document/sharing-and-reuse-framework-fostering-collaboration-among-public-administrati" TargetMode="External"/><Relationship Id="rId2" Type="http://schemas.openxmlformats.org/officeDocument/2006/relationships/hyperlink" Target="http://eur-lex.europa.eu/legal-content/EN/TXT/PDF/?uri=CELEX:12012E/TXT&amp;from=EN" TargetMode="External"/><Relationship Id="rId1" Type="http://schemas.openxmlformats.org/officeDocument/2006/relationships/hyperlink" Target="http://eur-lex.europa.eu/legal-content/EN/TXT/PDF/?uri=CELEX:52010DC0245&amp;from=EN" TargetMode="External"/><Relationship Id="rId4" Type="http://schemas.openxmlformats.org/officeDocument/2006/relationships/hyperlink" Target="https://joinup.ec.europa.eu/"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BBF425-1620-423D-80E3-6E7A8B4B1E70}" type="doc">
      <dgm:prSet loTypeId="urn:microsoft.com/office/officeart/2005/8/layout/list1" loCatId="list" qsTypeId="urn:microsoft.com/office/officeart/2005/8/quickstyle/simple5" qsCatId="simple" csTypeId="urn:microsoft.com/office/officeart/2005/8/colors/accent0_1" csCatId="mainScheme" phldr="1"/>
      <dgm:spPr/>
      <dgm:t>
        <a:bodyPr/>
        <a:lstStyle/>
        <a:p>
          <a:endParaRPr lang="en-GB"/>
        </a:p>
      </dgm:t>
    </dgm:pt>
    <dgm:pt modelId="{8F162D86-0450-47D2-A635-8CC0DEA82821}">
      <dgm:prSet phldrT="[Text]" custT="1"/>
      <dgm:spPr/>
      <dgm:t>
        <a:bodyPr/>
        <a:lstStyle/>
        <a:p>
          <a:r>
            <a:rPr lang="en-GB" sz="1100">
              <a:latin typeface="Calibri" panose="020F0502020204030204" pitchFamily="34" charset="0"/>
            </a:rPr>
            <a:t>1: Subsidiarity and proportionality</a:t>
          </a:r>
        </a:p>
      </dgm:t>
    </dgm:pt>
    <dgm:pt modelId="{71D56487-3CDF-4148-84E5-E18DF12D301A}" type="parTrans" cxnId="{AE3F1393-BCF1-4727-840C-530A5FD381D1}">
      <dgm:prSet/>
      <dgm:spPr/>
      <dgm:t>
        <a:bodyPr/>
        <a:lstStyle/>
        <a:p>
          <a:endParaRPr lang="en-GB"/>
        </a:p>
      </dgm:t>
    </dgm:pt>
    <dgm:pt modelId="{4A93225E-A653-48D5-932E-C359C6E2CD89}" type="sibTrans" cxnId="{AE3F1393-BCF1-4727-840C-530A5FD381D1}">
      <dgm:prSet/>
      <dgm:spPr/>
      <dgm:t>
        <a:bodyPr/>
        <a:lstStyle/>
        <a:p>
          <a:endParaRPr lang="en-GB"/>
        </a:p>
      </dgm:t>
    </dgm:pt>
    <dgm:pt modelId="{A07B1793-1A8A-4C80-9A49-D862E229586A}">
      <dgm:prSet phldrT="[Text]" custT="1"/>
      <dgm:spPr/>
      <dgm:t>
        <a:bodyPr/>
        <a:lstStyle/>
        <a:p>
          <a:r>
            <a:rPr lang="en-GB" sz="1100"/>
            <a:t>2: Openness</a:t>
          </a:r>
          <a:r>
            <a:rPr lang="en-GB" sz="900"/>
            <a:t>	</a:t>
          </a:r>
        </a:p>
      </dgm:t>
    </dgm:pt>
    <dgm:pt modelId="{2973AD97-CB45-4C75-A1D3-9D1E767B174A}" type="parTrans" cxnId="{CBC4F5D8-F69D-4934-9DFF-CF2D78A97F3D}">
      <dgm:prSet/>
      <dgm:spPr/>
      <dgm:t>
        <a:bodyPr/>
        <a:lstStyle/>
        <a:p>
          <a:endParaRPr lang="en-GB"/>
        </a:p>
      </dgm:t>
    </dgm:pt>
    <dgm:pt modelId="{8371C2A6-16A2-41D5-B121-1CB7C94BA3E3}" type="sibTrans" cxnId="{CBC4F5D8-F69D-4934-9DFF-CF2D78A97F3D}">
      <dgm:prSet/>
      <dgm:spPr/>
      <dgm:t>
        <a:bodyPr/>
        <a:lstStyle/>
        <a:p>
          <a:endParaRPr lang="en-GB"/>
        </a:p>
      </dgm:t>
    </dgm:pt>
    <dgm:pt modelId="{A4CB8959-9F47-4B16-9FD5-25549465168C}">
      <dgm:prSet phldrT="[Text]" custT="1"/>
      <dgm:spPr/>
      <dgm:t>
        <a:bodyPr/>
        <a:lstStyle/>
        <a:p>
          <a:r>
            <a:rPr lang="en-GB" sz="900"/>
            <a:t>3: </a:t>
          </a:r>
          <a:r>
            <a:rPr lang="en-GB" sz="1100"/>
            <a:t>Transparency</a:t>
          </a:r>
          <a:r>
            <a:rPr lang="en-GB" sz="900"/>
            <a:t>	</a:t>
          </a:r>
        </a:p>
      </dgm:t>
    </dgm:pt>
    <dgm:pt modelId="{E3764455-91D0-454F-897D-E21E407B9186}" type="parTrans" cxnId="{E3F85B27-35B4-4D60-9ACF-FA2739A4B8BB}">
      <dgm:prSet/>
      <dgm:spPr/>
      <dgm:t>
        <a:bodyPr/>
        <a:lstStyle/>
        <a:p>
          <a:endParaRPr lang="en-GB"/>
        </a:p>
      </dgm:t>
    </dgm:pt>
    <dgm:pt modelId="{E73C196A-C762-4C43-BF48-6A0B366C9D12}" type="sibTrans" cxnId="{E3F85B27-35B4-4D60-9ACF-FA2739A4B8BB}">
      <dgm:prSet/>
      <dgm:spPr/>
      <dgm:t>
        <a:bodyPr/>
        <a:lstStyle/>
        <a:p>
          <a:endParaRPr lang="en-GB"/>
        </a:p>
      </dgm:t>
    </dgm:pt>
    <dgm:pt modelId="{40EAA34D-730A-404D-AFBC-CBE52885B6C1}">
      <dgm:prSet custT="1"/>
      <dgm:spPr/>
      <dgm:t>
        <a:bodyPr/>
        <a:lstStyle/>
        <a:p>
          <a:r>
            <a:rPr lang="en-GB" sz="900"/>
            <a:t>4: </a:t>
          </a:r>
          <a:r>
            <a:rPr lang="en-GB" sz="1100"/>
            <a:t>Reusability</a:t>
          </a:r>
          <a:r>
            <a:rPr lang="en-GB" sz="900"/>
            <a:t>	</a:t>
          </a:r>
        </a:p>
      </dgm:t>
    </dgm:pt>
    <dgm:pt modelId="{825AF009-318E-452D-8534-52DD6DA9890B}" type="parTrans" cxnId="{F1AC9B25-173F-4D62-9DC1-76623E37B509}">
      <dgm:prSet/>
      <dgm:spPr/>
      <dgm:t>
        <a:bodyPr/>
        <a:lstStyle/>
        <a:p>
          <a:endParaRPr lang="en-GB"/>
        </a:p>
      </dgm:t>
    </dgm:pt>
    <dgm:pt modelId="{1FD21C80-2DC7-4149-8759-6ECE11561931}" type="sibTrans" cxnId="{F1AC9B25-173F-4D62-9DC1-76623E37B509}">
      <dgm:prSet/>
      <dgm:spPr/>
      <dgm:t>
        <a:bodyPr/>
        <a:lstStyle/>
        <a:p>
          <a:endParaRPr lang="en-GB"/>
        </a:p>
      </dgm:t>
    </dgm:pt>
    <dgm:pt modelId="{FEE012CB-9215-4EB9-ADEC-341A5BBED30D}">
      <dgm:prSet custT="1"/>
      <dgm:spPr/>
      <dgm:t>
        <a:bodyPr/>
        <a:lstStyle/>
        <a:p>
          <a:r>
            <a:rPr lang="en-GB" sz="900"/>
            <a:t>5: </a:t>
          </a:r>
          <a:r>
            <a:rPr lang="en-GB" sz="1100"/>
            <a:t>Technological</a:t>
          </a:r>
          <a:r>
            <a:rPr lang="en-GB" sz="900"/>
            <a:t> </a:t>
          </a:r>
          <a:r>
            <a:rPr lang="en-GB" sz="1100"/>
            <a:t>neutrality and data portability</a:t>
          </a:r>
          <a:r>
            <a:rPr lang="en-GB" sz="900"/>
            <a:t>	</a:t>
          </a:r>
        </a:p>
      </dgm:t>
    </dgm:pt>
    <dgm:pt modelId="{7B59B6AB-0DCC-44D0-BFB4-472A7B9B85D0}" type="parTrans" cxnId="{125735E5-2110-425F-BA1E-1F5E8BA420DF}">
      <dgm:prSet/>
      <dgm:spPr/>
      <dgm:t>
        <a:bodyPr/>
        <a:lstStyle/>
        <a:p>
          <a:endParaRPr lang="en-GB"/>
        </a:p>
      </dgm:t>
    </dgm:pt>
    <dgm:pt modelId="{27C3D06C-F50F-47F5-801D-53F0E13F409C}" type="sibTrans" cxnId="{125735E5-2110-425F-BA1E-1F5E8BA420DF}">
      <dgm:prSet/>
      <dgm:spPr/>
      <dgm:t>
        <a:bodyPr/>
        <a:lstStyle/>
        <a:p>
          <a:endParaRPr lang="en-GB"/>
        </a:p>
      </dgm:t>
    </dgm:pt>
    <dgm:pt modelId="{0C9C2FA1-E1E3-40AB-81B1-69694E3D2DDA}">
      <dgm:prSet custT="1"/>
      <dgm:spPr/>
      <dgm:t>
        <a:bodyPr/>
        <a:lstStyle/>
        <a:p>
          <a:r>
            <a:rPr lang="en-GB" sz="900"/>
            <a:t>6: </a:t>
          </a:r>
          <a:r>
            <a:rPr lang="en-GB" sz="1100"/>
            <a:t>User-centricity</a:t>
          </a:r>
          <a:r>
            <a:rPr lang="en-GB" sz="900"/>
            <a:t>	</a:t>
          </a:r>
        </a:p>
      </dgm:t>
    </dgm:pt>
    <dgm:pt modelId="{BD518D90-174D-4A7F-AC99-97C6C795AC36}" type="parTrans" cxnId="{158E4C0A-6CD9-4F8B-A255-B24E13F92F53}">
      <dgm:prSet/>
      <dgm:spPr/>
      <dgm:t>
        <a:bodyPr/>
        <a:lstStyle/>
        <a:p>
          <a:endParaRPr lang="en-GB"/>
        </a:p>
      </dgm:t>
    </dgm:pt>
    <dgm:pt modelId="{EE9A8D48-0306-4CCB-BB9D-8E9773036DF5}" type="sibTrans" cxnId="{158E4C0A-6CD9-4F8B-A255-B24E13F92F53}">
      <dgm:prSet/>
      <dgm:spPr/>
      <dgm:t>
        <a:bodyPr/>
        <a:lstStyle/>
        <a:p>
          <a:endParaRPr lang="en-GB"/>
        </a:p>
      </dgm:t>
    </dgm:pt>
    <dgm:pt modelId="{99A0E951-94B1-4938-A758-B7797E8CB00B}">
      <dgm:prSet custT="1"/>
      <dgm:spPr/>
      <dgm:t>
        <a:bodyPr/>
        <a:lstStyle/>
        <a:p>
          <a:r>
            <a:rPr lang="en-GB" sz="1100"/>
            <a:t>7: Inclusion and accessibility</a:t>
          </a:r>
          <a:r>
            <a:rPr lang="en-GB" sz="900"/>
            <a:t>	</a:t>
          </a:r>
        </a:p>
      </dgm:t>
    </dgm:pt>
    <dgm:pt modelId="{BC0F66F8-0A16-4C60-84A0-A6B14069D00B}" type="parTrans" cxnId="{BDAD0772-293B-455D-8FB8-DB8642104F6E}">
      <dgm:prSet/>
      <dgm:spPr/>
      <dgm:t>
        <a:bodyPr/>
        <a:lstStyle/>
        <a:p>
          <a:endParaRPr lang="en-GB"/>
        </a:p>
      </dgm:t>
    </dgm:pt>
    <dgm:pt modelId="{EC3B84F8-B7F4-4D5A-8E14-2F015A6AB7A8}" type="sibTrans" cxnId="{BDAD0772-293B-455D-8FB8-DB8642104F6E}">
      <dgm:prSet/>
      <dgm:spPr/>
      <dgm:t>
        <a:bodyPr/>
        <a:lstStyle/>
        <a:p>
          <a:endParaRPr lang="en-GB"/>
        </a:p>
      </dgm:t>
    </dgm:pt>
    <dgm:pt modelId="{46EC067F-B4AE-44CA-97CF-77A2399997DF}">
      <dgm:prSet custT="1"/>
      <dgm:spPr/>
      <dgm:t>
        <a:bodyPr/>
        <a:lstStyle/>
        <a:p>
          <a:r>
            <a:rPr lang="en-GB" sz="1100"/>
            <a:t>8: Security and privacy</a:t>
          </a:r>
          <a:r>
            <a:rPr lang="en-GB" sz="900"/>
            <a:t>	</a:t>
          </a:r>
        </a:p>
      </dgm:t>
    </dgm:pt>
    <dgm:pt modelId="{B2D8D6DC-402B-42F0-B9F5-16AC70CECC06}" type="parTrans" cxnId="{68A5F6DA-591F-4B70-A750-87CD960DA892}">
      <dgm:prSet/>
      <dgm:spPr/>
      <dgm:t>
        <a:bodyPr/>
        <a:lstStyle/>
        <a:p>
          <a:endParaRPr lang="en-GB"/>
        </a:p>
      </dgm:t>
    </dgm:pt>
    <dgm:pt modelId="{442F8369-A61C-4B46-B409-645463956832}" type="sibTrans" cxnId="{68A5F6DA-591F-4B70-A750-87CD960DA892}">
      <dgm:prSet/>
      <dgm:spPr/>
      <dgm:t>
        <a:bodyPr/>
        <a:lstStyle/>
        <a:p>
          <a:endParaRPr lang="en-GB"/>
        </a:p>
      </dgm:t>
    </dgm:pt>
    <dgm:pt modelId="{106BD5F1-95E7-4B0E-AA35-C979CACBE2F9}">
      <dgm:prSet custT="1"/>
      <dgm:spPr/>
      <dgm:t>
        <a:bodyPr/>
        <a:lstStyle/>
        <a:p>
          <a:r>
            <a:rPr lang="en-GB" sz="1100"/>
            <a:t>9: Multilingualism</a:t>
          </a:r>
          <a:r>
            <a:rPr lang="en-GB" sz="900"/>
            <a:t>	</a:t>
          </a:r>
        </a:p>
      </dgm:t>
    </dgm:pt>
    <dgm:pt modelId="{9F9FF23D-8282-43CE-815C-16F8C666A6AF}" type="parTrans" cxnId="{DC1EE015-DF65-4DD9-A147-3BC8282E13ED}">
      <dgm:prSet/>
      <dgm:spPr/>
      <dgm:t>
        <a:bodyPr/>
        <a:lstStyle/>
        <a:p>
          <a:endParaRPr lang="en-GB"/>
        </a:p>
      </dgm:t>
    </dgm:pt>
    <dgm:pt modelId="{C267C6E1-EBE6-477E-9109-4462224D8AEB}" type="sibTrans" cxnId="{DC1EE015-DF65-4DD9-A147-3BC8282E13ED}">
      <dgm:prSet/>
      <dgm:spPr/>
      <dgm:t>
        <a:bodyPr/>
        <a:lstStyle/>
        <a:p>
          <a:endParaRPr lang="en-GB"/>
        </a:p>
      </dgm:t>
    </dgm:pt>
    <dgm:pt modelId="{D388808A-7CF5-4E41-BA32-E0D5BAAB1E4C}">
      <dgm:prSet custT="1"/>
      <dgm:spPr/>
      <dgm:t>
        <a:bodyPr/>
        <a:lstStyle/>
        <a:p>
          <a:r>
            <a:rPr lang="en-GB" sz="1100"/>
            <a:t>10: Administrative simplification</a:t>
          </a:r>
        </a:p>
      </dgm:t>
    </dgm:pt>
    <dgm:pt modelId="{65CCF1A0-BF76-4FFC-9C37-2277F45935E5}" type="parTrans" cxnId="{DE1E0B39-C3C5-457C-A29C-7412F7C0C281}">
      <dgm:prSet/>
      <dgm:spPr/>
      <dgm:t>
        <a:bodyPr/>
        <a:lstStyle/>
        <a:p>
          <a:endParaRPr lang="en-GB"/>
        </a:p>
      </dgm:t>
    </dgm:pt>
    <dgm:pt modelId="{58DA490B-7B72-4562-A64D-F678E16E0D44}" type="sibTrans" cxnId="{DE1E0B39-C3C5-457C-A29C-7412F7C0C281}">
      <dgm:prSet/>
      <dgm:spPr/>
      <dgm:t>
        <a:bodyPr/>
        <a:lstStyle/>
        <a:p>
          <a:endParaRPr lang="en-GB"/>
        </a:p>
      </dgm:t>
    </dgm:pt>
    <dgm:pt modelId="{F773A548-D8AF-471A-B8CA-B56B6F63EACF}">
      <dgm:prSet custT="1"/>
      <dgm:spPr/>
      <dgm:t>
        <a:bodyPr/>
        <a:lstStyle/>
        <a:p>
          <a:r>
            <a:rPr lang="en-GB" sz="1100"/>
            <a:t>12: Assessment of Effectiveness and Efficiency</a:t>
          </a:r>
        </a:p>
      </dgm:t>
    </dgm:pt>
    <dgm:pt modelId="{5C6E0D3C-062C-46B2-89AD-89FAF75DDF06}" type="parTrans" cxnId="{5918E49B-444C-45E7-BA1B-DFB9C963DEF4}">
      <dgm:prSet/>
      <dgm:spPr/>
      <dgm:t>
        <a:bodyPr/>
        <a:lstStyle/>
        <a:p>
          <a:endParaRPr lang="en-GB"/>
        </a:p>
      </dgm:t>
    </dgm:pt>
    <dgm:pt modelId="{21857345-B177-4B15-BDE3-713F9E67AA91}" type="sibTrans" cxnId="{5918E49B-444C-45E7-BA1B-DFB9C963DEF4}">
      <dgm:prSet/>
      <dgm:spPr/>
      <dgm:t>
        <a:bodyPr/>
        <a:lstStyle/>
        <a:p>
          <a:endParaRPr lang="en-GB"/>
        </a:p>
      </dgm:t>
    </dgm:pt>
    <dgm:pt modelId="{56A69584-BA60-4208-BA7E-86A7811DF628}">
      <dgm:prSet custT="1"/>
      <dgm:spPr/>
      <dgm:t>
        <a:bodyPr/>
        <a:lstStyle/>
        <a:p>
          <a:r>
            <a:rPr lang="en-GB" sz="1100"/>
            <a:t>11: Preservation of information</a:t>
          </a:r>
          <a:r>
            <a:rPr lang="en-GB" sz="900"/>
            <a:t>	</a:t>
          </a:r>
        </a:p>
      </dgm:t>
    </dgm:pt>
    <dgm:pt modelId="{27B6D4A1-A114-4FBD-81FC-335AAC208F1F}" type="parTrans" cxnId="{F8AAFCA3-3B3D-466B-B0A3-7A04B8461945}">
      <dgm:prSet/>
      <dgm:spPr/>
      <dgm:t>
        <a:bodyPr/>
        <a:lstStyle/>
        <a:p>
          <a:endParaRPr lang="en-GB"/>
        </a:p>
      </dgm:t>
    </dgm:pt>
    <dgm:pt modelId="{A8F0B1C4-ACC0-4B0F-AAEE-DF2B716F1477}" type="sibTrans" cxnId="{F8AAFCA3-3B3D-466B-B0A3-7A04B8461945}">
      <dgm:prSet/>
      <dgm:spPr/>
      <dgm:t>
        <a:bodyPr/>
        <a:lstStyle/>
        <a:p>
          <a:endParaRPr lang="en-GB"/>
        </a:p>
      </dgm:t>
    </dgm:pt>
    <dgm:pt modelId="{9AC17ED7-CB41-45D0-B5CB-18CCBC386F47}" type="pres">
      <dgm:prSet presAssocID="{40BBF425-1620-423D-80E3-6E7A8B4B1E70}" presName="linear" presStyleCnt="0">
        <dgm:presLayoutVars>
          <dgm:dir/>
          <dgm:animLvl val="lvl"/>
          <dgm:resizeHandles val="exact"/>
        </dgm:presLayoutVars>
      </dgm:prSet>
      <dgm:spPr/>
      <dgm:t>
        <a:bodyPr/>
        <a:lstStyle/>
        <a:p>
          <a:endParaRPr lang="en-GB"/>
        </a:p>
      </dgm:t>
    </dgm:pt>
    <dgm:pt modelId="{B942AB74-0082-482C-B5D5-A82B246E3374}" type="pres">
      <dgm:prSet presAssocID="{8F162D86-0450-47D2-A635-8CC0DEA82821}" presName="parentLin" presStyleCnt="0"/>
      <dgm:spPr/>
    </dgm:pt>
    <dgm:pt modelId="{F719CFA8-BC0D-43B4-B7EB-F5CCB1A52BDD}" type="pres">
      <dgm:prSet presAssocID="{8F162D86-0450-47D2-A635-8CC0DEA82821}" presName="parentLeftMargin" presStyleLbl="node1" presStyleIdx="0" presStyleCnt="12"/>
      <dgm:spPr/>
      <dgm:t>
        <a:bodyPr/>
        <a:lstStyle/>
        <a:p>
          <a:endParaRPr lang="en-GB"/>
        </a:p>
      </dgm:t>
    </dgm:pt>
    <dgm:pt modelId="{5CC69C72-C02C-4C37-B3DD-F20A26A01F18}" type="pres">
      <dgm:prSet presAssocID="{8F162D86-0450-47D2-A635-8CC0DEA82821}" presName="parentText" presStyleLbl="node1" presStyleIdx="0" presStyleCnt="12" custLinFactX="7316" custLinFactNeighborX="100000" custLinFactNeighborY="12522">
        <dgm:presLayoutVars>
          <dgm:chMax val="0"/>
          <dgm:bulletEnabled val="1"/>
        </dgm:presLayoutVars>
      </dgm:prSet>
      <dgm:spPr/>
      <dgm:t>
        <a:bodyPr/>
        <a:lstStyle/>
        <a:p>
          <a:endParaRPr lang="en-GB"/>
        </a:p>
      </dgm:t>
    </dgm:pt>
    <dgm:pt modelId="{834BD4A5-56B5-4C16-A56F-F5DB6B9BBBD9}" type="pres">
      <dgm:prSet presAssocID="{8F162D86-0450-47D2-A635-8CC0DEA82821}" presName="negativeSpace" presStyleCnt="0"/>
      <dgm:spPr/>
    </dgm:pt>
    <dgm:pt modelId="{87CC4700-6517-469D-BAF3-8C99935C76B3}" type="pres">
      <dgm:prSet presAssocID="{8F162D86-0450-47D2-A635-8CC0DEA82821}" presName="childText" presStyleLbl="conFgAcc1" presStyleIdx="0" presStyleCnt="12">
        <dgm:presLayoutVars>
          <dgm:bulletEnabled val="1"/>
        </dgm:presLayoutVars>
      </dgm:prSet>
      <dgm:spPr/>
    </dgm:pt>
    <dgm:pt modelId="{C694598C-BCFE-4417-BE75-70DBB56D63B9}" type="pres">
      <dgm:prSet presAssocID="{4A93225E-A653-48D5-932E-C359C6E2CD89}" presName="spaceBetweenRectangles" presStyleCnt="0"/>
      <dgm:spPr/>
    </dgm:pt>
    <dgm:pt modelId="{627C6A83-5AD6-47A7-BCC5-4CE8F6523CD4}" type="pres">
      <dgm:prSet presAssocID="{A07B1793-1A8A-4C80-9A49-D862E229586A}" presName="parentLin" presStyleCnt="0"/>
      <dgm:spPr/>
    </dgm:pt>
    <dgm:pt modelId="{FC1E988D-BCE4-4890-972D-915B97C7C018}" type="pres">
      <dgm:prSet presAssocID="{A07B1793-1A8A-4C80-9A49-D862E229586A}" presName="parentLeftMargin" presStyleLbl="node1" presStyleIdx="0" presStyleCnt="12"/>
      <dgm:spPr/>
      <dgm:t>
        <a:bodyPr/>
        <a:lstStyle/>
        <a:p>
          <a:endParaRPr lang="en-GB"/>
        </a:p>
      </dgm:t>
    </dgm:pt>
    <dgm:pt modelId="{7818185B-14D7-4B6E-907F-9187CE2E16EC}" type="pres">
      <dgm:prSet presAssocID="{A07B1793-1A8A-4C80-9A49-D862E229586A}" presName="parentText" presStyleLbl="node1" presStyleIdx="1" presStyleCnt="12" custLinFactX="7316" custLinFactNeighborX="100000" custLinFactNeighborY="12522">
        <dgm:presLayoutVars>
          <dgm:chMax val="0"/>
          <dgm:bulletEnabled val="1"/>
        </dgm:presLayoutVars>
      </dgm:prSet>
      <dgm:spPr/>
      <dgm:t>
        <a:bodyPr/>
        <a:lstStyle/>
        <a:p>
          <a:endParaRPr lang="en-GB"/>
        </a:p>
      </dgm:t>
    </dgm:pt>
    <dgm:pt modelId="{C828802B-EC19-49E5-9F23-CAB07D18B13A}" type="pres">
      <dgm:prSet presAssocID="{A07B1793-1A8A-4C80-9A49-D862E229586A}" presName="negativeSpace" presStyleCnt="0"/>
      <dgm:spPr/>
    </dgm:pt>
    <dgm:pt modelId="{573690BD-7E2B-4D92-8AA0-41B861AFAC30}" type="pres">
      <dgm:prSet presAssocID="{A07B1793-1A8A-4C80-9A49-D862E229586A}" presName="childText" presStyleLbl="conFgAcc1" presStyleIdx="1" presStyleCnt="12">
        <dgm:presLayoutVars>
          <dgm:bulletEnabled val="1"/>
        </dgm:presLayoutVars>
      </dgm:prSet>
      <dgm:spPr/>
    </dgm:pt>
    <dgm:pt modelId="{CEE5F432-3B41-4D19-B558-036480A5D9B1}" type="pres">
      <dgm:prSet presAssocID="{8371C2A6-16A2-41D5-B121-1CB7C94BA3E3}" presName="spaceBetweenRectangles" presStyleCnt="0"/>
      <dgm:spPr/>
    </dgm:pt>
    <dgm:pt modelId="{370C6807-20A9-4361-BF53-4ED105B3E718}" type="pres">
      <dgm:prSet presAssocID="{A4CB8959-9F47-4B16-9FD5-25549465168C}" presName="parentLin" presStyleCnt="0"/>
      <dgm:spPr/>
    </dgm:pt>
    <dgm:pt modelId="{F25B7034-80BC-4C81-9E63-E978E2FD654C}" type="pres">
      <dgm:prSet presAssocID="{A4CB8959-9F47-4B16-9FD5-25549465168C}" presName="parentLeftMargin" presStyleLbl="node1" presStyleIdx="1" presStyleCnt="12"/>
      <dgm:spPr/>
      <dgm:t>
        <a:bodyPr/>
        <a:lstStyle/>
        <a:p>
          <a:endParaRPr lang="en-GB"/>
        </a:p>
      </dgm:t>
    </dgm:pt>
    <dgm:pt modelId="{78BDFD22-C330-40E3-AF59-1CBE4FBD0E40}" type="pres">
      <dgm:prSet presAssocID="{A4CB8959-9F47-4B16-9FD5-25549465168C}" presName="parentText" presStyleLbl="node1" presStyleIdx="2" presStyleCnt="12" custLinFactX="7316" custLinFactNeighborX="100000" custLinFactNeighborY="12522">
        <dgm:presLayoutVars>
          <dgm:chMax val="0"/>
          <dgm:bulletEnabled val="1"/>
        </dgm:presLayoutVars>
      </dgm:prSet>
      <dgm:spPr/>
      <dgm:t>
        <a:bodyPr/>
        <a:lstStyle/>
        <a:p>
          <a:endParaRPr lang="en-GB"/>
        </a:p>
      </dgm:t>
    </dgm:pt>
    <dgm:pt modelId="{26F66048-48FB-41DB-9E4C-5AE46C738D59}" type="pres">
      <dgm:prSet presAssocID="{A4CB8959-9F47-4B16-9FD5-25549465168C}" presName="negativeSpace" presStyleCnt="0"/>
      <dgm:spPr/>
    </dgm:pt>
    <dgm:pt modelId="{49592072-92FD-45E2-BC2C-A87DF0FF5789}" type="pres">
      <dgm:prSet presAssocID="{A4CB8959-9F47-4B16-9FD5-25549465168C}" presName="childText" presStyleLbl="conFgAcc1" presStyleIdx="2" presStyleCnt="12">
        <dgm:presLayoutVars>
          <dgm:bulletEnabled val="1"/>
        </dgm:presLayoutVars>
      </dgm:prSet>
      <dgm:spPr/>
    </dgm:pt>
    <dgm:pt modelId="{60F36BF2-D940-4E3D-B54E-71C5ED2F9F7D}" type="pres">
      <dgm:prSet presAssocID="{E73C196A-C762-4C43-BF48-6A0B366C9D12}" presName="spaceBetweenRectangles" presStyleCnt="0"/>
      <dgm:spPr/>
    </dgm:pt>
    <dgm:pt modelId="{EE2B2EE2-7E15-43CD-A5D8-D97FBAA97D44}" type="pres">
      <dgm:prSet presAssocID="{40EAA34D-730A-404D-AFBC-CBE52885B6C1}" presName="parentLin" presStyleCnt="0"/>
      <dgm:spPr/>
    </dgm:pt>
    <dgm:pt modelId="{DC831FE4-740D-4DE4-A14F-BC150E96D8CF}" type="pres">
      <dgm:prSet presAssocID="{40EAA34D-730A-404D-AFBC-CBE52885B6C1}" presName="parentLeftMargin" presStyleLbl="node1" presStyleIdx="2" presStyleCnt="12"/>
      <dgm:spPr/>
      <dgm:t>
        <a:bodyPr/>
        <a:lstStyle/>
        <a:p>
          <a:endParaRPr lang="en-GB"/>
        </a:p>
      </dgm:t>
    </dgm:pt>
    <dgm:pt modelId="{2DCCAF1E-4E57-4D7E-94E1-0401E763FE61}" type="pres">
      <dgm:prSet presAssocID="{40EAA34D-730A-404D-AFBC-CBE52885B6C1}" presName="parentText" presStyleLbl="node1" presStyleIdx="3" presStyleCnt="12" custLinFactX="7316" custLinFactNeighborX="100000" custLinFactNeighborY="12522">
        <dgm:presLayoutVars>
          <dgm:chMax val="0"/>
          <dgm:bulletEnabled val="1"/>
        </dgm:presLayoutVars>
      </dgm:prSet>
      <dgm:spPr/>
      <dgm:t>
        <a:bodyPr/>
        <a:lstStyle/>
        <a:p>
          <a:endParaRPr lang="en-GB"/>
        </a:p>
      </dgm:t>
    </dgm:pt>
    <dgm:pt modelId="{48EB0E9B-8BB2-40C7-89CE-49DDF3C766B2}" type="pres">
      <dgm:prSet presAssocID="{40EAA34D-730A-404D-AFBC-CBE52885B6C1}" presName="negativeSpace" presStyleCnt="0"/>
      <dgm:spPr/>
    </dgm:pt>
    <dgm:pt modelId="{BCFEAD0D-6FE3-41EB-A7C2-C3DF3C20557B}" type="pres">
      <dgm:prSet presAssocID="{40EAA34D-730A-404D-AFBC-CBE52885B6C1}" presName="childText" presStyleLbl="conFgAcc1" presStyleIdx="3" presStyleCnt="12">
        <dgm:presLayoutVars>
          <dgm:bulletEnabled val="1"/>
        </dgm:presLayoutVars>
      </dgm:prSet>
      <dgm:spPr/>
    </dgm:pt>
    <dgm:pt modelId="{91791AD9-E9B2-4F8E-AB7E-A294EDBE781F}" type="pres">
      <dgm:prSet presAssocID="{1FD21C80-2DC7-4149-8759-6ECE11561931}" presName="spaceBetweenRectangles" presStyleCnt="0"/>
      <dgm:spPr/>
    </dgm:pt>
    <dgm:pt modelId="{A70778C6-BF23-412D-9780-C8164E89D10A}" type="pres">
      <dgm:prSet presAssocID="{FEE012CB-9215-4EB9-ADEC-341A5BBED30D}" presName="parentLin" presStyleCnt="0"/>
      <dgm:spPr/>
    </dgm:pt>
    <dgm:pt modelId="{FA55432F-B374-4163-95C0-9BA654612C65}" type="pres">
      <dgm:prSet presAssocID="{FEE012CB-9215-4EB9-ADEC-341A5BBED30D}" presName="parentLeftMargin" presStyleLbl="node1" presStyleIdx="3" presStyleCnt="12"/>
      <dgm:spPr/>
      <dgm:t>
        <a:bodyPr/>
        <a:lstStyle/>
        <a:p>
          <a:endParaRPr lang="en-GB"/>
        </a:p>
      </dgm:t>
    </dgm:pt>
    <dgm:pt modelId="{ECF11954-4A26-4148-9BE5-54F693DB738B}" type="pres">
      <dgm:prSet presAssocID="{FEE012CB-9215-4EB9-ADEC-341A5BBED30D}" presName="parentText" presStyleLbl="node1" presStyleIdx="4" presStyleCnt="12" custLinFactX="7316" custLinFactNeighborX="100000" custLinFactNeighborY="12522">
        <dgm:presLayoutVars>
          <dgm:chMax val="0"/>
          <dgm:bulletEnabled val="1"/>
        </dgm:presLayoutVars>
      </dgm:prSet>
      <dgm:spPr/>
      <dgm:t>
        <a:bodyPr/>
        <a:lstStyle/>
        <a:p>
          <a:endParaRPr lang="en-GB"/>
        </a:p>
      </dgm:t>
    </dgm:pt>
    <dgm:pt modelId="{5D6F629E-3C56-4D5F-A7E9-8627B05253F4}" type="pres">
      <dgm:prSet presAssocID="{FEE012CB-9215-4EB9-ADEC-341A5BBED30D}" presName="negativeSpace" presStyleCnt="0"/>
      <dgm:spPr/>
    </dgm:pt>
    <dgm:pt modelId="{9268FFAE-5285-41B4-AA9E-ABA44244642A}" type="pres">
      <dgm:prSet presAssocID="{FEE012CB-9215-4EB9-ADEC-341A5BBED30D}" presName="childText" presStyleLbl="conFgAcc1" presStyleIdx="4" presStyleCnt="12">
        <dgm:presLayoutVars>
          <dgm:bulletEnabled val="1"/>
        </dgm:presLayoutVars>
      </dgm:prSet>
      <dgm:spPr/>
    </dgm:pt>
    <dgm:pt modelId="{1E195C3A-F369-4A19-BBE7-4D01AA6644F8}" type="pres">
      <dgm:prSet presAssocID="{27C3D06C-F50F-47F5-801D-53F0E13F409C}" presName="spaceBetweenRectangles" presStyleCnt="0"/>
      <dgm:spPr/>
    </dgm:pt>
    <dgm:pt modelId="{63872229-8139-4BB1-939D-B82584FB6A07}" type="pres">
      <dgm:prSet presAssocID="{0C9C2FA1-E1E3-40AB-81B1-69694E3D2DDA}" presName="parentLin" presStyleCnt="0"/>
      <dgm:spPr/>
    </dgm:pt>
    <dgm:pt modelId="{208CC558-797B-48A6-937E-D8BF75218B96}" type="pres">
      <dgm:prSet presAssocID="{0C9C2FA1-E1E3-40AB-81B1-69694E3D2DDA}" presName="parentLeftMargin" presStyleLbl="node1" presStyleIdx="4" presStyleCnt="12"/>
      <dgm:spPr/>
      <dgm:t>
        <a:bodyPr/>
        <a:lstStyle/>
        <a:p>
          <a:endParaRPr lang="en-GB"/>
        </a:p>
      </dgm:t>
    </dgm:pt>
    <dgm:pt modelId="{4E5A3092-DD0F-4E5A-9669-C5F874766077}" type="pres">
      <dgm:prSet presAssocID="{0C9C2FA1-E1E3-40AB-81B1-69694E3D2DDA}" presName="parentText" presStyleLbl="node1" presStyleIdx="5" presStyleCnt="12" custLinFactX="7316" custLinFactNeighborX="100000" custLinFactNeighborY="12522">
        <dgm:presLayoutVars>
          <dgm:chMax val="0"/>
          <dgm:bulletEnabled val="1"/>
        </dgm:presLayoutVars>
      </dgm:prSet>
      <dgm:spPr/>
      <dgm:t>
        <a:bodyPr/>
        <a:lstStyle/>
        <a:p>
          <a:endParaRPr lang="en-GB"/>
        </a:p>
      </dgm:t>
    </dgm:pt>
    <dgm:pt modelId="{A275B630-BC95-42F7-8585-2098A9491F14}" type="pres">
      <dgm:prSet presAssocID="{0C9C2FA1-E1E3-40AB-81B1-69694E3D2DDA}" presName="negativeSpace" presStyleCnt="0"/>
      <dgm:spPr/>
    </dgm:pt>
    <dgm:pt modelId="{0CAB9CC9-A61F-450E-B2C7-D37855EABD1A}" type="pres">
      <dgm:prSet presAssocID="{0C9C2FA1-E1E3-40AB-81B1-69694E3D2DDA}" presName="childText" presStyleLbl="conFgAcc1" presStyleIdx="5" presStyleCnt="12">
        <dgm:presLayoutVars>
          <dgm:bulletEnabled val="1"/>
        </dgm:presLayoutVars>
      </dgm:prSet>
      <dgm:spPr/>
    </dgm:pt>
    <dgm:pt modelId="{9FD14C97-AE20-47F0-8D41-85E6FC5CC6D7}" type="pres">
      <dgm:prSet presAssocID="{EE9A8D48-0306-4CCB-BB9D-8E9773036DF5}" presName="spaceBetweenRectangles" presStyleCnt="0"/>
      <dgm:spPr/>
    </dgm:pt>
    <dgm:pt modelId="{90D329BE-A7C6-48DE-8FA8-EDB50BB47E8B}" type="pres">
      <dgm:prSet presAssocID="{99A0E951-94B1-4938-A758-B7797E8CB00B}" presName="parentLin" presStyleCnt="0"/>
      <dgm:spPr/>
    </dgm:pt>
    <dgm:pt modelId="{426FC414-C426-47A8-86C7-736EAB9CEE69}" type="pres">
      <dgm:prSet presAssocID="{99A0E951-94B1-4938-A758-B7797E8CB00B}" presName="parentLeftMargin" presStyleLbl="node1" presStyleIdx="5" presStyleCnt="12"/>
      <dgm:spPr/>
      <dgm:t>
        <a:bodyPr/>
        <a:lstStyle/>
        <a:p>
          <a:endParaRPr lang="en-GB"/>
        </a:p>
      </dgm:t>
    </dgm:pt>
    <dgm:pt modelId="{977EB157-7177-423E-A6C9-57C655D0E9A5}" type="pres">
      <dgm:prSet presAssocID="{99A0E951-94B1-4938-A758-B7797E8CB00B}" presName="parentText" presStyleLbl="node1" presStyleIdx="6" presStyleCnt="12" custLinFactX="7316" custLinFactNeighborX="100000" custLinFactNeighborY="12522">
        <dgm:presLayoutVars>
          <dgm:chMax val="0"/>
          <dgm:bulletEnabled val="1"/>
        </dgm:presLayoutVars>
      </dgm:prSet>
      <dgm:spPr/>
      <dgm:t>
        <a:bodyPr/>
        <a:lstStyle/>
        <a:p>
          <a:endParaRPr lang="en-GB"/>
        </a:p>
      </dgm:t>
    </dgm:pt>
    <dgm:pt modelId="{ABAE656F-7EDA-4FCF-A95A-1E91B3FDB1DE}" type="pres">
      <dgm:prSet presAssocID="{99A0E951-94B1-4938-A758-B7797E8CB00B}" presName="negativeSpace" presStyleCnt="0"/>
      <dgm:spPr/>
    </dgm:pt>
    <dgm:pt modelId="{8FF70C78-9C37-4FCB-BDD6-CE9A9418F28F}" type="pres">
      <dgm:prSet presAssocID="{99A0E951-94B1-4938-A758-B7797E8CB00B}" presName="childText" presStyleLbl="conFgAcc1" presStyleIdx="6" presStyleCnt="12">
        <dgm:presLayoutVars>
          <dgm:bulletEnabled val="1"/>
        </dgm:presLayoutVars>
      </dgm:prSet>
      <dgm:spPr/>
    </dgm:pt>
    <dgm:pt modelId="{9A62F480-05B5-4996-9A21-34020C5A54CE}" type="pres">
      <dgm:prSet presAssocID="{EC3B84F8-B7F4-4D5A-8E14-2F015A6AB7A8}" presName="spaceBetweenRectangles" presStyleCnt="0"/>
      <dgm:spPr/>
    </dgm:pt>
    <dgm:pt modelId="{16BCB431-AC23-44FF-9355-7C7BF48ED256}" type="pres">
      <dgm:prSet presAssocID="{46EC067F-B4AE-44CA-97CF-77A2399997DF}" presName="parentLin" presStyleCnt="0"/>
      <dgm:spPr/>
    </dgm:pt>
    <dgm:pt modelId="{4DD5F1E9-18DD-4E9C-9033-A3F0FDDE937B}" type="pres">
      <dgm:prSet presAssocID="{46EC067F-B4AE-44CA-97CF-77A2399997DF}" presName="parentLeftMargin" presStyleLbl="node1" presStyleIdx="6" presStyleCnt="12"/>
      <dgm:spPr/>
      <dgm:t>
        <a:bodyPr/>
        <a:lstStyle/>
        <a:p>
          <a:endParaRPr lang="en-GB"/>
        </a:p>
      </dgm:t>
    </dgm:pt>
    <dgm:pt modelId="{6895C24C-59A3-4734-B2D2-308585D86476}" type="pres">
      <dgm:prSet presAssocID="{46EC067F-B4AE-44CA-97CF-77A2399997DF}" presName="parentText" presStyleLbl="node1" presStyleIdx="7" presStyleCnt="12" custLinFactX="7316" custLinFactNeighborX="100000" custLinFactNeighborY="12522">
        <dgm:presLayoutVars>
          <dgm:chMax val="0"/>
          <dgm:bulletEnabled val="1"/>
        </dgm:presLayoutVars>
      </dgm:prSet>
      <dgm:spPr/>
      <dgm:t>
        <a:bodyPr/>
        <a:lstStyle/>
        <a:p>
          <a:endParaRPr lang="en-GB"/>
        </a:p>
      </dgm:t>
    </dgm:pt>
    <dgm:pt modelId="{A5ADD51D-0BB6-4BE2-A9D7-3B62F84ABFD5}" type="pres">
      <dgm:prSet presAssocID="{46EC067F-B4AE-44CA-97CF-77A2399997DF}" presName="negativeSpace" presStyleCnt="0"/>
      <dgm:spPr/>
    </dgm:pt>
    <dgm:pt modelId="{0AE5073D-8086-4F9F-AB8F-5919E07C5AC1}" type="pres">
      <dgm:prSet presAssocID="{46EC067F-B4AE-44CA-97CF-77A2399997DF}" presName="childText" presStyleLbl="conFgAcc1" presStyleIdx="7" presStyleCnt="12">
        <dgm:presLayoutVars>
          <dgm:bulletEnabled val="1"/>
        </dgm:presLayoutVars>
      </dgm:prSet>
      <dgm:spPr/>
    </dgm:pt>
    <dgm:pt modelId="{A63B554E-B02B-4133-8167-88E1D7193E6F}" type="pres">
      <dgm:prSet presAssocID="{442F8369-A61C-4B46-B409-645463956832}" presName="spaceBetweenRectangles" presStyleCnt="0"/>
      <dgm:spPr/>
    </dgm:pt>
    <dgm:pt modelId="{62547262-6739-48A5-B508-3F56F3E1F9AA}" type="pres">
      <dgm:prSet presAssocID="{106BD5F1-95E7-4B0E-AA35-C979CACBE2F9}" presName="parentLin" presStyleCnt="0"/>
      <dgm:spPr/>
    </dgm:pt>
    <dgm:pt modelId="{F0692670-B03F-4A0D-907C-CC65357E5164}" type="pres">
      <dgm:prSet presAssocID="{106BD5F1-95E7-4B0E-AA35-C979CACBE2F9}" presName="parentLeftMargin" presStyleLbl="node1" presStyleIdx="7" presStyleCnt="12"/>
      <dgm:spPr/>
      <dgm:t>
        <a:bodyPr/>
        <a:lstStyle/>
        <a:p>
          <a:endParaRPr lang="en-GB"/>
        </a:p>
      </dgm:t>
    </dgm:pt>
    <dgm:pt modelId="{D8A6B210-F3AE-4F36-9577-5DF088D6F0BE}" type="pres">
      <dgm:prSet presAssocID="{106BD5F1-95E7-4B0E-AA35-C979CACBE2F9}" presName="parentText" presStyleLbl="node1" presStyleIdx="8" presStyleCnt="12" custLinFactX="7316" custLinFactNeighborX="100000" custLinFactNeighborY="12522">
        <dgm:presLayoutVars>
          <dgm:chMax val="0"/>
          <dgm:bulletEnabled val="1"/>
        </dgm:presLayoutVars>
      </dgm:prSet>
      <dgm:spPr/>
      <dgm:t>
        <a:bodyPr/>
        <a:lstStyle/>
        <a:p>
          <a:endParaRPr lang="en-GB"/>
        </a:p>
      </dgm:t>
    </dgm:pt>
    <dgm:pt modelId="{DA42DCC5-D3C6-458E-8309-AFB96A3DBF86}" type="pres">
      <dgm:prSet presAssocID="{106BD5F1-95E7-4B0E-AA35-C979CACBE2F9}" presName="negativeSpace" presStyleCnt="0"/>
      <dgm:spPr/>
    </dgm:pt>
    <dgm:pt modelId="{2DB57A58-AB2D-4196-9AF6-1C983A1A86B2}" type="pres">
      <dgm:prSet presAssocID="{106BD5F1-95E7-4B0E-AA35-C979CACBE2F9}" presName="childText" presStyleLbl="conFgAcc1" presStyleIdx="8" presStyleCnt="12">
        <dgm:presLayoutVars>
          <dgm:bulletEnabled val="1"/>
        </dgm:presLayoutVars>
      </dgm:prSet>
      <dgm:spPr/>
    </dgm:pt>
    <dgm:pt modelId="{9E4D5C85-E05E-4B8A-AFC6-60D8FDDF0746}" type="pres">
      <dgm:prSet presAssocID="{C267C6E1-EBE6-477E-9109-4462224D8AEB}" presName="spaceBetweenRectangles" presStyleCnt="0"/>
      <dgm:spPr/>
    </dgm:pt>
    <dgm:pt modelId="{48AAF1DA-AD5C-4C0F-8174-311173098756}" type="pres">
      <dgm:prSet presAssocID="{D388808A-7CF5-4E41-BA32-E0D5BAAB1E4C}" presName="parentLin" presStyleCnt="0"/>
      <dgm:spPr/>
    </dgm:pt>
    <dgm:pt modelId="{0027FA7D-6D27-4718-A282-94C638B7D442}" type="pres">
      <dgm:prSet presAssocID="{D388808A-7CF5-4E41-BA32-E0D5BAAB1E4C}" presName="parentLeftMargin" presStyleLbl="node1" presStyleIdx="8" presStyleCnt="12"/>
      <dgm:spPr/>
      <dgm:t>
        <a:bodyPr/>
        <a:lstStyle/>
        <a:p>
          <a:endParaRPr lang="en-GB"/>
        </a:p>
      </dgm:t>
    </dgm:pt>
    <dgm:pt modelId="{6E38C154-3C3F-408E-9B09-CEC49ECF02E7}" type="pres">
      <dgm:prSet presAssocID="{D388808A-7CF5-4E41-BA32-E0D5BAAB1E4C}" presName="parentText" presStyleLbl="node1" presStyleIdx="9" presStyleCnt="12" custLinFactX="7316" custLinFactNeighborX="100000" custLinFactNeighborY="12522">
        <dgm:presLayoutVars>
          <dgm:chMax val="0"/>
          <dgm:bulletEnabled val="1"/>
        </dgm:presLayoutVars>
      </dgm:prSet>
      <dgm:spPr/>
      <dgm:t>
        <a:bodyPr/>
        <a:lstStyle/>
        <a:p>
          <a:endParaRPr lang="en-GB"/>
        </a:p>
      </dgm:t>
    </dgm:pt>
    <dgm:pt modelId="{ACC1F7A8-9E54-4CDA-9A3A-EAE156B94D4F}" type="pres">
      <dgm:prSet presAssocID="{D388808A-7CF5-4E41-BA32-E0D5BAAB1E4C}" presName="negativeSpace" presStyleCnt="0"/>
      <dgm:spPr/>
    </dgm:pt>
    <dgm:pt modelId="{0642850E-E5E6-4EE1-839E-9AE3143DC315}" type="pres">
      <dgm:prSet presAssocID="{D388808A-7CF5-4E41-BA32-E0D5BAAB1E4C}" presName="childText" presStyleLbl="conFgAcc1" presStyleIdx="9" presStyleCnt="12">
        <dgm:presLayoutVars>
          <dgm:bulletEnabled val="1"/>
        </dgm:presLayoutVars>
      </dgm:prSet>
      <dgm:spPr/>
    </dgm:pt>
    <dgm:pt modelId="{CE454A05-F718-4922-BA91-32B9A4213516}" type="pres">
      <dgm:prSet presAssocID="{58DA490B-7B72-4562-A64D-F678E16E0D44}" presName="spaceBetweenRectangles" presStyleCnt="0"/>
      <dgm:spPr/>
    </dgm:pt>
    <dgm:pt modelId="{388FA216-A5C0-4737-807F-B21485548BA6}" type="pres">
      <dgm:prSet presAssocID="{56A69584-BA60-4208-BA7E-86A7811DF628}" presName="parentLin" presStyleCnt="0"/>
      <dgm:spPr/>
    </dgm:pt>
    <dgm:pt modelId="{4FBE1A12-D499-40C9-9519-C85DAF83E699}" type="pres">
      <dgm:prSet presAssocID="{56A69584-BA60-4208-BA7E-86A7811DF628}" presName="parentLeftMargin" presStyleLbl="node1" presStyleIdx="9" presStyleCnt="12"/>
      <dgm:spPr/>
      <dgm:t>
        <a:bodyPr/>
        <a:lstStyle/>
        <a:p>
          <a:endParaRPr lang="en-GB"/>
        </a:p>
      </dgm:t>
    </dgm:pt>
    <dgm:pt modelId="{4B416CFA-3737-4FC9-9ACC-C80B4A14AE09}" type="pres">
      <dgm:prSet presAssocID="{56A69584-BA60-4208-BA7E-86A7811DF628}" presName="parentText" presStyleLbl="node1" presStyleIdx="10" presStyleCnt="12" custLinFactX="7316" custLinFactNeighborX="100000" custLinFactNeighborY="12522">
        <dgm:presLayoutVars>
          <dgm:chMax val="0"/>
          <dgm:bulletEnabled val="1"/>
        </dgm:presLayoutVars>
      </dgm:prSet>
      <dgm:spPr/>
      <dgm:t>
        <a:bodyPr/>
        <a:lstStyle/>
        <a:p>
          <a:endParaRPr lang="en-GB"/>
        </a:p>
      </dgm:t>
    </dgm:pt>
    <dgm:pt modelId="{812F1656-AC8F-4CAA-B200-B0EFE09C00DE}" type="pres">
      <dgm:prSet presAssocID="{56A69584-BA60-4208-BA7E-86A7811DF628}" presName="negativeSpace" presStyleCnt="0"/>
      <dgm:spPr/>
    </dgm:pt>
    <dgm:pt modelId="{404CC5D9-8DBE-48D0-8725-1B14962A54C9}" type="pres">
      <dgm:prSet presAssocID="{56A69584-BA60-4208-BA7E-86A7811DF628}" presName="childText" presStyleLbl="conFgAcc1" presStyleIdx="10" presStyleCnt="12">
        <dgm:presLayoutVars>
          <dgm:bulletEnabled val="1"/>
        </dgm:presLayoutVars>
      </dgm:prSet>
      <dgm:spPr/>
    </dgm:pt>
    <dgm:pt modelId="{292389A7-993E-4FD2-9FD6-1E71277FB30F}" type="pres">
      <dgm:prSet presAssocID="{A8F0B1C4-ACC0-4B0F-AAEE-DF2B716F1477}" presName="spaceBetweenRectangles" presStyleCnt="0"/>
      <dgm:spPr/>
    </dgm:pt>
    <dgm:pt modelId="{1D47DC85-ECAD-4141-939D-92D7DF0B4A25}" type="pres">
      <dgm:prSet presAssocID="{F773A548-D8AF-471A-B8CA-B56B6F63EACF}" presName="parentLin" presStyleCnt="0"/>
      <dgm:spPr/>
    </dgm:pt>
    <dgm:pt modelId="{F552F0C4-9EDB-407F-99EA-C3B335B73F2A}" type="pres">
      <dgm:prSet presAssocID="{F773A548-D8AF-471A-B8CA-B56B6F63EACF}" presName="parentLeftMargin" presStyleLbl="node1" presStyleIdx="10" presStyleCnt="12"/>
      <dgm:spPr/>
      <dgm:t>
        <a:bodyPr/>
        <a:lstStyle/>
        <a:p>
          <a:endParaRPr lang="en-GB"/>
        </a:p>
      </dgm:t>
    </dgm:pt>
    <dgm:pt modelId="{F8B4B203-EEB9-43BD-BD71-90BFE7FFCFC6}" type="pres">
      <dgm:prSet presAssocID="{F773A548-D8AF-471A-B8CA-B56B6F63EACF}" presName="parentText" presStyleLbl="node1" presStyleIdx="11" presStyleCnt="12" custLinFactX="7316" custLinFactNeighborX="100000" custLinFactNeighborY="12522">
        <dgm:presLayoutVars>
          <dgm:chMax val="0"/>
          <dgm:bulletEnabled val="1"/>
        </dgm:presLayoutVars>
      </dgm:prSet>
      <dgm:spPr/>
      <dgm:t>
        <a:bodyPr/>
        <a:lstStyle/>
        <a:p>
          <a:endParaRPr lang="en-GB"/>
        </a:p>
      </dgm:t>
    </dgm:pt>
    <dgm:pt modelId="{F7EF7281-CE44-49B0-855F-7EB78EA18753}" type="pres">
      <dgm:prSet presAssocID="{F773A548-D8AF-471A-B8CA-B56B6F63EACF}" presName="negativeSpace" presStyleCnt="0"/>
      <dgm:spPr/>
    </dgm:pt>
    <dgm:pt modelId="{FDBC6EB5-D91A-4C47-9719-4243CE259AF2}" type="pres">
      <dgm:prSet presAssocID="{F773A548-D8AF-471A-B8CA-B56B6F63EACF}" presName="childText" presStyleLbl="conFgAcc1" presStyleIdx="11" presStyleCnt="12">
        <dgm:presLayoutVars>
          <dgm:bulletEnabled val="1"/>
        </dgm:presLayoutVars>
      </dgm:prSet>
      <dgm:spPr/>
    </dgm:pt>
  </dgm:ptLst>
  <dgm:cxnLst>
    <dgm:cxn modelId="{158E4C0A-6CD9-4F8B-A255-B24E13F92F53}" srcId="{40BBF425-1620-423D-80E3-6E7A8B4B1E70}" destId="{0C9C2FA1-E1E3-40AB-81B1-69694E3D2DDA}" srcOrd="5" destOrd="0" parTransId="{BD518D90-174D-4A7F-AC99-97C6C795AC36}" sibTransId="{EE9A8D48-0306-4CCB-BB9D-8E9773036DF5}"/>
    <dgm:cxn modelId="{AE3F1393-BCF1-4727-840C-530A5FD381D1}" srcId="{40BBF425-1620-423D-80E3-6E7A8B4B1E70}" destId="{8F162D86-0450-47D2-A635-8CC0DEA82821}" srcOrd="0" destOrd="0" parTransId="{71D56487-3CDF-4148-84E5-E18DF12D301A}" sibTransId="{4A93225E-A653-48D5-932E-C359C6E2CD89}"/>
    <dgm:cxn modelId="{6AEF3AA5-132C-47C0-9C2F-F7510EFD837E}" type="presOf" srcId="{F773A548-D8AF-471A-B8CA-B56B6F63EACF}" destId="{F8B4B203-EEB9-43BD-BD71-90BFE7FFCFC6}" srcOrd="1" destOrd="0" presId="urn:microsoft.com/office/officeart/2005/8/layout/list1"/>
    <dgm:cxn modelId="{77621C76-9923-49D8-B63E-60783AE1A860}" type="presOf" srcId="{0C9C2FA1-E1E3-40AB-81B1-69694E3D2DDA}" destId="{208CC558-797B-48A6-937E-D8BF75218B96}" srcOrd="0" destOrd="0" presId="urn:microsoft.com/office/officeart/2005/8/layout/list1"/>
    <dgm:cxn modelId="{5115AFE1-6DD1-451E-B85F-1EC80A3AC359}" type="presOf" srcId="{A4CB8959-9F47-4B16-9FD5-25549465168C}" destId="{F25B7034-80BC-4C81-9E63-E978E2FD654C}" srcOrd="0" destOrd="0" presId="urn:microsoft.com/office/officeart/2005/8/layout/list1"/>
    <dgm:cxn modelId="{848EA625-C815-4904-B3E0-32379998E68B}" type="presOf" srcId="{D388808A-7CF5-4E41-BA32-E0D5BAAB1E4C}" destId="{0027FA7D-6D27-4718-A282-94C638B7D442}" srcOrd="0" destOrd="0" presId="urn:microsoft.com/office/officeart/2005/8/layout/list1"/>
    <dgm:cxn modelId="{7C6FBF3E-53BA-4581-8893-36AA308CEDE9}" type="presOf" srcId="{40BBF425-1620-423D-80E3-6E7A8B4B1E70}" destId="{9AC17ED7-CB41-45D0-B5CB-18CCBC386F47}" srcOrd="0" destOrd="0" presId="urn:microsoft.com/office/officeart/2005/8/layout/list1"/>
    <dgm:cxn modelId="{DE1E0B39-C3C5-457C-A29C-7412F7C0C281}" srcId="{40BBF425-1620-423D-80E3-6E7A8B4B1E70}" destId="{D388808A-7CF5-4E41-BA32-E0D5BAAB1E4C}" srcOrd="9" destOrd="0" parTransId="{65CCF1A0-BF76-4FFC-9C37-2277F45935E5}" sibTransId="{58DA490B-7B72-4562-A64D-F678E16E0D44}"/>
    <dgm:cxn modelId="{1FAC74AD-D610-4C55-B425-91C97B0F8B6D}" type="presOf" srcId="{A07B1793-1A8A-4C80-9A49-D862E229586A}" destId="{FC1E988D-BCE4-4890-972D-915B97C7C018}" srcOrd="0" destOrd="0" presId="urn:microsoft.com/office/officeart/2005/8/layout/list1"/>
    <dgm:cxn modelId="{68402D43-017D-4D68-93C0-600C446ABB68}" type="presOf" srcId="{46EC067F-B4AE-44CA-97CF-77A2399997DF}" destId="{6895C24C-59A3-4734-B2D2-308585D86476}" srcOrd="1" destOrd="0" presId="urn:microsoft.com/office/officeart/2005/8/layout/list1"/>
    <dgm:cxn modelId="{335FFDAD-1F48-4B79-A180-0F68602CA6F0}" type="presOf" srcId="{F773A548-D8AF-471A-B8CA-B56B6F63EACF}" destId="{F552F0C4-9EDB-407F-99EA-C3B335B73F2A}" srcOrd="0" destOrd="0" presId="urn:microsoft.com/office/officeart/2005/8/layout/list1"/>
    <dgm:cxn modelId="{DC1EE015-DF65-4DD9-A147-3BC8282E13ED}" srcId="{40BBF425-1620-423D-80E3-6E7A8B4B1E70}" destId="{106BD5F1-95E7-4B0E-AA35-C979CACBE2F9}" srcOrd="8" destOrd="0" parTransId="{9F9FF23D-8282-43CE-815C-16F8C666A6AF}" sibTransId="{C267C6E1-EBE6-477E-9109-4462224D8AEB}"/>
    <dgm:cxn modelId="{96940E00-5193-40FB-9C3C-1EC9892C9F03}" type="presOf" srcId="{99A0E951-94B1-4938-A758-B7797E8CB00B}" destId="{977EB157-7177-423E-A6C9-57C655D0E9A5}" srcOrd="1" destOrd="0" presId="urn:microsoft.com/office/officeart/2005/8/layout/list1"/>
    <dgm:cxn modelId="{F5285625-7CA0-49AF-BDFC-88A08D1C721D}" type="presOf" srcId="{8F162D86-0450-47D2-A635-8CC0DEA82821}" destId="{5CC69C72-C02C-4C37-B3DD-F20A26A01F18}" srcOrd="1" destOrd="0" presId="urn:microsoft.com/office/officeart/2005/8/layout/list1"/>
    <dgm:cxn modelId="{68A5F6DA-591F-4B70-A750-87CD960DA892}" srcId="{40BBF425-1620-423D-80E3-6E7A8B4B1E70}" destId="{46EC067F-B4AE-44CA-97CF-77A2399997DF}" srcOrd="7" destOrd="0" parTransId="{B2D8D6DC-402B-42F0-B9F5-16AC70CECC06}" sibTransId="{442F8369-A61C-4B46-B409-645463956832}"/>
    <dgm:cxn modelId="{F2743702-E377-4097-A73F-8F0FD64A9311}" type="presOf" srcId="{A07B1793-1A8A-4C80-9A49-D862E229586A}" destId="{7818185B-14D7-4B6E-907F-9187CE2E16EC}" srcOrd="1" destOrd="0" presId="urn:microsoft.com/office/officeart/2005/8/layout/list1"/>
    <dgm:cxn modelId="{48340353-566C-4AC6-84F8-396BE0644299}" type="presOf" srcId="{40EAA34D-730A-404D-AFBC-CBE52885B6C1}" destId="{2DCCAF1E-4E57-4D7E-94E1-0401E763FE61}" srcOrd="1" destOrd="0" presId="urn:microsoft.com/office/officeart/2005/8/layout/list1"/>
    <dgm:cxn modelId="{F8AAFCA3-3B3D-466B-B0A3-7A04B8461945}" srcId="{40BBF425-1620-423D-80E3-6E7A8B4B1E70}" destId="{56A69584-BA60-4208-BA7E-86A7811DF628}" srcOrd="10" destOrd="0" parTransId="{27B6D4A1-A114-4FBD-81FC-335AAC208F1F}" sibTransId="{A8F0B1C4-ACC0-4B0F-AAEE-DF2B716F1477}"/>
    <dgm:cxn modelId="{F1AC9B25-173F-4D62-9DC1-76623E37B509}" srcId="{40BBF425-1620-423D-80E3-6E7A8B4B1E70}" destId="{40EAA34D-730A-404D-AFBC-CBE52885B6C1}" srcOrd="3" destOrd="0" parTransId="{825AF009-318E-452D-8534-52DD6DA9890B}" sibTransId="{1FD21C80-2DC7-4149-8759-6ECE11561931}"/>
    <dgm:cxn modelId="{A9D1B7D8-3B1B-4199-A037-7DA2869D48FE}" type="presOf" srcId="{40EAA34D-730A-404D-AFBC-CBE52885B6C1}" destId="{DC831FE4-740D-4DE4-A14F-BC150E96D8CF}" srcOrd="0" destOrd="0" presId="urn:microsoft.com/office/officeart/2005/8/layout/list1"/>
    <dgm:cxn modelId="{4C35196F-B610-495D-BB70-2FDC9AD219A1}" type="presOf" srcId="{0C9C2FA1-E1E3-40AB-81B1-69694E3D2DDA}" destId="{4E5A3092-DD0F-4E5A-9669-C5F874766077}" srcOrd="1" destOrd="0" presId="urn:microsoft.com/office/officeart/2005/8/layout/list1"/>
    <dgm:cxn modelId="{E3F85B27-35B4-4D60-9ACF-FA2739A4B8BB}" srcId="{40BBF425-1620-423D-80E3-6E7A8B4B1E70}" destId="{A4CB8959-9F47-4B16-9FD5-25549465168C}" srcOrd="2" destOrd="0" parTransId="{E3764455-91D0-454F-897D-E21E407B9186}" sibTransId="{E73C196A-C762-4C43-BF48-6A0B366C9D12}"/>
    <dgm:cxn modelId="{125735E5-2110-425F-BA1E-1F5E8BA420DF}" srcId="{40BBF425-1620-423D-80E3-6E7A8B4B1E70}" destId="{FEE012CB-9215-4EB9-ADEC-341A5BBED30D}" srcOrd="4" destOrd="0" parTransId="{7B59B6AB-0DCC-44D0-BFB4-472A7B9B85D0}" sibTransId="{27C3D06C-F50F-47F5-801D-53F0E13F409C}"/>
    <dgm:cxn modelId="{A5701639-279A-4C96-9713-CFADAE4F30F0}" type="presOf" srcId="{D388808A-7CF5-4E41-BA32-E0D5BAAB1E4C}" destId="{6E38C154-3C3F-408E-9B09-CEC49ECF02E7}" srcOrd="1" destOrd="0" presId="urn:microsoft.com/office/officeart/2005/8/layout/list1"/>
    <dgm:cxn modelId="{0F3D7724-F14C-4198-B258-37907FF2E0BE}" type="presOf" srcId="{56A69584-BA60-4208-BA7E-86A7811DF628}" destId="{4B416CFA-3737-4FC9-9ACC-C80B4A14AE09}" srcOrd="1" destOrd="0" presId="urn:microsoft.com/office/officeart/2005/8/layout/list1"/>
    <dgm:cxn modelId="{5918E49B-444C-45E7-BA1B-DFB9C963DEF4}" srcId="{40BBF425-1620-423D-80E3-6E7A8B4B1E70}" destId="{F773A548-D8AF-471A-B8CA-B56B6F63EACF}" srcOrd="11" destOrd="0" parTransId="{5C6E0D3C-062C-46B2-89AD-89FAF75DDF06}" sibTransId="{21857345-B177-4B15-BDE3-713F9E67AA91}"/>
    <dgm:cxn modelId="{C3943697-9E46-4A72-B41A-3ACBD16A0336}" type="presOf" srcId="{FEE012CB-9215-4EB9-ADEC-341A5BBED30D}" destId="{FA55432F-B374-4163-95C0-9BA654612C65}" srcOrd="0" destOrd="0" presId="urn:microsoft.com/office/officeart/2005/8/layout/list1"/>
    <dgm:cxn modelId="{CBC4F5D8-F69D-4934-9DFF-CF2D78A97F3D}" srcId="{40BBF425-1620-423D-80E3-6E7A8B4B1E70}" destId="{A07B1793-1A8A-4C80-9A49-D862E229586A}" srcOrd="1" destOrd="0" parTransId="{2973AD97-CB45-4C75-A1D3-9D1E767B174A}" sibTransId="{8371C2A6-16A2-41D5-B121-1CB7C94BA3E3}"/>
    <dgm:cxn modelId="{0C331DB6-5A49-4E54-8C6E-D4558E3FB67E}" type="presOf" srcId="{46EC067F-B4AE-44CA-97CF-77A2399997DF}" destId="{4DD5F1E9-18DD-4E9C-9033-A3F0FDDE937B}" srcOrd="0" destOrd="0" presId="urn:microsoft.com/office/officeart/2005/8/layout/list1"/>
    <dgm:cxn modelId="{BDAD0772-293B-455D-8FB8-DB8642104F6E}" srcId="{40BBF425-1620-423D-80E3-6E7A8B4B1E70}" destId="{99A0E951-94B1-4938-A758-B7797E8CB00B}" srcOrd="6" destOrd="0" parTransId="{BC0F66F8-0A16-4C60-84A0-A6B14069D00B}" sibTransId="{EC3B84F8-B7F4-4D5A-8E14-2F015A6AB7A8}"/>
    <dgm:cxn modelId="{01BF1817-7A0B-4827-8213-35A0AFE4A1B7}" type="presOf" srcId="{106BD5F1-95E7-4B0E-AA35-C979CACBE2F9}" destId="{F0692670-B03F-4A0D-907C-CC65357E5164}" srcOrd="0" destOrd="0" presId="urn:microsoft.com/office/officeart/2005/8/layout/list1"/>
    <dgm:cxn modelId="{1FC3039A-350E-4C3A-858E-EA8B89387496}" type="presOf" srcId="{A4CB8959-9F47-4B16-9FD5-25549465168C}" destId="{78BDFD22-C330-40E3-AF59-1CBE4FBD0E40}" srcOrd="1" destOrd="0" presId="urn:microsoft.com/office/officeart/2005/8/layout/list1"/>
    <dgm:cxn modelId="{3A3D693E-71F8-4BA3-86AF-D9E1864818C1}" type="presOf" srcId="{8F162D86-0450-47D2-A635-8CC0DEA82821}" destId="{F719CFA8-BC0D-43B4-B7EB-F5CCB1A52BDD}" srcOrd="0" destOrd="0" presId="urn:microsoft.com/office/officeart/2005/8/layout/list1"/>
    <dgm:cxn modelId="{9EF46F73-9E13-4ED0-8694-A73484A8FC23}" type="presOf" srcId="{FEE012CB-9215-4EB9-ADEC-341A5BBED30D}" destId="{ECF11954-4A26-4148-9BE5-54F693DB738B}" srcOrd="1" destOrd="0" presId="urn:microsoft.com/office/officeart/2005/8/layout/list1"/>
    <dgm:cxn modelId="{4364A5FD-CB87-4FFD-9001-CDC8B960BD7D}" type="presOf" srcId="{106BD5F1-95E7-4B0E-AA35-C979CACBE2F9}" destId="{D8A6B210-F3AE-4F36-9577-5DF088D6F0BE}" srcOrd="1" destOrd="0" presId="urn:microsoft.com/office/officeart/2005/8/layout/list1"/>
    <dgm:cxn modelId="{35040D13-7D3A-4A18-B505-2F025585F9FA}" type="presOf" srcId="{56A69584-BA60-4208-BA7E-86A7811DF628}" destId="{4FBE1A12-D499-40C9-9519-C85DAF83E699}" srcOrd="0" destOrd="0" presId="urn:microsoft.com/office/officeart/2005/8/layout/list1"/>
    <dgm:cxn modelId="{D702317C-32BA-4B99-9B67-FEE18C43384E}" type="presOf" srcId="{99A0E951-94B1-4938-A758-B7797E8CB00B}" destId="{426FC414-C426-47A8-86C7-736EAB9CEE69}" srcOrd="0" destOrd="0" presId="urn:microsoft.com/office/officeart/2005/8/layout/list1"/>
    <dgm:cxn modelId="{AFA2CFEE-9204-4099-B098-C73F0C49B882}" type="presParOf" srcId="{9AC17ED7-CB41-45D0-B5CB-18CCBC386F47}" destId="{B942AB74-0082-482C-B5D5-A82B246E3374}" srcOrd="0" destOrd="0" presId="urn:microsoft.com/office/officeart/2005/8/layout/list1"/>
    <dgm:cxn modelId="{60A49A5E-0B80-4479-BD24-D234B2A95922}" type="presParOf" srcId="{B942AB74-0082-482C-B5D5-A82B246E3374}" destId="{F719CFA8-BC0D-43B4-B7EB-F5CCB1A52BDD}" srcOrd="0" destOrd="0" presId="urn:microsoft.com/office/officeart/2005/8/layout/list1"/>
    <dgm:cxn modelId="{CBA42985-72C4-4F44-B6FA-CD53720D29E5}" type="presParOf" srcId="{B942AB74-0082-482C-B5D5-A82B246E3374}" destId="{5CC69C72-C02C-4C37-B3DD-F20A26A01F18}" srcOrd="1" destOrd="0" presId="urn:microsoft.com/office/officeart/2005/8/layout/list1"/>
    <dgm:cxn modelId="{DFDEE6B5-48AC-4761-9999-B7EEE255194E}" type="presParOf" srcId="{9AC17ED7-CB41-45D0-B5CB-18CCBC386F47}" destId="{834BD4A5-56B5-4C16-A56F-F5DB6B9BBBD9}" srcOrd="1" destOrd="0" presId="urn:microsoft.com/office/officeart/2005/8/layout/list1"/>
    <dgm:cxn modelId="{E9E06203-0B53-4D55-B466-173CD90B29B4}" type="presParOf" srcId="{9AC17ED7-CB41-45D0-B5CB-18CCBC386F47}" destId="{87CC4700-6517-469D-BAF3-8C99935C76B3}" srcOrd="2" destOrd="0" presId="urn:microsoft.com/office/officeart/2005/8/layout/list1"/>
    <dgm:cxn modelId="{B86141B6-C539-4B54-B533-590B0CEC08AC}" type="presParOf" srcId="{9AC17ED7-CB41-45D0-B5CB-18CCBC386F47}" destId="{C694598C-BCFE-4417-BE75-70DBB56D63B9}" srcOrd="3" destOrd="0" presId="urn:microsoft.com/office/officeart/2005/8/layout/list1"/>
    <dgm:cxn modelId="{F074112E-354B-4415-9E12-3396CCC6AFB1}" type="presParOf" srcId="{9AC17ED7-CB41-45D0-B5CB-18CCBC386F47}" destId="{627C6A83-5AD6-47A7-BCC5-4CE8F6523CD4}" srcOrd="4" destOrd="0" presId="urn:microsoft.com/office/officeart/2005/8/layout/list1"/>
    <dgm:cxn modelId="{7DDE0A66-B90A-4715-91DC-B9FCCB176D85}" type="presParOf" srcId="{627C6A83-5AD6-47A7-BCC5-4CE8F6523CD4}" destId="{FC1E988D-BCE4-4890-972D-915B97C7C018}" srcOrd="0" destOrd="0" presId="urn:microsoft.com/office/officeart/2005/8/layout/list1"/>
    <dgm:cxn modelId="{FE797416-23EF-4335-A934-D36B9DE537FB}" type="presParOf" srcId="{627C6A83-5AD6-47A7-BCC5-4CE8F6523CD4}" destId="{7818185B-14D7-4B6E-907F-9187CE2E16EC}" srcOrd="1" destOrd="0" presId="urn:microsoft.com/office/officeart/2005/8/layout/list1"/>
    <dgm:cxn modelId="{25FCAA12-A040-4EDE-A81A-BF5D9405E28E}" type="presParOf" srcId="{9AC17ED7-CB41-45D0-B5CB-18CCBC386F47}" destId="{C828802B-EC19-49E5-9F23-CAB07D18B13A}" srcOrd="5" destOrd="0" presId="urn:microsoft.com/office/officeart/2005/8/layout/list1"/>
    <dgm:cxn modelId="{5AB60E6E-527B-4E90-90A7-1A2DB8AD58E0}" type="presParOf" srcId="{9AC17ED7-CB41-45D0-B5CB-18CCBC386F47}" destId="{573690BD-7E2B-4D92-8AA0-41B861AFAC30}" srcOrd="6" destOrd="0" presId="urn:microsoft.com/office/officeart/2005/8/layout/list1"/>
    <dgm:cxn modelId="{0670318E-2DC8-4DBF-9402-944F972F39D2}" type="presParOf" srcId="{9AC17ED7-CB41-45D0-B5CB-18CCBC386F47}" destId="{CEE5F432-3B41-4D19-B558-036480A5D9B1}" srcOrd="7" destOrd="0" presId="urn:microsoft.com/office/officeart/2005/8/layout/list1"/>
    <dgm:cxn modelId="{CE6AD8E9-CC94-4003-BC72-ECF933FCA4B3}" type="presParOf" srcId="{9AC17ED7-CB41-45D0-B5CB-18CCBC386F47}" destId="{370C6807-20A9-4361-BF53-4ED105B3E718}" srcOrd="8" destOrd="0" presId="urn:microsoft.com/office/officeart/2005/8/layout/list1"/>
    <dgm:cxn modelId="{8F882137-DC94-4335-9D1F-B90184BBFCD8}" type="presParOf" srcId="{370C6807-20A9-4361-BF53-4ED105B3E718}" destId="{F25B7034-80BC-4C81-9E63-E978E2FD654C}" srcOrd="0" destOrd="0" presId="urn:microsoft.com/office/officeart/2005/8/layout/list1"/>
    <dgm:cxn modelId="{A677F973-DEF9-4F0B-98A6-326627E570C0}" type="presParOf" srcId="{370C6807-20A9-4361-BF53-4ED105B3E718}" destId="{78BDFD22-C330-40E3-AF59-1CBE4FBD0E40}" srcOrd="1" destOrd="0" presId="urn:microsoft.com/office/officeart/2005/8/layout/list1"/>
    <dgm:cxn modelId="{03C6FE95-9423-49AB-A8A2-E284B4E9C275}" type="presParOf" srcId="{9AC17ED7-CB41-45D0-B5CB-18CCBC386F47}" destId="{26F66048-48FB-41DB-9E4C-5AE46C738D59}" srcOrd="9" destOrd="0" presId="urn:microsoft.com/office/officeart/2005/8/layout/list1"/>
    <dgm:cxn modelId="{B07C916C-9AFD-41C6-9EDA-935C17152497}" type="presParOf" srcId="{9AC17ED7-CB41-45D0-B5CB-18CCBC386F47}" destId="{49592072-92FD-45E2-BC2C-A87DF0FF5789}" srcOrd="10" destOrd="0" presId="urn:microsoft.com/office/officeart/2005/8/layout/list1"/>
    <dgm:cxn modelId="{8EA6C3F3-688B-479D-B83A-BC159268EB3D}" type="presParOf" srcId="{9AC17ED7-CB41-45D0-B5CB-18CCBC386F47}" destId="{60F36BF2-D940-4E3D-B54E-71C5ED2F9F7D}" srcOrd="11" destOrd="0" presId="urn:microsoft.com/office/officeart/2005/8/layout/list1"/>
    <dgm:cxn modelId="{C6EACC86-15E9-40CD-9ED4-A534AD0214E6}" type="presParOf" srcId="{9AC17ED7-CB41-45D0-B5CB-18CCBC386F47}" destId="{EE2B2EE2-7E15-43CD-A5D8-D97FBAA97D44}" srcOrd="12" destOrd="0" presId="urn:microsoft.com/office/officeart/2005/8/layout/list1"/>
    <dgm:cxn modelId="{6D5A9386-E1AF-499C-98A0-C7541EC3BFB5}" type="presParOf" srcId="{EE2B2EE2-7E15-43CD-A5D8-D97FBAA97D44}" destId="{DC831FE4-740D-4DE4-A14F-BC150E96D8CF}" srcOrd="0" destOrd="0" presId="urn:microsoft.com/office/officeart/2005/8/layout/list1"/>
    <dgm:cxn modelId="{ACCA2369-18D6-4906-B472-C0B19D609F9F}" type="presParOf" srcId="{EE2B2EE2-7E15-43CD-A5D8-D97FBAA97D44}" destId="{2DCCAF1E-4E57-4D7E-94E1-0401E763FE61}" srcOrd="1" destOrd="0" presId="urn:microsoft.com/office/officeart/2005/8/layout/list1"/>
    <dgm:cxn modelId="{F63415D0-335A-4DD9-A531-6A4915DC7227}" type="presParOf" srcId="{9AC17ED7-CB41-45D0-B5CB-18CCBC386F47}" destId="{48EB0E9B-8BB2-40C7-89CE-49DDF3C766B2}" srcOrd="13" destOrd="0" presId="urn:microsoft.com/office/officeart/2005/8/layout/list1"/>
    <dgm:cxn modelId="{69FD5523-7C99-4FD3-8E61-613A886184D8}" type="presParOf" srcId="{9AC17ED7-CB41-45D0-B5CB-18CCBC386F47}" destId="{BCFEAD0D-6FE3-41EB-A7C2-C3DF3C20557B}" srcOrd="14" destOrd="0" presId="urn:microsoft.com/office/officeart/2005/8/layout/list1"/>
    <dgm:cxn modelId="{896FD569-6EC4-4978-93B2-B457C11BD8BA}" type="presParOf" srcId="{9AC17ED7-CB41-45D0-B5CB-18CCBC386F47}" destId="{91791AD9-E9B2-4F8E-AB7E-A294EDBE781F}" srcOrd="15" destOrd="0" presId="urn:microsoft.com/office/officeart/2005/8/layout/list1"/>
    <dgm:cxn modelId="{72613CFF-31B9-4DDB-9AB3-5C5CE7258820}" type="presParOf" srcId="{9AC17ED7-CB41-45D0-B5CB-18CCBC386F47}" destId="{A70778C6-BF23-412D-9780-C8164E89D10A}" srcOrd="16" destOrd="0" presId="urn:microsoft.com/office/officeart/2005/8/layout/list1"/>
    <dgm:cxn modelId="{070C490E-820B-497F-938B-3DBFCEE11C28}" type="presParOf" srcId="{A70778C6-BF23-412D-9780-C8164E89D10A}" destId="{FA55432F-B374-4163-95C0-9BA654612C65}" srcOrd="0" destOrd="0" presId="urn:microsoft.com/office/officeart/2005/8/layout/list1"/>
    <dgm:cxn modelId="{39FF98B0-66F4-4B3F-A8C2-6AF8802EBD2E}" type="presParOf" srcId="{A70778C6-BF23-412D-9780-C8164E89D10A}" destId="{ECF11954-4A26-4148-9BE5-54F693DB738B}" srcOrd="1" destOrd="0" presId="urn:microsoft.com/office/officeart/2005/8/layout/list1"/>
    <dgm:cxn modelId="{D0A84F71-2446-4787-B36F-4812AE75D460}" type="presParOf" srcId="{9AC17ED7-CB41-45D0-B5CB-18CCBC386F47}" destId="{5D6F629E-3C56-4D5F-A7E9-8627B05253F4}" srcOrd="17" destOrd="0" presId="urn:microsoft.com/office/officeart/2005/8/layout/list1"/>
    <dgm:cxn modelId="{8DBF6FF1-9542-4A55-9A54-6766F9EF910B}" type="presParOf" srcId="{9AC17ED7-CB41-45D0-B5CB-18CCBC386F47}" destId="{9268FFAE-5285-41B4-AA9E-ABA44244642A}" srcOrd="18" destOrd="0" presId="urn:microsoft.com/office/officeart/2005/8/layout/list1"/>
    <dgm:cxn modelId="{BC31B99B-2CE0-490E-B00D-F71B5EC19825}" type="presParOf" srcId="{9AC17ED7-CB41-45D0-B5CB-18CCBC386F47}" destId="{1E195C3A-F369-4A19-BBE7-4D01AA6644F8}" srcOrd="19" destOrd="0" presId="urn:microsoft.com/office/officeart/2005/8/layout/list1"/>
    <dgm:cxn modelId="{10490F3B-4224-4447-8344-1FFF359C5906}" type="presParOf" srcId="{9AC17ED7-CB41-45D0-B5CB-18CCBC386F47}" destId="{63872229-8139-4BB1-939D-B82584FB6A07}" srcOrd="20" destOrd="0" presId="urn:microsoft.com/office/officeart/2005/8/layout/list1"/>
    <dgm:cxn modelId="{7840C3A3-6A07-4C45-B254-50306EC94FE7}" type="presParOf" srcId="{63872229-8139-4BB1-939D-B82584FB6A07}" destId="{208CC558-797B-48A6-937E-D8BF75218B96}" srcOrd="0" destOrd="0" presId="urn:microsoft.com/office/officeart/2005/8/layout/list1"/>
    <dgm:cxn modelId="{F46C7FF5-76D8-4ACD-8C20-52DF306F409C}" type="presParOf" srcId="{63872229-8139-4BB1-939D-B82584FB6A07}" destId="{4E5A3092-DD0F-4E5A-9669-C5F874766077}" srcOrd="1" destOrd="0" presId="urn:microsoft.com/office/officeart/2005/8/layout/list1"/>
    <dgm:cxn modelId="{FCB9DEEA-F37E-4246-A7E8-773D225B0138}" type="presParOf" srcId="{9AC17ED7-CB41-45D0-B5CB-18CCBC386F47}" destId="{A275B630-BC95-42F7-8585-2098A9491F14}" srcOrd="21" destOrd="0" presId="urn:microsoft.com/office/officeart/2005/8/layout/list1"/>
    <dgm:cxn modelId="{A91F81DC-4AB0-4E07-B59C-D2A8DCCE4B4A}" type="presParOf" srcId="{9AC17ED7-CB41-45D0-B5CB-18CCBC386F47}" destId="{0CAB9CC9-A61F-450E-B2C7-D37855EABD1A}" srcOrd="22" destOrd="0" presId="urn:microsoft.com/office/officeart/2005/8/layout/list1"/>
    <dgm:cxn modelId="{F8074FA4-047A-477C-8258-3B859AC9B0EB}" type="presParOf" srcId="{9AC17ED7-CB41-45D0-B5CB-18CCBC386F47}" destId="{9FD14C97-AE20-47F0-8D41-85E6FC5CC6D7}" srcOrd="23" destOrd="0" presId="urn:microsoft.com/office/officeart/2005/8/layout/list1"/>
    <dgm:cxn modelId="{930CB6B3-A966-4D4E-8EAA-F823BAFEF339}" type="presParOf" srcId="{9AC17ED7-CB41-45D0-B5CB-18CCBC386F47}" destId="{90D329BE-A7C6-48DE-8FA8-EDB50BB47E8B}" srcOrd="24" destOrd="0" presId="urn:microsoft.com/office/officeart/2005/8/layout/list1"/>
    <dgm:cxn modelId="{D51A375D-7C37-43F6-9A7B-DF453DAA80D5}" type="presParOf" srcId="{90D329BE-A7C6-48DE-8FA8-EDB50BB47E8B}" destId="{426FC414-C426-47A8-86C7-736EAB9CEE69}" srcOrd="0" destOrd="0" presId="urn:microsoft.com/office/officeart/2005/8/layout/list1"/>
    <dgm:cxn modelId="{84D4F10D-66FF-43D9-B252-FBA8BE1F8ED7}" type="presParOf" srcId="{90D329BE-A7C6-48DE-8FA8-EDB50BB47E8B}" destId="{977EB157-7177-423E-A6C9-57C655D0E9A5}" srcOrd="1" destOrd="0" presId="urn:microsoft.com/office/officeart/2005/8/layout/list1"/>
    <dgm:cxn modelId="{6ECA6544-956C-461B-8C0B-17EFBBCB2337}" type="presParOf" srcId="{9AC17ED7-CB41-45D0-B5CB-18CCBC386F47}" destId="{ABAE656F-7EDA-4FCF-A95A-1E91B3FDB1DE}" srcOrd="25" destOrd="0" presId="urn:microsoft.com/office/officeart/2005/8/layout/list1"/>
    <dgm:cxn modelId="{28E9B35A-7ED9-4369-96A1-F3452F005D25}" type="presParOf" srcId="{9AC17ED7-CB41-45D0-B5CB-18CCBC386F47}" destId="{8FF70C78-9C37-4FCB-BDD6-CE9A9418F28F}" srcOrd="26" destOrd="0" presId="urn:microsoft.com/office/officeart/2005/8/layout/list1"/>
    <dgm:cxn modelId="{4199CDFA-1E78-47B8-AF3C-49DDFD62FD0C}" type="presParOf" srcId="{9AC17ED7-CB41-45D0-B5CB-18CCBC386F47}" destId="{9A62F480-05B5-4996-9A21-34020C5A54CE}" srcOrd="27" destOrd="0" presId="urn:microsoft.com/office/officeart/2005/8/layout/list1"/>
    <dgm:cxn modelId="{0DA19308-2EE0-4218-9994-CAC6001DE999}" type="presParOf" srcId="{9AC17ED7-CB41-45D0-B5CB-18CCBC386F47}" destId="{16BCB431-AC23-44FF-9355-7C7BF48ED256}" srcOrd="28" destOrd="0" presId="urn:microsoft.com/office/officeart/2005/8/layout/list1"/>
    <dgm:cxn modelId="{48B89CC3-6ACA-410D-90D9-ECD38775B624}" type="presParOf" srcId="{16BCB431-AC23-44FF-9355-7C7BF48ED256}" destId="{4DD5F1E9-18DD-4E9C-9033-A3F0FDDE937B}" srcOrd="0" destOrd="0" presId="urn:microsoft.com/office/officeart/2005/8/layout/list1"/>
    <dgm:cxn modelId="{58CE418E-FD0B-48B6-A0E5-79E0763B25BE}" type="presParOf" srcId="{16BCB431-AC23-44FF-9355-7C7BF48ED256}" destId="{6895C24C-59A3-4734-B2D2-308585D86476}" srcOrd="1" destOrd="0" presId="urn:microsoft.com/office/officeart/2005/8/layout/list1"/>
    <dgm:cxn modelId="{7A0DDC13-F203-478D-9718-A21EBCAB3103}" type="presParOf" srcId="{9AC17ED7-CB41-45D0-B5CB-18CCBC386F47}" destId="{A5ADD51D-0BB6-4BE2-A9D7-3B62F84ABFD5}" srcOrd="29" destOrd="0" presId="urn:microsoft.com/office/officeart/2005/8/layout/list1"/>
    <dgm:cxn modelId="{78AA5358-9E45-4358-902A-B3FF8CA3CFD6}" type="presParOf" srcId="{9AC17ED7-CB41-45D0-B5CB-18CCBC386F47}" destId="{0AE5073D-8086-4F9F-AB8F-5919E07C5AC1}" srcOrd="30" destOrd="0" presId="urn:microsoft.com/office/officeart/2005/8/layout/list1"/>
    <dgm:cxn modelId="{CCC87564-B6C6-4BBB-95E1-9693E1695533}" type="presParOf" srcId="{9AC17ED7-CB41-45D0-B5CB-18CCBC386F47}" destId="{A63B554E-B02B-4133-8167-88E1D7193E6F}" srcOrd="31" destOrd="0" presId="urn:microsoft.com/office/officeart/2005/8/layout/list1"/>
    <dgm:cxn modelId="{D9305213-BDAC-4964-833A-BCE05E818462}" type="presParOf" srcId="{9AC17ED7-CB41-45D0-B5CB-18CCBC386F47}" destId="{62547262-6739-48A5-B508-3F56F3E1F9AA}" srcOrd="32" destOrd="0" presId="urn:microsoft.com/office/officeart/2005/8/layout/list1"/>
    <dgm:cxn modelId="{6C11E9D0-A2E6-4867-827B-3351199EEC6A}" type="presParOf" srcId="{62547262-6739-48A5-B508-3F56F3E1F9AA}" destId="{F0692670-B03F-4A0D-907C-CC65357E5164}" srcOrd="0" destOrd="0" presId="urn:microsoft.com/office/officeart/2005/8/layout/list1"/>
    <dgm:cxn modelId="{931AA6F2-9148-4BC8-ACED-153360B3517A}" type="presParOf" srcId="{62547262-6739-48A5-B508-3F56F3E1F9AA}" destId="{D8A6B210-F3AE-4F36-9577-5DF088D6F0BE}" srcOrd="1" destOrd="0" presId="urn:microsoft.com/office/officeart/2005/8/layout/list1"/>
    <dgm:cxn modelId="{1426485B-5AC9-4560-B49B-96E1C0B25711}" type="presParOf" srcId="{9AC17ED7-CB41-45D0-B5CB-18CCBC386F47}" destId="{DA42DCC5-D3C6-458E-8309-AFB96A3DBF86}" srcOrd="33" destOrd="0" presId="urn:microsoft.com/office/officeart/2005/8/layout/list1"/>
    <dgm:cxn modelId="{C4C4F40E-52BD-4659-9CE6-519059A4C50D}" type="presParOf" srcId="{9AC17ED7-CB41-45D0-B5CB-18CCBC386F47}" destId="{2DB57A58-AB2D-4196-9AF6-1C983A1A86B2}" srcOrd="34" destOrd="0" presId="urn:microsoft.com/office/officeart/2005/8/layout/list1"/>
    <dgm:cxn modelId="{FFE7D28F-ECA8-44FD-818A-D82EB1AF1E90}" type="presParOf" srcId="{9AC17ED7-CB41-45D0-B5CB-18CCBC386F47}" destId="{9E4D5C85-E05E-4B8A-AFC6-60D8FDDF0746}" srcOrd="35" destOrd="0" presId="urn:microsoft.com/office/officeart/2005/8/layout/list1"/>
    <dgm:cxn modelId="{48798770-B4FE-4637-91DB-689D2C562AAB}" type="presParOf" srcId="{9AC17ED7-CB41-45D0-B5CB-18CCBC386F47}" destId="{48AAF1DA-AD5C-4C0F-8174-311173098756}" srcOrd="36" destOrd="0" presId="urn:microsoft.com/office/officeart/2005/8/layout/list1"/>
    <dgm:cxn modelId="{3B98A07F-563B-4D2A-9ECD-FB6FAD25DB1A}" type="presParOf" srcId="{48AAF1DA-AD5C-4C0F-8174-311173098756}" destId="{0027FA7D-6D27-4718-A282-94C638B7D442}" srcOrd="0" destOrd="0" presId="urn:microsoft.com/office/officeart/2005/8/layout/list1"/>
    <dgm:cxn modelId="{5DCAD8B3-E9EC-4BD1-8CA6-722487C4A827}" type="presParOf" srcId="{48AAF1DA-AD5C-4C0F-8174-311173098756}" destId="{6E38C154-3C3F-408E-9B09-CEC49ECF02E7}" srcOrd="1" destOrd="0" presId="urn:microsoft.com/office/officeart/2005/8/layout/list1"/>
    <dgm:cxn modelId="{03127F5F-2F4D-4C74-85C9-5C37300D7924}" type="presParOf" srcId="{9AC17ED7-CB41-45D0-B5CB-18CCBC386F47}" destId="{ACC1F7A8-9E54-4CDA-9A3A-EAE156B94D4F}" srcOrd="37" destOrd="0" presId="urn:microsoft.com/office/officeart/2005/8/layout/list1"/>
    <dgm:cxn modelId="{59EF3E57-626A-4759-B430-4EAB855EFC5D}" type="presParOf" srcId="{9AC17ED7-CB41-45D0-B5CB-18CCBC386F47}" destId="{0642850E-E5E6-4EE1-839E-9AE3143DC315}" srcOrd="38" destOrd="0" presId="urn:microsoft.com/office/officeart/2005/8/layout/list1"/>
    <dgm:cxn modelId="{3C4BE03C-947D-4F99-AD6F-8CB1CEBD91BA}" type="presParOf" srcId="{9AC17ED7-CB41-45D0-B5CB-18CCBC386F47}" destId="{CE454A05-F718-4922-BA91-32B9A4213516}" srcOrd="39" destOrd="0" presId="urn:microsoft.com/office/officeart/2005/8/layout/list1"/>
    <dgm:cxn modelId="{FF5D5A75-F115-45A2-A975-40164C8CB83F}" type="presParOf" srcId="{9AC17ED7-CB41-45D0-B5CB-18CCBC386F47}" destId="{388FA216-A5C0-4737-807F-B21485548BA6}" srcOrd="40" destOrd="0" presId="urn:microsoft.com/office/officeart/2005/8/layout/list1"/>
    <dgm:cxn modelId="{7F8EA249-9BC1-4E66-A958-BBFEE5F408C5}" type="presParOf" srcId="{388FA216-A5C0-4737-807F-B21485548BA6}" destId="{4FBE1A12-D499-40C9-9519-C85DAF83E699}" srcOrd="0" destOrd="0" presId="urn:microsoft.com/office/officeart/2005/8/layout/list1"/>
    <dgm:cxn modelId="{1C6E1752-214F-4BC2-8526-C14EF1AEF3B9}" type="presParOf" srcId="{388FA216-A5C0-4737-807F-B21485548BA6}" destId="{4B416CFA-3737-4FC9-9ACC-C80B4A14AE09}" srcOrd="1" destOrd="0" presId="urn:microsoft.com/office/officeart/2005/8/layout/list1"/>
    <dgm:cxn modelId="{5CB96A74-EAC0-4C3F-BB4D-FD51874FC503}" type="presParOf" srcId="{9AC17ED7-CB41-45D0-B5CB-18CCBC386F47}" destId="{812F1656-AC8F-4CAA-B200-B0EFE09C00DE}" srcOrd="41" destOrd="0" presId="urn:microsoft.com/office/officeart/2005/8/layout/list1"/>
    <dgm:cxn modelId="{51A94674-B652-486D-9645-4B35CA4E1796}" type="presParOf" srcId="{9AC17ED7-CB41-45D0-B5CB-18CCBC386F47}" destId="{404CC5D9-8DBE-48D0-8725-1B14962A54C9}" srcOrd="42" destOrd="0" presId="urn:microsoft.com/office/officeart/2005/8/layout/list1"/>
    <dgm:cxn modelId="{E153E5AC-7778-4A2E-80E2-7CDD80E787C1}" type="presParOf" srcId="{9AC17ED7-CB41-45D0-B5CB-18CCBC386F47}" destId="{292389A7-993E-4FD2-9FD6-1E71277FB30F}" srcOrd="43" destOrd="0" presId="urn:microsoft.com/office/officeart/2005/8/layout/list1"/>
    <dgm:cxn modelId="{4A8FA005-5270-419D-B88D-A7039582EA98}" type="presParOf" srcId="{9AC17ED7-CB41-45D0-B5CB-18CCBC386F47}" destId="{1D47DC85-ECAD-4141-939D-92D7DF0B4A25}" srcOrd="44" destOrd="0" presId="urn:microsoft.com/office/officeart/2005/8/layout/list1"/>
    <dgm:cxn modelId="{69148787-01D0-4F6B-A22E-9A6A4F4AE825}" type="presParOf" srcId="{1D47DC85-ECAD-4141-939D-92D7DF0B4A25}" destId="{F552F0C4-9EDB-407F-99EA-C3B335B73F2A}" srcOrd="0" destOrd="0" presId="urn:microsoft.com/office/officeart/2005/8/layout/list1"/>
    <dgm:cxn modelId="{62F20CE5-45C8-4C3D-A2CC-00CE6887569B}" type="presParOf" srcId="{1D47DC85-ECAD-4141-939D-92D7DF0B4A25}" destId="{F8B4B203-EEB9-43BD-BD71-90BFE7FFCFC6}" srcOrd="1" destOrd="0" presId="urn:microsoft.com/office/officeart/2005/8/layout/list1"/>
    <dgm:cxn modelId="{F5035DAF-860F-4C0F-9171-7AFB88453F75}" type="presParOf" srcId="{9AC17ED7-CB41-45D0-B5CB-18CCBC386F47}" destId="{F7EF7281-CE44-49B0-855F-7EB78EA18753}" srcOrd="45" destOrd="0" presId="urn:microsoft.com/office/officeart/2005/8/layout/list1"/>
    <dgm:cxn modelId="{04D5FF61-D192-4F46-A115-2D215E9BCA97}" type="presParOf" srcId="{9AC17ED7-CB41-45D0-B5CB-18CCBC386F47}" destId="{FDBC6EB5-D91A-4C47-9719-4243CE259AF2}" srcOrd="46"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CC4700-6517-469D-BAF3-8C99935C76B3}">
      <dsp:nvSpPr>
        <dsp:cNvPr id="0" name=""/>
        <dsp:cNvSpPr/>
      </dsp:nvSpPr>
      <dsp:spPr>
        <a:xfrm>
          <a:off x="0" y="175296"/>
          <a:ext cx="4520242" cy="1764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5CC69C72-C02C-4C37-B3DD-F20A26A01F18}">
      <dsp:nvSpPr>
        <dsp:cNvPr id="0" name=""/>
        <dsp:cNvSpPr/>
      </dsp:nvSpPr>
      <dsp:spPr>
        <a:xfrm>
          <a:off x="683514" y="97851"/>
          <a:ext cx="3164169" cy="2066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9598" tIns="0" rIns="119598" bIns="0" numCol="1" spcCol="1270" anchor="ctr" anchorCtr="0">
          <a:noAutofit/>
        </a:bodyPr>
        <a:lstStyle/>
        <a:p>
          <a:pPr lvl="0" algn="l" defTabSz="488950">
            <a:lnSpc>
              <a:spcPct val="90000"/>
            </a:lnSpc>
            <a:spcBef>
              <a:spcPct val="0"/>
            </a:spcBef>
            <a:spcAft>
              <a:spcPct val="35000"/>
            </a:spcAft>
          </a:pPr>
          <a:r>
            <a:rPr lang="en-GB" sz="1100" kern="1200">
              <a:latin typeface="Calibri" panose="020F0502020204030204" pitchFamily="34" charset="0"/>
            </a:rPr>
            <a:t>1: Subsidiarity and proportionality</a:t>
          </a:r>
        </a:p>
      </dsp:txBody>
      <dsp:txXfrm>
        <a:off x="693601" y="107938"/>
        <a:ext cx="3143995" cy="186466"/>
      </dsp:txXfrm>
    </dsp:sp>
    <dsp:sp modelId="{573690BD-7E2B-4D92-8AA0-41B861AFAC30}">
      <dsp:nvSpPr>
        <dsp:cNvPr id="0" name=""/>
        <dsp:cNvSpPr/>
      </dsp:nvSpPr>
      <dsp:spPr>
        <a:xfrm>
          <a:off x="0" y="492816"/>
          <a:ext cx="4520242" cy="1764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7818185B-14D7-4B6E-907F-9187CE2E16EC}">
      <dsp:nvSpPr>
        <dsp:cNvPr id="0" name=""/>
        <dsp:cNvSpPr/>
      </dsp:nvSpPr>
      <dsp:spPr>
        <a:xfrm>
          <a:off x="683514" y="415371"/>
          <a:ext cx="3164169" cy="2066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9598" tIns="0" rIns="119598" bIns="0" numCol="1" spcCol="1270" anchor="ctr" anchorCtr="0">
          <a:noAutofit/>
        </a:bodyPr>
        <a:lstStyle/>
        <a:p>
          <a:pPr lvl="0" algn="l" defTabSz="488950">
            <a:lnSpc>
              <a:spcPct val="90000"/>
            </a:lnSpc>
            <a:spcBef>
              <a:spcPct val="0"/>
            </a:spcBef>
            <a:spcAft>
              <a:spcPct val="35000"/>
            </a:spcAft>
          </a:pPr>
          <a:r>
            <a:rPr lang="en-GB" sz="1100" kern="1200"/>
            <a:t>2: Openness</a:t>
          </a:r>
          <a:r>
            <a:rPr lang="en-GB" sz="900" kern="1200"/>
            <a:t>	</a:t>
          </a:r>
        </a:p>
      </dsp:txBody>
      <dsp:txXfrm>
        <a:off x="693601" y="425458"/>
        <a:ext cx="3143995" cy="186466"/>
      </dsp:txXfrm>
    </dsp:sp>
    <dsp:sp modelId="{49592072-92FD-45E2-BC2C-A87DF0FF5789}">
      <dsp:nvSpPr>
        <dsp:cNvPr id="0" name=""/>
        <dsp:cNvSpPr/>
      </dsp:nvSpPr>
      <dsp:spPr>
        <a:xfrm>
          <a:off x="0" y="810336"/>
          <a:ext cx="4520242" cy="1764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78BDFD22-C330-40E3-AF59-1CBE4FBD0E40}">
      <dsp:nvSpPr>
        <dsp:cNvPr id="0" name=""/>
        <dsp:cNvSpPr/>
      </dsp:nvSpPr>
      <dsp:spPr>
        <a:xfrm>
          <a:off x="683514" y="732891"/>
          <a:ext cx="3164169" cy="2066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9598" tIns="0" rIns="119598" bIns="0" numCol="1" spcCol="1270" anchor="ctr" anchorCtr="0">
          <a:noAutofit/>
        </a:bodyPr>
        <a:lstStyle/>
        <a:p>
          <a:pPr lvl="0" algn="l" defTabSz="400050">
            <a:lnSpc>
              <a:spcPct val="90000"/>
            </a:lnSpc>
            <a:spcBef>
              <a:spcPct val="0"/>
            </a:spcBef>
            <a:spcAft>
              <a:spcPct val="35000"/>
            </a:spcAft>
          </a:pPr>
          <a:r>
            <a:rPr lang="en-GB" sz="900" kern="1200"/>
            <a:t>3: </a:t>
          </a:r>
          <a:r>
            <a:rPr lang="en-GB" sz="1100" kern="1200"/>
            <a:t>Transparency</a:t>
          </a:r>
          <a:r>
            <a:rPr lang="en-GB" sz="900" kern="1200"/>
            <a:t>	</a:t>
          </a:r>
        </a:p>
      </dsp:txBody>
      <dsp:txXfrm>
        <a:off x="693601" y="742978"/>
        <a:ext cx="3143995" cy="186466"/>
      </dsp:txXfrm>
    </dsp:sp>
    <dsp:sp modelId="{BCFEAD0D-6FE3-41EB-A7C2-C3DF3C20557B}">
      <dsp:nvSpPr>
        <dsp:cNvPr id="0" name=""/>
        <dsp:cNvSpPr/>
      </dsp:nvSpPr>
      <dsp:spPr>
        <a:xfrm>
          <a:off x="0" y="1127856"/>
          <a:ext cx="4520242" cy="1764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2DCCAF1E-4E57-4D7E-94E1-0401E763FE61}">
      <dsp:nvSpPr>
        <dsp:cNvPr id="0" name=""/>
        <dsp:cNvSpPr/>
      </dsp:nvSpPr>
      <dsp:spPr>
        <a:xfrm>
          <a:off x="683514" y="1050411"/>
          <a:ext cx="3164169" cy="2066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9598" tIns="0" rIns="119598" bIns="0" numCol="1" spcCol="1270" anchor="ctr" anchorCtr="0">
          <a:noAutofit/>
        </a:bodyPr>
        <a:lstStyle/>
        <a:p>
          <a:pPr lvl="0" algn="l" defTabSz="400050">
            <a:lnSpc>
              <a:spcPct val="90000"/>
            </a:lnSpc>
            <a:spcBef>
              <a:spcPct val="0"/>
            </a:spcBef>
            <a:spcAft>
              <a:spcPct val="35000"/>
            </a:spcAft>
          </a:pPr>
          <a:r>
            <a:rPr lang="en-GB" sz="900" kern="1200"/>
            <a:t>4: </a:t>
          </a:r>
          <a:r>
            <a:rPr lang="en-GB" sz="1100" kern="1200"/>
            <a:t>Reusability</a:t>
          </a:r>
          <a:r>
            <a:rPr lang="en-GB" sz="900" kern="1200"/>
            <a:t>	</a:t>
          </a:r>
        </a:p>
      </dsp:txBody>
      <dsp:txXfrm>
        <a:off x="693601" y="1060498"/>
        <a:ext cx="3143995" cy="186466"/>
      </dsp:txXfrm>
    </dsp:sp>
    <dsp:sp modelId="{9268FFAE-5285-41B4-AA9E-ABA44244642A}">
      <dsp:nvSpPr>
        <dsp:cNvPr id="0" name=""/>
        <dsp:cNvSpPr/>
      </dsp:nvSpPr>
      <dsp:spPr>
        <a:xfrm>
          <a:off x="0" y="1445376"/>
          <a:ext cx="4520242" cy="1764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ECF11954-4A26-4148-9BE5-54F693DB738B}">
      <dsp:nvSpPr>
        <dsp:cNvPr id="0" name=""/>
        <dsp:cNvSpPr/>
      </dsp:nvSpPr>
      <dsp:spPr>
        <a:xfrm>
          <a:off x="683514" y="1367931"/>
          <a:ext cx="3164169" cy="2066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9598" tIns="0" rIns="119598" bIns="0" numCol="1" spcCol="1270" anchor="ctr" anchorCtr="0">
          <a:noAutofit/>
        </a:bodyPr>
        <a:lstStyle/>
        <a:p>
          <a:pPr lvl="0" algn="l" defTabSz="400050">
            <a:lnSpc>
              <a:spcPct val="90000"/>
            </a:lnSpc>
            <a:spcBef>
              <a:spcPct val="0"/>
            </a:spcBef>
            <a:spcAft>
              <a:spcPct val="35000"/>
            </a:spcAft>
          </a:pPr>
          <a:r>
            <a:rPr lang="en-GB" sz="900" kern="1200"/>
            <a:t>5: </a:t>
          </a:r>
          <a:r>
            <a:rPr lang="en-GB" sz="1100" kern="1200"/>
            <a:t>Technological</a:t>
          </a:r>
          <a:r>
            <a:rPr lang="en-GB" sz="900" kern="1200"/>
            <a:t> </a:t>
          </a:r>
          <a:r>
            <a:rPr lang="en-GB" sz="1100" kern="1200"/>
            <a:t>neutrality and data portability</a:t>
          </a:r>
          <a:r>
            <a:rPr lang="en-GB" sz="900" kern="1200"/>
            <a:t>	</a:t>
          </a:r>
        </a:p>
      </dsp:txBody>
      <dsp:txXfrm>
        <a:off x="693601" y="1378018"/>
        <a:ext cx="3143995" cy="186466"/>
      </dsp:txXfrm>
    </dsp:sp>
    <dsp:sp modelId="{0CAB9CC9-A61F-450E-B2C7-D37855EABD1A}">
      <dsp:nvSpPr>
        <dsp:cNvPr id="0" name=""/>
        <dsp:cNvSpPr/>
      </dsp:nvSpPr>
      <dsp:spPr>
        <a:xfrm>
          <a:off x="0" y="1762896"/>
          <a:ext cx="4520242" cy="1764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4E5A3092-DD0F-4E5A-9669-C5F874766077}">
      <dsp:nvSpPr>
        <dsp:cNvPr id="0" name=""/>
        <dsp:cNvSpPr/>
      </dsp:nvSpPr>
      <dsp:spPr>
        <a:xfrm>
          <a:off x="683514" y="1685451"/>
          <a:ext cx="3164169" cy="2066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9598" tIns="0" rIns="119598" bIns="0" numCol="1" spcCol="1270" anchor="ctr" anchorCtr="0">
          <a:noAutofit/>
        </a:bodyPr>
        <a:lstStyle/>
        <a:p>
          <a:pPr lvl="0" algn="l" defTabSz="400050">
            <a:lnSpc>
              <a:spcPct val="90000"/>
            </a:lnSpc>
            <a:spcBef>
              <a:spcPct val="0"/>
            </a:spcBef>
            <a:spcAft>
              <a:spcPct val="35000"/>
            </a:spcAft>
          </a:pPr>
          <a:r>
            <a:rPr lang="en-GB" sz="900" kern="1200"/>
            <a:t>6: </a:t>
          </a:r>
          <a:r>
            <a:rPr lang="en-GB" sz="1100" kern="1200"/>
            <a:t>User-centricity</a:t>
          </a:r>
          <a:r>
            <a:rPr lang="en-GB" sz="900" kern="1200"/>
            <a:t>	</a:t>
          </a:r>
        </a:p>
      </dsp:txBody>
      <dsp:txXfrm>
        <a:off x="693601" y="1695538"/>
        <a:ext cx="3143995" cy="186466"/>
      </dsp:txXfrm>
    </dsp:sp>
    <dsp:sp modelId="{8FF70C78-9C37-4FCB-BDD6-CE9A9418F28F}">
      <dsp:nvSpPr>
        <dsp:cNvPr id="0" name=""/>
        <dsp:cNvSpPr/>
      </dsp:nvSpPr>
      <dsp:spPr>
        <a:xfrm>
          <a:off x="0" y="2080416"/>
          <a:ext cx="4520242" cy="1764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977EB157-7177-423E-A6C9-57C655D0E9A5}">
      <dsp:nvSpPr>
        <dsp:cNvPr id="0" name=""/>
        <dsp:cNvSpPr/>
      </dsp:nvSpPr>
      <dsp:spPr>
        <a:xfrm>
          <a:off x="683514" y="2002971"/>
          <a:ext cx="3164169" cy="2066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9598" tIns="0" rIns="119598" bIns="0" numCol="1" spcCol="1270" anchor="ctr" anchorCtr="0">
          <a:noAutofit/>
        </a:bodyPr>
        <a:lstStyle/>
        <a:p>
          <a:pPr lvl="0" algn="l" defTabSz="488950">
            <a:lnSpc>
              <a:spcPct val="90000"/>
            </a:lnSpc>
            <a:spcBef>
              <a:spcPct val="0"/>
            </a:spcBef>
            <a:spcAft>
              <a:spcPct val="35000"/>
            </a:spcAft>
          </a:pPr>
          <a:r>
            <a:rPr lang="en-GB" sz="1100" kern="1200"/>
            <a:t>7: Inclusion and accessibility</a:t>
          </a:r>
          <a:r>
            <a:rPr lang="en-GB" sz="900" kern="1200"/>
            <a:t>	</a:t>
          </a:r>
        </a:p>
      </dsp:txBody>
      <dsp:txXfrm>
        <a:off x="693601" y="2013058"/>
        <a:ext cx="3143995" cy="186466"/>
      </dsp:txXfrm>
    </dsp:sp>
    <dsp:sp modelId="{0AE5073D-8086-4F9F-AB8F-5919E07C5AC1}">
      <dsp:nvSpPr>
        <dsp:cNvPr id="0" name=""/>
        <dsp:cNvSpPr/>
      </dsp:nvSpPr>
      <dsp:spPr>
        <a:xfrm>
          <a:off x="0" y="2397936"/>
          <a:ext cx="4520242" cy="1764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6895C24C-59A3-4734-B2D2-308585D86476}">
      <dsp:nvSpPr>
        <dsp:cNvPr id="0" name=""/>
        <dsp:cNvSpPr/>
      </dsp:nvSpPr>
      <dsp:spPr>
        <a:xfrm>
          <a:off x="683514" y="2320491"/>
          <a:ext cx="3164169" cy="2066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9598" tIns="0" rIns="119598" bIns="0" numCol="1" spcCol="1270" anchor="ctr" anchorCtr="0">
          <a:noAutofit/>
        </a:bodyPr>
        <a:lstStyle/>
        <a:p>
          <a:pPr lvl="0" algn="l" defTabSz="488950">
            <a:lnSpc>
              <a:spcPct val="90000"/>
            </a:lnSpc>
            <a:spcBef>
              <a:spcPct val="0"/>
            </a:spcBef>
            <a:spcAft>
              <a:spcPct val="35000"/>
            </a:spcAft>
          </a:pPr>
          <a:r>
            <a:rPr lang="en-GB" sz="1100" kern="1200"/>
            <a:t>8: Security and privacy</a:t>
          </a:r>
          <a:r>
            <a:rPr lang="en-GB" sz="900" kern="1200"/>
            <a:t>	</a:t>
          </a:r>
        </a:p>
      </dsp:txBody>
      <dsp:txXfrm>
        <a:off x="693601" y="2330578"/>
        <a:ext cx="3143995" cy="186466"/>
      </dsp:txXfrm>
    </dsp:sp>
    <dsp:sp modelId="{2DB57A58-AB2D-4196-9AF6-1C983A1A86B2}">
      <dsp:nvSpPr>
        <dsp:cNvPr id="0" name=""/>
        <dsp:cNvSpPr/>
      </dsp:nvSpPr>
      <dsp:spPr>
        <a:xfrm>
          <a:off x="0" y="2715456"/>
          <a:ext cx="4520242" cy="1764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D8A6B210-F3AE-4F36-9577-5DF088D6F0BE}">
      <dsp:nvSpPr>
        <dsp:cNvPr id="0" name=""/>
        <dsp:cNvSpPr/>
      </dsp:nvSpPr>
      <dsp:spPr>
        <a:xfrm>
          <a:off x="683514" y="2638011"/>
          <a:ext cx="3164169" cy="2066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9598" tIns="0" rIns="119598" bIns="0" numCol="1" spcCol="1270" anchor="ctr" anchorCtr="0">
          <a:noAutofit/>
        </a:bodyPr>
        <a:lstStyle/>
        <a:p>
          <a:pPr lvl="0" algn="l" defTabSz="488950">
            <a:lnSpc>
              <a:spcPct val="90000"/>
            </a:lnSpc>
            <a:spcBef>
              <a:spcPct val="0"/>
            </a:spcBef>
            <a:spcAft>
              <a:spcPct val="35000"/>
            </a:spcAft>
          </a:pPr>
          <a:r>
            <a:rPr lang="en-GB" sz="1100" kern="1200"/>
            <a:t>9: Multilingualism</a:t>
          </a:r>
          <a:r>
            <a:rPr lang="en-GB" sz="900" kern="1200"/>
            <a:t>	</a:t>
          </a:r>
        </a:p>
      </dsp:txBody>
      <dsp:txXfrm>
        <a:off x="693601" y="2648098"/>
        <a:ext cx="3143995" cy="186466"/>
      </dsp:txXfrm>
    </dsp:sp>
    <dsp:sp modelId="{0642850E-E5E6-4EE1-839E-9AE3143DC315}">
      <dsp:nvSpPr>
        <dsp:cNvPr id="0" name=""/>
        <dsp:cNvSpPr/>
      </dsp:nvSpPr>
      <dsp:spPr>
        <a:xfrm>
          <a:off x="0" y="3032976"/>
          <a:ext cx="4520242" cy="1764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6E38C154-3C3F-408E-9B09-CEC49ECF02E7}">
      <dsp:nvSpPr>
        <dsp:cNvPr id="0" name=""/>
        <dsp:cNvSpPr/>
      </dsp:nvSpPr>
      <dsp:spPr>
        <a:xfrm>
          <a:off x="683514" y="2955531"/>
          <a:ext cx="3164169" cy="2066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9598" tIns="0" rIns="119598" bIns="0" numCol="1" spcCol="1270" anchor="ctr" anchorCtr="0">
          <a:noAutofit/>
        </a:bodyPr>
        <a:lstStyle/>
        <a:p>
          <a:pPr lvl="0" algn="l" defTabSz="488950">
            <a:lnSpc>
              <a:spcPct val="90000"/>
            </a:lnSpc>
            <a:spcBef>
              <a:spcPct val="0"/>
            </a:spcBef>
            <a:spcAft>
              <a:spcPct val="35000"/>
            </a:spcAft>
          </a:pPr>
          <a:r>
            <a:rPr lang="en-GB" sz="1100" kern="1200"/>
            <a:t>10: Administrative simplification</a:t>
          </a:r>
        </a:p>
      </dsp:txBody>
      <dsp:txXfrm>
        <a:off x="693601" y="2965618"/>
        <a:ext cx="3143995" cy="186466"/>
      </dsp:txXfrm>
    </dsp:sp>
    <dsp:sp modelId="{404CC5D9-8DBE-48D0-8725-1B14962A54C9}">
      <dsp:nvSpPr>
        <dsp:cNvPr id="0" name=""/>
        <dsp:cNvSpPr/>
      </dsp:nvSpPr>
      <dsp:spPr>
        <a:xfrm>
          <a:off x="0" y="3350496"/>
          <a:ext cx="4520242" cy="1764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4B416CFA-3737-4FC9-9ACC-C80B4A14AE09}">
      <dsp:nvSpPr>
        <dsp:cNvPr id="0" name=""/>
        <dsp:cNvSpPr/>
      </dsp:nvSpPr>
      <dsp:spPr>
        <a:xfrm>
          <a:off x="683514" y="3273051"/>
          <a:ext cx="3164169" cy="2066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9598" tIns="0" rIns="119598" bIns="0" numCol="1" spcCol="1270" anchor="ctr" anchorCtr="0">
          <a:noAutofit/>
        </a:bodyPr>
        <a:lstStyle/>
        <a:p>
          <a:pPr lvl="0" algn="l" defTabSz="488950">
            <a:lnSpc>
              <a:spcPct val="90000"/>
            </a:lnSpc>
            <a:spcBef>
              <a:spcPct val="0"/>
            </a:spcBef>
            <a:spcAft>
              <a:spcPct val="35000"/>
            </a:spcAft>
          </a:pPr>
          <a:r>
            <a:rPr lang="en-GB" sz="1100" kern="1200"/>
            <a:t>11: Preservation of information</a:t>
          </a:r>
          <a:r>
            <a:rPr lang="en-GB" sz="900" kern="1200"/>
            <a:t>	</a:t>
          </a:r>
        </a:p>
      </dsp:txBody>
      <dsp:txXfrm>
        <a:off x="693601" y="3283138"/>
        <a:ext cx="3143995" cy="186466"/>
      </dsp:txXfrm>
    </dsp:sp>
    <dsp:sp modelId="{FDBC6EB5-D91A-4C47-9719-4243CE259AF2}">
      <dsp:nvSpPr>
        <dsp:cNvPr id="0" name=""/>
        <dsp:cNvSpPr/>
      </dsp:nvSpPr>
      <dsp:spPr>
        <a:xfrm>
          <a:off x="0" y="3668016"/>
          <a:ext cx="4520242" cy="1764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F8B4B203-EEB9-43BD-BD71-90BFE7FFCFC6}">
      <dsp:nvSpPr>
        <dsp:cNvPr id="0" name=""/>
        <dsp:cNvSpPr/>
      </dsp:nvSpPr>
      <dsp:spPr>
        <a:xfrm>
          <a:off x="683514" y="3590571"/>
          <a:ext cx="3164169" cy="2066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9598" tIns="0" rIns="119598" bIns="0" numCol="1" spcCol="1270" anchor="ctr" anchorCtr="0">
          <a:noAutofit/>
        </a:bodyPr>
        <a:lstStyle/>
        <a:p>
          <a:pPr lvl="0" algn="l" defTabSz="488950">
            <a:lnSpc>
              <a:spcPct val="90000"/>
            </a:lnSpc>
            <a:spcBef>
              <a:spcPct val="0"/>
            </a:spcBef>
            <a:spcAft>
              <a:spcPct val="35000"/>
            </a:spcAft>
          </a:pPr>
          <a:r>
            <a:rPr lang="en-GB" sz="1100" kern="1200"/>
            <a:t>12: Assessment of Effectiveness and Efficiency</a:t>
          </a:r>
        </a:p>
      </dsp:txBody>
      <dsp:txXfrm>
        <a:off x="693601" y="3600658"/>
        <a:ext cx="3143995" cy="18646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027B8-6E97-4939-8BFC-F3D89C91B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9006</Words>
  <Characters>55479</Characters>
  <Application>Microsoft Office Word</Application>
  <DocSecurity>0</DocSecurity>
  <Lines>990</Lines>
  <Paragraphs>432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Revised EIF version</vt:lpstr>
      <vt:lpstr>3rd Intermediate EIF version</vt:lpstr>
    </vt:vector>
  </TitlesOfParts>
  <Company>EC</Company>
  <LinksUpToDate>false</LinksUpToDate>
  <CharactersWithSpaces>64053</CharactersWithSpaces>
  <SharedDoc>false</SharedDoc>
  <HLinks>
    <vt:vector size="504" baseType="variant">
      <vt:variant>
        <vt:i4>852032</vt:i4>
      </vt:variant>
      <vt:variant>
        <vt:i4>516</vt:i4>
      </vt:variant>
      <vt:variant>
        <vt:i4>0</vt:i4>
      </vt:variant>
      <vt:variant>
        <vt:i4>5</vt:i4>
      </vt:variant>
      <vt:variant>
        <vt:lpwstr>http://www.oasis-open.org/committees/download.php/19679/soa-rm-cs.pdf</vt:lpwstr>
      </vt:variant>
      <vt:variant>
        <vt:lpwstr/>
      </vt:variant>
      <vt:variant>
        <vt:i4>1835015</vt:i4>
      </vt:variant>
      <vt:variant>
        <vt:i4>513</vt:i4>
      </vt:variant>
      <vt:variant>
        <vt:i4>0</vt:i4>
      </vt:variant>
      <vt:variant>
        <vt:i4>5</vt:i4>
      </vt:variant>
      <vt:variant>
        <vt:lpwstr>http://www.semic.eu/</vt:lpwstr>
      </vt:variant>
      <vt:variant>
        <vt:lpwstr/>
      </vt:variant>
      <vt:variant>
        <vt:i4>3080233</vt:i4>
      </vt:variant>
      <vt:variant>
        <vt:i4>510</vt:i4>
      </vt:variant>
      <vt:variant>
        <vt:i4>0</vt:i4>
      </vt:variant>
      <vt:variant>
        <vt:i4>5</vt:i4>
      </vt:variant>
      <vt:variant>
        <vt:lpwstr>http://ec.europa.eu/transparency/archival_policy/moreq/doc/moreq2_spec.pdf</vt:lpwstr>
      </vt:variant>
      <vt:variant>
        <vt:lpwstr/>
      </vt:variant>
      <vt:variant>
        <vt:i4>5701636</vt:i4>
      </vt:variant>
      <vt:variant>
        <vt:i4>507</vt:i4>
      </vt:variant>
      <vt:variant>
        <vt:i4>0</vt:i4>
      </vt:variant>
      <vt:variant>
        <vt:i4>5</vt:i4>
      </vt:variant>
      <vt:variant>
        <vt:lpwstr>http://ec.europa.eu/internal_market/services/services-dir/index_en.htm</vt:lpwstr>
      </vt:variant>
      <vt:variant>
        <vt:lpwstr/>
      </vt:variant>
      <vt:variant>
        <vt:i4>7340084</vt:i4>
      </vt:variant>
      <vt:variant>
        <vt:i4>504</vt:i4>
      </vt:variant>
      <vt:variant>
        <vt:i4>0</vt:i4>
      </vt:variant>
      <vt:variant>
        <vt:i4>5</vt:i4>
      </vt:variant>
      <vt:variant>
        <vt:lpwstr>http://www.osor.eu/</vt:lpwstr>
      </vt:variant>
      <vt:variant>
        <vt:lpwstr/>
      </vt:variant>
      <vt:variant>
        <vt:i4>3997807</vt:i4>
      </vt:variant>
      <vt:variant>
        <vt:i4>501</vt:i4>
      </vt:variant>
      <vt:variant>
        <vt:i4>0</vt:i4>
      </vt:variant>
      <vt:variant>
        <vt:i4>5</vt:i4>
      </vt:variant>
      <vt:variant>
        <vt:lpwstr>http://www.gnu.org/philosophy/free-sw.html</vt:lpwstr>
      </vt:variant>
      <vt:variant>
        <vt:lpwstr/>
      </vt:variant>
      <vt:variant>
        <vt:i4>2097253</vt:i4>
      </vt:variant>
      <vt:variant>
        <vt:i4>498</vt:i4>
      </vt:variant>
      <vt:variant>
        <vt:i4>0</vt:i4>
      </vt:variant>
      <vt:variant>
        <vt:i4>5</vt:i4>
      </vt:variant>
      <vt:variant>
        <vt:lpwstr>http://www.opensource.org/docs/osd</vt:lpwstr>
      </vt:variant>
      <vt:variant>
        <vt:lpwstr/>
      </vt:variant>
      <vt:variant>
        <vt:i4>3080233</vt:i4>
      </vt:variant>
      <vt:variant>
        <vt:i4>495</vt:i4>
      </vt:variant>
      <vt:variant>
        <vt:i4>0</vt:i4>
      </vt:variant>
      <vt:variant>
        <vt:i4>5</vt:i4>
      </vt:variant>
      <vt:variant>
        <vt:lpwstr>http://ec.europa.eu/transparency/archival_policy/moreq/doc/moreq2_spec.pdf</vt:lpwstr>
      </vt:variant>
      <vt:variant>
        <vt:lpwstr/>
      </vt:variant>
      <vt:variant>
        <vt:i4>3080233</vt:i4>
      </vt:variant>
      <vt:variant>
        <vt:i4>492</vt:i4>
      </vt:variant>
      <vt:variant>
        <vt:i4>0</vt:i4>
      </vt:variant>
      <vt:variant>
        <vt:i4>5</vt:i4>
      </vt:variant>
      <vt:variant>
        <vt:lpwstr>http://ec.europa.eu/transparency/archival_policy/moreq/doc/moreq2_spec.pdf</vt:lpwstr>
      </vt:variant>
      <vt:variant>
        <vt:lpwstr/>
      </vt:variant>
      <vt:variant>
        <vt:i4>7340123</vt:i4>
      </vt:variant>
      <vt:variant>
        <vt:i4>489</vt:i4>
      </vt:variant>
      <vt:variant>
        <vt:i4>0</vt:i4>
      </vt:variant>
      <vt:variant>
        <vt:i4>5</vt:i4>
      </vt:variant>
      <vt:variant>
        <vt:lpwstr>http://ec.europa.eu/enterprise/policies/better-regulation/glossary/index_en.htm</vt:lpwstr>
      </vt:variant>
      <vt:variant>
        <vt:lpwstr/>
      </vt:variant>
      <vt:variant>
        <vt:i4>7340131</vt:i4>
      </vt:variant>
      <vt:variant>
        <vt:i4>486</vt:i4>
      </vt:variant>
      <vt:variant>
        <vt:i4>0</vt:i4>
      </vt:variant>
      <vt:variant>
        <vt:i4>5</vt:i4>
      </vt:variant>
      <vt:variant>
        <vt:lpwstr>http://ec.europa.eu/information_society/policy/accessibility/index_en.htm</vt:lpwstr>
      </vt:variant>
      <vt:variant>
        <vt:lpwstr/>
      </vt:variant>
      <vt:variant>
        <vt:i4>1114172</vt:i4>
      </vt:variant>
      <vt:variant>
        <vt:i4>413</vt:i4>
      </vt:variant>
      <vt:variant>
        <vt:i4>0</vt:i4>
      </vt:variant>
      <vt:variant>
        <vt:i4>5</vt:i4>
      </vt:variant>
      <vt:variant>
        <vt:lpwstr/>
      </vt:variant>
      <vt:variant>
        <vt:lpwstr>_Toc432525851</vt:lpwstr>
      </vt:variant>
      <vt:variant>
        <vt:i4>1114172</vt:i4>
      </vt:variant>
      <vt:variant>
        <vt:i4>407</vt:i4>
      </vt:variant>
      <vt:variant>
        <vt:i4>0</vt:i4>
      </vt:variant>
      <vt:variant>
        <vt:i4>5</vt:i4>
      </vt:variant>
      <vt:variant>
        <vt:lpwstr/>
      </vt:variant>
      <vt:variant>
        <vt:lpwstr>_Toc432525850</vt:lpwstr>
      </vt:variant>
      <vt:variant>
        <vt:i4>1048636</vt:i4>
      </vt:variant>
      <vt:variant>
        <vt:i4>401</vt:i4>
      </vt:variant>
      <vt:variant>
        <vt:i4>0</vt:i4>
      </vt:variant>
      <vt:variant>
        <vt:i4>5</vt:i4>
      </vt:variant>
      <vt:variant>
        <vt:lpwstr/>
      </vt:variant>
      <vt:variant>
        <vt:lpwstr>_Toc432525849</vt:lpwstr>
      </vt:variant>
      <vt:variant>
        <vt:i4>1048636</vt:i4>
      </vt:variant>
      <vt:variant>
        <vt:i4>395</vt:i4>
      </vt:variant>
      <vt:variant>
        <vt:i4>0</vt:i4>
      </vt:variant>
      <vt:variant>
        <vt:i4>5</vt:i4>
      </vt:variant>
      <vt:variant>
        <vt:lpwstr/>
      </vt:variant>
      <vt:variant>
        <vt:lpwstr>_Toc432525848</vt:lpwstr>
      </vt:variant>
      <vt:variant>
        <vt:i4>1048636</vt:i4>
      </vt:variant>
      <vt:variant>
        <vt:i4>389</vt:i4>
      </vt:variant>
      <vt:variant>
        <vt:i4>0</vt:i4>
      </vt:variant>
      <vt:variant>
        <vt:i4>5</vt:i4>
      </vt:variant>
      <vt:variant>
        <vt:lpwstr/>
      </vt:variant>
      <vt:variant>
        <vt:lpwstr>_Toc432525847</vt:lpwstr>
      </vt:variant>
      <vt:variant>
        <vt:i4>1048636</vt:i4>
      </vt:variant>
      <vt:variant>
        <vt:i4>383</vt:i4>
      </vt:variant>
      <vt:variant>
        <vt:i4>0</vt:i4>
      </vt:variant>
      <vt:variant>
        <vt:i4>5</vt:i4>
      </vt:variant>
      <vt:variant>
        <vt:lpwstr/>
      </vt:variant>
      <vt:variant>
        <vt:lpwstr>_Toc432525846</vt:lpwstr>
      </vt:variant>
      <vt:variant>
        <vt:i4>1048636</vt:i4>
      </vt:variant>
      <vt:variant>
        <vt:i4>377</vt:i4>
      </vt:variant>
      <vt:variant>
        <vt:i4>0</vt:i4>
      </vt:variant>
      <vt:variant>
        <vt:i4>5</vt:i4>
      </vt:variant>
      <vt:variant>
        <vt:lpwstr/>
      </vt:variant>
      <vt:variant>
        <vt:lpwstr>_Toc432525845</vt:lpwstr>
      </vt:variant>
      <vt:variant>
        <vt:i4>1048636</vt:i4>
      </vt:variant>
      <vt:variant>
        <vt:i4>371</vt:i4>
      </vt:variant>
      <vt:variant>
        <vt:i4>0</vt:i4>
      </vt:variant>
      <vt:variant>
        <vt:i4>5</vt:i4>
      </vt:variant>
      <vt:variant>
        <vt:lpwstr/>
      </vt:variant>
      <vt:variant>
        <vt:lpwstr>_Toc432525844</vt:lpwstr>
      </vt:variant>
      <vt:variant>
        <vt:i4>1048636</vt:i4>
      </vt:variant>
      <vt:variant>
        <vt:i4>365</vt:i4>
      </vt:variant>
      <vt:variant>
        <vt:i4>0</vt:i4>
      </vt:variant>
      <vt:variant>
        <vt:i4>5</vt:i4>
      </vt:variant>
      <vt:variant>
        <vt:lpwstr/>
      </vt:variant>
      <vt:variant>
        <vt:lpwstr>_Toc432525843</vt:lpwstr>
      </vt:variant>
      <vt:variant>
        <vt:i4>1048636</vt:i4>
      </vt:variant>
      <vt:variant>
        <vt:i4>359</vt:i4>
      </vt:variant>
      <vt:variant>
        <vt:i4>0</vt:i4>
      </vt:variant>
      <vt:variant>
        <vt:i4>5</vt:i4>
      </vt:variant>
      <vt:variant>
        <vt:lpwstr/>
      </vt:variant>
      <vt:variant>
        <vt:lpwstr>_Toc432525842</vt:lpwstr>
      </vt:variant>
      <vt:variant>
        <vt:i4>1048636</vt:i4>
      </vt:variant>
      <vt:variant>
        <vt:i4>353</vt:i4>
      </vt:variant>
      <vt:variant>
        <vt:i4>0</vt:i4>
      </vt:variant>
      <vt:variant>
        <vt:i4>5</vt:i4>
      </vt:variant>
      <vt:variant>
        <vt:lpwstr/>
      </vt:variant>
      <vt:variant>
        <vt:lpwstr>_Toc432525841</vt:lpwstr>
      </vt:variant>
      <vt:variant>
        <vt:i4>1048636</vt:i4>
      </vt:variant>
      <vt:variant>
        <vt:i4>347</vt:i4>
      </vt:variant>
      <vt:variant>
        <vt:i4>0</vt:i4>
      </vt:variant>
      <vt:variant>
        <vt:i4>5</vt:i4>
      </vt:variant>
      <vt:variant>
        <vt:lpwstr/>
      </vt:variant>
      <vt:variant>
        <vt:lpwstr>_Toc432525840</vt:lpwstr>
      </vt:variant>
      <vt:variant>
        <vt:i4>1507388</vt:i4>
      </vt:variant>
      <vt:variant>
        <vt:i4>341</vt:i4>
      </vt:variant>
      <vt:variant>
        <vt:i4>0</vt:i4>
      </vt:variant>
      <vt:variant>
        <vt:i4>5</vt:i4>
      </vt:variant>
      <vt:variant>
        <vt:lpwstr/>
      </vt:variant>
      <vt:variant>
        <vt:lpwstr>_Toc432525839</vt:lpwstr>
      </vt:variant>
      <vt:variant>
        <vt:i4>1507388</vt:i4>
      </vt:variant>
      <vt:variant>
        <vt:i4>335</vt:i4>
      </vt:variant>
      <vt:variant>
        <vt:i4>0</vt:i4>
      </vt:variant>
      <vt:variant>
        <vt:i4>5</vt:i4>
      </vt:variant>
      <vt:variant>
        <vt:lpwstr/>
      </vt:variant>
      <vt:variant>
        <vt:lpwstr>_Toc432525838</vt:lpwstr>
      </vt:variant>
      <vt:variant>
        <vt:i4>1507388</vt:i4>
      </vt:variant>
      <vt:variant>
        <vt:i4>329</vt:i4>
      </vt:variant>
      <vt:variant>
        <vt:i4>0</vt:i4>
      </vt:variant>
      <vt:variant>
        <vt:i4>5</vt:i4>
      </vt:variant>
      <vt:variant>
        <vt:lpwstr/>
      </vt:variant>
      <vt:variant>
        <vt:lpwstr>_Toc432525837</vt:lpwstr>
      </vt:variant>
      <vt:variant>
        <vt:i4>1507388</vt:i4>
      </vt:variant>
      <vt:variant>
        <vt:i4>323</vt:i4>
      </vt:variant>
      <vt:variant>
        <vt:i4>0</vt:i4>
      </vt:variant>
      <vt:variant>
        <vt:i4>5</vt:i4>
      </vt:variant>
      <vt:variant>
        <vt:lpwstr/>
      </vt:variant>
      <vt:variant>
        <vt:lpwstr>_Toc432525836</vt:lpwstr>
      </vt:variant>
      <vt:variant>
        <vt:i4>1507388</vt:i4>
      </vt:variant>
      <vt:variant>
        <vt:i4>317</vt:i4>
      </vt:variant>
      <vt:variant>
        <vt:i4>0</vt:i4>
      </vt:variant>
      <vt:variant>
        <vt:i4>5</vt:i4>
      </vt:variant>
      <vt:variant>
        <vt:lpwstr/>
      </vt:variant>
      <vt:variant>
        <vt:lpwstr>_Toc432525835</vt:lpwstr>
      </vt:variant>
      <vt:variant>
        <vt:i4>1507388</vt:i4>
      </vt:variant>
      <vt:variant>
        <vt:i4>311</vt:i4>
      </vt:variant>
      <vt:variant>
        <vt:i4>0</vt:i4>
      </vt:variant>
      <vt:variant>
        <vt:i4>5</vt:i4>
      </vt:variant>
      <vt:variant>
        <vt:lpwstr/>
      </vt:variant>
      <vt:variant>
        <vt:lpwstr>_Toc432525834</vt:lpwstr>
      </vt:variant>
      <vt:variant>
        <vt:i4>1507388</vt:i4>
      </vt:variant>
      <vt:variant>
        <vt:i4>305</vt:i4>
      </vt:variant>
      <vt:variant>
        <vt:i4>0</vt:i4>
      </vt:variant>
      <vt:variant>
        <vt:i4>5</vt:i4>
      </vt:variant>
      <vt:variant>
        <vt:lpwstr/>
      </vt:variant>
      <vt:variant>
        <vt:lpwstr>_Toc432525833</vt:lpwstr>
      </vt:variant>
      <vt:variant>
        <vt:i4>1507388</vt:i4>
      </vt:variant>
      <vt:variant>
        <vt:i4>299</vt:i4>
      </vt:variant>
      <vt:variant>
        <vt:i4>0</vt:i4>
      </vt:variant>
      <vt:variant>
        <vt:i4>5</vt:i4>
      </vt:variant>
      <vt:variant>
        <vt:lpwstr/>
      </vt:variant>
      <vt:variant>
        <vt:lpwstr>_Toc432525832</vt:lpwstr>
      </vt:variant>
      <vt:variant>
        <vt:i4>1507388</vt:i4>
      </vt:variant>
      <vt:variant>
        <vt:i4>293</vt:i4>
      </vt:variant>
      <vt:variant>
        <vt:i4>0</vt:i4>
      </vt:variant>
      <vt:variant>
        <vt:i4>5</vt:i4>
      </vt:variant>
      <vt:variant>
        <vt:lpwstr/>
      </vt:variant>
      <vt:variant>
        <vt:lpwstr>_Toc432525831</vt:lpwstr>
      </vt:variant>
      <vt:variant>
        <vt:i4>1507388</vt:i4>
      </vt:variant>
      <vt:variant>
        <vt:i4>287</vt:i4>
      </vt:variant>
      <vt:variant>
        <vt:i4>0</vt:i4>
      </vt:variant>
      <vt:variant>
        <vt:i4>5</vt:i4>
      </vt:variant>
      <vt:variant>
        <vt:lpwstr/>
      </vt:variant>
      <vt:variant>
        <vt:lpwstr>_Toc432525830</vt:lpwstr>
      </vt:variant>
      <vt:variant>
        <vt:i4>1441852</vt:i4>
      </vt:variant>
      <vt:variant>
        <vt:i4>281</vt:i4>
      </vt:variant>
      <vt:variant>
        <vt:i4>0</vt:i4>
      </vt:variant>
      <vt:variant>
        <vt:i4>5</vt:i4>
      </vt:variant>
      <vt:variant>
        <vt:lpwstr/>
      </vt:variant>
      <vt:variant>
        <vt:lpwstr>_Toc432525829</vt:lpwstr>
      </vt:variant>
      <vt:variant>
        <vt:i4>1441852</vt:i4>
      </vt:variant>
      <vt:variant>
        <vt:i4>275</vt:i4>
      </vt:variant>
      <vt:variant>
        <vt:i4>0</vt:i4>
      </vt:variant>
      <vt:variant>
        <vt:i4>5</vt:i4>
      </vt:variant>
      <vt:variant>
        <vt:lpwstr/>
      </vt:variant>
      <vt:variant>
        <vt:lpwstr>_Toc432525828</vt:lpwstr>
      </vt:variant>
      <vt:variant>
        <vt:i4>1441852</vt:i4>
      </vt:variant>
      <vt:variant>
        <vt:i4>269</vt:i4>
      </vt:variant>
      <vt:variant>
        <vt:i4>0</vt:i4>
      </vt:variant>
      <vt:variant>
        <vt:i4>5</vt:i4>
      </vt:variant>
      <vt:variant>
        <vt:lpwstr/>
      </vt:variant>
      <vt:variant>
        <vt:lpwstr>_Toc432525827</vt:lpwstr>
      </vt:variant>
      <vt:variant>
        <vt:i4>1441852</vt:i4>
      </vt:variant>
      <vt:variant>
        <vt:i4>263</vt:i4>
      </vt:variant>
      <vt:variant>
        <vt:i4>0</vt:i4>
      </vt:variant>
      <vt:variant>
        <vt:i4>5</vt:i4>
      </vt:variant>
      <vt:variant>
        <vt:lpwstr/>
      </vt:variant>
      <vt:variant>
        <vt:lpwstr>_Toc432525826</vt:lpwstr>
      </vt:variant>
      <vt:variant>
        <vt:i4>1441852</vt:i4>
      </vt:variant>
      <vt:variant>
        <vt:i4>257</vt:i4>
      </vt:variant>
      <vt:variant>
        <vt:i4>0</vt:i4>
      </vt:variant>
      <vt:variant>
        <vt:i4>5</vt:i4>
      </vt:variant>
      <vt:variant>
        <vt:lpwstr/>
      </vt:variant>
      <vt:variant>
        <vt:lpwstr>_Toc432525825</vt:lpwstr>
      </vt:variant>
      <vt:variant>
        <vt:i4>1441852</vt:i4>
      </vt:variant>
      <vt:variant>
        <vt:i4>251</vt:i4>
      </vt:variant>
      <vt:variant>
        <vt:i4>0</vt:i4>
      </vt:variant>
      <vt:variant>
        <vt:i4>5</vt:i4>
      </vt:variant>
      <vt:variant>
        <vt:lpwstr/>
      </vt:variant>
      <vt:variant>
        <vt:lpwstr>_Toc432525824</vt:lpwstr>
      </vt:variant>
      <vt:variant>
        <vt:i4>1441852</vt:i4>
      </vt:variant>
      <vt:variant>
        <vt:i4>245</vt:i4>
      </vt:variant>
      <vt:variant>
        <vt:i4>0</vt:i4>
      </vt:variant>
      <vt:variant>
        <vt:i4>5</vt:i4>
      </vt:variant>
      <vt:variant>
        <vt:lpwstr/>
      </vt:variant>
      <vt:variant>
        <vt:lpwstr>_Toc432525823</vt:lpwstr>
      </vt:variant>
      <vt:variant>
        <vt:i4>1441852</vt:i4>
      </vt:variant>
      <vt:variant>
        <vt:i4>239</vt:i4>
      </vt:variant>
      <vt:variant>
        <vt:i4>0</vt:i4>
      </vt:variant>
      <vt:variant>
        <vt:i4>5</vt:i4>
      </vt:variant>
      <vt:variant>
        <vt:lpwstr/>
      </vt:variant>
      <vt:variant>
        <vt:lpwstr>_Toc432525822</vt:lpwstr>
      </vt:variant>
      <vt:variant>
        <vt:i4>1441852</vt:i4>
      </vt:variant>
      <vt:variant>
        <vt:i4>233</vt:i4>
      </vt:variant>
      <vt:variant>
        <vt:i4>0</vt:i4>
      </vt:variant>
      <vt:variant>
        <vt:i4>5</vt:i4>
      </vt:variant>
      <vt:variant>
        <vt:lpwstr/>
      </vt:variant>
      <vt:variant>
        <vt:lpwstr>_Toc432525821</vt:lpwstr>
      </vt:variant>
      <vt:variant>
        <vt:i4>1441852</vt:i4>
      </vt:variant>
      <vt:variant>
        <vt:i4>227</vt:i4>
      </vt:variant>
      <vt:variant>
        <vt:i4>0</vt:i4>
      </vt:variant>
      <vt:variant>
        <vt:i4>5</vt:i4>
      </vt:variant>
      <vt:variant>
        <vt:lpwstr/>
      </vt:variant>
      <vt:variant>
        <vt:lpwstr>_Toc432525820</vt:lpwstr>
      </vt:variant>
      <vt:variant>
        <vt:i4>1376316</vt:i4>
      </vt:variant>
      <vt:variant>
        <vt:i4>221</vt:i4>
      </vt:variant>
      <vt:variant>
        <vt:i4>0</vt:i4>
      </vt:variant>
      <vt:variant>
        <vt:i4>5</vt:i4>
      </vt:variant>
      <vt:variant>
        <vt:lpwstr/>
      </vt:variant>
      <vt:variant>
        <vt:lpwstr>_Toc432525819</vt:lpwstr>
      </vt:variant>
      <vt:variant>
        <vt:i4>1376316</vt:i4>
      </vt:variant>
      <vt:variant>
        <vt:i4>215</vt:i4>
      </vt:variant>
      <vt:variant>
        <vt:i4>0</vt:i4>
      </vt:variant>
      <vt:variant>
        <vt:i4>5</vt:i4>
      </vt:variant>
      <vt:variant>
        <vt:lpwstr/>
      </vt:variant>
      <vt:variant>
        <vt:lpwstr>_Toc432525818</vt:lpwstr>
      </vt:variant>
      <vt:variant>
        <vt:i4>1376316</vt:i4>
      </vt:variant>
      <vt:variant>
        <vt:i4>209</vt:i4>
      </vt:variant>
      <vt:variant>
        <vt:i4>0</vt:i4>
      </vt:variant>
      <vt:variant>
        <vt:i4>5</vt:i4>
      </vt:variant>
      <vt:variant>
        <vt:lpwstr/>
      </vt:variant>
      <vt:variant>
        <vt:lpwstr>_Toc432525817</vt:lpwstr>
      </vt:variant>
      <vt:variant>
        <vt:i4>1376316</vt:i4>
      </vt:variant>
      <vt:variant>
        <vt:i4>203</vt:i4>
      </vt:variant>
      <vt:variant>
        <vt:i4>0</vt:i4>
      </vt:variant>
      <vt:variant>
        <vt:i4>5</vt:i4>
      </vt:variant>
      <vt:variant>
        <vt:lpwstr/>
      </vt:variant>
      <vt:variant>
        <vt:lpwstr>_Toc432525816</vt:lpwstr>
      </vt:variant>
      <vt:variant>
        <vt:i4>1376316</vt:i4>
      </vt:variant>
      <vt:variant>
        <vt:i4>197</vt:i4>
      </vt:variant>
      <vt:variant>
        <vt:i4>0</vt:i4>
      </vt:variant>
      <vt:variant>
        <vt:i4>5</vt:i4>
      </vt:variant>
      <vt:variant>
        <vt:lpwstr/>
      </vt:variant>
      <vt:variant>
        <vt:lpwstr>_Toc432525815</vt:lpwstr>
      </vt:variant>
      <vt:variant>
        <vt:i4>1376316</vt:i4>
      </vt:variant>
      <vt:variant>
        <vt:i4>191</vt:i4>
      </vt:variant>
      <vt:variant>
        <vt:i4>0</vt:i4>
      </vt:variant>
      <vt:variant>
        <vt:i4>5</vt:i4>
      </vt:variant>
      <vt:variant>
        <vt:lpwstr/>
      </vt:variant>
      <vt:variant>
        <vt:lpwstr>_Toc432525814</vt:lpwstr>
      </vt:variant>
      <vt:variant>
        <vt:i4>1376316</vt:i4>
      </vt:variant>
      <vt:variant>
        <vt:i4>185</vt:i4>
      </vt:variant>
      <vt:variant>
        <vt:i4>0</vt:i4>
      </vt:variant>
      <vt:variant>
        <vt:i4>5</vt:i4>
      </vt:variant>
      <vt:variant>
        <vt:lpwstr/>
      </vt:variant>
      <vt:variant>
        <vt:lpwstr>_Toc432525813</vt:lpwstr>
      </vt:variant>
      <vt:variant>
        <vt:i4>1376316</vt:i4>
      </vt:variant>
      <vt:variant>
        <vt:i4>179</vt:i4>
      </vt:variant>
      <vt:variant>
        <vt:i4>0</vt:i4>
      </vt:variant>
      <vt:variant>
        <vt:i4>5</vt:i4>
      </vt:variant>
      <vt:variant>
        <vt:lpwstr/>
      </vt:variant>
      <vt:variant>
        <vt:lpwstr>_Toc432525812</vt:lpwstr>
      </vt:variant>
      <vt:variant>
        <vt:i4>1376316</vt:i4>
      </vt:variant>
      <vt:variant>
        <vt:i4>173</vt:i4>
      </vt:variant>
      <vt:variant>
        <vt:i4>0</vt:i4>
      </vt:variant>
      <vt:variant>
        <vt:i4>5</vt:i4>
      </vt:variant>
      <vt:variant>
        <vt:lpwstr/>
      </vt:variant>
      <vt:variant>
        <vt:lpwstr>_Toc432525811</vt:lpwstr>
      </vt:variant>
      <vt:variant>
        <vt:i4>1376316</vt:i4>
      </vt:variant>
      <vt:variant>
        <vt:i4>167</vt:i4>
      </vt:variant>
      <vt:variant>
        <vt:i4>0</vt:i4>
      </vt:variant>
      <vt:variant>
        <vt:i4>5</vt:i4>
      </vt:variant>
      <vt:variant>
        <vt:lpwstr/>
      </vt:variant>
      <vt:variant>
        <vt:lpwstr>_Toc432525810</vt:lpwstr>
      </vt:variant>
      <vt:variant>
        <vt:i4>1310780</vt:i4>
      </vt:variant>
      <vt:variant>
        <vt:i4>161</vt:i4>
      </vt:variant>
      <vt:variant>
        <vt:i4>0</vt:i4>
      </vt:variant>
      <vt:variant>
        <vt:i4>5</vt:i4>
      </vt:variant>
      <vt:variant>
        <vt:lpwstr/>
      </vt:variant>
      <vt:variant>
        <vt:lpwstr>_Toc432525809</vt:lpwstr>
      </vt:variant>
      <vt:variant>
        <vt:i4>1310780</vt:i4>
      </vt:variant>
      <vt:variant>
        <vt:i4>155</vt:i4>
      </vt:variant>
      <vt:variant>
        <vt:i4>0</vt:i4>
      </vt:variant>
      <vt:variant>
        <vt:i4>5</vt:i4>
      </vt:variant>
      <vt:variant>
        <vt:lpwstr/>
      </vt:variant>
      <vt:variant>
        <vt:lpwstr>_Toc432525808</vt:lpwstr>
      </vt:variant>
      <vt:variant>
        <vt:i4>1310780</vt:i4>
      </vt:variant>
      <vt:variant>
        <vt:i4>149</vt:i4>
      </vt:variant>
      <vt:variant>
        <vt:i4>0</vt:i4>
      </vt:variant>
      <vt:variant>
        <vt:i4>5</vt:i4>
      </vt:variant>
      <vt:variant>
        <vt:lpwstr/>
      </vt:variant>
      <vt:variant>
        <vt:lpwstr>_Toc432525807</vt:lpwstr>
      </vt:variant>
      <vt:variant>
        <vt:i4>1310780</vt:i4>
      </vt:variant>
      <vt:variant>
        <vt:i4>143</vt:i4>
      </vt:variant>
      <vt:variant>
        <vt:i4>0</vt:i4>
      </vt:variant>
      <vt:variant>
        <vt:i4>5</vt:i4>
      </vt:variant>
      <vt:variant>
        <vt:lpwstr/>
      </vt:variant>
      <vt:variant>
        <vt:lpwstr>_Toc432525806</vt:lpwstr>
      </vt:variant>
      <vt:variant>
        <vt:i4>1310780</vt:i4>
      </vt:variant>
      <vt:variant>
        <vt:i4>137</vt:i4>
      </vt:variant>
      <vt:variant>
        <vt:i4>0</vt:i4>
      </vt:variant>
      <vt:variant>
        <vt:i4>5</vt:i4>
      </vt:variant>
      <vt:variant>
        <vt:lpwstr/>
      </vt:variant>
      <vt:variant>
        <vt:lpwstr>_Toc432525805</vt:lpwstr>
      </vt:variant>
      <vt:variant>
        <vt:i4>1310780</vt:i4>
      </vt:variant>
      <vt:variant>
        <vt:i4>131</vt:i4>
      </vt:variant>
      <vt:variant>
        <vt:i4>0</vt:i4>
      </vt:variant>
      <vt:variant>
        <vt:i4>5</vt:i4>
      </vt:variant>
      <vt:variant>
        <vt:lpwstr/>
      </vt:variant>
      <vt:variant>
        <vt:lpwstr>_Toc432525804</vt:lpwstr>
      </vt:variant>
      <vt:variant>
        <vt:i4>1310780</vt:i4>
      </vt:variant>
      <vt:variant>
        <vt:i4>125</vt:i4>
      </vt:variant>
      <vt:variant>
        <vt:i4>0</vt:i4>
      </vt:variant>
      <vt:variant>
        <vt:i4>5</vt:i4>
      </vt:variant>
      <vt:variant>
        <vt:lpwstr/>
      </vt:variant>
      <vt:variant>
        <vt:lpwstr>_Toc432525803</vt:lpwstr>
      </vt:variant>
      <vt:variant>
        <vt:i4>1310780</vt:i4>
      </vt:variant>
      <vt:variant>
        <vt:i4>119</vt:i4>
      </vt:variant>
      <vt:variant>
        <vt:i4>0</vt:i4>
      </vt:variant>
      <vt:variant>
        <vt:i4>5</vt:i4>
      </vt:variant>
      <vt:variant>
        <vt:lpwstr/>
      </vt:variant>
      <vt:variant>
        <vt:lpwstr>_Toc432525802</vt:lpwstr>
      </vt:variant>
      <vt:variant>
        <vt:i4>1310780</vt:i4>
      </vt:variant>
      <vt:variant>
        <vt:i4>113</vt:i4>
      </vt:variant>
      <vt:variant>
        <vt:i4>0</vt:i4>
      </vt:variant>
      <vt:variant>
        <vt:i4>5</vt:i4>
      </vt:variant>
      <vt:variant>
        <vt:lpwstr/>
      </vt:variant>
      <vt:variant>
        <vt:lpwstr>_Toc432525801</vt:lpwstr>
      </vt:variant>
      <vt:variant>
        <vt:i4>1310780</vt:i4>
      </vt:variant>
      <vt:variant>
        <vt:i4>107</vt:i4>
      </vt:variant>
      <vt:variant>
        <vt:i4>0</vt:i4>
      </vt:variant>
      <vt:variant>
        <vt:i4>5</vt:i4>
      </vt:variant>
      <vt:variant>
        <vt:lpwstr/>
      </vt:variant>
      <vt:variant>
        <vt:lpwstr>_Toc432525800</vt:lpwstr>
      </vt:variant>
      <vt:variant>
        <vt:i4>1900595</vt:i4>
      </vt:variant>
      <vt:variant>
        <vt:i4>101</vt:i4>
      </vt:variant>
      <vt:variant>
        <vt:i4>0</vt:i4>
      </vt:variant>
      <vt:variant>
        <vt:i4>5</vt:i4>
      </vt:variant>
      <vt:variant>
        <vt:lpwstr/>
      </vt:variant>
      <vt:variant>
        <vt:lpwstr>_Toc432525799</vt:lpwstr>
      </vt:variant>
      <vt:variant>
        <vt:i4>1900595</vt:i4>
      </vt:variant>
      <vt:variant>
        <vt:i4>95</vt:i4>
      </vt:variant>
      <vt:variant>
        <vt:i4>0</vt:i4>
      </vt:variant>
      <vt:variant>
        <vt:i4>5</vt:i4>
      </vt:variant>
      <vt:variant>
        <vt:lpwstr/>
      </vt:variant>
      <vt:variant>
        <vt:lpwstr>_Toc432525798</vt:lpwstr>
      </vt:variant>
      <vt:variant>
        <vt:i4>1900595</vt:i4>
      </vt:variant>
      <vt:variant>
        <vt:i4>89</vt:i4>
      </vt:variant>
      <vt:variant>
        <vt:i4>0</vt:i4>
      </vt:variant>
      <vt:variant>
        <vt:i4>5</vt:i4>
      </vt:variant>
      <vt:variant>
        <vt:lpwstr/>
      </vt:variant>
      <vt:variant>
        <vt:lpwstr>_Toc432525797</vt:lpwstr>
      </vt:variant>
      <vt:variant>
        <vt:i4>1900595</vt:i4>
      </vt:variant>
      <vt:variant>
        <vt:i4>83</vt:i4>
      </vt:variant>
      <vt:variant>
        <vt:i4>0</vt:i4>
      </vt:variant>
      <vt:variant>
        <vt:i4>5</vt:i4>
      </vt:variant>
      <vt:variant>
        <vt:lpwstr/>
      </vt:variant>
      <vt:variant>
        <vt:lpwstr>_Toc432525796</vt:lpwstr>
      </vt:variant>
      <vt:variant>
        <vt:i4>1900595</vt:i4>
      </vt:variant>
      <vt:variant>
        <vt:i4>77</vt:i4>
      </vt:variant>
      <vt:variant>
        <vt:i4>0</vt:i4>
      </vt:variant>
      <vt:variant>
        <vt:i4>5</vt:i4>
      </vt:variant>
      <vt:variant>
        <vt:lpwstr/>
      </vt:variant>
      <vt:variant>
        <vt:lpwstr>_Toc432525795</vt:lpwstr>
      </vt:variant>
      <vt:variant>
        <vt:i4>1900595</vt:i4>
      </vt:variant>
      <vt:variant>
        <vt:i4>71</vt:i4>
      </vt:variant>
      <vt:variant>
        <vt:i4>0</vt:i4>
      </vt:variant>
      <vt:variant>
        <vt:i4>5</vt:i4>
      </vt:variant>
      <vt:variant>
        <vt:lpwstr/>
      </vt:variant>
      <vt:variant>
        <vt:lpwstr>_Toc432525794</vt:lpwstr>
      </vt:variant>
      <vt:variant>
        <vt:i4>1900595</vt:i4>
      </vt:variant>
      <vt:variant>
        <vt:i4>65</vt:i4>
      </vt:variant>
      <vt:variant>
        <vt:i4>0</vt:i4>
      </vt:variant>
      <vt:variant>
        <vt:i4>5</vt:i4>
      </vt:variant>
      <vt:variant>
        <vt:lpwstr/>
      </vt:variant>
      <vt:variant>
        <vt:lpwstr>_Toc432525793</vt:lpwstr>
      </vt:variant>
      <vt:variant>
        <vt:i4>1900595</vt:i4>
      </vt:variant>
      <vt:variant>
        <vt:i4>59</vt:i4>
      </vt:variant>
      <vt:variant>
        <vt:i4>0</vt:i4>
      </vt:variant>
      <vt:variant>
        <vt:i4>5</vt:i4>
      </vt:variant>
      <vt:variant>
        <vt:lpwstr/>
      </vt:variant>
      <vt:variant>
        <vt:lpwstr>_Toc432525792</vt:lpwstr>
      </vt:variant>
      <vt:variant>
        <vt:i4>1900595</vt:i4>
      </vt:variant>
      <vt:variant>
        <vt:i4>53</vt:i4>
      </vt:variant>
      <vt:variant>
        <vt:i4>0</vt:i4>
      </vt:variant>
      <vt:variant>
        <vt:i4>5</vt:i4>
      </vt:variant>
      <vt:variant>
        <vt:lpwstr/>
      </vt:variant>
      <vt:variant>
        <vt:lpwstr>_Toc432525791</vt:lpwstr>
      </vt:variant>
      <vt:variant>
        <vt:i4>1900595</vt:i4>
      </vt:variant>
      <vt:variant>
        <vt:i4>47</vt:i4>
      </vt:variant>
      <vt:variant>
        <vt:i4>0</vt:i4>
      </vt:variant>
      <vt:variant>
        <vt:i4>5</vt:i4>
      </vt:variant>
      <vt:variant>
        <vt:lpwstr/>
      </vt:variant>
      <vt:variant>
        <vt:lpwstr>_Toc432525790</vt:lpwstr>
      </vt:variant>
      <vt:variant>
        <vt:i4>1835059</vt:i4>
      </vt:variant>
      <vt:variant>
        <vt:i4>41</vt:i4>
      </vt:variant>
      <vt:variant>
        <vt:i4>0</vt:i4>
      </vt:variant>
      <vt:variant>
        <vt:i4>5</vt:i4>
      </vt:variant>
      <vt:variant>
        <vt:lpwstr/>
      </vt:variant>
      <vt:variant>
        <vt:lpwstr>_Toc432525789</vt:lpwstr>
      </vt:variant>
      <vt:variant>
        <vt:i4>1835059</vt:i4>
      </vt:variant>
      <vt:variant>
        <vt:i4>35</vt:i4>
      </vt:variant>
      <vt:variant>
        <vt:i4>0</vt:i4>
      </vt:variant>
      <vt:variant>
        <vt:i4>5</vt:i4>
      </vt:variant>
      <vt:variant>
        <vt:lpwstr/>
      </vt:variant>
      <vt:variant>
        <vt:lpwstr>_Toc432525788</vt:lpwstr>
      </vt:variant>
      <vt:variant>
        <vt:i4>1835059</vt:i4>
      </vt:variant>
      <vt:variant>
        <vt:i4>29</vt:i4>
      </vt:variant>
      <vt:variant>
        <vt:i4>0</vt:i4>
      </vt:variant>
      <vt:variant>
        <vt:i4>5</vt:i4>
      </vt:variant>
      <vt:variant>
        <vt:lpwstr/>
      </vt:variant>
      <vt:variant>
        <vt:lpwstr>_Toc432525787</vt:lpwstr>
      </vt:variant>
      <vt:variant>
        <vt:i4>1835059</vt:i4>
      </vt:variant>
      <vt:variant>
        <vt:i4>23</vt:i4>
      </vt:variant>
      <vt:variant>
        <vt:i4>0</vt:i4>
      </vt:variant>
      <vt:variant>
        <vt:i4>5</vt:i4>
      </vt:variant>
      <vt:variant>
        <vt:lpwstr/>
      </vt:variant>
      <vt:variant>
        <vt:lpwstr>_Toc432525786</vt:lpwstr>
      </vt:variant>
      <vt:variant>
        <vt:i4>1835059</vt:i4>
      </vt:variant>
      <vt:variant>
        <vt:i4>17</vt:i4>
      </vt:variant>
      <vt:variant>
        <vt:i4>0</vt:i4>
      </vt:variant>
      <vt:variant>
        <vt:i4>5</vt:i4>
      </vt:variant>
      <vt:variant>
        <vt:lpwstr/>
      </vt:variant>
      <vt:variant>
        <vt:lpwstr>_Toc432525785</vt:lpwstr>
      </vt:variant>
      <vt:variant>
        <vt:i4>1835059</vt:i4>
      </vt:variant>
      <vt:variant>
        <vt:i4>11</vt:i4>
      </vt:variant>
      <vt:variant>
        <vt:i4>0</vt:i4>
      </vt:variant>
      <vt:variant>
        <vt:i4>5</vt:i4>
      </vt:variant>
      <vt:variant>
        <vt:lpwstr/>
      </vt:variant>
      <vt:variant>
        <vt:lpwstr>_Toc432525784</vt:lpwstr>
      </vt:variant>
      <vt:variant>
        <vt:i4>1835059</vt:i4>
      </vt:variant>
      <vt:variant>
        <vt:i4>5</vt:i4>
      </vt:variant>
      <vt:variant>
        <vt:i4>0</vt:i4>
      </vt:variant>
      <vt:variant>
        <vt:i4>5</vt:i4>
      </vt:variant>
      <vt:variant>
        <vt:lpwstr/>
      </vt:variant>
      <vt:variant>
        <vt:lpwstr>_Toc432525783</vt:lpwstr>
      </vt:variant>
      <vt:variant>
        <vt:i4>1507373</vt:i4>
      </vt:variant>
      <vt:variant>
        <vt:i4>9</vt:i4>
      </vt:variant>
      <vt:variant>
        <vt:i4>0</vt:i4>
      </vt:variant>
      <vt:variant>
        <vt:i4>5</vt:i4>
      </vt:variant>
      <vt:variant>
        <vt:lpwstr>http://ec.europa.eu/information_society/activities/einclusion/archive/deploy/pubproc/eso-m376/a_documents/m376_en.pdf</vt:lpwstr>
      </vt:variant>
      <vt:variant>
        <vt:lpwstr/>
      </vt:variant>
      <vt:variant>
        <vt:i4>6094918</vt:i4>
      </vt:variant>
      <vt:variant>
        <vt:i4>6</vt:i4>
      </vt:variant>
      <vt:variant>
        <vt:i4>0</vt:i4>
      </vt:variant>
      <vt:variant>
        <vt:i4>5</vt:i4>
      </vt:variant>
      <vt:variant>
        <vt:lpwstr>http://ec.europa.eu/information_society/activities/einclusion/policy/accessibility/index_en.htm</vt:lpwstr>
      </vt:variant>
      <vt:variant>
        <vt:lpwstr/>
      </vt:variant>
      <vt:variant>
        <vt:i4>7012448</vt:i4>
      </vt:variant>
      <vt:variant>
        <vt:i4>3</vt:i4>
      </vt:variant>
      <vt:variant>
        <vt:i4>0</vt:i4>
      </vt:variant>
      <vt:variant>
        <vt:i4>5</vt:i4>
      </vt:variant>
      <vt:variant>
        <vt:lpwstr>../AppData/Local/Microsoft/Windows/Temporary Internet Files/Content.Outlook/Downloads/ec.europa.eu/isa/actions/documents/isa_1.2_d3.1_final_report.pdf</vt:lpwstr>
      </vt:variant>
      <vt:variant>
        <vt:lpwstr/>
      </vt:variant>
      <vt:variant>
        <vt:i4>1769540</vt:i4>
      </vt:variant>
      <vt:variant>
        <vt:i4>0</vt:i4>
      </vt:variant>
      <vt:variant>
        <vt:i4>0</vt:i4>
      </vt:variant>
      <vt:variant>
        <vt:i4>5</vt:i4>
      </vt:variant>
      <vt:variant>
        <vt:lpwstr>http://eur-lex.europa.eu/JOHtml.do?uri=OJ:L:2009:260:SOM:EN:HTML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EIF version</dc:title>
  <dc:creator>ABECASIS Margarida (DIGIT)</dc:creator>
  <cp:lastModifiedBy>DIGIT/A3</cp:lastModifiedBy>
  <cp:revision>8</cp:revision>
  <cp:lastPrinted>2016-12-07T12:59:00Z</cp:lastPrinted>
  <dcterms:created xsi:type="dcterms:W3CDTF">2017-03-13T14:14:00Z</dcterms:created>
  <dcterms:modified xsi:type="dcterms:W3CDTF">2017-03-15T10:59:00Z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Part">
    <vt:lpwstr>1</vt:lpwstr>
  </property>
  <property fmtid="{D5CDD505-2E9C-101B-9397-08002B2CF9AE}" pid="4" name="Total parts">
    <vt:lpwstr>1</vt:lpwstr>
  </property>
  <property fmtid="{D5CDD505-2E9C-101B-9397-08002B2CF9AE}" pid="5" name="Classification">
    <vt:lpwstr> </vt:lpwstr>
  </property>
  <property fmtid="{D5CDD505-2E9C-101B-9397-08002B2CF9AE}" pid="6" name="_AdHocReviewCycleID">
    <vt:i4>1472895931</vt:i4>
  </property>
  <property fmtid="{D5CDD505-2E9C-101B-9397-08002B2CF9AE}" pid="7" name="_EmailSubject">
    <vt:lpwstr>21 11 03 COM interoperability Annex2 EIF v1 32 including EN-REV.docx</vt:lpwstr>
  </property>
  <property fmtid="{D5CDD505-2E9C-101B-9397-08002B2CF9AE}" pid="8" name="_AuthorEmail">
    <vt:lpwstr>Margarida.Abecasis@ec.europa.eu</vt:lpwstr>
  </property>
  <property fmtid="{D5CDD505-2E9C-101B-9397-08002B2CF9AE}" pid="9" name="_AuthorEmailDisplayName">
    <vt:lpwstr>ABECASIS Margarida (DIGIT)</vt:lpwstr>
  </property>
  <property fmtid="{D5CDD505-2E9C-101B-9397-08002B2CF9AE}" pid="10" name="_ReviewingToolsShownOnce">
    <vt:lpwstr/>
  </property>
  <property fmtid="{D5CDD505-2E9C-101B-9397-08002B2CF9AE}" pid="11" name="DocStatus">
    <vt:lpwstr>Green</vt:lpwstr>
  </property>
  <property fmtid="{D5CDD505-2E9C-101B-9397-08002B2CF9AE}" pid="12" name="First annex">
    <vt:lpwstr>2</vt:lpwstr>
  </property>
  <property fmtid="{D5CDD505-2E9C-101B-9397-08002B2CF9AE}" pid="13" name="Last annex">
    <vt:lpwstr>2</vt:lpwstr>
  </property>
</Properties>
</file>