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D7" w:rsidRPr="00291382" w:rsidRDefault="00291382">
      <w:pPr>
        <w:pStyle w:val="Pagedecouverture"/>
        <w:rPr>
          <w:noProof/>
        </w:rPr>
      </w:pPr>
      <w:bookmarkStart w:id="0" w:name="LW_BM_COVERPAGE"/>
      <w:r w:rsidRPr="0029138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1878F7DC232475F89556BA640F5CD10" style="width:450pt;height:444pt">
            <v:imagedata r:id="rId9" o:title=""/>
          </v:shape>
        </w:pict>
      </w:r>
    </w:p>
    <w:bookmarkEnd w:id="0"/>
    <w:p w:rsidR="002A5AD7" w:rsidRPr="00291382" w:rsidRDefault="002A5AD7">
      <w:pPr>
        <w:rPr>
          <w:noProof/>
        </w:rPr>
        <w:sectPr w:rsidR="002A5AD7" w:rsidRPr="0029138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1172"/>
        <w:tblW w:w="5631" w:type="pct"/>
        <w:tblCellSpacing w:w="15" w:type="dxa"/>
        <w:tblBorders>
          <w:top w:val="single" w:sz="6" w:space="0" w:color="6DAAD9"/>
          <w:left w:val="single" w:sz="6" w:space="0" w:color="6DAAD9"/>
          <w:bottom w:val="single" w:sz="6" w:space="0" w:color="6DAAD9"/>
          <w:right w:val="single" w:sz="6" w:space="0" w:color="6DAA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3"/>
      </w:tblGrid>
      <w:tr w:rsidR="00291382" w:rsidRPr="00291382">
        <w:trPr>
          <w:tblCellSpacing w:w="15" w:type="dxa"/>
        </w:trPr>
        <w:tc>
          <w:tcPr>
            <w:tcW w:w="4971" w:type="pct"/>
            <w:shd w:val="clear" w:color="auto" w:fill="C9D7E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lastRenderedPageBreak/>
              <w:t>Обобщена оценка на въздействието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shd w:val="clear" w:color="auto" w:fill="C9D7E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noProof/>
                <w:sz w:val="24"/>
              </w:rPr>
              <w:t>Оценката на въздействието във връзка с предложението за Директива</w:t>
            </w:r>
            <w:r w:rsidRPr="00291382">
              <w:rPr>
                <w:rFonts w:ascii="Arial" w:hAnsi="Arial"/>
                <w:noProof/>
                <w:sz w:val="24"/>
              </w:rPr>
              <w:t xml:space="preserve"> на Европейския парламент и на Съвета за изменение на Директива 2009/28/ЕО на Европейския парламент и на Съвета от 23 април 2009 г. за насърчаване използването на енергия от възобновяеми източници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shd w:val="clear" w:color="auto" w:fill="C9D7E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>A. Потребност от действия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shd w:val="clear" w:color="auto" w:fill="C9D7E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>В какво се изразява проблемът и</w:t>
            </w:r>
            <w:r w:rsidRPr="00291382">
              <w:rPr>
                <w:rFonts w:ascii="Arial" w:hAnsi="Arial"/>
                <w:b/>
                <w:noProof/>
                <w:sz w:val="24"/>
              </w:rPr>
              <w:t xml:space="preserve"> защо той е проблем на равнището на ЕС? 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tcBorders>
              <w:top w:val="nil"/>
              <w:bottom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noProof/>
                <w:sz w:val="24"/>
              </w:rPr>
              <w:t>С Директива 2009/28/ЕО (</w:t>
            </w:r>
            <w:r w:rsidRPr="00291382">
              <w:rPr>
                <w:rFonts w:ascii="Arial" w:hAnsi="Arial"/>
                <w:b/>
                <w:noProof/>
                <w:sz w:val="24"/>
              </w:rPr>
              <w:t>„Директивата за ВЕИ“</w:t>
            </w:r>
            <w:r w:rsidRPr="00291382">
              <w:rPr>
                <w:rFonts w:ascii="Arial" w:hAnsi="Arial"/>
                <w:noProof/>
                <w:sz w:val="24"/>
              </w:rPr>
              <w:t>) се създаде европейска нормативна рамка за насърчаване на използването на възобновяеми енергийни източници (ВЕИ), включително със задължителни национални цели за 2020 г.</w:t>
            </w:r>
            <w:r w:rsidRPr="00291382">
              <w:rPr>
                <w:rFonts w:ascii="Arial" w:hAnsi="Arial"/>
                <w:noProof/>
                <w:sz w:val="24"/>
              </w:rPr>
              <w:t xml:space="preserve"> за дела на ВЕИ в брутното крайно енергопотребление, поставени на всяка държава членка. През октомври 2014 г. Европейският съвет прие обвързваща цел за 2030 г. на равнището на ЕС за поне 27-процентен дял на ВЕИ в енергопотреблението в ЕС, която следва да с</w:t>
            </w:r>
            <w:r w:rsidRPr="00291382">
              <w:rPr>
                <w:rFonts w:ascii="Arial" w:hAnsi="Arial"/>
                <w:noProof/>
                <w:sz w:val="24"/>
              </w:rPr>
              <w:t>е постигне без задължителни национални цели.  Съчетанието на дългосрочните ефекти на действащите понастоящем политики с подобрената конкурентоспособност във връзка с техническия прогрес, инициативите относно Схемата за търговия с емисии и секторите извън н</w:t>
            </w:r>
            <w:r w:rsidRPr="00291382">
              <w:rPr>
                <w:rFonts w:ascii="Arial" w:hAnsi="Arial"/>
                <w:noProof/>
                <w:sz w:val="24"/>
              </w:rPr>
              <w:t xml:space="preserve">ея, както и за устройството на електроенергийния пазар, управлението на Енергийния съюз и енергийната ефективност, се очаква да доведат до нарастване на дела на ВЕИ. Но ако отсъстват допълнителни политики на ЕС това нарастване няма да е разходоефективно и </w:t>
            </w:r>
            <w:r w:rsidRPr="00291382">
              <w:rPr>
                <w:rFonts w:ascii="Arial" w:hAnsi="Arial"/>
                <w:noProof/>
                <w:sz w:val="24"/>
              </w:rPr>
              <w:t>достатъчно за постигане на приетата цел за ВЕИ на равнището на ЕС.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shd w:val="clear" w:color="auto" w:fill="C9D7E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>Какво следва да бъде постигнато?</w:t>
            </w:r>
            <w:r w:rsidRPr="00291382">
              <w:rPr>
                <w:rFonts w:ascii="Arial" w:hAnsi="Arial"/>
                <w:noProof/>
                <w:sz w:val="24"/>
              </w:rPr>
              <w:t xml:space="preserve"> 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tcBorders>
              <w:top w:val="nil"/>
              <w:bottom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noProof/>
                <w:sz w:val="24"/>
              </w:rPr>
              <w:t xml:space="preserve">В контекста на Стратегията за Енергиен съюз, преразглеждането на Директивата за ВЕИ има четири главни цели: i) да допринесе за ограничаване на </w:t>
            </w:r>
            <w:r w:rsidRPr="00291382">
              <w:rPr>
                <w:rFonts w:ascii="Arial" w:hAnsi="Arial"/>
                <w:noProof/>
                <w:sz w:val="24"/>
              </w:rPr>
              <w:t>увеличението на средната глобална температура до не повече от 2°С, с оглед да се постигне това увеличение да е в рамите на 1,5°, в съответствие с поет</w:t>
            </w:r>
            <w:bookmarkStart w:id="1" w:name="_GoBack"/>
            <w:bookmarkEnd w:id="1"/>
            <w:r w:rsidRPr="00291382">
              <w:rPr>
                <w:rFonts w:ascii="Arial" w:hAnsi="Arial"/>
                <w:noProof/>
                <w:sz w:val="24"/>
              </w:rPr>
              <w:t>ите от ЕС ангажименти по поставените от Парижката конференция (COP 21) цели;</w:t>
            </w:r>
            <w:r w:rsidRPr="00291382">
              <w:rPr>
                <w:rFonts w:ascii="Arial" w:hAnsi="Arial"/>
                <w:noProof/>
                <w:sz w:val="24"/>
                <w:vertAlign w:val="superscript"/>
              </w:rPr>
              <w:t xml:space="preserve"> </w:t>
            </w:r>
            <w:r w:rsidRPr="00291382">
              <w:rPr>
                <w:rFonts w:ascii="Arial" w:hAnsi="Arial"/>
                <w:noProof/>
                <w:sz w:val="24"/>
              </w:rPr>
              <w:t xml:space="preserve"> ii) да постигне по разходоеф</w:t>
            </w:r>
            <w:r w:rsidRPr="00291382">
              <w:rPr>
                <w:rFonts w:ascii="Arial" w:hAnsi="Arial"/>
                <w:noProof/>
                <w:sz w:val="24"/>
              </w:rPr>
              <w:t>ективен начин целта за поне 27- процентов дял на ВЕИ в ЕС; iii) да подобри енергийната сигурност на икономиката на ЕС, като намали нейната зависимост от внос; iv) да допринесе за превръщането ни в световен лидер в областта на ВЕИ и в глобален център за раз</w:t>
            </w:r>
            <w:r w:rsidRPr="00291382">
              <w:rPr>
                <w:rFonts w:ascii="Arial" w:hAnsi="Arial"/>
                <w:noProof/>
                <w:sz w:val="24"/>
              </w:rPr>
              <w:t>работването на модерни и конкурентоспособни технологии за ВЕИ.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shd w:val="clear" w:color="auto" w:fill="C9D7E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>Каква е добавената стойност от действия на равнището на ЕС (субсидиарност)?</w:t>
            </w:r>
            <w:r w:rsidRPr="00291382">
              <w:rPr>
                <w:rFonts w:ascii="Arial" w:hAnsi="Arial"/>
                <w:noProof/>
                <w:sz w:val="24"/>
              </w:rPr>
              <w:t xml:space="preserve"> 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tcBorders>
              <w:top w:val="nil"/>
              <w:bottom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noProof/>
                <w:sz w:val="24"/>
              </w:rPr>
              <w:t xml:space="preserve">Поради наличието на специфична неефективност на пазара и съответни препятствия съществува необходимост от политики на равнището на ЕС, за да може да бъде </w:t>
            </w:r>
            <w:r w:rsidRPr="00291382">
              <w:rPr>
                <w:rFonts w:ascii="Arial" w:hAnsi="Arial"/>
                <w:b/>
                <w:noProof/>
                <w:sz w:val="24"/>
              </w:rPr>
              <w:t>колективно</w:t>
            </w:r>
            <w:r w:rsidRPr="00291382">
              <w:rPr>
                <w:rFonts w:ascii="Arial" w:hAnsi="Arial"/>
                <w:noProof/>
                <w:sz w:val="24"/>
              </w:rPr>
              <w:t xml:space="preserve"> постигната от държавите членки целта за поне 27-процентов дял на ВЕИ, съответно по най-разх</w:t>
            </w:r>
            <w:r w:rsidRPr="00291382">
              <w:rPr>
                <w:rFonts w:ascii="Arial" w:hAnsi="Arial"/>
                <w:noProof/>
                <w:sz w:val="24"/>
              </w:rPr>
              <w:t xml:space="preserve">одоефектвивен и съпроводен с минимални смущения начин. </w:t>
            </w:r>
            <w:r w:rsidRPr="00291382">
              <w:rPr>
                <w:rFonts w:ascii="Arial" w:hAnsi="Arial"/>
                <w:noProof/>
                <w:sz w:val="24"/>
              </w:rPr>
              <w:t xml:space="preserve"> Предприемането на действие на равнището на ЕС ще създаде сигурност сред инвеститорите във връзка с обхващаща целия ЕС регулаторна рамка, ще осигури последователни и разходоефективни реализации в облас</w:t>
            </w:r>
            <w:r w:rsidRPr="00291382">
              <w:rPr>
                <w:rFonts w:ascii="Arial" w:hAnsi="Arial"/>
                <w:noProof/>
                <w:sz w:val="24"/>
              </w:rPr>
              <w:t xml:space="preserve">тта ВЕИ в ЕС и ефективно действие на вътрешноевропейския енергиен пазар при същевременно зачитане на потенциала на държавите членки да развиват различни форми на ВЕИ в съответствие с избрания от тях енергиен </w:t>
            </w:r>
            <w:r w:rsidRPr="00291382">
              <w:rPr>
                <w:rFonts w:ascii="Arial" w:hAnsi="Arial"/>
                <w:noProof/>
                <w:sz w:val="24"/>
              </w:rPr>
              <w:t>микс.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shd w:val="clear" w:color="auto" w:fill="C9D7E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>Б. Решения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shd w:val="clear" w:color="auto" w:fill="C9D7E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 xml:space="preserve">Какви са различните варианти </w:t>
            </w:r>
            <w:r w:rsidRPr="00291382">
              <w:rPr>
                <w:rFonts w:ascii="Arial" w:hAnsi="Arial"/>
                <w:b/>
                <w:noProof/>
                <w:sz w:val="24"/>
              </w:rPr>
              <w:t xml:space="preserve">за постигане на целите? Има ли сред тях </w:t>
            </w:r>
            <w:r w:rsidRPr="00291382">
              <w:rPr>
                <w:rFonts w:ascii="Arial" w:hAnsi="Arial"/>
                <w:b/>
                <w:noProof/>
                <w:sz w:val="24"/>
              </w:rPr>
              <w:lastRenderedPageBreak/>
              <w:t>предпочитан вариант? Ако няма такъв, каква е причината?</w:t>
            </w:r>
            <w:r w:rsidRPr="00291382">
              <w:rPr>
                <w:rFonts w:ascii="Arial" w:hAnsi="Arial"/>
                <w:noProof/>
                <w:sz w:val="24"/>
              </w:rPr>
              <w:t xml:space="preserve"> 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tcBorders>
              <w:top w:val="nil"/>
              <w:bottom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noProof/>
                <w:sz w:val="24"/>
              </w:rPr>
              <w:t>Разгледани бяха варианти за законодателни и незаконодателни действия за насърчаване на реализациите в областта на ВЕИ. При оценката на въздействието (ОВ) бе н</w:t>
            </w:r>
            <w:r w:rsidRPr="00291382">
              <w:rPr>
                <w:rFonts w:ascii="Arial" w:hAnsi="Arial"/>
                <w:noProof/>
                <w:sz w:val="24"/>
              </w:rPr>
              <w:t>аправен подробен анализ на всички варианти с подход на постепенно нарастване, като се започне от базовия сценарий (Вариант 0) и се стигне до по-широкообхватни европейски мерки. Предпочитани варианти не бяха избрани, за да се запази политическата свобода на</w:t>
            </w:r>
            <w:r w:rsidRPr="00291382">
              <w:rPr>
                <w:rFonts w:ascii="Arial" w:hAnsi="Arial"/>
                <w:noProof/>
                <w:sz w:val="24"/>
              </w:rPr>
              <w:t xml:space="preserve"> действие на Комисията да може да избира между вариантите в следните пет области:</w:t>
            </w:r>
          </w:p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noProof/>
                <w:sz w:val="24"/>
              </w:rPr>
              <w:t xml:space="preserve">i) </w:t>
            </w:r>
            <w:r w:rsidRPr="00291382">
              <w:rPr>
                <w:rFonts w:ascii="Arial" w:hAnsi="Arial"/>
                <w:noProof/>
                <w:sz w:val="24"/>
                <w:u w:val="single"/>
              </w:rPr>
              <w:t>Варианти за увеличаване на дела на ВЕИ в електроенергийния сектор (ВЕИ-Е)</w:t>
            </w:r>
          </w:p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 xml:space="preserve">Обща европейска рамка за схемите за подпомагане: </w:t>
            </w:r>
            <w:r w:rsidRPr="00291382">
              <w:rPr>
                <w:rFonts w:ascii="Arial" w:hAnsi="Arial"/>
                <w:noProof/>
                <w:sz w:val="24"/>
              </w:rPr>
              <w:t>1 използване само на пазарни механизми; 2 изясня</w:t>
            </w:r>
            <w:r w:rsidRPr="00291382">
              <w:rPr>
                <w:rFonts w:ascii="Arial" w:hAnsi="Arial"/>
                <w:noProof/>
                <w:sz w:val="24"/>
              </w:rPr>
              <w:t xml:space="preserve">ване на правилата чрез консултативен инструментариум; 3 задължително насочване към подпомагането на инвестиции. </w:t>
            </w:r>
          </w:p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 xml:space="preserve">По-координиран регионален подход: </w:t>
            </w:r>
            <w:r w:rsidRPr="00291382">
              <w:rPr>
                <w:rFonts w:ascii="Arial" w:hAnsi="Arial"/>
                <w:noProof/>
                <w:sz w:val="24"/>
              </w:rPr>
              <w:t xml:space="preserve">1 задължителна регионална помощ; 2 задължително частично отваряне на схемите за подпомагане за трансгранично </w:t>
            </w:r>
            <w:r w:rsidRPr="00291382">
              <w:rPr>
                <w:rFonts w:ascii="Arial" w:hAnsi="Arial"/>
                <w:noProof/>
                <w:sz w:val="24"/>
              </w:rPr>
              <w:t>участие.</w:t>
            </w:r>
          </w:p>
          <w:p w:rsidR="002A5AD7" w:rsidRPr="00291382" w:rsidRDefault="00291382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 xml:space="preserve">Насочен към ВЕИ финансов инструмент: </w:t>
            </w:r>
            <w:r w:rsidRPr="00291382">
              <w:rPr>
                <w:rFonts w:ascii="Arial" w:hAnsi="Arial"/>
                <w:noProof/>
                <w:sz w:val="24"/>
              </w:rPr>
              <w:t>1 финансов инструмент на равнището на ЕС със широкодостъпни критерии за допустимост; 2 финансов инструмент на равнището на ЕС за подпомагане на рискови проекти в областта на ВЕИ.</w:t>
            </w:r>
          </w:p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 xml:space="preserve">Опростяване на административни </w:t>
            </w:r>
            <w:r w:rsidRPr="00291382">
              <w:rPr>
                <w:rFonts w:ascii="Arial" w:hAnsi="Arial"/>
                <w:b/>
                <w:noProof/>
                <w:sz w:val="24"/>
              </w:rPr>
              <w:t>процедури</w:t>
            </w:r>
            <w:r w:rsidRPr="00291382">
              <w:rPr>
                <w:rFonts w:ascii="Arial" w:hAnsi="Arial"/>
                <w:noProof/>
                <w:sz w:val="24"/>
              </w:rPr>
              <w:t>: 1 засилване на разпоредбите за „обслужване на едно гише“, времеви периоди и улеснени процедури за подобряващо заменяне на ВЕИ инсталации; 2 въвеждане на срокове за разрешителните процедури, както и автоматично одобряване и режим на обикновено ув</w:t>
            </w:r>
            <w:r w:rsidRPr="00291382">
              <w:rPr>
                <w:rFonts w:ascii="Arial" w:hAnsi="Arial"/>
                <w:noProof/>
                <w:sz w:val="24"/>
              </w:rPr>
              <w:t>едомяване за малките проекти.</w:t>
            </w:r>
          </w:p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u w:val="single"/>
              </w:rPr>
            </w:pPr>
            <w:r w:rsidRPr="00291382">
              <w:rPr>
                <w:rFonts w:ascii="Arial" w:hAnsi="Arial"/>
                <w:noProof/>
                <w:sz w:val="24"/>
              </w:rPr>
              <w:t xml:space="preserve">ii) </w:t>
            </w:r>
            <w:r w:rsidRPr="00291382">
              <w:rPr>
                <w:rFonts w:ascii="Arial" w:hAnsi="Arial"/>
                <w:noProof/>
                <w:sz w:val="24"/>
                <w:u w:val="single"/>
              </w:rPr>
              <w:t>Варианти за увеличаване на дела на ВЕИ в сектора на отоплението и охлаждането (ВЕИ-ОВК)</w:t>
            </w:r>
          </w:p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 xml:space="preserve">Насочване на ВЕИ към сектора на отоплението и охлаждането: </w:t>
            </w:r>
            <w:r w:rsidRPr="00291382">
              <w:rPr>
                <w:rFonts w:ascii="Arial" w:hAnsi="Arial"/>
                <w:noProof/>
                <w:sz w:val="24"/>
              </w:rPr>
              <w:t xml:space="preserve">1 задължение за ВЕИ дял на доставчиците на изкопаеми горива в сектора на </w:t>
            </w:r>
            <w:r w:rsidRPr="00291382">
              <w:rPr>
                <w:rFonts w:ascii="Arial" w:hAnsi="Arial"/>
                <w:noProof/>
                <w:sz w:val="24"/>
              </w:rPr>
              <w:t>отоплението и охлаждането; 2 същото задължение за всички доставчици на горива.</w:t>
            </w:r>
          </w:p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 xml:space="preserve">Улесняване на използването на ВЕИ и на отпадна топлина в системите за топлоснабдаване и студоснабдяване: </w:t>
            </w:r>
            <w:r w:rsidRPr="00291382">
              <w:rPr>
                <w:rFonts w:ascii="Arial" w:hAnsi="Arial"/>
                <w:noProof/>
                <w:sz w:val="24"/>
              </w:rPr>
              <w:t>1 споделяне на най-добри практики; 2 сертификати за енергийни показатели</w:t>
            </w:r>
            <w:r w:rsidRPr="00291382">
              <w:rPr>
                <w:rFonts w:ascii="Arial" w:hAnsi="Arial"/>
                <w:noProof/>
                <w:sz w:val="24"/>
              </w:rPr>
              <w:t xml:space="preserve"> и създаване на достъп до локално отопление и охлаждане; 3 мерки по рамката 2 + за засилени допълнителни права на потребителите.</w:t>
            </w:r>
          </w:p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noProof/>
                <w:sz w:val="24"/>
              </w:rPr>
              <w:t xml:space="preserve">iii) </w:t>
            </w:r>
            <w:r w:rsidRPr="00291382">
              <w:rPr>
                <w:rFonts w:ascii="Arial" w:hAnsi="Arial"/>
                <w:noProof/>
                <w:sz w:val="24"/>
                <w:u w:val="single"/>
              </w:rPr>
              <w:t>Варианти за увеличаване на ВЕИ в транспортния сектор (ВЕИ-T)</w:t>
            </w:r>
            <w:r w:rsidRPr="00291382">
              <w:rPr>
                <w:rFonts w:ascii="Arial" w:hAnsi="Arial"/>
                <w:noProof/>
                <w:sz w:val="24"/>
              </w:rPr>
              <w:t>:</w:t>
            </w:r>
          </w:p>
          <w:p w:rsidR="002A5AD7" w:rsidRPr="00291382" w:rsidRDefault="00291382">
            <w:pPr>
              <w:jc w:val="both"/>
              <w:rPr>
                <w:rFonts w:ascii="Arial" w:hAnsi="Arial" w:cs="Arial"/>
                <w:noProof/>
                <w:sz w:val="24"/>
                <w:szCs w:val="24"/>
                <w:highlight w:val="yellow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>Насочване на ВЕИ към транспортния сектор:</w:t>
            </w:r>
            <w:r w:rsidRPr="00291382">
              <w:rPr>
                <w:rFonts w:ascii="Arial" w:hAnsi="Arial"/>
                <w:noProof/>
                <w:sz w:val="24"/>
              </w:rPr>
              <w:t xml:space="preserve"> 1 задължение на ра</w:t>
            </w:r>
            <w:r w:rsidRPr="00291382">
              <w:rPr>
                <w:rFonts w:ascii="Arial" w:hAnsi="Arial"/>
                <w:noProof/>
                <w:sz w:val="24"/>
              </w:rPr>
              <w:t>внището на ЕС за включване на дял на възобновяеми горива от нови поколения; 2 задължение на равнището на ЕС за включване на дял на всички консумирани за транспортни цели възобновяеми горива плюс постепенно намаляване на биогоривата, произвеждани от храните</w:t>
            </w:r>
            <w:r w:rsidRPr="00291382">
              <w:rPr>
                <w:rFonts w:ascii="Arial" w:hAnsi="Arial"/>
                <w:noProof/>
                <w:sz w:val="24"/>
              </w:rPr>
              <w:t>лни суровини (подварианти: 2А — частично намаляване на базиращите се на хранителни суровини биогорива до 2030 г. 2B — цялостно спиране на тези биогорива до 2030 г. 2C — по-бързо спиране на базиращия се на хранителни суровини биодизел и изисквания за по-гол</w:t>
            </w:r>
            <w:r w:rsidRPr="00291382">
              <w:rPr>
                <w:rFonts w:ascii="Arial" w:hAnsi="Arial"/>
                <w:noProof/>
                <w:sz w:val="24"/>
              </w:rPr>
              <w:t>еми намаления на емисиите на парникови газове към 2030 г.); 3 предишните варианти плюс специално задължение на равнището на ЕС за включване на дял на възобновяемите горива в авиацията и морския транспорт. Задължение за намаляване на емисиите на парникови г</w:t>
            </w:r>
            <w:r w:rsidRPr="00291382">
              <w:rPr>
                <w:rFonts w:ascii="Arial" w:hAnsi="Arial"/>
                <w:noProof/>
                <w:sz w:val="24"/>
              </w:rPr>
              <w:t>азове (подварианти:</w:t>
            </w:r>
            <w:r w:rsidRPr="00291382">
              <w:rPr>
                <w:rFonts w:ascii="Arial" w:hAnsi="Arial"/>
                <w:b/>
                <w:noProof/>
                <w:sz w:val="24"/>
              </w:rPr>
              <w:t xml:space="preserve"> </w:t>
            </w:r>
            <w:r w:rsidRPr="00291382">
              <w:rPr>
                <w:rFonts w:ascii="Arial" w:hAnsi="Arial"/>
                <w:noProof/>
                <w:sz w:val="24"/>
              </w:rPr>
              <w:t>4B общо задължение за намаляване на емисиите на парникови газове във връзка с горивата и електроенергията; 4C задължение за намаляване на емисиите на парникови газове чрез горива от нови поколения и електроенергия; 4D горива от нови пок</w:t>
            </w:r>
            <w:r w:rsidRPr="00291382">
              <w:rPr>
                <w:rFonts w:ascii="Arial" w:hAnsi="Arial"/>
                <w:noProof/>
                <w:sz w:val="24"/>
              </w:rPr>
              <w:t xml:space="preserve">оления, електроенергия и конвенционални горива с по-малки емисии на парникови газове). </w:t>
            </w:r>
          </w:p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u w:val="single"/>
              </w:rPr>
            </w:pPr>
            <w:r w:rsidRPr="00291382">
              <w:rPr>
                <w:rFonts w:ascii="Arial" w:hAnsi="Arial"/>
                <w:noProof/>
                <w:sz w:val="24"/>
              </w:rPr>
              <w:t xml:space="preserve">iv) </w:t>
            </w:r>
            <w:r w:rsidRPr="00291382">
              <w:rPr>
                <w:rFonts w:ascii="Arial" w:hAnsi="Arial"/>
                <w:noProof/>
                <w:sz w:val="24"/>
                <w:u w:val="single"/>
              </w:rPr>
              <w:t>Варианти за увеличаване на правата и за информиране на потребителите на ВЕИ:</w:t>
            </w:r>
          </w:p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>Осигуряване на права на потребителите да генерират, да използват за собствена консумаци</w:t>
            </w:r>
            <w:r w:rsidRPr="00291382">
              <w:rPr>
                <w:rFonts w:ascii="Arial" w:hAnsi="Arial"/>
                <w:b/>
                <w:noProof/>
                <w:sz w:val="24"/>
              </w:rPr>
              <w:t xml:space="preserve">я и да акумулират електроенергия от ВЕИ: </w:t>
            </w:r>
            <w:r w:rsidRPr="00291382">
              <w:rPr>
                <w:rFonts w:ascii="Arial" w:hAnsi="Arial"/>
                <w:noProof/>
                <w:sz w:val="24"/>
              </w:rPr>
              <w:t xml:space="preserve"> 1 указания на равнището на ЕС относно консумирането и акумулирането на собствена енергия; 2 осигуряване на права на потребителите да генерират, да използват за собствена консумация и да акумулират електроенергия от</w:t>
            </w:r>
            <w:r w:rsidRPr="00291382">
              <w:rPr>
                <w:rFonts w:ascii="Arial" w:hAnsi="Arial"/>
                <w:noProof/>
                <w:sz w:val="24"/>
              </w:rPr>
              <w:t xml:space="preserve"> ВЕИ; 3 дистанционно консумиране на собствена енергия от общини.  </w:t>
            </w:r>
          </w:p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 xml:space="preserve">Разкриване на информация за произхода на електроенергията от ВЕИ: </w:t>
            </w:r>
            <w:r w:rsidRPr="00291382">
              <w:rPr>
                <w:rFonts w:ascii="Arial" w:hAnsi="Arial"/>
                <w:noProof/>
                <w:sz w:val="24"/>
              </w:rPr>
              <w:t>1 укрепване на системата за гаранции за произход; 2 мерки по точка 1 + задължително разкриване на гаранциите за произход; 3</w:t>
            </w:r>
            <w:r w:rsidRPr="00291382">
              <w:rPr>
                <w:rFonts w:ascii="Arial" w:hAnsi="Arial"/>
                <w:noProof/>
                <w:sz w:val="24"/>
              </w:rPr>
              <w:t xml:space="preserve"> мерки по точка 2 + разширяване на обхвата на гаранциите за произход, така че да включва всички енергийни източници за електропроизводство.</w:t>
            </w:r>
          </w:p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>Проследяване на възобновяемите горива в областта на отоплението, охлаждането и транспорта</w:t>
            </w:r>
            <w:r w:rsidRPr="00291382">
              <w:rPr>
                <w:rFonts w:ascii="Arial" w:hAnsi="Arial"/>
                <w:noProof/>
                <w:sz w:val="24"/>
              </w:rPr>
              <w:t xml:space="preserve">: 1 гаранции за произход с </w:t>
            </w:r>
            <w:r w:rsidRPr="00291382">
              <w:rPr>
                <w:rFonts w:ascii="Arial" w:hAnsi="Arial"/>
                <w:noProof/>
                <w:sz w:val="24"/>
              </w:rPr>
              <w:t>разширен обхват, включващ и възобновяеми газови горива; 2 гаранции за произход с разширен обхват, включващ и възобновяеми течни и газови горива; 3 разработване на алтернативна система за проследяване на възобновяемите течни и газови горива.</w:t>
            </w:r>
          </w:p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u w:val="single"/>
              </w:rPr>
            </w:pPr>
            <w:r w:rsidRPr="00291382">
              <w:rPr>
                <w:rFonts w:ascii="Arial" w:hAnsi="Arial"/>
                <w:noProof/>
                <w:sz w:val="24"/>
              </w:rPr>
              <w:t xml:space="preserve">v) </w:t>
            </w:r>
            <w:r w:rsidRPr="00291382">
              <w:rPr>
                <w:rFonts w:ascii="Arial" w:hAnsi="Arial"/>
                <w:noProof/>
                <w:sz w:val="24"/>
                <w:u w:val="single"/>
              </w:rPr>
              <w:t xml:space="preserve">Варианти за </w:t>
            </w:r>
            <w:r w:rsidRPr="00291382">
              <w:rPr>
                <w:rFonts w:ascii="Arial" w:hAnsi="Arial"/>
                <w:noProof/>
                <w:sz w:val="24"/>
                <w:u w:val="single"/>
              </w:rPr>
              <w:t>осигуряване на постигането на целта за поне 27-процентов дял на ВЕИ в 2030 г.:</w:t>
            </w:r>
          </w:p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>национални цели за 2020 г.</w:t>
            </w:r>
            <w:r w:rsidRPr="00291382">
              <w:rPr>
                <w:rFonts w:ascii="Arial" w:hAnsi="Arial"/>
                <w:noProof/>
                <w:sz w:val="24"/>
              </w:rPr>
              <w:t xml:space="preserve"> националните цели за 2020 г. като база или като базова линия.</w:t>
            </w:r>
          </w:p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>Крива на нарастване:</w:t>
            </w:r>
            <w:r w:rsidRPr="00291382">
              <w:rPr>
                <w:rFonts w:ascii="Arial" w:hAnsi="Arial"/>
                <w:noProof/>
                <w:sz w:val="24"/>
              </w:rPr>
              <w:t xml:space="preserve"> линейна или нелинейна.</w:t>
            </w:r>
          </w:p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 xml:space="preserve">Механизми за предотвратяване на недостиг на </w:t>
            </w:r>
            <w:r w:rsidRPr="00291382">
              <w:rPr>
                <w:rFonts w:ascii="Arial" w:hAnsi="Arial"/>
                <w:b/>
                <w:noProof/>
                <w:sz w:val="24"/>
              </w:rPr>
              <w:t>амбиция във връзка с постигането на европейската цел за ВЕИ</w:t>
            </w:r>
            <w:r w:rsidRPr="00291382">
              <w:rPr>
                <w:rFonts w:ascii="Arial" w:hAnsi="Arial"/>
                <w:noProof/>
                <w:sz w:val="24"/>
              </w:rPr>
              <w:t>: 1 преглед на амбициозността на националните планове; 2 включване на клауза за преразглеждане, с оглед предлагане на по-късен етап на допълнителни механизми на ЕС за осигуряване на реализации, ако</w:t>
            </w:r>
            <w:r w:rsidRPr="00291382">
              <w:rPr>
                <w:rFonts w:ascii="Arial" w:hAnsi="Arial"/>
                <w:noProof/>
                <w:sz w:val="24"/>
              </w:rPr>
              <w:t xml:space="preserve"> това се окаже необходимо; 3 увеличаване на амбициозността на мерките, обхващащи целия ЕС; 4 въвеждане на обвързващи национални цели.</w:t>
            </w:r>
          </w:p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>Предотвратяване и запълване на недостиг на реализациите</w:t>
            </w:r>
            <w:r w:rsidRPr="00291382">
              <w:rPr>
                <w:rFonts w:ascii="Arial" w:hAnsi="Arial"/>
                <w:noProof/>
                <w:sz w:val="24"/>
              </w:rPr>
              <w:t xml:space="preserve">: 1 преразглеждане на националните планове; 2 включване на клауза </w:t>
            </w:r>
            <w:r w:rsidRPr="00291382">
              <w:rPr>
                <w:rFonts w:ascii="Arial" w:hAnsi="Arial"/>
                <w:noProof/>
                <w:sz w:val="24"/>
              </w:rPr>
              <w:t>за преразглеждане, с оглед предлагане на по-късен етап на допълнителни механизми на ЕС за осигуряване на реализации, ако това се окаже необходимо; 3 увеличаване на амбициозността на мерките, обхващащи целия ЕС; 4 въвеждане на обвързващи национални цели.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shd w:val="clear" w:color="auto" w:fill="C9D7E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 xml:space="preserve">Какви са гледищата на различните заинтересовани лица? Кой подкрепя различните варианти? 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tcBorders>
              <w:top w:val="nil"/>
              <w:bottom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noProof/>
                <w:sz w:val="24"/>
              </w:rPr>
              <w:t>Проведено бе публично онлайн обсъждане от 18 ноември 2015 г. до 10 февруари 2016 г. То потвърди наличието на широк консенсус сред държавите членки, неправителствени о</w:t>
            </w:r>
            <w:r w:rsidRPr="00291382">
              <w:rPr>
                <w:rFonts w:ascii="Arial" w:hAnsi="Arial"/>
                <w:noProof/>
                <w:sz w:val="24"/>
              </w:rPr>
              <w:t>рганизации и мозъчни тръстове, инвеститори и асоциации, по отношение на необходимостта от стабилна и предсказуема нормативна рамка на ЕС в областта на ВЕИ, а също и на важното значение на определянето на мерки за ВЕИ-Е, ВЕИ-ОВК и ВЕИ-Т, на по-голямото учас</w:t>
            </w:r>
            <w:r w:rsidRPr="00291382">
              <w:rPr>
                <w:rFonts w:ascii="Arial" w:hAnsi="Arial"/>
                <w:noProof/>
                <w:sz w:val="24"/>
              </w:rPr>
              <w:t xml:space="preserve">тие на потребителите във вътрешния енергиен пазар, на отстраняването на административни препятствията и на постигането на обвързващата цел за поне 27-процентен дял на ВЕИ. </w:t>
            </w:r>
            <w:r w:rsidRPr="00291382">
              <w:rPr>
                <w:rFonts w:ascii="Arial" w:hAnsi="Arial"/>
                <w:b/>
                <w:noProof/>
                <w:sz w:val="24"/>
              </w:rPr>
              <w:t>Всички заинтересовани страни</w:t>
            </w:r>
            <w:r w:rsidRPr="00291382">
              <w:rPr>
                <w:rFonts w:ascii="Arial" w:hAnsi="Arial"/>
                <w:noProof/>
                <w:sz w:val="24"/>
              </w:rPr>
              <w:t xml:space="preserve"> изразиха общо съгласие за необходимостта от подобряване</w:t>
            </w:r>
            <w:r w:rsidRPr="00291382">
              <w:rPr>
                <w:rFonts w:ascii="Arial" w:hAnsi="Arial"/>
                <w:noProof/>
                <w:sz w:val="24"/>
              </w:rPr>
              <w:t xml:space="preserve"> на развитието на инфраструктурата, особено във връзка с интелигентните мрежи и системите за акумулиране на енергия.</w:t>
            </w:r>
          </w:p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>Държавите членки</w:t>
            </w:r>
            <w:r w:rsidRPr="00291382">
              <w:rPr>
                <w:rFonts w:ascii="Arial" w:hAnsi="Arial"/>
                <w:noProof/>
                <w:sz w:val="24"/>
              </w:rPr>
              <w:t xml:space="preserve"> изтъкнаха ангажимента за намаляване на емисиите на парникови газове, както и на необходимостта да се постигне разделяне на</w:t>
            </w:r>
            <w:r w:rsidRPr="00291382">
              <w:rPr>
                <w:rFonts w:ascii="Arial" w:hAnsi="Arial"/>
                <w:noProof/>
                <w:sz w:val="24"/>
              </w:rPr>
              <w:t xml:space="preserve"> тенденциите на емисиите и на икономическия растеж, а също и жизнеспособност на реализациите в областта на ВЕИ. Някои </w:t>
            </w:r>
            <w:r w:rsidRPr="00291382">
              <w:rPr>
                <w:rFonts w:ascii="Arial" w:hAnsi="Arial"/>
                <w:b/>
                <w:noProof/>
                <w:sz w:val="24"/>
              </w:rPr>
              <w:t>държави членки</w:t>
            </w:r>
            <w:r w:rsidRPr="00291382">
              <w:rPr>
                <w:rFonts w:ascii="Arial" w:hAnsi="Arial"/>
                <w:noProof/>
                <w:sz w:val="24"/>
              </w:rPr>
              <w:t xml:space="preserve"> подчертаха ролята на ВЕИ за постигане на енергийна сигурност и намаляване на зависимостта от внос. </w:t>
            </w:r>
            <w:r w:rsidRPr="00291382">
              <w:rPr>
                <w:rFonts w:ascii="Arial" w:hAnsi="Arial"/>
                <w:b/>
                <w:noProof/>
                <w:sz w:val="24"/>
              </w:rPr>
              <w:t>Представителите на отрас</w:t>
            </w:r>
            <w:r w:rsidRPr="00291382">
              <w:rPr>
                <w:rFonts w:ascii="Arial" w:hAnsi="Arial"/>
                <w:b/>
                <w:noProof/>
                <w:sz w:val="24"/>
              </w:rPr>
              <w:t>ъла</w:t>
            </w:r>
            <w:r w:rsidRPr="00291382">
              <w:rPr>
                <w:rFonts w:ascii="Arial" w:hAnsi="Arial"/>
                <w:noProof/>
                <w:sz w:val="24"/>
              </w:rPr>
              <w:t xml:space="preserve"> изтъкнаха необходимостта от такъв пазар, който да е подходящ за ВЕИ, посредством интегриране на пазарите, засилен режим за дългосрочна закрила на инвестициите, стабилна регулаторна рамка, която да стимулира иновациите, осигуряване на икономическа жизне</w:t>
            </w:r>
            <w:r w:rsidRPr="00291382">
              <w:rPr>
                <w:rFonts w:ascii="Arial" w:hAnsi="Arial"/>
                <w:noProof/>
                <w:sz w:val="24"/>
              </w:rPr>
              <w:t xml:space="preserve">способност и подобряване на конкурентоспособността на равнището на ЕС. </w:t>
            </w:r>
            <w:r w:rsidRPr="00291382">
              <w:rPr>
                <w:rFonts w:ascii="Arial" w:hAnsi="Arial"/>
                <w:b/>
                <w:noProof/>
                <w:sz w:val="24"/>
              </w:rPr>
              <w:t xml:space="preserve">Неправителствените организации </w:t>
            </w:r>
            <w:r w:rsidRPr="00291382">
              <w:rPr>
                <w:rFonts w:ascii="Arial" w:hAnsi="Arial"/>
                <w:noProof/>
                <w:sz w:val="24"/>
              </w:rPr>
              <w:t>изтъкнаха важното значение на създаването на права на гражданите за увеличаване на децентрализацията, както и увеличаване на правата на местните общности,</w:t>
            </w:r>
            <w:r w:rsidRPr="00291382">
              <w:rPr>
                <w:rFonts w:ascii="Arial" w:hAnsi="Arial"/>
                <w:noProof/>
                <w:sz w:val="24"/>
              </w:rPr>
              <w:t xml:space="preserve"> което стимулира общественото одобрение на бъдещи схеми. 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shd w:val="clear" w:color="auto" w:fill="C9D7E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>В. Въздействие на предпочетения вариант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shd w:val="clear" w:color="auto" w:fill="C9D7E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>Какви са предимствата на предпочетения вариант (ако има такъв; в противен случай — на основните варианти)?</w:t>
            </w:r>
            <w:r w:rsidRPr="00291382">
              <w:rPr>
                <w:rFonts w:ascii="Arial" w:hAnsi="Arial"/>
                <w:noProof/>
                <w:sz w:val="24"/>
              </w:rPr>
              <w:t xml:space="preserve"> </w:t>
            </w:r>
          </w:p>
        </w:tc>
      </w:tr>
      <w:tr w:rsidR="00291382" w:rsidRPr="00291382">
        <w:trPr>
          <w:trHeight w:val="2561"/>
          <w:tblCellSpacing w:w="15" w:type="dxa"/>
        </w:trPr>
        <w:tc>
          <w:tcPr>
            <w:tcW w:w="4971" w:type="pct"/>
            <w:tcBorders>
              <w:top w:val="nil"/>
              <w:bottom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noProof/>
                <w:sz w:val="24"/>
              </w:rPr>
              <w:t>Понастоящем не е възможно да се направи цялостно количествено изразяване на въздействията и поради това не са избрани предпочетени варианти. Горепосочените варианти с номера от 1 до 4 са благоприятни за преодоляване на несигурността на инвеститорите, подоб</w:t>
            </w:r>
            <w:r w:rsidRPr="00291382">
              <w:rPr>
                <w:rFonts w:ascii="Arial" w:hAnsi="Arial"/>
                <w:noProof/>
                <w:sz w:val="24"/>
              </w:rPr>
              <w:t xml:space="preserve">ряване на икономическата ефективност, противодействие на неефективността на пазара, актуализиране на съществуващата регулаторна рамка и увеличаване на гражданското одобрение. </w:t>
            </w:r>
          </w:p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noProof/>
                <w:sz w:val="24"/>
              </w:rPr>
              <w:t>Прилагането на основните мерки ще способства за постигане от ЕС на целите за нам</w:t>
            </w:r>
            <w:r w:rsidRPr="00291382">
              <w:rPr>
                <w:rFonts w:ascii="Arial" w:hAnsi="Arial"/>
                <w:noProof/>
                <w:sz w:val="24"/>
              </w:rPr>
              <w:t>аляване на емисиите на парникови газове (със съответен принос за необходимото допълнително намаление на емисиите с 5 % в сравнение с прогнозите по референтния сценарий). То може също да допринесе за намаляване на разходите за внос на енергия (кумулативните</w:t>
            </w:r>
            <w:r w:rsidRPr="00291382">
              <w:rPr>
                <w:rFonts w:ascii="Arial" w:hAnsi="Arial"/>
                <w:noProof/>
                <w:sz w:val="24"/>
              </w:rPr>
              <w:t xml:space="preserve"> ефекти от прилагането на мерките по целите за 2030 г. съответстват на намаление на тези разходи с 221 милиарда евро през периода 2021 — 2030 г.) и ще породи и допълнителни ползи, като например общо намаление на разходите за ограничаване на замърсяването и</w:t>
            </w:r>
            <w:r w:rsidRPr="00291382">
              <w:rPr>
                <w:rFonts w:ascii="Arial" w:hAnsi="Arial"/>
                <w:noProof/>
                <w:sz w:val="24"/>
              </w:rPr>
              <w:t xml:space="preserve"> спестяване на разходи за здравеопазване и щети в размер на 12,3 — 19,5 милиарда евро годишно). 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shd w:val="clear" w:color="auto" w:fill="C9D7E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>Какви са разходите за предпочитания вариант (ако има такъв, в противен случай — за основните варианти)?</w:t>
            </w:r>
            <w:r w:rsidRPr="00291382">
              <w:rPr>
                <w:rFonts w:ascii="Arial" w:hAnsi="Arial"/>
                <w:noProof/>
                <w:sz w:val="24"/>
              </w:rPr>
              <w:t xml:space="preserve"> 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tcBorders>
              <w:top w:val="nil"/>
              <w:bottom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noProof/>
                <w:sz w:val="24"/>
              </w:rPr>
              <w:t xml:space="preserve">Основните разработени варианти могат да доведат до </w:t>
            </w:r>
            <w:r w:rsidRPr="00291382">
              <w:rPr>
                <w:rFonts w:ascii="Arial" w:hAnsi="Arial"/>
                <w:noProof/>
                <w:sz w:val="24"/>
              </w:rPr>
              <w:t>социални, икономически и екологични въздействия на равнището на държавите членки. В случаите, при които това бе възможно, тези въздействия бяха изразени количествено.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shd w:val="clear" w:color="auto" w:fill="C9D7E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>Какво е въздействието върху малките и средните предприятия (МСП) и конкурентоспособностт</w:t>
            </w:r>
            <w:r w:rsidRPr="00291382">
              <w:rPr>
                <w:rFonts w:ascii="Arial" w:hAnsi="Arial"/>
                <w:b/>
                <w:noProof/>
                <w:sz w:val="24"/>
              </w:rPr>
              <w:t xml:space="preserve">а? 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tcBorders>
              <w:top w:val="nil"/>
              <w:bottom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noProof/>
                <w:sz w:val="24"/>
              </w:rPr>
              <w:t>В оценката на въздействието са предвидени специфични изключения за МСП, за да се гарантира, че мерките на ЕС във връзка с целта за 2030 г. ще подобрят тяхната конкурентоспособност (такива изключения са например опростяването на административни процедури,сп</w:t>
            </w:r>
            <w:r w:rsidRPr="00291382">
              <w:rPr>
                <w:rFonts w:ascii="Arial" w:hAnsi="Arial"/>
                <w:noProof/>
                <w:sz w:val="24"/>
              </w:rPr>
              <w:t xml:space="preserve">ециални разпоредби относно публичната помощ, по-широки мерки във връзка с потреблението на собствена енергия). 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shd w:val="clear" w:color="auto" w:fill="C9D7E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>Ще има ли значителни въздействия върху националните бюджети и администрации?</w:t>
            </w:r>
            <w:r w:rsidRPr="00291382">
              <w:rPr>
                <w:rFonts w:ascii="Arial" w:hAnsi="Arial"/>
                <w:noProof/>
                <w:sz w:val="24"/>
              </w:rPr>
              <w:t xml:space="preserve"> </w:t>
            </w:r>
          </w:p>
        </w:tc>
      </w:tr>
      <w:tr w:rsidR="00291382" w:rsidRPr="00291382">
        <w:trPr>
          <w:trHeight w:val="802"/>
          <w:tblCellSpacing w:w="15" w:type="dxa"/>
        </w:trPr>
        <w:tc>
          <w:tcPr>
            <w:tcW w:w="4971" w:type="pct"/>
            <w:tcBorders>
              <w:top w:val="nil"/>
              <w:bottom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noProof/>
                <w:sz w:val="24"/>
              </w:rPr>
              <w:t xml:space="preserve">От държавите членки ще се изисква да дадат свой принос в общото </w:t>
            </w:r>
            <w:r w:rsidRPr="00291382">
              <w:rPr>
                <w:rFonts w:ascii="Arial" w:hAnsi="Arial"/>
                <w:noProof/>
                <w:sz w:val="24"/>
              </w:rPr>
              <w:t>усилие за постигане на приетата на равнището на ЕС цел в областта на ВЕИ посредством мерки, които потенциално биха имали въздействие върху националните бюджети и администрации.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shd w:val="clear" w:color="auto" w:fill="C9D7E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>Г. Последващи действия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shd w:val="clear" w:color="auto" w:fill="C9D7E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b/>
                <w:noProof/>
                <w:sz w:val="24"/>
              </w:rPr>
              <w:t xml:space="preserve">Кога ще бъде следващото преразглеждане на политиката? </w:t>
            </w:r>
          </w:p>
        </w:tc>
      </w:tr>
      <w:tr w:rsidR="00291382" w:rsidRPr="00291382">
        <w:trPr>
          <w:tblCellSpacing w:w="15" w:type="dxa"/>
        </w:trPr>
        <w:tc>
          <w:tcPr>
            <w:tcW w:w="4971" w:type="pct"/>
            <w:tcBorders>
              <w:top w:val="nil"/>
              <w:bottom w:val="single" w:sz="6" w:space="0" w:color="6DAAD9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5AD7" w:rsidRPr="00291382" w:rsidRDefault="0029138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91382">
              <w:rPr>
                <w:rFonts w:ascii="Arial" w:hAnsi="Arial"/>
                <w:noProof/>
                <w:sz w:val="24"/>
              </w:rPr>
              <w:t xml:space="preserve">Някои от разпоредбите на Директивата за ВЕИ реално приключват в края на декември 2020 г., по-специално по отношение на националните обвързващи цели. Оценката на въздействието е насочена към разглеждане на мерките, които биха могли да се включат в </w:t>
            </w:r>
            <w:r w:rsidRPr="00291382">
              <w:rPr>
                <w:rFonts w:ascii="Arial" w:hAnsi="Arial"/>
                <w:noProof/>
                <w:sz w:val="24"/>
              </w:rPr>
              <w:t>Директивата за ВЕИ за периода след 2020 г. В някои варианти е разгледана необходимостта от включване на клаузи за преразглеждане в преразгледаната Директива за ВЕИ, така че да се гарантира подходящ мониторинг и прилагане на прехода от националните обвързва</w:t>
            </w:r>
            <w:r w:rsidRPr="00291382">
              <w:rPr>
                <w:rFonts w:ascii="Arial" w:hAnsi="Arial"/>
                <w:noProof/>
                <w:sz w:val="24"/>
              </w:rPr>
              <w:t>щи цели към целта на ЕС за 2030 г.</w:t>
            </w:r>
          </w:p>
        </w:tc>
      </w:tr>
    </w:tbl>
    <w:p w:rsidR="002A5AD7" w:rsidRPr="00291382" w:rsidRDefault="002A5AD7">
      <w:pPr>
        <w:rPr>
          <w:noProof/>
        </w:rPr>
      </w:pPr>
    </w:p>
    <w:sectPr w:rsidR="002A5AD7" w:rsidRPr="0029138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D7" w:rsidRDefault="00291382">
      <w:r>
        <w:separator/>
      </w:r>
    </w:p>
  </w:endnote>
  <w:endnote w:type="continuationSeparator" w:id="0">
    <w:p w:rsidR="002A5AD7" w:rsidRDefault="0029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382" w:rsidRDefault="002913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D7" w:rsidRDefault="00291382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382" w:rsidRDefault="0029138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D7" w:rsidRDefault="002A5AD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596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1382" w:rsidRPr="00291382" w:rsidRDefault="00291382">
        <w:pPr>
          <w:pStyle w:val="Footer"/>
          <w:jc w:val="center"/>
        </w:pPr>
        <w:r w:rsidRPr="00291382">
          <w:fldChar w:fldCharType="begin"/>
        </w:r>
        <w:r w:rsidRPr="00291382">
          <w:instrText xml:space="preserve"> PAGE   \* MERGEFORMAT </w:instrText>
        </w:r>
        <w:r w:rsidRPr="00291382">
          <w:fldChar w:fldCharType="separate"/>
        </w:r>
        <w:r>
          <w:rPr>
            <w:noProof/>
          </w:rPr>
          <w:t>2</w:t>
        </w:r>
        <w:r w:rsidRPr="00291382">
          <w:rPr>
            <w:noProof/>
          </w:rPr>
          <w:fldChar w:fldCharType="end"/>
        </w:r>
      </w:p>
    </w:sdtContent>
  </w:sdt>
  <w:p w:rsidR="002A5AD7" w:rsidRDefault="002A5AD7"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D7" w:rsidRDefault="002A5AD7">
    <w:pPr>
      <w:pStyle w:val="FooterCover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D7" w:rsidRDefault="00291382">
      <w:r>
        <w:separator/>
      </w:r>
    </w:p>
  </w:footnote>
  <w:footnote w:type="continuationSeparator" w:id="0">
    <w:p w:rsidR="002A5AD7" w:rsidRDefault="00291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382" w:rsidRDefault="002913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382" w:rsidRDefault="002913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382" w:rsidRDefault="0029138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D7" w:rsidRDefault="002A5AD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D7" w:rsidRDefault="002A5AD7">
    <w:pPr>
      <w:pStyle w:val="HeaderCoverPag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D7" w:rsidRDefault="002A5AD7">
    <w:pPr>
      <w:pStyle w:val="HeaderCoverPag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944F8"/>
    <w:multiLevelType w:val="hybridMultilevel"/>
    <w:tmpl w:val="1E68E42A"/>
    <w:lvl w:ilvl="0" w:tplc="C19C2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26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DC7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206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E62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6E1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AA1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881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660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7?\u1088?\u1080?\u1076?\u1088?\u1091?\u1078?\u1072?\u1074?\u1072?\u1097?"/>
    <w:docVar w:name="LW_CONFIDENCE" w:val=" "/>
    <w:docVar w:name="LW_CONST_RESTREINT_UE" w:val="RESTREINT UE"/>
    <w:docVar w:name="LW_CORRIGENDUM" w:val="&lt;UNUSED&gt;"/>
    <w:docVar w:name="LW_COVERPAGE_GUID" w:val="01878F7DC232475F89556BA640F5CD10"/>
    <w:docVar w:name="LW_CROSSREFERENCE" w:val="{COM(2016) 767 final}_x000b_{SWD(2016) 416 final}_x000b_{SWD(2016) 417 final}_x000b_{SWD(2016) 418 final}"/>
    <w:docVar w:name="LW_DocType" w:val="NORMAL"/>
    <w:docVar w:name="LW_EMISSION" w:val="30.11.2016"/>
    <w:docVar w:name="LW_EMISSION_ISODATE" w:val="2016-11-30"/>
    <w:docVar w:name="LW_EMISSION_LOCATION" w:val="BRX"/>
    <w:docVar w:name="LW_EMISSION_PREFIX" w:val="Брюксел, "/>
    <w:docVar w:name="LW_EMISSION_SUFFIX" w:val=" \u1075?."/>
    <w:docVar w:name="LW_ID_DOCTYPE_NONLW" w:val="CP-02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2"/>
    <w:docVar w:name="LW_REF.INST.NEW" w:val="SWD"/>
    <w:docVar w:name="LW_REF.INST.NEW_ADOPTED" w:val="final"/>
    <w:docVar w:name="LW_REF.INST.NEW_TEXT" w:val="(2016) 419"/>
    <w:docVar w:name="LW_REF.INTERNE" w:val="&lt;UNUSED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5?\u1088?\u1077?\u1076?\u1083?\u1086?\u1078?\u1077?\u1085?\u1080?\u1077? \u1079?\u1072? \u1076?\u1080?\u1088?\u1077?\u1082?\u1090?\u1080?\u1074?\u1072? \u1085?\u1072? \u1045?\u1074?\u1088?\u1086?\u1087?\u1077?\u1081?\u1089?\u1082?\u1080?\u1103? \u1087?\u1072?\u1088?\u1083?\u1072?\u1084?\u1077?\u1085?\u1090? \u1080? \u1085?\u1072? \u1057?\u1098?\u1074?\u1077?\u1090?\u1072? \u1079?\u1072? \u1080?\u1079?\u1084?\u1077?\u1085?\u1077?\u1085?\u1080?\u1077? \u1085?\u1072? \u1044?\u1080?\u1088?\u1077?\u1082?\u1090?\u1080?\u1074?\u1072? 2009/28/E\u1054? \u1085?\u1072? \u1045?\u1074?\u1088?\u1086?\u1087?\u1077?\u1081?\u1089?\u1082?\u1080?\u1103? \u1087?\u1072?\u1088?\u1083?\u1072?\u1084?\u1077?\u1085?\u1090? \u1080? \u1085?\u1072? \u1057?\u1098?\u1074?\u1077?\u1090?\u1072? \u1079?\u1072? \u1085?\u1072?\u1089?\u1098?\u1088?\u1095?\u1072?\u1074?\u1072?\u1085?\u1077? \u1080?\u1079?\u1087?\u1086?\u1083?\u1079?\u1074?\u1072?\u1085?\u1077?\u1090?\u1086? \u1085?\u1072? \u1077?\u1085?\u1077?\u1088?\u1075?\u1080?\u1103? \u1086?\u1090? \u1074?\u1098?\u1079?\u1086?\u1073?\u1085?\u1086?\u1074?\u1103?\u1077?\u1084?\u1080? \u1080?\u1079?\u1090?\u1086?\u1095?\u1085?\u1080?\u1094?\u1080?"/>
  </w:docVars>
  <w:rsids>
    <w:rsidRoot w:val="002A5AD7"/>
    <w:rsid w:val="00291382"/>
    <w:rsid w:val="002A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5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0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20B1-8575-43EE-8CD4-C90FFB5A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1775</Words>
  <Characters>11754</Characters>
  <Application>Microsoft Office Word</Application>
  <DocSecurity>0</DocSecurity>
  <Lines>199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Stefanie Heilemann</cp:lastModifiedBy>
  <cp:revision>22</cp:revision>
  <cp:lastPrinted>2016-10-13T16:09:00Z</cp:lastPrinted>
  <dcterms:created xsi:type="dcterms:W3CDTF">2016-10-17T13:24:00Z</dcterms:created>
  <dcterms:modified xsi:type="dcterms:W3CDTF">2017-02-24T11:06:00Z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2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</Properties>
</file>