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2E44255B5444B7C83F0A2212CD51884" style="width:450.15pt;height:307.4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lastRenderedPageBreak/>
        <w:t>като взе предвид:</w:t>
      </w:r>
    </w:p>
    <w:p>
      <w:pPr>
        <w:pStyle w:val="Tiret0"/>
        <w:rPr>
          <w:noProof/>
        </w:rPr>
      </w:pPr>
      <w:r>
        <w:rPr>
          <w:noProof/>
        </w:rPr>
        <w:t>Договора за функционирането на Европейския съюз, и по-специално член 314 от него, във връзка с Договора за създаване на Европейската общност за атомна енергия, и по-специално член 106а от него,</w:t>
      </w:r>
    </w:p>
    <w:p>
      <w:pPr>
        <w:pStyle w:val="Tiret0"/>
        <w:rPr>
          <w:rFonts w:cs="Arial"/>
          <w:noProof/>
          <w:szCs w:val="18"/>
        </w:rPr>
      </w:pPr>
      <w:r>
        <w:rPr>
          <w:noProof/>
        </w:rPr>
        <w:t>Регламент (ЕС, Евратом) № 966/2012 на Европейския парламент и на Съвета от 25 октомври 2012 г. относно финансовите правила, приложими за общия бюджет на Съюза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 18, параграф 3 и член 41 от него,</w:t>
      </w:r>
    </w:p>
    <w:p>
      <w:pPr>
        <w:pStyle w:val="Tiret0"/>
        <w:rPr>
          <w:noProof/>
        </w:rPr>
      </w:pPr>
      <w:r>
        <w:rPr>
          <w:noProof/>
        </w:rPr>
        <w:t>общия бюджет на Европейския съюз за 2017 финансова година, приет на 01 декември 2016 г.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>
      <w:pPr>
        <w:pStyle w:val="Tiret0"/>
        <w:rPr>
          <w:noProof/>
        </w:rPr>
      </w:pPr>
      <w:r>
        <w:rPr>
          <w:noProof/>
        </w:rPr>
        <w:t>коригиращ бюджет № 1/2017</w:t>
      </w:r>
      <w:r>
        <w:rPr>
          <w:rStyle w:val="FootnoteReference"/>
          <w:noProof/>
        </w:rPr>
        <w:footnoteReference w:id="4"/>
      </w:r>
      <w:r>
        <w:rPr>
          <w:noProof/>
        </w:rPr>
        <w:t>, приет на [5] април 2017 г.,</w:t>
      </w:r>
    </w:p>
    <w:p>
      <w:pPr>
        <w:jc w:val="both"/>
        <w:rPr>
          <w:noProof/>
        </w:rPr>
      </w:pPr>
      <w:r>
        <w:rPr>
          <w:noProof/>
        </w:rPr>
        <w:t>С настоящото Европейската комисия представя на Европейския парламент и на Съвета проект на коригиращ бюджет № 2 към бюджета за 2017 г.</w:t>
      </w:r>
    </w:p>
    <w:p>
      <w:pPr>
        <w:rPr>
          <w:b/>
          <w:noProof/>
          <w:u w:val="single"/>
        </w:rPr>
      </w:pPr>
    </w:p>
    <w:p>
      <w:pPr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ПРОМЕНИ В ПРИХОДНАТА И РАЗХОДНАТА ЧАСТ НА БЮДЖЕТА ПО РАЗДЕЛИ</w:t>
      </w:r>
    </w:p>
    <w:p>
      <w:pPr>
        <w:rPr>
          <w:b/>
          <w:noProof/>
          <w:u w:val="single"/>
        </w:rPr>
      </w:pPr>
    </w:p>
    <w:p>
      <w:pPr>
        <w:jc w:val="both"/>
        <w:rPr>
          <w:noProof/>
        </w:rPr>
      </w:pPr>
      <w:r>
        <w:rPr>
          <w:noProof/>
        </w:rPr>
        <w:t>Промените в приходната и разходната част на бюджета по раздели са достъпни в EUR-Lex (</w:t>
      </w:r>
      <w:hyperlink r:id="rId16">
        <w:r>
          <w:rPr>
            <w:rStyle w:val="Hyperlink"/>
            <w:noProof/>
            <w:color w:val="auto"/>
          </w:rPr>
          <w:t>http://eur-lex.europa.eu/budget/www/index-bg.htm</w:t>
        </w:r>
      </w:hyperlink>
      <w:r>
        <w:rPr>
          <w:noProof/>
        </w:rPr>
        <w:t>). За информация като бюджетно приложение се прилага версия на английски език на промените в тези части.</w:t>
      </w:r>
    </w:p>
    <w:p>
      <w:pPr>
        <w:rPr>
          <w:noProof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Exposdesmotifstitre"/>
        <w:rPr>
          <w:noProof/>
        </w:rPr>
      </w:pPr>
      <w:bookmarkStart w:id="2" w:name="_Toc194220890"/>
      <w:bookmarkStart w:id="3" w:name="_Toc294675429"/>
      <w:bookmarkStart w:id="4" w:name="_Toc378575883"/>
      <w:r>
        <w:rPr>
          <w:noProof/>
        </w:rPr>
        <w:t>ОБЯСНИТЕЛЕН МЕМОРАНДУМ</w:t>
      </w:r>
    </w:p>
    <w:p>
      <w:pPr>
        <w:jc w:val="both"/>
        <w:rPr>
          <w:noProof/>
        </w:rPr>
      </w:pPr>
      <w:r>
        <w:rPr>
          <w:noProof/>
        </w:rPr>
        <w:t>Настоящият проект на коригиращ бюджет (ПКБ) № 2/2017 има за цел да бъде включен в бюджета за 2017 г. излишъкът в резултат на изпълнението на 2016 бюджетна година. Съгласно предвиденото във Финансовия регламент, приложим за общия бюджет на Съюза</w:t>
      </w:r>
      <w:r>
        <w:rPr>
          <w:noProof/>
          <w:vertAlign w:val="superscript"/>
        </w:rPr>
        <w:footnoteReference w:id="5"/>
      </w:r>
      <w:r>
        <w:rPr>
          <w:noProof/>
        </w:rPr>
        <w:t>, по силата на член 18, параграф 3 това е единственият предмет на настоящия ПКБ и той трябва да бъде внесен в срок от 15 дни след внасянето на междинните отчети в края на март 2017 г.</w:t>
      </w:r>
    </w:p>
    <w:p>
      <w:pPr>
        <w:pStyle w:val="NumPar1"/>
        <w:rPr>
          <w:noProof/>
        </w:rPr>
      </w:pPr>
      <w:r>
        <w:rPr>
          <w:noProof/>
        </w:rPr>
        <w:t xml:space="preserve">Изпълнението на 2016 бюджетна година показва излишък в размер на 6 404 529 791,03 EUR (без вноските от държавите от Европейската асоциация за свободна търговия (ЕАСТ), които са страна по Споразумението за Европейското икономическо пространство (ЕИП)), </w:t>
      </w:r>
      <w:r>
        <w:rPr>
          <w:noProof/>
          <w:color w:val="000000"/>
        </w:rPr>
        <w:t>който следователно се записва като приход в бюджета за 2017 г.</w:t>
      </w:r>
    </w:p>
    <w:p>
      <w:pPr>
        <w:pStyle w:val="Text1"/>
        <w:spacing w:after="240"/>
        <w:ind w:left="851"/>
        <w:rPr>
          <w:noProof/>
        </w:rPr>
      </w:pPr>
      <w:r>
        <w:rPr>
          <w:noProof/>
        </w:rPr>
        <w:t>Излишъкът е резултат от сбора на елементите, изброени в таблицата по-долу:</w:t>
      </w:r>
    </w:p>
    <w:p>
      <w:pPr>
        <w:pStyle w:val="NormalRight"/>
        <w:keepNext/>
        <w:tabs>
          <w:tab w:val="left" w:pos="9781"/>
        </w:tabs>
        <w:spacing w:before="0" w:after="0"/>
        <w:ind w:right="-58"/>
        <w:rPr>
          <w:noProof/>
        </w:rPr>
      </w:pPr>
      <w:r>
        <w:rPr>
          <w:i/>
          <w:noProof/>
          <w:sz w:val="20"/>
        </w:rPr>
        <w:t>(в EUR)</w:t>
      </w:r>
    </w:p>
    <w:tbl>
      <w:tblPr>
        <w:tblW w:w="9101" w:type="dxa"/>
        <w:jc w:val="right"/>
        <w:tblInd w:w="-492" w:type="dxa"/>
        <w:tblLayout w:type="fixed"/>
        <w:tblLook w:val="0000" w:firstRow="0" w:lastRow="0" w:firstColumn="0" w:lastColumn="0" w:noHBand="0" w:noVBand="0"/>
      </w:tblPr>
      <w:tblGrid>
        <w:gridCol w:w="4063"/>
        <w:gridCol w:w="1680"/>
        <w:gridCol w:w="1657"/>
        <w:gridCol w:w="1701"/>
      </w:tblGrid>
      <w:tr>
        <w:trPr>
          <w:trHeight w:val="396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2016 г.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ЕАСТ—ЕИП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Европейски съюз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Общо</w:t>
            </w:r>
          </w:p>
        </w:tc>
      </w:tr>
      <w:tr>
        <w:trPr>
          <w:trHeight w:val="360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Приходи за финансовата година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393 490 071,00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144 323 275 745,23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144 716 765 816,23</w:t>
            </w:r>
          </w:p>
        </w:tc>
      </w:tr>
      <w:tr>
        <w:trPr>
          <w:trHeight w:val="407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Плащания спрямо бюджетните кредити за текущата година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-389 965 609,25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-134 790 370 338,67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ind w:left="181" w:hanging="181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-135 180 335 947,92</w:t>
            </w:r>
          </w:p>
        </w:tc>
      </w:tr>
      <w:tr>
        <w:trPr>
          <w:trHeight w:val="400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Бюджетни кредити за плащания,</w:t>
            </w:r>
            <w:r>
              <w:rPr>
                <w:noProof/>
              </w:rPr>
              <w:t xml:space="preserve"> </w:t>
            </w:r>
            <w:r>
              <w:rPr>
                <w:rStyle w:val="CommentReference"/>
                <w:noProof/>
              </w:rPr>
              <w:t>пренесени</w:t>
            </w:r>
            <w:r>
              <w:rPr>
                <w:noProof/>
              </w:rPr>
              <w:t xml:space="preserve"> </w:t>
            </w:r>
            <w:r>
              <w:rPr>
                <w:rStyle w:val="CommentReference"/>
                <w:b/>
                <w:noProof/>
              </w:rPr>
              <w:t>за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  <w:color w:val="000000"/>
                <w:sz w:val="16"/>
              </w:rPr>
              <w:t>година N+1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-3 838 251,04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-1 651 142 565,23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-1 654 980 816,27</w:t>
            </w:r>
          </w:p>
        </w:tc>
      </w:tr>
      <w:tr>
        <w:trPr>
          <w:trHeight w:val="494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Отмяна на неусвоените бюджетни кредити, пренесени от година N-1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351 994,52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62 504 192,08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62 856 186,60</w:t>
            </w:r>
          </w:p>
        </w:tc>
      </w:tr>
      <w:tr>
        <w:trPr>
          <w:trHeight w:val="494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i/>
                <w:noProof/>
                <w:color w:val="000000"/>
                <w:sz w:val="16"/>
                <w:szCs w:val="16"/>
              </w:rPr>
            </w:pPr>
            <w:r>
              <w:rPr>
                <w:b/>
                <w:i/>
                <w:noProof/>
                <w:color w:val="000000"/>
                <w:sz w:val="16"/>
              </w:rPr>
              <w:t>Разлика между целевите приходи, пренесени от година N-1 за година N и от година N за година N+1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-1 367 077 753,06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-1 367 077 753,06</w:t>
            </w:r>
          </w:p>
        </w:tc>
      </w:tr>
      <w:tr>
        <w:trPr>
          <w:trHeight w:val="391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Курсови разлики за годината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-172 659 489,32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-172 659 489,32</w:t>
            </w:r>
          </w:p>
        </w:tc>
      </w:tr>
      <w:tr>
        <w:trPr>
          <w:trHeight w:val="325"/>
          <w:jc w:val="right"/>
        </w:trPr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Резултат от изпълнението на бюджета за 2016 г.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38 205,23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6 404 529 791,03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</w:rPr>
              <w:t>6 404 567 996,26</w:t>
            </w:r>
          </w:p>
        </w:tc>
      </w:tr>
    </w:tbl>
    <w:bookmarkEnd w:id="2"/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>Включването на излишъка в бюджета ще намали в съответната степен общото финансово участие на държавите членки във финансирането на бюджета за 2017 г. Окончателните вноски на държавите членки ще бъдат повлияни и от актуализираната прогноза за собствените ресурси (традиционни собствени ресурси (ТСР), данък върху добавената стойност (ДДС) и брутен национален доход (БНД)), включително от актуализирания размер на корекцията за Обединеното кралство, който ще стане известен след срещата на Консултативния комитет по собствените ресурси (ККСР) през май 2017 г.</w:t>
      </w:r>
    </w:p>
    <w:p>
      <w:pPr>
        <w:pStyle w:val="NumPar1"/>
        <w:spacing w:before="240"/>
        <w:ind w:left="851" w:hanging="851"/>
        <w:rPr>
          <w:noProof/>
        </w:rPr>
      </w:pPr>
      <w:r>
        <w:rPr>
          <w:noProof/>
        </w:rPr>
        <w:t>Таблицата по-долу представя разбивка на резултата от изпълнението на бюджета за 2016 г. (приходи и разходи, за всички институции):</w:t>
      </w:r>
    </w:p>
    <w:p>
      <w:pPr>
        <w:pStyle w:val="NormalRight"/>
        <w:keepNext/>
        <w:spacing w:before="0" w:after="0"/>
        <w:ind w:right="651"/>
        <w:rPr>
          <w:noProof/>
        </w:rPr>
      </w:pPr>
      <w:r>
        <w:rPr>
          <w:noProof/>
        </w:rPr>
        <w:br w:type="page"/>
      </w:r>
      <w:r>
        <w:rPr>
          <w:i/>
          <w:noProof/>
          <w:sz w:val="20"/>
        </w:rPr>
        <w:t>(в милиони EUR)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560"/>
        <w:gridCol w:w="738"/>
      </w:tblGrid>
      <w:tr>
        <w:trPr>
          <w:tblHeader/>
          <w:jc w:val="center"/>
        </w:trPr>
        <w:tc>
          <w:tcPr>
            <w:tcW w:w="8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Centered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Разбивка на резултата от изпълнението на бюджета за 2016 г.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Междинна сума на резултата по отношение на приходите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tabs>
                <w:tab w:val="left" w:pos="589"/>
              </w:tabs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1 688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Резултат по отношение на приходите (разлики между събрани приходи и приходи, включени в бюджета), от който: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Дял 1 (собствени ресурси)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-1 511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Дял 3 (излишъци, салда и корекции)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8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Дял 7 (лихви за просрочени плащания и глоби)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iCs/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3 052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Други дялове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138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Междинна сума на резултата по отношение на разходите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4 889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 xml:space="preserve">Резултат по отношение на разходите, от който: 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Непълно усвояване на бюджетните кредити, разрешени в бюджета за 2016 г.: Комисия</w:t>
            </w:r>
          </w:p>
        </w:tc>
        <w:tc>
          <w:tcPr>
            <w:tcW w:w="738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 xml:space="preserve"> 4 825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Непълно усвояване на бюджетните кредити, пренесени от 2015 г.: Комисия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28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i/>
                <w:iCs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Немобилизирани резерви през 2016 г.</w:t>
            </w:r>
          </w:p>
        </w:tc>
        <w:tc>
          <w:tcPr>
            <w:tcW w:w="73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</w:rPr>
              <w:t>—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Непълно усвояване на бюджетните кредити, разрешени в бюджета за 2016 г., и на бюджетните кредити, пренесени от 2015 г.: администрация, функция 5 (другите институции)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NormalRight"/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</w:rPr>
              <w:t>35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Междинна сума на курсовите разлики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-173</w:t>
            </w:r>
          </w:p>
        </w:tc>
      </w:tr>
      <w:tr>
        <w:trPr>
          <w:jc w:val="center"/>
        </w:trPr>
        <w:tc>
          <w:tcPr>
            <w:tcW w:w="7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>
            <w:pPr>
              <w:spacing w:before="30" w:after="30"/>
              <w:rPr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 резултат от изпълнението на бюджета за 2016 г.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>
            <w:pPr>
              <w:pStyle w:val="NormalRight"/>
              <w:spacing w:before="30" w:after="3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6 405</w:t>
            </w:r>
          </w:p>
        </w:tc>
      </w:tr>
      <w:bookmarkEnd w:id="3"/>
      <w:bookmarkEnd w:id="4"/>
    </w:tbl>
    <w:p>
      <w:pPr>
        <w:pStyle w:val="ListDash"/>
        <w:numPr>
          <w:ilvl w:val="0"/>
          <w:numId w:val="0"/>
        </w:numPr>
        <w:rPr>
          <w:noProof/>
        </w:rPr>
      </w:pP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spacing w:before="0"/>
      <w:ind w:left="-851" w:right="-851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DOCPROPERTY "Classification" \* MERGEFORMAT </w:instrText>
    </w:r>
    <w:r>
      <w:fldChar w:fldCharType="separate"/>
    </w:r>
    <w:r>
      <w:t xml:space="preserve"> </w:t>
    </w:r>
    <w:r>
      <w:fldChar w:fldCharType="end"/>
    </w:r>
    <w: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ОВ L 298, 26.10.2012 г., стр. 1.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8"/>
        </w:rPr>
        <w:t>ОВ L 51, 28.2.2017 г., стр.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8"/>
        </w:rPr>
        <w:t>ОВ L XXX, XX.XX.XXX г.</w:t>
      </w:r>
      <w:r>
        <w:t>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  <w:r>
        <w:rPr>
          <w:sz w:val="18"/>
        </w:rPr>
        <w:t>ОВ L 298, 26.10.2012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BA7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7ED4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856D4"/>
    <w:multiLevelType w:val="hybridMultilevel"/>
    <w:tmpl w:val="B07CF3C4"/>
    <w:lvl w:ilvl="0" w:tplc="3D900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54526B"/>
    <w:multiLevelType w:val="hybridMultilevel"/>
    <w:tmpl w:val="18D88870"/>
    <w:lvl w:ilvl="0" w:tplc="8A36BA8C">
      <w:numFmt w:val="bullet"/>
      <w:lvlText w:val="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886"/>
    <w:multiLevelType w:val="hybridMultilevel"/>
    <w:tmpl w:val="FBA0B950"/>
    <w:lvl w:ilvl="0" w:tplc="D1CAE414"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0AC0"/>
    <w:multiLevelType w:val="hybridMultilevel"/>
    <w:tmpl w:val="32B0E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36C33"/>
    <w:multiLevelType w:val="hybridMultilevel"/>
    <w:tmpl w:val="4036C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95CFC"/>
    <w:multiLevelType w:val="hybridMultilevel"/>
    <w:tmpl w:val="D988C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F78565E"/>
    <w:multiLevelType w:val="hybridMultilevel"/>
    <w:tmpl w:val="3F76E5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1246D7F"/>
    <w:multiLevelType w:val="hybridMultilevel"/>
    <w:tmpl w:val="E1EA8208"/>
    <w:lvl w:ilvl="0" w:tplc="94027E84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33BE45BD"/>
    <w:multiLevelType w:val="hybridMultilevel"/>
    <w:tmpl w:val="6D2219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27E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EA3932"/>
    <w:multiLevelType w:val="hybridMultilevel"/>
    <w:tmpl w:val="FA52B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>
    <w:nsid w:val="3F090162"/>
    <w:multiLevelType w:val="hybridMultilevel"/>
    <w:tmpl w:val="97F2B26A"/>
    <w:lvl w:ilvl="0" w:tplc="61E27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7">
    <w:nsid w:val="41AF2082"/>
    <w:multiLevelType w:val="hybridMultilevel"/>
    <w:tmpl w:val="A672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628B4"/>
    <w:multiLevelType w:val="hybridMultilevel"/>
    <w:tmpl w:val="7706A2BE"/>
    <w:lvl w:ilvl="0" w:tplc="3D900F3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D2B5511"/>
    <w:multiLevelType w:val="singleLevel"/>
    <w:tmpl w:val="74A09970"/>
    <w:name w:val="Heading__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7123216D"/>
    <w:multiLevelType w:val="hybridMultilevel"/>
    <w:tmpl w:val="F648ECEA"/>
    <w:lvl w:ilvl="0" w:tplc="AB00A56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A0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8E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0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20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89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1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AA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0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95D7F"/>
    <w:multiLevelType w:val="multilevel"/>
    <w:tmpl w:val="F126F78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3">
    <w:nsid w:val="7C966381"/>
    <w:multiLevelType w:val="multilevel"/>
    <w:tmpl w:val="DCC8806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6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  <w:num w:numId="16">
    <w:abstractNumId w:val="18"/>
  </w:num>
  <w:num w:numId="17">
    <w:abstractNumId w:val="1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  <w:num w:numId="22">
    <w:abstractNumId w:val="16"/>
  </w:num>
  <w:num w:numId="23">
    <w:abstractNumId w:val="0"/>
  </w:num>
  <w:num w:numId="24">
    <w:abstractNumId w:val="17"/>
  </w:num>
  <w:num w:numId="25">
    <w:abstractNumId w:val="15"/>
  </w:num>
  <w:num w:numId="26">
    <w:abstractNumId w:val="3"/>
  </w:num>
  <w:num w:numId="27">
    <w:abstractNumId w:val="22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DocumentType" w:val="ERR"/>
    <w:docVar w:name="FigNum" w:val="1"/>
    <w:docVar w:name="LW_CONFIDENCE" w:val=" "/>
    <w:docVar w:name="LW_CONST_RESTREINT_UE" w:val="RESTREINT UE"/>
    <w:docVar w:name="LW_CORRIGENDUM" w:val="&lt;UNUSED&gt;"/>
    <w:docVar w:name="LW_COVERPAGE_GUID" w:val="22E44255B5444B7C83F0A2212CD51884"/>
    <w:docVar w:name="LW_CROSSREFERENCE" w:val="&lt;UNUSED&gt;"/>
    <w:docVar w:name="LW_DocType" w:val="NORMAL"/>
    <w:docVar w:name="LW_EMISSION" w:val="12.4.2017"/>
    <w:docVar w:name="LW_EMISSION_ISODATE" w:val="2017-04-12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188"/>
    <w:docVar w:name="LW_REF.INTERNE" w:val="&lt;UNUSED&gt;"/>
    <w:docVar w:name="LW_SOUS.TITRE.OBJ.CP" w:val="&lt;UNUSED&gt;"/>
    <w:docVar w:name="LW_SUPERTITRE" w:val="&lt;UNUSED&gt;"/>
    <w:docVar w:name="LW_TITRE.OBJ.CP" w:val="\u1047?\u1040? \u1042?\u1055?\u1048?\u1057?\u1042?\u1040?\u1053?\u1045? \u1053?\u1040? \u1048?\u1047?\u1051?\u1048?\u1064?\u1066?\u1050?\u1040? \u1054?\u1058? 2016 \u1060?\u1048?\u1053?\u1040?\u1053?\u1057?\u1054?\u1042?\u1040? \u1043?\u1054?\u1044?\u1048?\u1053?\u1040?"/>
    <w:docVar w:name="LW_TITRE.OBJ.CP_PREVIOUS" w:val="&lt;UNUSED&gt;"/>
    <w:docVar w:name="LW_TYPE.DOC.CP" w:val="\u1055?\u1056?\u1054?\u1045?\u1050?\u1058? \u1053?\u1040? \u1050?\u1054?\u1056?\u1048?\u1043?\u1048?\u1056?\u1040?\u1065? \u1041?\u1070?\u1044?\u1046?\u1045?\u1058? \u8470? 2_x000b_\u1050?\u1066?\u1052? \u1054?\u1041?\u1065?\u1048?\u1071? \u1041?\u1070?\u1044?\u1046?\u1045?\u1058? \u1047?\u1040? 2017 \u1075?.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bg-BG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bg-BG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120"/>
      <w:ind w:left="720" w:hanging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</w:numPr>
      <w:tabs>
        <w:tab w:val="num" w:pos="850"/>
      </w:tabs>
      <w:spacing w:before="120" w:after="120"/>
      <w:ind w:left="850" w:hanging="850"/>
      <w:jc w:val="both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</w:numPr>
      <w:tabs>
        <w:tab w:val="num" w:pos="1030"/>
      </w:tabs>
      <w:spacing w:before="120" w:after="120"/>
      <w:ind w:left="1030" w:hanging="85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styleId="FootnoteText">
    <w:name w:val="footnote text"/>
    <w:basedOn w:val="Normal"/>
    <w:link w:val="FootnoteTextChar"/>
    <w:pPr>
      <w:ind w:left="720" w:hanging="720"/>
      <w:jc w:val="both"/>
    </w:pPr>
    <w:rPr>
      <w:sz w:val="20"/>
      <w:szCs w:val="20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b/>
      <w:bCs/>
      <w:caps/>
      <w:sz w:val="20"/>
      <w:szCs w:val="20"/>
    </w:rPr>
  </w:style>
  <w:style w:type="character" w:styleId="FootnoteReference">
    <w:name w:val="footnote reference"/>
    <w:aliases w:val="stylish,Footnote Reference Superscript,BVI fnr,Footnote symbol,Footnote symboFußnotenzeichen,Footnote sign,Footnote Reference Number,E FNZ,-E Fußnotenzeichen,Footnote#,Footnote,Times 10 Point,Exposant 3 Point,Ref,de nota al pie,SUPER"/>
    <w:semiHidden/>
    <w:rPr>
      <w:vertAlign w:val="superscript"/>
    </w:rPr>
  </w:style>
  <w:style w:type="paragraph" w:customStyle="1" w:styleId="Text1">
    <w:name w:val="Text 1"/>
    <w:basedOn w:val="Normal"/>
    <w:pPr>
      <w:spacing w:before="120" w:after="120"/>
      <w:ind w:left="850"/>
      <w:jc w:val="both"/>
    </w:pPr>
  </w:style>
  <w:style w:type="paragraph" w:customStyle="1" w:styleId="Tiret0">
    <w:name w:val="Tiret 0"/>
    <w:basedOn w:val="Normal"/>
    <w:pPr>
      <w:numPr>
        <w:numId w:val="1"/>
      </w:numPr>
      <w:spacing w:before="120" w:after="120"/>
      <w:jc w:val="both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</w:rPr>
  </w:style>
  <w:style w:type="paragraph" w:customStyle="1" w:styleId="ListDash">
    <w:name w:val="List Dash"/>
    <w:basedOn w:val="Normal"/>
    <w:link w:val="ListDashChar"/>
    <w:pPr>
      <w:numPr>
        <w:numId w:val="2"/>
      </w:numPr>
      <w:spacing w:before="120" w:after="120"/>
      <w:jc w:val="both"/>
    </w:pPr>
  </w:style>
  <w:style w:type="paragraph" w:styleId="TOCHeading">
    <w:name w:val="TOC Heading"/>
    <w:basedOn w:val="Normal"/>
    <w:next w:val="Normal"/>
    <w:qFormat/>
    <w:pPr>
      <w:spacing w:before="120" w:after="240"/>
      <w:jc w:val="center"/>
    </w:pPr>
    <w:rPr>
      <w:b/>
      <w:sz w:val="28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/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120" w:after="120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ooterCoverPage">
    <w:name w:val="Footer Cover Page"/>
    <w:basedOn w:val="Normal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paragraph" w:customStyle="1" w:styleId="HeaderCoverPage">
    <w:name w:val="Header Cover Page"/>
    <w:basedOn w:val="Normal"/>
    <w:pPr>
      <w:tabs>
        <w:tab w:val="center" w:pos="4535"/>
        <w:tab w:val="right" w:pos="9071"/>
      </w:tabs>
      <w:spacing w:after="120"/>
      <w:jc w:val="both"/>
    </w:pPr>
  </w:style>
  <w:style w:type="paragraph" w:styleId="TOC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styleId="ListBullet">
    <w:name w:val="List Bullet"/>
    <w:basedOn w:val="Normal"/>
    <w:pPr>
      <w:numPr>
        <w:numId w:val="7"/>
      </w:numPr>
      <w:spacing w:before="120" w:after="120"/>
      <w:jc w:val="both"/>
    </w:pPr>
  </w:style>
  <w:style w:type="paragraph" w:customStyle="1" w:styleId="ListDash2">
    <w:name w:val="List Dash 2"/>
    <w:basedOn w:val="Normal"/>
    <w:pPr>
      <w:tabs>
        <w:tab w:val="num" w:pos="1134"/>
      </w:tabs>
      <w:spacing w:before="120" w:after="120"/>
      <w:ind w:left="1134" w:hanging="283"/>
      <w:jc w:val="both"/>
    </w:pPr>
  </w:style>
  <w:style w:type="paragraph" w:customStyle="1" w:styleId="ListBullet1">
    <w:name w:val="List Bullet 1"/>
    <w:basedOn w:val="Text1"/>
    <w:pPr>
      <w:numPr>
        <w:numId w:val="8"/>
      </w:numPr>
      <w:spacing w:before="0" w:after="240"/>
    </w:pPr>
    <w:rPr>
      <w:szCs w:val="20"/>
    </w:rPr>
  </w:style>
  <w:style w:type="paragraph" w:styleId="ListBullet2">
    <w:name w:val="List Bullet 2"/>
    <w:basedOn w:val="Normal"/>
    <w:pPr>
      <w:numPr>
        <w:numId w:val="14"/>
      </w:numPr>
      <w:spacing w:after="240"/>
      <w:jc w:val="both"/>
    </w:pPr>
    <w:rPr>
      <w:szCs w:val="20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Typedudocument">
    <w:name w:val="Type du document"/>
    <w:basedOn w:val="Normal"/>
    <w:next w:val="Titreobjet"/>
    <w:pPr>
      <w:spacing w:before="36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ext2">
    <w:name w:val="Text 2"/>
    <w:basedOn w:val="Normal"/>
    <w:pPr>
      <w:spacing w:before="120" w:after="120"/>
      <w:ind w:left="85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pPr>
      <w:numPr>
        <w:numId w:val="28"/>
      </w:numPr>
      <w:spacing w:before="120" w:after="120"/>
      <w:jc w:val="both"/>
    </w:pPr>
  </w:style>
  <w:style w:type="paragraph" w:customStyle="1" w:styleId="ListNumberLevel2">
    <w:name w:val="List Number (Level 2)"/>
    <w:basedOn w:val="Normal"/>
    <w:pPr>
      <w:numPr>
        <w:ilvl w:val="1"/>
        <w:numId w:val="28"/>
      </w:numPr>
      <w:spacing w:before="120" w:after="120"/>
      <w:jc w:val="both"/>
    </w:pPr>
  </w:style>
  <w:style w:type="paragraph" w:customStyle="1" w:styleId="ListNumberLevel3">
    <w:name w:val="List Number (Level 3)"/>
    <w:basedOn w:val="Normal"/>
    <w:pPr>
      <w:numPr>
        <w:ilvl w:val="2"/>
        <w:numId w:val="28"/>
      </w:numPr>
      <w:spacing w:before="120" w:after="120"/>
      <w:jc w:val="both"/>
    </w:pPr>
  </w:style>
  <w:style w:type="paragraph" w:customStyle="1" w:styleId="ListNumberLevel4">
    <w:name w:val="List Number (Level 4)"/>
    <w:basedOn w:val="Normal"/>
    <w:pPr>
      <w:numPr>
        <w:ilvl w:val="3"/>
        <w:numId w:val="28"/>
      </w:numPr>
      <w:spacing w:before="120" w:after="120"/>
      <w:jc w:val="both"/>
    </w:pPr>
  </w:style>
  <w:style w:type="character" w:customStyle="1" w:styleId="ListDashChar">
    <w:name w:val="List Dash Char"/>
    <w:link w:val="ListDash"/>
    <w:rPr>
      <w:sz w:val="24"/>
      <w:szCs w:val="24"/>
      <w:lang w:eastAsia="bg-BG"/>
    </w:rPr>
  </w:style>
  <w:style w:type="paragraph" w:customStyle="1" w:styleId="StyleManualHeading2Italic">
    <w:name w:val="Style Manual Heading 2 + Italic"/>
    <w:basedOn w:val="ManualHeading2"/>
    <w:autoRedefine/>
    <w:pPr>
      <w:spacing w:before="160" w:after="160"/>
      <w:ind w:left="851" w:hanging="851"/>
    </w:pPr>
    <w:rPr>
      <w:bCs/>
      <w:i/>
      <w:iCs/>
    </w:rPr>
  </w:style>
  <w:style w:type="character" w:customStyle="1" w:styleId="FootnoteTextChar">
    <w:name w:val="Footnote Text Char"/>
    <w:link w:val="FootnoteText"/>
    <w:rPr>
      <w:lang w:eastAsia="bg-BG"/>
    </w:rPr>
  </w:style>
  <w:style w:type="paragraph" w:customStyle="1" w:styleId="NormalCentered">
    <w:name w:val="Normal Centered"/>
    <w:basedOn w:val="Normal"/>
    <w:pPr>
      <w:spacing w:before="120" w:after="120"/>
      <w:jc w:val="center"/>
    </w:pPr>
  </w:style>
  <w:style w:type="paragraph" w:customStyle="1" w:styleId="NormalRight">
    <w:name w:val="Normal Right"/>
    <w:basedOn w:val="Normal"/>
    <w:pPr>
      <w:spacing w:before="120" w:after="120"/>
      <w:jc w:val="right"/>
    </w:pPr>
  </w:style>
  <w:style w:type="paragraph" w:customStyle="1" w:styleId="NormalLeft">
    <w:name w:val="Normal Left"/>
    <w:basedOn w:val="Normal"/>
    <w:pPr>
      <w:spacing w:before="120" w:after="120"/>
    </w:pPr>
  </w:style>
  <w:style w:type="paragraph" w:customStyle="1" w:styleId="Point0number">
    <w:name w:val="Point 0 (number)"/>
    <w:basedOn w:val="Normal"/>
    <w:uiPriority w:val="99"/>
    <w:pPr>
      <w:numPr>
        <w:numId w:val="27"/>
      </w:numPr>
      <w:spacing w:before="120" w:after="120"/>
      <w:jc w:val="both"/>
    </w:pPr>
  </w:style>
  <w:style w:type="paragraph" w:customStyle="1" w:styleId="Point1number">
    <w:name w:val="Point 1 (number)"/>
    <w:basedOn w:val="Normal"/>
    <w:uiPriority w:val="99"/>
    <w:pPr>
      <w:numPr>
        <w:ilvl w:val="2"/>
        <w:numId w:val="27"/>
      </w:numPr>
      <w:spacing w:before="120" w:after="120"/>
      <w:jc w:val="both"/>
    </w:pPr>
  </w:style>
  <w:style w:type="paragraph" w:customStyle="1" w:styleId="Point2number">
    <w:name w:val="Point 2 (number)"/>
    <w:basedOn w:val="Normal"/>
    <w:uiPriority w:val="99"/>
    <w:pPr>
      <w:numPr>
        <w:ilvl w:val="4"/>
        <w:numId w:val="27"/>
      </w:numPr>
      <w:spacing w:before="120" w:after="120"/>
      <w:jc w:val="both"/>
    </w:pPr>
  </w:style>
  <w:style w:type="paragraph" w:customStyle="1" w:styleId="Point3number">
    <w:name w:val="Point 3 (number)"/>
    <w:basedOn w:val="Normal"/>
    <w:uiPriority w:val="99"/>
    <w:pPr>
      <w:numPr>
        <w:ilvl w:val="6"/>
        <w:numId w:val="27"/>
      </w:numPr>
      <w:spacing w:before="120" w:after="120"/>
      <w:jc w:val="both"/>
    </w:pPr>
  </w:style>
  <w:style w:type="paragraph" w:customStyle="1" w:styleId="Point0letter">
    <w:name w:val="Point 0 (letter)"/>
    <w:basedOn w:val="Normal"/>
    <w:uiPriority w:val="99"/>
    <w:pPr>
      <w:numPr>
        <w:ilvl w:val="1"/>
        <w:numId w:val="27"/>
      </w:numPr>
      <w:spacing w:before="120" w:after="120"/>
      <w:jc w:val="both"/>
    </w:pPr>
  </w:style>
  <w:style w:type="paragraph" w:customStyle="1" w:styleId="Point1letter">
    <w:name w:val="Point 1 (letter)"/>
    <w:basedOn w:val="Normal"/>
    <w:uiPriority w:val="99"/>
    <w:pPr>
      <w:numPr>
        <w:ilvl w:val="3"/>
        <w:numId w:val="27"/>
      </w:numPr>
      <w:spacing w:before="120" w:after="120"/>
      <w:jc w:val="both"/>
    </w:pPr>
  </w:style>
  <w:style w:type="paragraph" w:customStyle="1" w:styleId="Point2letter">
    <w:name w:val="Point 2 (letter)"/>
    <w:basedOn w:val="Normal"/>
    <w:uiPriority w:val="99"/>
    <w:pPr>
      <w:numPr>
        <w:ilvl w:val="5"/>
        <w:numId w:val="27"/>
      </w:numPr>
      <w:spacing w:before="120" w:after="120"/>
      <w:jc w:val="both"/>
    </w:pPr>
  </w:style>
  <w:style w:type="paragraph" w:customStyle="1" w:styleId="Point3letter">
    <w:name w:val="Point 3 (letter)"/>
    <w:basedOn w:val="Normal"/>
    <w:uiPriority w:val="99"/>
    <w:pPr>
      <w:numPr>
        <w:ilvl w:val="7"/>
        <w:numId w:val="27"/>
      </w:numPr>
      <w:spacing w:before="120" w:after="120"/>
      <w:jc w:val="both"/>
    </w:pPr>
  </w:style>
  <w:style w:type="paragraph" w:customStyle="1" w:styleId="Point4letter">
    <w:name w:val="Point 4 (letter)"/>
    <w:basedOn w:val="Normal"/>
    <w:uiPriority w:val="99"/>
    <w:pPr>
      <w:numPr>
        <w:ilvl w:val="8"/>
        <w:numId w:val="27"/>
      </w:numPr>
      <w:spacing w:before="120" w:after="120"/>
      <w:jc w:val="both"/>
    </w:pPr>
  </w:style>
  <w:style w:type="paragraph" w:customStyle="1" w:styleId="NumPar1">
    <w:name w:val="NumPar 1"/>
    <w:basedOn w:val="Normal"/>
    <w:next w:val="Text1"/>
    <w:pPr>
      <w:numPr>
        <w:numId w:val="36"/>
      </w:numPr>
      <w:spacing w:before="120" w:after="120"/>
      <w:jc w:val="both"/>
    </w:pPr>
  </w:style>
  <w:style w:type="paragraph" w:customStyle="1" w:styleId="NumPar2">
    <w:name w:val="NumPar 2"/>
    <w:basedOn w:val="Normal"/>
    <w:next w:val="Normal"/>
    <w:pPr>
      <w:numPr>
        <w:ilvl w:val="1"/>
        <w:numId w:val="36"/>
      </w:numPr>
      <w:spacing w:before="120" w:after="120"/>
      <w:jc w:val="both"/>
    </w:pPr>
  </w:style>
  <w:style w:type="paragraph" w:customStyle="1" w:styleId="NumPar3">
    <w:name w:val="NumPar 3"/>
    <w:basedOn w:val="Normal"/>
    <w:next w:val="Normal"/>
    <w:pPr>
      <w:numPr>
        <w:ilvl w:val="2"/>
        <w:numId w:val="36"/>
      </w:numPr>
      <w:spacing w:before="120" w:after="120"/>
      <w:jc w:val="both"/>
    </w:pPr>
  </w:style>
  <w:style w:type="paragraph" w:customStyle="1" w:styleId="NumPar4">
    <w:name w:val="NumPar 4"/>
    <w:basedOn w:val="Normal"/>
    <w:next w:val="Normal"/>
    <w:pPr>
      <w:numPr>
        <w:ilvl w:val="3"/>
        <w:numId w:val="36"/>
      </w:numPr>
      <w:spacing w:before="120" w:after="120"/>
      <w:jc w:val="both"/>
    </w:pPr>
  </w:style>
  <w:style w:type="paragraph" w:customStyle="1" w:styleId="Exposdesmotifstitre">
    <w:name w:val="Exposé des motifs titre"/>
    <w:basedOn w:val="Normal"/>
    <w:next w:val="Normal"/>
    <w:pPr>
      <w:spacing w:before="120" w:after="120"/>
      <w:jc w:val="center"/>
    </w:pPr>
    <w:rPr>
      <w:b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customStyle="1" w:styleId="Statut">
    <w:name w:val="Statut"/>
    <w:basedOn w:val="Normal"/>
    <w:next w:val="Typedudocument"/>
    <w:pPr>
      <w:spacing w:before="360"/>
      <w:jc w:val="center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budget/www/index-bg.ht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CD49-F122-4A02-B927-C38C6946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698</Words>
  <Characters>3642</Characters>
  <Application>Microsoft Office Word</Application>
  <DocSecurity>0</DocSecurity>
  <Lines>130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4252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2017-03-30T12:30:00Z</cp:lastPrinted>
  <dcterms:created xsi:type="dcterms:W3CDTF">2017-04-07T09:43:00Z</dcterms:created>
  <dcterms:modified xsi:type="dcterms:W3CDTF">2017-04-21T07:43:00Z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