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DC6A1DDB52BE448483D854488B19D129" style="width:450pt;height:307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  <w:r>
        <w:rPr>
          <w:noProof/>
        </w:rPr>
        <w:lastRenderedPageBreak/>
        <w:t>Vu:</w:t>
      </w:r>
    </w:p>
    <w:p>
      <w:pPr>
        <w:pStyle w:val="Tiret0"/>
        <w:rPr>
          <w:noProof/>
        </w:rPr>
      </w:pPr>
      <w:r>
        <w:rPr>
          <w:noProof/>
        </w:rPr>
        <w:t>le traité sur le fonctionnement de l'Union européenne, et notamment son article 314, lu en combinaison avec le traité instituant la Communauté européenne de l'énergie atomique, et notamment son article 106 </w:t>
      </w:r>
      <w:r>
        <w:rPr>
          <w:i/>
          <w:noProof/>
        </w:rPr>
        <w:t>bis</w:t>
      </w:r>
      <w:r>
        <w:rPr>
          <w:noProof/>
        </w:rPr>
        <w:t>,</w:t>
      </w:r>
    </w:p>
    <w:p>
      <w:pPr>
        <w:pStyle w:val="Tiret0"/>
        <w:rPr>
          <w:rFonts w:cs="Arial"/>
          <w:noProof/>
          <w:szCs w:val="18"/>
        </w:rPr>
      </w:pPr>
      <w:r>
        <w:rPr>
          <w:noProof/>
        </w:rPr>
        <w:t>le règlement (UE, Euratom) nº 966/2012 du Parlement européen et du Conseil du 25 octobre 2012 relatif aux règles financières applicables au budget général de l’Union</w:t>
      </w:r>
      <w:r>
        <w:rPr>
          <w:rStyle w:val="FootnoteReference"/>
          <w:noProof/>
        </w:rPr>
        <w:footnoteReference w:id="2"/>
      </w:r>
      <w:r>
        <w:rPr>
          <w:noProof/>
        </w:rPr>
        <w:t>, et notamment son article 18, paragraphe 3, et son article 41,</w:t>
      </w:r>
    </w:p>
    <w:p>
      <w:pPr>
        <w:pStyle w:val="Tiret0"/>
        <w:rPr>
          <w:noProof/>
        </w:rPr>
      </w:pPr>
      <w:r>
        <w:rPr>
          <w:noProof/>
        </w:rPr>
        <w:t>le budget général de l'Union européenne pour l'exercice 2017, adopté le 1</w:t>
      </w:r>
      <w:r>
        <w:rPr>
          <w:noProof/>
          <w:vertAlign w:val="superscript"/>
        </w:rPr>
        <w:t>er</w:t>
      </w:r>
      <w:r>
        <w:rPr>
          <w:noProof/>
        </w:rPr>
        <w:t> décembre 2016</w:t>
      </w:r>
      <w:r>
        <w:rPr>
          <w:rStyle w:val="FootnoteReference"/>
          <w:noProof/>
        </w:rPr>
        <w:footnoteReference w:id="3"/>
      </w:r>
      <w:r>
        <w:rPr>
          <w:noProof/>
        </w:rPr>
        <w:t>,</w:t>
      </w:r>
    </w:p>
    <w:p>
      <w:pPr>
        <w:pStyle w:val="Tiret0"/>
        <w:rPr>
          <w:noProof/>
        </w:rPr>
      </w:pPr>
      <w:r>
        <w:rPr>
          <w:noProof/>
        </w:rPr>
        <w:t>le budget rectificatif nº 1/2017</w:t>
      </w:r>
      <w:r>
        <w:rPr>
          <w:rStyle w:val="FootnoteReference"/>
          <w:noProof/>
        </w:rPr>
        <w:footnoteReference w:id="4"/>
      </w:r>
      <w:r>
        <w:rPr>
          <w:noProof/>
        </w:rPr>
        <w:t>, adopté le [5] avril 2017,</w:t>
      </w:r>
    </w:p>
    <w:p>
      <w:pPr>
        <w:jc w:val="both"/>
        <w:rPr>
          <w:noProof/>
        </w:rPr>
      </w:pPr>
      <w:r>
        <w:rPr>
          <w:noProof/>
        </w:rPr>
        <w:t>la Commission européenne présente ci-après au Parlement européen et au Conseil le projet de budget rectificatif nº 2 au budget 2017.</w:t>
      </w:r>
    </w:p>
    <w:p>
      <w:pPr>
        <w:rPr>
          <w:b/>
          <w:noProof/>
          <w:u w:val="single"/>
        </w:rPr>
      </w:pPr>
    </w:p>
    <w:p>
      <w:pPr>
        <w:jc w:val="both"/>
        <w:rPr>
          <w:b/>
          <w:noProof/>
          <w:u w:val="single"/>
        </w:rPr>
      </w:pPr>
      <w:r>
        <w:rPr>
          <w:b/>
          <w:noProof/>
          <w:u w:val="single"/>
        </w:rPr>
        <w:t>MODIFICATIONS À L’ÉTAT DES RECETTES ET DES DÉPENSES PAR SECTION</w:t>
      </w:r>
    </w:p>
    <w:p>
      <w:pPr>
        <w:rPr>
          <w:b/>
          <w:noProof/>
          <w:u w:val="single"/>
        </w:rPr>
      </w:pPr>
    </w:p>
    <w:p>
      <w:pPr>
        <w:jc w:val="both"/>
        <w:rPr>
          <w:noProof/>
        </w:rPr>
      </w:pPr>
      <w:r>
        <w:rPr>
          <w:noProof/>
        </w:rPr>
        <w:t>Les modifications apportées à l'état des recettes et des dépenses par section sont disponibles sur EUR-Lex (</w:t>
      </w:r>
      <w:hyperlink r:id="rId16">
        <w:r>
          <w:rPr>
            <w:rStyle w:val="Hyperlink"/>
            <w:noProof/>
            <w:color w:val="auto"/>
          </w:rPr>
          <w:t>http://eur-lex.europa.eu/budget/www/index-fr.htm</w:t>
        </w:r>
      </w:hyperlink>
      <w:r>
        <w:rPr>
          <w:noProof/>
        </w:rPr>
        <w:t>). Une version en anglais de ces modifications est jointe à titre indicatif en annexe budgétaire.</w:t>
      </w:r>
    </w:p>
    <w:p>
      <w:pPr>
        <w:rPr>
          <w:noProof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Exposdesmotifstitre"/>
        <w:rPr>
          <w:noProof/>
        </w:rPr>
      </w:pPr>
      <w:bookmarkStart w:id="2" w:name="_Toc194220890"/>
      <w:bookmarkStart w:id="3" w:name="_Toc294675429"/>
      <w:bookmarkStart w:id="4" w:name="_Toc378575883"/>
      <w:r>
        <w:rPr>
          <w:noProof/>
        </w:rPr>
        <w:lastRenderedPageBreak/>
        <w:t>EXPOSÉ DES MOTIFS</w:t>
      </w:r>
    </w:p>
    <w:p>
      <w:pPr>
        <w:jc w:val="both"/>
        <w:rPr>
          <w:noProof/>
        </w:rPr>
      </w:pPr>
      <w:r>
        <w:rPr>
          <w:noProof/>
        </w:rPr>
        <w:t>Le présent projet de budget rectificatif (PBR) nº 2/2017 vise à inscrire au budget 2017 l'excédent résultant de l'exécution de l'exercice budgétaire 2016. Comme le prévoit le règlement financier applicable au budget général de l’Union</w:t>
      </w:r>
      <w:r>
        <w:rPr>
          <w:noProof/>
          <w:vertAlign w:val="superscript"/>
        </w:rPr>
        <w:footnoteReference w:id="5"/>
      </w:r>
      <w:r>
        <w:rPr>
          <w:noProof/>
        </w:rPr>
        <w:t>, en son article 18, paragraphe 3, ledit excédent constitue le seul objet du présent PBR, qu'il convient de présenter dans les quinze jours suivant la présentation des comptes provisoires, à la fin du mois de mars 2017.</w:t>
      </w:r>
    </w:p>
    <w:p>
      <w:pPr>
        <w:pStyle w:val="NumPar1"/>
        <w:rPr>
          <w:noProof/>
        </w:rPr>
      </w:pPr>
      <w:r>
        <w:rPr>
          <w:noProof/>
        </w:rPr>
        <w:t>L'exécution de l'exercice 2016 présente un excédent de 6 404 529 791,03 EUR [si l'on exclut l'exécution des contributions reçues des pays de l'Association européenne de libre-échange (AELE) faisant partie de l'accord sur l'Espace économique européen (EEE)], qui est donc inscrit en recette dans le budget 2017.</w:t>
      </w:r>
    </w:p>
    <w:p>
      <w:pPr>
        <w:pStyle w:val="Text1"/>
        <w:spacing w:after="240"/>
        <w:ind w:left="851"/>
        <w:rPr>
          <w:noProof/>
        </w:rPr>
      </w:pPr>
      <w:r>
        <w:rPr>
          <w:noProof/>
        </w:rPr>
        <w:t>L’excédent résulte de la somme des éléments indiqués dans le tableau ci-dessous:</w:t>
      </w:r>
    </w:p>
    <w:p>
      <w:pPr>
        <w:pStyle w:val="NormalRight"/>
        <w:keepNext/>
        <w:tabs>
          <w:tab w:val="left" w:pos="9781"/>
        </w:tabs>
        <w:spacing w:before="0" w:after="0"/>
        <w:ind w:right="-58"/>
        <w:rPr>
          <w:noProof/>
        </w:rPr>
      </w:pPr>
      <w:r>
        <w:rPr>
          <w:i/>
          <w:noProof/>
          <w:sz w:val="20"/>
        </w:rPr>
        <w:t>(en EUR)</w:t>
      </w:r>
    </w:p>
    <w:tbl>
      <w:tblPr>
        <w:tblW w:w="9101" w:type="dxa"/>
        <w:jc w:val="right"/>
        <w:tblInd w:w="-492" w:type="dxa"/>
        <w:tblLayout w:type="fixed"/>
        <w:tblLook w:val="0000" w:firstRow="0" w:lastRow="0" w:firstColumn="0" w:lastColumn="0" w:noHBand="0" w:noVBand="0"/>
      </w:tblPr>
      <w:tblGrid>
        <w:gridCol w:w="4168"/>
        <w:gridCol w:w="1575"/>
        <w:gridCol w:w="1657"/>
        <w:gridCol w:w="1701"/>
      </w:tblGrid>
      <w:tr>
        <w:trPr>
          <w:trHeight w:val="396"/>
          <w:jc w:val="right"/>
        </w:trPr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2016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AELE-EEE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Union européenne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Total</w:t>
            </w:r>
          </w:p>
        </w:tc>
      </w:tr>
      <w:tr>
        <w:trPr>
          <w:trHeight w:val="360"/>
          <w:jc w:val="right"/>
        </w:trPr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Recettes de l'exercice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393 490 071,00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144 323 275 745,23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144 716 765 816,23</w:t>
            </w:r>
          </w:p>
        </w:tc>
      </w:tr>
      <w:tr>
        <w:trPr>
          <w:trHeight w:val="407"/>
          <w:jc w:val="right"/>
        </w:trPr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Paiements sur crédits de l'exercice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-389 965 609,25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-134 790 370 338,67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ind w:left="181" w:hanging="181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-135 180 335 947,92</w:t>
            </w:r>
          </w:p>
        </w:tc>
      </w:tr>
      <w:tr>
        <w:trPr>
          <w:trHeight w:val="400"/>
          <w:jc w:val="right"/>
        </w:trPr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Crédits de paiement reportés à</w:t>
            </w:r>
            <w:r>
              <w:rPr>
                <w:rStyle w:val="CommentReference"/>
                <w:noProof/>
              </w:rPr>
              <w:t xml:space="preserve"> </w:t>
            </w:r>
            <w:r>
              <w:rPr>
                <w:rStyle w:val="CommentReference"/>
                <w:b/>
                <w:noProof/>
              </w:rPr>
              <w:t>l'</w:t>
            </w:r>
            <w:r>
              <w:rPr>
                <w:b/>
                <w:noProof/>
                <w:color w:val="000000"/>
                <w:sz w:val="16"/>
              </w:rPr>
              <w:t>exercice N+1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-3 838 251,04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-1 651 142 565,23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-1 654 980 816,27</w:t>
            </w:r>
          </w:p>
        </w:tc>
      </w:tr>
      <w:tr>
        <w:trPr>
          <w:trHeight w:val="494"/>
          <w:jc w:val="right"/>
        </w:trPr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Annulation de crédits inutilisés reportés de l’exercice N-1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351 994,52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62 504 192,08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62 856 186,60</w:t>
            </w:r>
          </w:p>
        </w:tc>
      </w:tr>
      <w:tr>
        <w:trPr>
          <w:trHeight w:val="494"/>
          <w:jc w:val="right"/>
        </w:trPr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i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>Différence, pour les recettes affectées, entre le montant reporté des exercices N-1 à N et le montant reporté des exercices N à N+1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-1 367 077 753,06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-1 367 077 753,06</w:t>
            </w:r>
          </w:p>
        </w:tc>
      </w:tr>
      <w:tr>
        <w:trPr>
          <w:trHeight w:val="391"/>
          <w:jc w:val="right"/>
        </w:trPr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Différences de change de l'exercice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-172 659 489,32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-172 659 489,32</w:t>
            </w:r>
          </w:p>
        </w:tc>
      </w:tr>
      <w:tr>
        <w:trPr>
          <w:trHeight w:val="325"/>
          <w:jc w:val="right"/>
        </w:trPr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Résultat de l'exécution du budget 2016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38 205,23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6 404 529 791,03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6 404 567 996,26</w:t>
            </w:r>
          </w:p>
        </w:tc>
      </w:tr>
    </w:tbl>
    <w:bookmarkEnd w:id="2"/>
    <w:p>
      <w:pPr>
        <w:pStyle w:val="NumPar1"/>
        <w:spacing w:before="240"/>
        <w:ind w:left="851" w:hanging="851"/>
        <w:rPr>
          <w:noProof/>
        </w:rPr>
      </w:pPr>
      <w:r>
        <w:rPr>
          <w:noProof/>
        </w:rPr>
        <w:t>La budgétisation de l'excédent diminuera d'autant la contribution globale des États membres au financement du budget 2017. Les contributions définitives des États membres seront également influencées par la mise à jour des prévisions relatives aux ressources propres [ressources propres traditionnelles (RPT), taxe sur la valeur ajoutée (TVA) et revenu national brut (RNB)], y compris celle du montant de la correction britannique, chiffres qui seront disponibles après la réunion de mai 2017 du comité consultatif des ressources propres (CCRP).</w:t>
      </w:r>
    </w:p>
    <w:p>
      <w:pPr>
        <w:pStyle w:val="NumPar1"/>
        <w:spacing w:before="240"/>
        <w:ind w:left="851" w:hanging="851"/>
        <w:rPr>
          <w:noProof/>
        </w:rPr>
      </w:pPr>
      <w:r>
        <w:rPr>
          <w:noProof/>
        </w:rPr>
        <w:t>Le tableau ci-dessous présente une ventilation du résultat pour 2016 en termes d'exécution budgétaire (recettes et dépenses, toutes institutions confondues):</w:t>
      </w:r>
    </w:p>
    <w:p>
      <w:pPr>
        <w:pStyle w:val="NormalRight"/>
        <w:keepNext/>
        <w:spacing w:before="0" w:after="0"/>
        <w:ind w:right="651"/>
        <w:rPr>
          <w:noProof/>
        </w:rPr>
      </w:pPr>
      <w:r>
        <w:rPr>
          <w:noProof/>
        </w:rPr>
        <w:br w:type="page"/>
      </w:r>
      <w:r>
        <w:rPr>
          <w:i/>
          <w:noProof/>
          <w:sz w:val="20"/>
        </w:rPr>
        <w:t>(en Mio EUR)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560"/>
        <w:gridCol w:w="738"/>
      </w:tblGrid>
      <w:tr>
        <w:trPr>
          <w:tblHeader/>
          <w:jc w:val="center"/>
        </w:trPr>
        <w:tc>
          <w:tcPr>
            <w:tcW w:w="8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>
            <w:pPr>
              <w:pStyle w:val="NormalCentered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Ventilation du résultat de l'exécution 2016</w:t>
            </w:r>
          </w:p>
        </w:tc>
      </w:tr>
      <w:tr>
        <w:trPr>
          <w:jc w:val="center"/>
        </w:trPr>
        <w:tc>
          <w:tcPr>
            <w:tcW w:w="7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Sous-total exécution en recettes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>
            <w:pPr>
              <w:pStyle w:val="NormalRight"/>
              <w:tabs>
                <w:tab w:val="left" w:pos="589"/>
              </w:tabs>
              <w:spacing w:before="30" w:after="3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1 688</w:t>
            </w:r>
          </w:p>
        </w:tc>
      </w:tr>
      <w:tr>
        <w:trPr>
          <w:jc w:val="center"/>
        </w:trPr>
        <w:tc>
          <w:tcPr>
            <w:tcW w:w="7986" w:type="dxa"/>
            <w:gridSpan w:val="2"/>
            <w:tcBorders>
              <w:top w:val="nil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Exécution en recettes (différences entre recettes perçues et budgétisées), dont:</w:t>
            </w:r>
          </w:p>
        </w:tc>
        <w:tc>
          <w:tcPr>
            <w:tcW w:w="738" w:type="dxa"/>
            <w:tcBorders>
              <w:top w:val="nil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Titre 1 (ressources propres)</w:t>
            </w:r>
          </w:p>
        </w:tc>
        <w:tc>
          <w:tcPr>
            <w:tcW w:w="738" w:type="dxa"/>
            <w:tcBorders>
              <w:top w:val="nil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-1 511</w:t>
            </w:r>
          </w:p>
        </w:tc>
      </w:tr>
      <w:tr>
        <w:trPr>
          <w:jc w:val="center"/>
        </w:trPr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i/>
                <w:iCs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i/>
                <w:iCs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Titre 3 (excédents, soldes et ajustements)</w:t>
            </w:r>
          </w:p>
        </w:tc>
        <w:tc>
          <w:tcPr>
            <w:tcW w:w="73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iCs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</w:t>
            </w:r>
          </w:p>
        </w:tc>
      </w:tr>
      <w:tr>
        <w:trPr>
          <w:jc w:val="center"/>
        </w:trPr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i/>
                <w:iCs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i/>
                <w:iCs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Titre 7 (intérêts de retard et amendes)</w:t>
            </w:r>
          </w:p>
        </w:tc>
        <w:tc>
          <w:tcPr>
            <w:tcW w:w="73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iCs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3 052</w:t>
            </w:r>
          </w:p>
        </w:tc>
      </w:tr>
      <w:tr>
        <w:trPr>
          <w:jc w:val="center"/>
        </w:trPr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dotted" w:sz="2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Autres titres</w:t>
            </w:r>
          </w:p>
        </w:tc>
        <w:tc>
          <w:tcPr>
            <w:tcW w:w="738" w:type="dxa"/>
            <w:tcBorders>
              <w:top w:val="dotted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138</w:t>
            </w:r>
          </w:p>
        </w:tc>
      </w:tr>
      <w:tr>
        <w:trPr>
          <w:jc w:val="center"/>
        </w:trPr>
        <w:tc>
          <w:tcPr>
            <w:tcW w:w="7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Sous-total exécution en dépenses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>
            <w:pPr>
              <w:pStyle w:val="NormalRight"/>
              <w:spacing w:before="30" w:after="3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4 889</w:t>
            </w:r>
          </w:p>
        </w:tc>
      </w:tr>
      <w:tr>
        <w:trPr>
          <w:jc w:val="center"/>
        </w:trPr>
        <w:tc>
          <w:tcPr>
            <w:tcW w:w="7986" w:type="dxa"/>
            <w:gridSpan w:val="2"/>
            <w:tcBorders>
              <w:top w:val="nil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 xml:space="preserve">Exécution en dépenses, dont: </w:t>
            </w:r>
          </w:p>
        </w:tc>
        <w:tc>
          <w:tcPr>
            <w:tcW w:w="738" w:type="dxa"/>
            <w:tcBorders>
              <w:top w:val="nil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Sous-exécution de crédits autorisés dans le budget 2016: Commission</w:t>
            </w:r>
          </w:p>
        </w:tc>
        <w:tc>
          <w:tcPr>
            <w:tcW w:w="738" w:type="dxa"/>
            <w:tcBorders>
              <w:top w:val="nil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 4 825</w:t>
            </w:r>
          </w:p>
        </w:tc>
      </w:tr>
      <w:tr>
        <w:trPr>
          <w:jc w:val="center"/>
        </w:trPr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Sous-exécution de crédits reportés de 2015: Commission</w:t>
            </w:r>
          </w:p>
        </w:tc>
        <w:tc>
          <w:tcPr>
            <w:tcW w:w="73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28</w:t>
            </w:r>
          </w:p>
        </w:tc>
      </w:tr>
      <w:tr>
        <w:trPr>
          <w:jc w:val="center"/>
        </w:trPr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i/>
                <w:iCs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Réserves non mobilisées en 2016</w:t>
            </w:r>
          </w:p>
        </w:tc>
        <w:tc>
          <w:tcPr>
            <w:tcW w:w="73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</w:t>
            </w:r>
          </w:p>
        </w:tc>
      </w:tr>
      <w:tr>
        <w:trPr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Sous-exécution de crédits autorisés dans le budget 2016 et de crédits reportés de 2015: </w:t>
            </w:r>
            <w:r>
              <w:rPr>
                <w:noProof/>
                <w:sz w:val="16"/>
              </w:rPr>
              <w:br/>
              <w:t>rubrique 5 Administration (autres institutions)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35</w:t>
            </w:r>
          </w:p>
        </w:tc>
      </w:tr>
      <w:tr>
        <w:trPr>
          <w:jc w:val="center"/>
        </w:trPr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Sous-total différences de change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>
            <w:pPr>
              <w:pStyle w:val="NormalRight"/>
              <w:spacing w:before="30" w:after="3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-173</w:t>
            </w:r>
          </w:p>
        </w:tc>
      </w:tr>
      <w:tr>
        <w:trPr>
          <w:jc w:val="center"/>
        </w:trPr>
        <w:tc>
          <w:tcPr>
            <w:tcW w:w="7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Total exécution 2016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>
            <w:pPr>
              <w:pStyle w:val="NormalRight"/>
              <w:spacing w:before="30" w:after="3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6 405</w:t>
            </w:r>
          </w:p>
        </w:tc>
      </w:tr>
      <w:bookmarkEnd w:id="3"/>
      <w:bookmarkEnd w:id="4"/>
    </w:tbl>
    <w:p>
      <w:pPr>
        <w:pStyle w:val="ListDash"/>
        <w:numPr>
          <w:ilvl w:val="0"/>
          <w:numId w:val="0"/>
        </w:numPr>
        <w:rPr>
          <w:noProof/>
        </w:rPr>
      </w:pPr>
    </w:p>
    <w:sectPr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-851" w:right="-851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DOCPROPERTY "Classification" \* MERGEFORMAT </w:instrText>
    </w:r>
    <w:r>
      <w:fldChar w:fldCharType="separate"/>
    </w:r>
    <w:r>
      <w:t xml:space="preserve"> </w:t>
    </w:r>
    <w:r>
      <w:fldChar w:fldCharType="end"/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-851" w:right="-851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fldChar w:fldCharType="begin"/>
    </w:r>
    <w:r>
      <w:instrText xml:space="preserve"> DOCPROPERTY "Classification" \* MERGEFORMAT </w:instrText>
    </w:r>
    <w:r>
      <w:fldChar w:fldCharType="separate"/>
    </w:r>
    <w:r>
      <w:t xml:space="preserve"> </w:t>
    </w:r>
    <w:r>
      <w:fldChar w:fldCharType="end"/>
    </w:r>
    <w: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  <w:footnote w:id="2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>JO L 298 du 26.10.2012, p. 1.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z w:val="18"/>
        </w:rPr>
        <w:t>JO L 51 du 28.2.2017, p. 1.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8"/>
        </w:rPr>
        <w:t>JO L XXX du XX.XX.XXXX</w:t>
      </w:r>
      <w:r>
        <w:t>.</w:t>
      </w:r>
    </w:p>
  </w:footnote>
  <w:footnote w:id="5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>JO L 298 du 26.10.2012, p.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BA7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7ED41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A856D4"/>
    <w:multiLevelType w:val="hybridMultilevel"/>
    <w:tmpl w:val="B07CF3C4"/>
    <w:lvl w:ilvl="0" w:tplc="3D900F3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54526B"/>
    <w:multiLevelType w:val="hybridMultilevel"/>
    <w:tmpl w:val="18D88870"/>
    <w:lvl w:ilvl="0" w:tplc="8A36BA8C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01886"/>
    <w:multiLevelType w:val="hybridMultilevel"/>
    <w:tmpl w:val="FBA0B950"/>
    <w:lvl w:ilvl="0" w:tplc="D1CAE414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20AC0"/>
    <w:multiLevelType w:val="hybridMultilevel"/>
    <w:tmpl w:val="32B0E5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36C33"/>
    <w:multiLevelType w:val="hybridMultilevel"/>
    <w:tmpl w:val="4036C0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795CFC"/>
    <w:multiLevelType w:val="hybridMultilevel"/>
    <w:tmpl w:val="D988CA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027E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9">
    <w:nsid w:val="2F78565E"/>
    <w:multiLevelType w:val="hybridMultilevel"/>
    <w:tmpl w:val="3F76E56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1246D7F"/>
    <w:multiLevelType w:val="hybridMultilevel"/>
    <w:tmpl w:val="E1EA8208"/>
    <w:lvl w:ilvl="0" w:tplc="94027E84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A52C4F"/>
    <w:multiLevelType w:val="singleLevel"/>
    <w:tmpl w:val="CEFC5A2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>
    <w:nsid w:val="33BE45BD"/>
    <w:multiLevelType w:val="hybridMultilevel"/>
    <w:tmpl w:val="6D2219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027E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EA3932"/>
    <w:multiLevelType w:val="hybridMultilevel"/>
    <w:tmpl w:val="FA52BE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>
    <w:nsid w:val="3F090162"/>
    <w:multiLevelType w:val="hybridMultilevel"/>
    <w:tmpl w:val="97F2B26A"/>
    <w:lvl w:ilvl="0" w:tplc="61E27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7">
    <w:nsid w:val="41AF2082"/>
    <w:multiLevelType w:val="hybridMultilevel"/>
    <w:tmpl w:val="A672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628B4"/>
    <w:multiLevelType w:val="hybridMultilevel"/>
    <w:tmpl w:val="7706A2BE"/>
    <w:lvl w:ilvl="0" w:tplc="3D900F3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F8C3B69"/>
    <w:multiLevelType w:val="multilevel"/>
    <w:tmpl w:val="9B14DAA8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D2B5511"/>
    <w:multiLevelType w:val="singleLevel"/>
    <w:tmpl w:val="74A09970"/>
    <w:name w:val="Heading__2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1">
    <w:nsid w:val="7123216D"/>
    <w:multiLevelType w:val="hybridMultilevel"/>
    <w:tmpl w:val="F648ECEA"/>
    <w:lvl w:ilvl="0" w:tplc="AB00A56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7A0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D8E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0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20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789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61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AA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C40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E95D7F"/>
    <w:multiLevelType w:val="multilevel"/>
    <w:tmpl w:val="F126F78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3">
    <w:nsid w:val="7C966381"/>
    <w:multiLevelType w:val="multilevel"/>
    <w:tmpl w:val="DCC8806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6"/>
  </w:num>
  <w:num w:numId="5">
    <w:abstractNumId w:val="21"/>
  </w:num>
  <w:num w:numId="6">
    <w:abstractNumId w:val="16"/>
  </w:num>
  <w:num w:numId="7">
    <w:abstractNumId w:val="20"/>
  </w:num>
  <w:num w:numId="8">
    <w:abstractNumId w:val="14"/>
  </w:num>
  <w:num w:numId="9">
    <w:abstractNumId w:val="7"/>
  </w:num>
  <w:num w:numId="10">
    <w:abstractNumId w:val="12"/>
  </w:num>
  <w:num w:numId="11">
    <w:abstractNumId w:val="13"/>
  </w:num>
  <w:num w:numId="12">
    <w:abstractNumId w:val="5"/>
  </w:num>
  <w:num w:numId="13">
    <w:abstractNumId w:val="6"/>
  </w:num>
  <w:num w:numId="14">
    <w:abstractNumId w:val="8"/>
  </w:num>
  <w:num w:numId="15">
    <w:abstractNumId w:val="10"/>
  </w:num>
  <w:num w:numId="16">
    <w:abstractNumId w:val="18"/>
  </w:num>
  <w:num w:numId="17">
    <w:abstractNumId w:val="16"/>
  </w:num>
  <w:num w:numId="18">
    <w:abstractNumId w:val="19"/>
  </w:num>
  <w:num w:numId="19">
    <w:abstractNumId w:val="4"/>
  </w:num>
  <w:num w:numId="20">
    <w:abstractNumId w:val="9"/>
  </w:num>
  <w:num w:numId="21">
    <w:abstractNumId w:val="16"/>
  </w:num>
  <w:num w:numId="22">
    <w:abstractNumId w:val="16"/>
  </w:num>
  <w:num w:numId="23">
    <w:abstractNumId w:val="0"/>
  </w:num>
  <w:num w:numId="24">
    <w:abstractNumId w:val="17"/>
  </w:num>
  <w:num w:numId="25">
    <w:abstractNumId w:val="15"/>
  </w:num>
  <w:num w:numId="26">
    <w:abstractNumId w:val="3"/>
  </w:num>
  <w:num w:numId="27">
    <w:abstractNumId w:val="22"/>
  </w:num>
  <w:num w:numId="28">
    <w:abstractNumId w:val="19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DocumentType" w:val="ERR"/>
    <w:docVar w:name="FigNum" w:val="1"/>
    <w:docVar w:name="LW_CONFIDENCE" w:val=" "/>
    <w:docVar w:name="LW_CONST_RESTREINT_UE" w:val="RESTREINT UE"/>
    <w:docVar w:name="LW_CORRIGENDUM" w:val="&lt;UNUSED&gt;"/>
    <w:docVar w:name="LW_COVERPAGE_GUID" w:val="DC6A1DDB52BE448483D854488B19D129"/>
    <w:docVar w:name="LW_CROSSREFERENCE" w:val="&lt;UNUSED&gt;"/>
    <w:docVar w:name="LW_DocType" w:val="NORMAL"/>
    <w:docVar w:name="LW_EMISSION" w:val="12.4.2017"/>
    <w:docVar w:name="LW_EMISSION_ISODATE" w:val="2017-04-12"/>
    <w:docVar w:name="LW_EMISSION_LOCATION" w:val="BRX"/>
    <w:docVar w:name="LW_EMISSION_PREFIX" w:val="Bruxelles, le "/>
    <w:docVar w:name="LW_EMISSION_SUFFIX" w:val=" "/>
    <w:docVar w:name="LW_ID_DOCTYPE_NONLW" w:val="CP-035"/>
    <w:docVar w:name="LW_LANGUE" w:val="FR"/>
    <w:docVar w:name="LW_MARKING" w:val="&lt;UNUSED&gt;"/>
    <w:docVar w:name="LW_NOM.INST" w:val="COMMISSION EUROPÉENNE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188"/>
    <w:docVar w:name="LW_REF.INTERNE" w:val="&lt;UNUSED&gt;"/>
    <w:docVar w:name="LW_SOUS.TITRE.OBJ.CP" w:val="&lt;UNUSED&gt;"/>
    <w:docVar w:name="LW_SUPERTITRE" w:val="&lt;UNUSED&gt;"/>
    <w:docVar w:name="LW_TITRE.OBJ.CP" w:val="BUDGÉTISATION DE L\u8217?EXCÉDENT DE L\u8217?EXERCICE  2016 "/>
    <w:docVar w:name="LW_TITRE.OBJ.CP_PREVIOUS" w:val="&lt;UNUSED&gt;"/>
    <w:docVar w:name="LW_TYPE.DOC.CP" w:val="PROJET DE BUDGET RECTIFICATIF N° 2_x000b_AU BUDGET GÉNÉRAL 2017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120"/>
      <w:ind w:left="720" w:hanging="7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</w:numPr>
      <w:tabs>
        <w:tab w:val="num" w:pos="850"/>
      </w:tabs>
      <w:spacing w:before="120" w:after="120"/>
      <w:ind w:left="850" w:hanging="850"/>
      <w:jc w:val="both"/>
      <w:outlineLvl w:val="2"/>
    </w:pPr>
    <w:rPr>
      <w:rFonts w:ascii="Arial" w:hAnsi="Arial"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</w:numPr>
      <w:tabs>
        <w:tab w:val="num" w:pos="1030"/>
      </w:tabs>
      <w:spacing w:before="120" w:after="120"/>
      <w:ind w:left="1030" w:hanging="850"/>
      <w:jc w:val="both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paragraph" w:styleId="FootnoteText">
    <w:name w:val="footnote text"/>
    <w:basedOn w:val="Normal"/>
    <w:link w:val="FootnoteTextChar"/>
    <w:pPr>
      <w:ind w:left="720" w:hanging="720"/>
      <w:jc w:val="both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b/>
      <w:bCs/>
      <w:caps/>
      <w:sz w:val="20"/>
      <w:szCs w:val="20"/>
    </w:rPr>
  </w:style>
  <w:style w:type="character" w:styleId="FootnoteReference">
    <w:name w:val="footnote reference"/>
    <w:aliases w:val="stylish,Footnote Reference Superscript,BVI fnr,Footnote symbol,Footnote symboFußnotenzeichen,Footnote sign,Footnote Reference Number,E FNZ,-E Fußnotenzeichen,Footnote#,Footnote,Times 10 Point,Exposant 3 Point,Ref,de nota al pie,SUPER"/>
    <w:semiHidden/>
    <w:rPr>
      <w:vertAlign w:val="superscript"/>
    </w:rPr>
  </w:style>
  <w:style w:type="paragraph" w:customStyle="1" w:styleId="Text1">
    <w:name w:val="Text 1"/>
    <w:basedOn w:val="Normal"/>
    <w:pPr>
      <w:spacing w:before="120" w:after="120"/>
      <w:ind w:left="850"/>
      <w:jc w:val="both"/>
    </w:pPr>
  </w:style>
  <w:style w:type="paragraph" w:customStyle="1" w:styleId="Tiret0">
    <w:name w:val="Tiret 0"/>
    <w:basedOn w:val="Normal"/>
    <w:pPr>
      <w:numPr>
        <w:numId w:val="1"/>
      </w:numPr>
      <w:spacing w:before="120" w:after="120"/>
      <w:jc w:val="both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b/>
    </w:rPr>
  </w:style>
  <w:style w:type="paragraph" w:customStyle="1" w:styleId="ListDash">
    <w:name w:val="List Dash"/>
    <w:basedOn w:val="Normal"/>
    <w:link w:val="ListDashChar"/>
    <w:pPr>
      <w:numPr>
        <w:numId w:val="2"/>
      </w:numPr>
      <w:spacing w:before="120" w:after="120"/>
      <w:jc w:val="both"/>
    </w:pPr>
  </w:style>
  <w:style w:type="paragraph" w:styleId="TOCHeading">
    <w:name w:val="TOC Heading"/>
    <w:basedOn w:val="Normal"/>
    <w:next w:val="Normal"/>
    <w:qFormat/>
    <w:pPr>
      <w:spacing w:before="120" w:after="240"/>
      <w:jc w:val="center"/>
    </w:pPr>
    <w:rPr>
      <w:b/>
      <w:sz w:val="28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</w:rPr>
  </w:style>
  <w:style w:type="paragraph" w:customStyle="1" w:styleId="Prliminairetype">
    <w:name w:val="Préliminaire type"/>
    <w:basedOn w:val="Normal"/>
    <w:next w:val="Normal"/>
    <w:pPr>
      <w:spacing w:before="360"/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120" w:after="120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FooterCoverPage">
    <w:name w:val="Footer Cover Page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paragraph" w:customStyle="1" w:styleId="HeaderCoverPage">
    <w:name w:val="Header Cover Page"/>
    <w:basedOn w:val="Normal"/>
    <w:pPr>
      <w:tabs>
        <w:tab w:val="center" w:pos="4535"/>
        <w:tab w:val="right" w:pos="9071"/>
      </w:tabs>
      <w:spacing w:after="120"/>
      <w:jc w:val="both"/>
    </w:p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styleId="ListBullet">
    <w:name w:val="List Bullet"/>
    <w:basedOn w:val="Normal"/>
    <w:pPr>
      <w:numPr>
        <w:numId w:val="7"/>
      </w:numPr>
      <w:spacing w:before="120" w:after="120"/>
      <w:jc w:val="both"/>
    </w:pPr>
  </w:style>
  <w:style w:type="paragraph" w:customStyle="1" w:styleId="ListDash2">
    <w:name w:val="List Dash 2"/>
    <w:basedOn w:val="Normal"/>
    <w:pPr>
      <w:tabs>
        <w:tab w:val="num" w:pos="1134"/>
      </w:tabs>
      <w:spacing w:before="120" w:after="120"/>
      <w:ind w:left="1134" w:hanging="283"/>
      <w:jc w:val="both"/>
    </w:pPr>
  </w:style>
  <w:style w:type="paragraph" w:customStyle="1" w:styleId="ListBullet1">
    <w:name w:val="List Bullet 1"/>
    <w:basedOn w:val="Text1"/>
    <w:pPr>
      <w:numPr>
        <w:numId w:val="8"/>
      </w:numPr>
      <w:spacing w:before="0" w:after="240"/>
    </w:pPr>
    <w:rPr>
      <w:szCs w:val="20"/>
    </w:rPr>
  </w:style>
  <w:style w:type="paragraph" w:styleId="ListBullet2">
    <w:name w:val="List Bullet 2"/>
    <w:basedOn w:val="Normal"/>
    <w:pPr>
      <w:numPr>
        <w:numId w:val="14"/>
      </w:numPr>
      <w:spacing w:after="240"/>
      <w:jc w:val="both"/>
    </w:pPr>
    <w:rPr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ypedudocument">
    <w:name w:val="Type du document"/>
    <w:basedOn w:val="Normal"/>
    <w:next w:val="Titreobjet"/>
    <w:pPr>
      <w:spacing w:before="360"/>
      <w:jc w:val="center"/>
    </w:pPr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Text2">
    <w:name w:val="Text 2"/>
    <w:basedOn w:val="Normal"/>
    <w:pPr>
      <w:spacing w:before="120" w:after="120"/>
      <w:ind w:left="85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pPr>
      <w:numPr>
        <w:numId w:val="28"/>
      </w:numPr>
      <w:spacing w:before="120" w:after="120"/>
      <w:jc w:val="both"/>
    </w:pPr>
  </w:style>
  <w:style w:type="paragraph" w:customStyle="1" w:styleId="ListNumberLevel2">
    <w:name w:val="List Number (Level 2)"/>
    <w:basedOn w:val="Normal"/>
    <w:pPr>
      <w:numPr>
        <w:ilvl w:val="1"/>
        <w:numId w:val="28"/>
      </w:numPr>
      <w:spacing w:before="120" w:after="120"/>
      <w:jc w:val="both"/>
    </w:pPr>
  </w:style>
  <w:style w:type="paragraph" w:customStyle="1" w:styleId="ListNumberLevel3">
    <w:name w:val="List Number (Level 3)"/>
    <w:basedOn w:val="Normal"/>
    <w:pPr>
      <w:numPr>
        <w:ilvl w:val="2"/>
        <w:numId w:val="28"/>
      </w:numPr>
      <w:spacing w:before="120" w:after="120"/>
      <w:jc w:val="both"/>
    </w:pPr>
  </w:style>
  <w:style w:type="paragraph" w:customStyle="1" w:styleId="ListNumberLevel4">
    <w:name w:val="List Number (Level 4)"/>
    <w:basedOn w:val="Normal"/>
    <w:pPr>
      <w:numPr>
        <w:ilvl w:val="3"/>
        <w:numId w:val="28"/>
      </w:numPr>
      <w:spacing w:before="120" w:after="120"/>
      <w:jc w:val="both"/>
    </w:pPr>
  </w:style>
  <w:style w:type="character" w:customStyle="1" w:styleId="ListDashChar">
    <w:name w:val="List Dash Char"/>
    <w:link w:val="ListDash"/>
    <w:rPr>
      <w:sz w:val="24"/>
      <w:szCs w:val="24"/>
      <w:lang w:eastAsia="fr-FR"/>
    </w:rPr>
  </w:style>
  <w:style w:type="paragraph" w:customStyle="1" w:styleId="StyleManualHeading2Italic">
    <w:name w:val="Style Manual Heading 2 + Italic"/>
    <w:basedOn w:val="ManualHeading2"/>
    <w:autoRedefine/>
    <w:pPr>
      <w:spacing w:before="160" w:after="160"/>
      <w:ind w:left="851" w:hanging="851"/>
    </w:pPr>
    <w:rPr>
      <w:bCs/>
      <w:i/>
      <w:iCs/>
    </w:rPr>
  </w:style>
  <w:style w:type="character" w:customStyle="1" w:styleId="FootnoteTextChar">
    <w:name w:val="Footnote Text Char"/>
    <w:link w:val="FootnoteText"/>
    <w:rPr>
      <w:lang w:eastAsia="fr-FR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</w:style>
  <w:style w:type="paragraph" w:customStyle="1" w:styleId="NormalRight">
    <w:name w:val="Normal Right"/>
    <w:basedOn w:val="Normal"/>
    <w:pPr>
      <w:spacing w:before="120" w:after="120"/>
      <w:jc w:val="right"/>
    </w:pPr>
  </w:style>
  <w:style w:type="paragraph" w:customStyle="1" w:styleId="NormalLeft">
    <w:name w:val="Normal Left"/>
    <w:basedOn w:val="Normal"/>
    <w:pPr>
      <w:spacing w:before="120" w:after="120"/>
    </w:pPr>
  </w:style>
  <w:style w:type="paragraph" w:customStyle="1" w:styleId="Point0number">
    <w:name w:val="Point 0 (number)"/>
    <w:basedOn w:val="Normal"/>
    <w:uiPriority w:val="99"/>
    <w:pPr>
      <w:numPr>
        <w:numId w:val="27"/>
      </w:numPr>
      <w:spacing w:before="120" w:after="120"/>
      <w:jc w:val="both"/>
    </w:pPr>
  </w:style>
  <w:style w:type="paragraph" w:customStyle="1" w:styleId="Point1number">
    <w:name w:val="Point 1 (number)"/>
    <w:basedOn w:val="Normal"/>
    <w:uiPriority w:val="99"/>
    <w:pPr>
      <w:numPr>
        <w:ilvl w:val="2"/>
        <w:numId w:val="27"/>
      </w:numPr>
      <w:spacing w:before="120" w:after="120"/>
      <w:jc w:val="both"/>
    </w:pPr>
  </w:style>
  <w:style w:type="paragraph" w:customStyle="1" w:styleId="Point2number">
    <w:name w:val="Point 2 (number)"/>
    <w:basedOn w:val="Normal"/>
    <w:uiPriority w:val="99"/>
    <w:pPr>
      <w:numPr>
        <w:ilvl w:val="4"/>
        <w:numId w:val="27"/>
      </w:numPr>
      <w:spacing w:before="120" w:after="120"/>
      <w:jc w:val="both"/>
    </w:pPr>
  </w:style>
  <w:style w:type="paragraph" w:customStyle="1" w:styleId="Point3number">
    <w:name w:val="Point 3 (number)"/>
    <w:basedOn w:val="Normal"/>
    <w:uiPriority w:val="99"/>
    <w:pPr>
      <w:numPr>
        <w:ilvl w:val="6"/>
        <w:numId w:val="27"/>
      </w:numPr>
      <w:spacing w:before="120" w:after="120"/>
      <w:jc w:val="both"/>
    </w:pPr>
  </w:style>
  <w:style w:type="paragraph" w:customStyle="1" w:styleId="Point0letter">
    <w:name w:val="Point 0 (letter)"/>
    <w:basedOn w:val="Normal"/>
    <w:uiPriority w:val="99"/>
    <w:pPr>
      <w:numPr>
        <w:ilvl w:val="1"/>
        <w:numId w:val="27"/>
      </w:numPr>
      <w:spacing w:before="120" w:after="120"/>
      <w:jc w:val="both"/>
    </w:pPr>
  </w:style>
  <w:style w:type="paragraph" w:customStyle="1" w:styleId="Point1letter">
    <w:name w:val="Point 1 (letter)"/>
    <w:basedOn w:val="Normal"/>
    <w:uiPriority w:val="99"/>
    <w:pPr>
      <w:numPr>
        <w:ilvl w:val="3"/>
        <w:numId w:val="27"/>
      </w:numPr>
      <w:spacing w:before="120" w:after="120"/>
      <w:jc w:val="both"/>
    </w:pPr>
  </w:style>
  <w:style w:type="paragraph" w:customStyle="1" w:styleId="Point2letter">
    <w:name w:val="Point 2 (letter)"/>
    <w:basedOn w:val="Normal"/>
    <w:uiPriority w:val="99"/>
    <w:pPr>
      <w:numPr>
        <w:ilvl w:val="5"/>
        <w:numId w:val="27"/>
      </w:numPr>
      <w:spacing w:before="120" w:after="120"/>
      <w:jc w:val="both"/>
    </w:pPr>
  </w:style>
  <w:style w:type="paragraph" w:customStyle="1" w:styleId="Point3letter">
    <w:name w:val="Point 3 (letter)"/>
    <w:basedOn w:val="Normal"/>
    <w:uiPriority w:val="99"/>
    <w:pPr>
      <w:numPr>
        <w:ilvl w:val="7"/>
        <w:numId w:val="27"/>
      </w:numPr>
      <w:spacing w:before="120" w:after="120"/>
      <w:jc w:val="both"/>
    </w:pPr>
  </w:style>
  <w:style w:type="paragraph" w:customStyle="1" w:styleId="Point4letter">
    <w:name w:val="Point 4 (letter)"/>
    <w:basedOn w:val="Normal"/>
    <w:uiPriority w:val="99"/>
    <w:pPr>
      <w:numPr>
        <w:ilvl w:val="8"/>
        <w:numId w:val="27"/>
      </w:numPr>
      <w:spacing w:before="120" w:after="120"/>
      <w:jc w:val="both"/>
    </w:pPr>
  </w:style>
  <w:style w:type="paragraph" w:customStyle="1" w:styleId="NumPar1">
    <w:name w:val="NumPar 1"/>
    <w:basedOn w:val="Normal"/>
    <w:next w:val="Text1"/>
    <w:pPr>
      <w:numPr>
        <w:numId w:val="36"/>
      </w:numPr>
      <w:spacing w:before="120" w:after="120"/>
      <w:jc w:val="both"/>
    </w:pPr>
  </w:style>
  <w:style w:type="paragraph" w:customStyle="1" w:styleId="NumPar2">
    <w:name w:val="NumPar 2"/>
    <w:basedOn w:val="Normal"/>
    <w:next w:val="Normal"/>
    <w:pPr>
      <w:numPr>
        <w:ilvl w:val="1"/>
        <w:numId w:val="36"/>
      </w:numPr>
      <w:spacing w:before="120" w:after="120"/>
      <w:jc w:val="both"/>
    </w:pPr>
  </w:style>
  <w:style w:type="paragraph" w:customStyle="1" w:styleId="NumPar3">
    <w:name w:val="NumPar 3"/>
    <w:basedOn w:val="Normal"/>
    <w:next w:val="Normal"/>
    <w:pPr>
      <w:numPr>
        <w:ilvl w:val="2"/>
        <w:numId w:val="36"/>
      </w:numPr>
      <w:spacing w:before="120" w:after="120"/>
      <w:jc w:val="both"/>
    </w:pPr>
  </w:style>
  <w:style w:type="paragraph" w:customStyle="1" w:styleId="NumPar4">
    <w:name w:val="NumPar 4"/>
    <w:basedOn w:val="Normal"/>
    <w:next w:val="Normal"/>
    <w:pPr>
      <w:numPr>
        <w:ilvl w:val="3"/>
        <w:numId w:val="36"/>
      </w:numPr>
      <w:spacing w:before="120" w:after="120"/>
      <w:jc w:val="both"/>
    </w:pPr>
  </w:style>
  <w:style w:type="paragraph" w:customStyle="1" w:styleId="Exposdesmotifstitre">
    <w:name w:val="Exposé des motifs titre"/>
    <w:basedOn w:val="Normal"/>
    <w:next w:val="Normal"/>
    <w:pPr>
      <w:spacing w:before="120" w:after="120"/>
      <w:jc w:val="center"/>
    </w:pPr>
    <w:rPr>
      <w:b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Statut">
    <w:name w:val="Statut"/>
    <w:basedOn w:val="Normal"/>
    <w:next w:val="Typedudocument"/>
    <w:pPr>
      <w:spacing w:before="360"/>
      <w:jc w:val="center"/>
    </w:pPr>
    <w:rPr>
      <w:rFonts w:eastAsia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120"/>
      <w:ind w:left="720" w:hanging="7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</w:numPr>
      <w:tabs>
        <w:tab w:val="num" w:pos="850"/>
      </w:tabs>
      <w:spacing w:before="120" w:after="120"/>
      <w:ind w:left="850" w:hanging="850"/>
      <w:jc w:val="both"/>
      <w:outlineLvl w:val="2"/>
    </w:pPr>
    <w:rPr>
      <w:rFonts w:ascii="Arial" w:hAnsi="Arial"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</w:numPr>
      <w:tabs>
        <w:tab w:val="num" w:pos="1030"/>
      </w:tabs>
      <w:spacing w:before="120" w:after="120"/>
      <w:ind w:left="1030" w:hanging="850"/>
      <w:jc w:val="both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paragraph" w:styleId="FootnoteText">
    <w:name w:val="footnote text"/>
    <w:basedOn w:val="Normal"/>
    <w:link w:val="FootnoteTextChar"/>
    <w:pPr>
      <w:ind w:left="720" w:hanging="720"/>
      <w:jc w:val="both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b/>
      <w:bCs/>
      <w:caps/>
      <w:sz w:val="20"/>
      <w:szCs w:val="20"/>
    </w:rPr>
  </w:style>
  <w:style w:type="character" w:styleId="FootnoteReference">
    <w:name w:val="footnote reference"/>
    <w:aliases w:val="stylish,Footnote Reference Superscript,BVI fnr,Footnote symbol,Footnote symboFußnotenzeichen,Footnote sign,Footnote Reference Number,E FNZ,-E Fußnotenzeichen,Footnote#,Footnote,Times 10 Point,Exposant 3 Point,Ref,de nota al pie,SUPER"/>
    <w:semiHidden/>
    <w:rPr>
      <w:vertAlign w:val="superscript"/>
    </w:rPr>
  </w:style>
  <w:style w:type="paragraph" w:customStyle="1" w:styleId="Text1">
    <w:name w:val="Text 1"/>
    <w:basedOn w:val="Normal"/>
    <w:pPr>
      <w:spacing w:before="120" w:after="120"/>
      <w:ind w:left="850"/>
      <w:jc w:val="both"/>
    </w:pPr>
  </w:style>
  <w:style w:type="paragraph" w:customStyle="1" w:styleId="Tiret0">
    <w:name w:val="Tiret 0"/>
    <w:basedOn w:val="Normal"/>
    <w:pPr>
      <w:numPr>
        <w:numId w:val="1"/>
      </w:numPr>
      <w:spacing w:before="120" w:after="120"/>
      <w:jc w:val="both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b/>
    </w:rPr>
  </w:style>
  <w:style w:type="paragraph" w:customStyle="1" w:styleId="ListDash">
    <w:name w:val="List Dash"/>
    <w:basedOn w:val="Normal"/>
    <w:link w:val="ListDashChar"/>
    <w:pPr>
      <w:numPr>
        <w:numId w:val="2"/>
      </w:numPr>
      <w:spacing w:before="120" w:after="120"/>
      <w:jc w:val="both"/>
    </w:pPr>
  </w:style>
  <w:style w:type="paragraph" w:styleId="TOCHeading">
    <w:name w:val="TOC Heading"/>
    <w:basedOn w:val="Normal"/>
    <w:next w:val="Normal"/>
    <w:qFormat/>
    <w:pPr>
      <w:spacing w:before="120" w:after="240"/>
      <w:jc w:val="center"/>
    </w:pPr>
    <w:rPr>
      <w:b/>
      <w:sz w:val="28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</w:rPr>
  </w:style>
  <w:style w:type="paragraph" w:customStyle="1" w:styleId="Prliminairetype">
    <w:name w:val="Préliminaire type"/>
    <w:basedOn w:val="Normal"/>
    <w:next w:val="Normal"/>
    <w:pPr>
      <w:spacing w:before="360"/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120" w:after="120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FooterCoverPage">
    <w:name w:val="Footer Cover Page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paragraph" w:customStyle="1" w:styleId="HeaderCoverPage">
    <w:name w:val="Header Cover Page"/>
    <w:basedOn w:val="Normal"/>
    <w:pPr>
      <w:tabs>
        <w:tab w:val="center" w:pos="4535"/>
        <w:tab w:val="right" w:pos="9071"/>
      </w:tabs>
      <w:spacing w:after="120"/>
      <w:jc w:val="both"/>
    </w:p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styleId="ListBullet">
    <w:name w:val="List Bullet"/>
    <w:basedOn w:val="Normal"/>
    <w:pPr>
      <w:numPr>
        <w:numId w:val="7"/>
      </w:numPr>
      <w:spacing w:before="120" w:after="120"/>
      <w:jc w:val="both"/>
    </w:pPr>
  </w:style>
  <w:style w:type="paragraph" w:customStyle="1" w:styleId="ListDash2">
    <w:name w:val="List Dash 2"/>
    <w:basedOn w:val="Normal"/>
    <w:pPr>
      <w:tabs>
        <w:tab w:val="num" w:pos="1134"/>
      </w:tabs>
      <w:spacing w:before="120" w:after="120"/>
      <w:ind w:left="1134" w:hanging="283"/>
      <w:jc w:val="both"/>
    </w:pPr>
  </w:style>
  <w:style w:type="paragraph" w:customStyle="1" w:styleId="ListBullet1">
    <w:name w:val="List Bullet 1"/>
    <w:basedOn w:val="Text1"/>
    <w:pPr>
      <w:numPr>
        <w:numId w:val="8"/>
      </w:numPr>
      <w:spacing w:before="0" w:after="240"/>
    </w:pPr>
    <w:rPr>
      <w:szCs w:val="20"/>
    </w:rPr>
  </w:style>
  <w:style w:type="paragraph" w:styleId="ListBullet2">
    <w:name w:val="List Bullet 2"/>
    <w:basedOn w:val="Normal"/>
    <w:pPr>
      <w:numPr>
        <w:numId w:val="14"/>
      </w:numPr>
      <w:spacing w:after="240"/>
      <w:jc w:val="both"/>
    </w:pPr>
    <w:rPr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ypedudocument">
    <w:name w:val="Type du document"/>
    <w:basedOn w:val="Normal"/>
    <w:next w:val="Titreobjet"/>
    <w:pPr>
      <w:spacing w:before="360"/>
      <w:jc w:val="center"/>
    </w:pPr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Text2">
    <w:name w:val="Text 2"/>
    <w:basedOn w:val="Normal"/>
    <w:pPr>
      <w:spacing w:before="120" w:after="120"/>
      <w:ind w:left="85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pPr>
      <w:numPr>
        <w:numId w:val="28"/>
      </w:numPr>
      <w:spacing w:before="120" w:after="120"/>
      <w:jc w:val="both"/>
    </w:pPr>
  </w:style>
  <w:style w:type="paragraph" w:customStyle="1" w:styleId="ListNumberLevel2">
    <w:name w:val="List Number (Level 2)"/>
    <w:basedOn w:val="Normal"/>
    <w:pPr>
      <w:numPr>
        <w:ilvl w:val="1"/>
        <w:numId w:val="28"/>
      </w:numPr>
      <w:spacing w:before="120" w:after="120"/>
      <w:jc w:val="both"/>
    </w:pPr>
  </w:style>
  <w:style w:type="paragraph" w:customStyle="1" w:styleId="ListNumberLevel3">
    <w:name w:val="List Number (Level 3)"/>
    <w:basedOn w:val="Normal"/>
    <w:pPr>
      <w:numPr>
        <w:ilvl w:val="2"/>
        <w:numId w:val="28"/>
      </w:numPr>
      <w:spacing w:before="120" w:after="120"/>
      <w:jc w:val="both"/>
    </w:pPr>
  </w:style>
  <w:style w:type="paragraph" w:customStyle="1" w:styleId="ListNumberLevel4">
    <w:name w:val="List Number (Level 4)"/>
    <w:basedOn w:val="Normal"/>
    <w:pPr>
      <w:numPr>
        <w:ilvl w:val="3"/>
        <w:numId w:val="28"/>
      </w:numPr>
      <w:spacing w:before="120" w:after="120"/>
      <w:jc w:val="both"/>
    </w:pPr>
  </w:style>
  <w:style w:type="character" w:customStyle="1" w:styleId="ListDashChar">
    <w:name w:val="List Dash Char"/>
    <w:link w:val="ListDash"/>
    <w:rPr>
      <w:sz w:val="24"/>
      <w:szCs w:val="24"/>
      <w:lang w:eastAsia="fr-FR"/>
    </w:rPr>
  </w:style>
  <w:style w:type="paragraph" w:customStyle="1" w:styleId="StyleManualHeading2Italic">
    <w:name w:val="Style Manual Heading 2 + Italic"/>
    <w:basedOn w:val="ManualHeading2"/>
    <w:autoRedefine/>
    <w:pPr>
      <w:spacing w:before="160" w:after="160"/>
      <w:ind w:left="851" w:hanging="851"/>
    </w:pPr>
    <w:rPr>
      <w:bCs/>
      <w:i/>
      <w:iCs/>
    </w:rPr>
  </w:style>
  <w:style w:type="character" w:customStyle="1" w:styleId="FootnoteTextChar">
    <w:name w:val="Footnote Text Char"/>
    <w:link w:val="FootnoteText"/>
    <w:rPr>
      <w:lang w:eastAsia="fr-FR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</w:style>
  <w:style w:type="paragraph" w:customStyle="1" w:styleId="NormalRight">
    <w:name w:val="Normal Right"/>
    <w:basedOn w:val="Normal"/>
    <w:pPr>
      <w:spacing w:before="120" w:after="120"/>
      <w:jc w:val="right"/>
    </w:pPr>
  </w:style>
  <w:style w:type="paragraph" w:customStyle="1" w:styleId="NormalLeft">
    <w:name w:val="Normal Left"/>
    <w:basedOn w:val="Normal"/>
    <w:pPr>
      <w:spacing w:before="120" w:after="120"/>
    </w:pPr>
  </w:style>
  <w:style w:type="paragraph" w:customStyle="1" w:styleId="Point0number">
    <w:name w:val="Point 0 (number)"/>
    <w:basedOn w:val="Normal"/>
    <w:uiPriority w:val="99"/>
    <w:pPr>
      <w:numPr>
        <w:numId w:val="27"/>
      </w:numPr>
      <w:spacing w:before="120" w:after="120"/>
      <w:jc w:val="both"/>
    </w:pPr>
  </w:style>
  <w:style w:type="paragraph" w:customStyle="1" w:styleId="Point1number">
    <w:name w:val="Point 1 (number)"/>
    <w:basedOn w:val="Normal"/>
    <w:uiPriority w:val="99"/>
    <w:pPr>
      <w:numPr>
        <w:ilvl w:val="2"/>
        <w:numId w:val="27"/>
      </w:numPr>
      <w:spacing w:before="120" w:after="120"/>
      <w:jc w:val="both"/>
    </w:pPr>
  </w:style>
  <w:style w:type="paragraph" w:customStyle="1" w:styleId="Point2number">
    <w:name w:val="Point 2 (number)"/>
    <w:basedOn w:val="Normal"/>
    <w:uiPriority w:val="99"/>
    <w:pPr>
      <w:numPr>
        <w:ilvl w:val="4"/>
        <w:numId w:val="27"/>
      </w:numPr>
      <w:spacing w:before="120" w:after="120"/>
      <w:jc w:val="both"/>
    </w:pPr>
  </w:style>
  <w:style w:type="paragraph" w:customStyle="1" w:styleId="Point3number">
    <w:name w:val="Point 3 (number)"/>
    <w:basedOn w:val="Normal"/>
    <w:uiPriority w:val="99"/>
    <w:pPr>
      <w:numPr>
        <w:ilvl w:val="6"/>
        <w:numId w:val="27"/>
      </w:numPr>
      <w:spacing w:before="120" w:after="120"/>
      <w:jc w:val="both"/>
    </w:pPr>
  </w:style>
  <w:style w:type="paragraph" w:customStyle="1" w:styleId="Point0letter">
    <w:name w:val="Point 0 (letter)"/>
    <w:basedOn w:val="Normal"/>
    <w:uiPriority w:val="99"/>
    <w:pPr>
      <w:numPr>
        <w:ilvl w:val="1"/>
        <w:numId w:val="27"/>
      </w:numPr>
      <w:spacing w:before="120" w:after="120"/>
      <w:jc w:val="both"/>
    </w:pPr>
  </w:style>
  <w:style w:type="paragraph" w:customStyle="1" w:styleId="Point1letter">
    <w:name w:val="Point 1 (letter)"/>
    <w:basedOn w:val="Normal"/>
    <w:uiPriority w:val="99"/>
    <w:pPr>
      <w:numPr>
        <w:ilvl w:val="3"/>
        <w:numId w:val="27"/>
      </w:numPr>
      <w:spacing w:before="120" w:after="120"/>
      <w:jc w:val="both"/>
    </w:pPr>
  </w:style>
  <w:style w:type="paragraph" w:customStyle="1" w:styleId="Point2letter">
    <w:name w:val="Point 2 (letter)"/>
    <w:basedOn w:val="Normal"/>
    <w:uiPriority w:val="99"/>
    <w:pPr>
      <w:numPr>
        <w:ilvl w:val="5"/>
        <w:numId w:val="27"/>
      </w:numPr>
      <w:spacing w:before="120" w:after="120"/>
      <w:jc w:val="both"/>
    </w:pPr>
  </w:style>
  <w:style w:type="paragraph" w:customStyle="1" w:styleId="Point3letter">
    <w:name w:val="Point 3 (letter)"/>
    <w:basedOn w:val="Normal"/>
    <w:uiPriority w:val="99"/>
    <w:pPr>
      <w:numPr>
        <w:ilvl w:val="7"/>
        <w:numId w:val="27"/>
      </w:numPr>
      <w:spacing w:before="120" w:after="120"/>
      <w:jc w:val="both"/>
    </w:pPr>
  </w:style>
  <w:style w:type="paragraph" w:customStyle="1" w:styleId="Point4letter">
    <w:name w:val="Point 4 (letter)"/>
    <w:basedOn w:val="Normal"/>
    <w:uiPriority w:val="99"/>
    <w:pPr>
      <w:numPr>
        <w:ilvl w:val="8"/>
        <w:numId w:val="27"/>
      </w:numPr>
      <w:spacing w:before="120" w:after="120"/>
      <w:jc w:val="both"/>
    </w:pPr>
  </w:style>
  <w:style w:type="paragraph" w:customStyle="1" w:styleId="NumPar1">
    <w:name w:val="NumPar 1"/>
    <w:basedOn w:val="Normal"/>
    <w:next w:val="Text1"/>
    <w:pPr>
      <w:numPr>
        <w:numId w:val="36"/>
      </w:numPr>
      <w:spacing w:before="120" w:after="120"/>
      <w:jc w:val="both"/>
    </w:pPr>
  </w:style>
  <w:style w:type="paragraph" w:customStyle="1" w:styleId="NumPar2">
    <w:name w:val="NumPar 2"/>
    <w:basedOn w:val="Normal"/>
    <w:next w:val="Normal"/>
    <w:pPr>
      <w:numPr>
        <w:ilvl w:val="1"/>
        <w:numId w:val="36"/>
      </w:numPr>
      <w:spacing w:before="120" w:after="120"/>
      <w:jc w:val="both"/>
    </w:pPr>
  </w:style>
  <w:style w:type="paragraph" w:customStyle="1" w:styleId="NumPar3">
    <w:name w:val="NumPar 3"/>
    <w:basedOn w:val="Normal"/>
    <w:next w:val="Normal"/>
    <w:pPr>
      <w:numPr>
        <w:ilvl w:val="2"/>
        <w:numId w:val="36"/>
      </w:numPr>
      <w:spacing w:before="120" w:after="120"/>
      <w:jc w:val="both"/>
    </w:pPr>
  </w:style>
  <w:style w:type="paragraph" w:customStyle="1" w:styleId="NumPar4">
    <w:name w:val="NumPar 4"/>
    <w:basedOn w:val="Normal"/>
    <w:next w:val="Normal"/>
    <w:pPr>
      <w:numPr>
        <w:ilvl w:val="3"/>
        <w:numId w:val="36"/>
      </w:numPr>
      <w:spacing w:before="120" w:after="120"/>
      <w:jc w:val="both"/>
    </w:pPr>
  </w:style>
  <w:style w:type="paragraph" w:customStyle="1" w:styleId="Exposdesmotifstitre">
    <w:name w:val="Exposé des motifs titre"/>
    <w:basedOn w:val="Normal"/>
    <w:next w:val="Normal"/>
    <w:pPr>
      <w:spacing w:before="120" w:after="120"/>
      <w:jc w:val="center"/>
    </w:pPr>
    <w:rPr>
      <w:b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Statut">
    <w:name w:val="Statut"/>
    <w:basedOn w:val="Normal"/>
    <w:next w:val="Typedudocument"/>
    <w:pPr>
      <w:spacing w:before="360"/>
      <w:jc w:val="center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budget/www/index-fr.htm" TargetMode="Externa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1013-D0A0-4BE8-96B0-C68DF9D5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655</Words>
  <Characters>3573</Characters>
  <Application>Microsoft Office Word</Application>
  <DocSecurity>0</DocSecurity>
  <Lines>123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4140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http://eur-lex.europa.eu/budget/www/index-en.htm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23</cp:revision>
  <cp:lastPrinted>2017-03-30T12:30:00Z</cp:lastPrinted>
  <dcterms:created xsi:type="dcterms:W3CDTF">2017-04-07T09:43:00Z</dcterms:created>
  <dcterms:modified xsi:type="dcterms:W3CDTF">2017-04-21T07:42:00Z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</Properties>
</file>