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56A9BF378A441F788A4A2983528D8A4" style="width:450.4pt;height:389.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360" w:after="0" w:line="240" w:lineRule="auto"/>
        <w:jc w:val="center"/>
        <w:rPr>
          <w:rFonts w:ascii="Times New Roman" w:hAnsi="Times New Roman" w:cs="Times New Roman"/>
          <w:b/>
          <w:noProof/>
          <w:sz w:val="24"/>
        </w:rPr>
      </w:pPr>
      <w:bookmarkStart w:id="1" w:name="_GoBack"/>
      <w:bookmarkEnd w:id="1"/>
      <w:r>
        <w:rPr>
          <w:rFonts w:ascii="Times New Roman" w:hAnsi="Times New Roman" w:cs="Times New Roman"/>
          <w:b/>
          <w:noProof/>
          <w:sz w:val="24"/>
        </w:rPr>
        <w:lastRenderedPageBreak/>
        <w:t>REPORT FROM THE COMMISSION TO THE EUROPEAN PARLIAMENT, THE COUNCIL, THE EUROPEAN ECONOMIC AND SOCIAL COMMITTEE AND THE COMMITTEE OF THE REGIONS</w:t>
      </w:r>
    </w:p>
    <w:p>
      <w:pPr>
        <w:spacing w:before="360" w:after="0" w:line="240" w:lineRule="auto"/>
        <w:jc w:val="center"/>
        <w:rPr>
          <w:rFonts w:ascii="Times New Roman" w:hAnsi="Times New Roman" w:cs="Times New Roman"/>
          <w:b/>
          <w:noProof/>
          <w:sz w:val="24"/>
        </w:rPr>
      </w:pPr>
    </w:p>
    <w:p>
      <w:pPr>
        <w:spacing w:before="360" w:after="0" w:line="240" w:lineRule="auto"/>
        <w:jc w:val="center"/>
        <w:rPr>
          <w:rFonts w:ascii="Times New Roman" w:hAnsi="Times New Roman" w:cs="Times New Roman"/>
          <w:b/>
          <w:noProof/>
          <w:sz w:val="24"/>
        </w:rPr>
      </w:pPr>
    </w:p>
    <w:p>
      <w:pPr>
        <w:spacing w:before="360" w:after="360" w:line="240" w:lineRule="auto"/>
        <w:jc w:val="center"/>
        <w:rPr>
          <w:rFonts w:ascii="Times New Roman" w:hAnsi="Times New Roman" w:cs="Times New Roman"/>
          <w:b/>
          <w:noProof/>
          <w:sz w:val="24"/>
        </w:rPr>
      </w:pPr>
      <w:r>
        <w:rPr>
          <w:rFonts w:ascii="Times New Roman" w:hAnsi="Times New Roman" w:cs="Times New Roman"/>
          <w:b/>
          <w:noProof/>
          <w:sz w:val="24"/>
        </w:rPr>
        <w:t>on the implementation of EU waste legislation for the period 2010-2012</w:t>
      </w:r>
    </w:p>
    <w:p>
      <w:pPr>
        <w:spacing w:before="360" w:after="360" w:line="240" w:lineRule="auto"/>
        <w:jc w:val="center"/>
        <w:rPr>
          <w:rFonts w:ascii="Times New Roman" w:hAnsi="Times New Roman" w:cs="Times New Roman"/>
          <w:b/>
          <w:noProof/>
          <w:sz w:val="24"/>
        </w:rPr>
      </w:pPr>
    </w:p>
    <w:p>
      <w:pPr>
        <w:pStyle w:val="Heading1"/>
      </w:pPr>
      <w:r>
        <w:t>INTRODUCTION</w:t>
      </w:r>
    </w:p>
    <w:p>
      <w:pPr>
        <w:keepNext/>
        <w:spacing w:before="600" w:after="240" w:line="240" w:lineRule="auto"/>
        <w:jc w:val="both"/>
        <w:outlineLvl w:val="0"/>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This report provides information about the implementation of the following waste directives over the period 2010-2012:</w:t>
      </w:r>
    </w:p>
    <w:p>
      <w:pPr>
        <w:numPr>
          <w:ilvl w:val="0"/>
          <w:numId w:val="14"/>
        </w:numPr>
        <w:spacing w:before="120" w:after="12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Directive 2008/98/EC of the European Parliament and of the Council of 19 November 2008 on waste and repealing certain directives (the Waste Framework Directive (WFD));</w:t>
      </w:r>
    </w:p>
    <w:p>
      <w:pPr>
        <w:numPr>
          <w:ilvl w:val="0"/>
          <w:numId w:val="14"/>
        </w:numPr>
        <w:spacing w:before="120" w:after="12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Council Directive 86/278/EEC of 12 June 1986 on the protection of the environment, and in particular of the soil, when sewage sludge is used in agriculture (the Sewage Sludge Directive);</w:t>
      </w:r>
    </w:p>
    <w:p>
      <w:pPr>
        <w:numPr>
          <w:ilvl w:val="0"/>
          <w:numId w:val="14"/>
        </w:numPr>
        <w:spacing w:before="120" w:after="12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Council Directive 1999/31/EC of 26 April 1999 on the landfill of waste (the Landfill Directive);</w:t>
      </w:r>
    </w:p>
    <w:p>
      <w:pPr>
        <w:numPr>
          <w:ilvl w:val="0"/>
          <w:numId w:val="14"/>
        </w:numPr>
        <w:spacing w:before="120" w:after="12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European Parliament and Council Directive 94/62/EC of 20 December 1994 on packaging and packaging waste (the Packaging and Packaging Waste Directive);</w:t>
      </w:r>
    </w:p>
    <w:p>
      <w:pPr>
        <w:numPr>
          <w:ilvl w:val="0"/>
          <w:numId w:val="14"/>
        </w:numPr>
        <w:spacing w:before="120" w:after="12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Directive 2002/96/EC of the European Parliament and of the Council of 27 January 2003 on waste electrical and electronic equipment (the WEEE Directive);</w:t>
      </w:r>
    </w:p>
    <w:p>
      <w:pPr>
        <w:numPr>
          <w:ilvl w:val="0"/>
          <w:numId w:val="14"/>
        </w:numPr>
        <w:spacing w:before="120" w:after="240" w:line="240" w:lineRule="auto"/>
        <w:ind w:left="714" w:hanging="357"/>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Directive 2006/66/EC of the European Parliament and of the Council of 6 September 2006 on batteries and accumulators and waste batteries and accumulators and repealing Directive 91/157/EEC (Text with EEA relevance) (the Batteries Directive).</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report is based on information Member States provided in their replies to the implementation questionnaires. In cases in which Member States did not provide the information requested, the report draws on other available sources of information such as European Environment Agency reports, information from Member State websites and replies submitted for previous reporting periods. Detailed information on the implementation of individual directives can be found at: </w:t>
      </w:r>
      <w:hyperlink r:id="rId16" w:history="1">
        <w:r>
          <w:rPr>
            <w:rFonts w:ascii="Times New Roman" w:eastAsia="Times New Roman" w:hAnsi="Times New Roman" w:cs="Times New Roman"/>
            <w:noProof/>
            <w:color w:val="0000FF"/>
            <w:sz w:val="24"/>
            <w:szCs w:val="24"/>
            <w:u w:val="single"/>
            <w:lang w:eastAsia="en-GB"/>
          </w:rPr>
          <w:t>http://ec.europa.eu/environment/waste/reporting/index.htm</w:t>
        </w:r>
      </w:hyperlink>
      <w:r>
        <w:rPr>
          <w:rFonts w:ascii="Times New Roman" w:eastAsia="Times New Roman" w:hAnsi="Times New Roman" w:cs="Times New Roman"/>
          <w:noProof/>
          <w:sz w:val="24"/>
          <w:szCs w:val="24"/>
          <w:lang w:eastAsia="en-GB"/>
        </w:rPr>
        <w:t>.</w:t>
      </w:r>
    </w:p>
    <w:p>
      <w:pPr>
        <w:pStyle w:val="Heading1"/>
      </w:pPr>
      <w:bookmarkStart w:id="2" w:name="_Ref416944161"/>
      <w:bookmarkStart w:id="3" w:name="_Ref416944165"/>
      <w:bookmarkStart w:id="4" w:name="_Toc425752515"/>
      <w:bookmarkStart w:id="5" w:name="_Toc442198287"/>
      <w:bookmarkStart w:id="6" w:name="_Toc447205565"/>
      <w:bookmarkStart w:id="7" w:name="_Toc459816923"/>
      <w:r>
        <w:t>Timeliness and Quality of Reporting</w:t>
      </w:r>
      <w:bookmarkEnd w:id="2"/>
      <w:bookmarkEnd w:id="3"/>
      <w:bookmarkEnd w:id="4"/>
      <w:bookmarkEnd w:id="5"/>
      <w:bookmarkEnd w:id="6"/>
      <w:bookmarkEnd w:id="7"/>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Of the 27 Member States under the obligation to report,</w:t>
      </w:r>
      <w:r>
        <w:rPr>
          <w:rFonts w:ascii="Times New Roman" w:eastAsia="Times New Roman" w:hAnsi="Times New Roman" w:cs="Times New Roman"/>
          <w:noProof/>
          <w:sz w:val="20"/>
          <w:vertAlign w:val="superscript"/>
          <w:lang w:eastAsia="en-GB"/>
        </w:rPr>
        <w:footnoteReference w:id="1"/>
      </w:r>
      <w:r>
        <w:rPr>
          <w:rFonts w:ascii="Times New Roman" w:eastAsia="Times New Roman" w:hAnsi="Times New Roman" w:cs="Times New Roman"/>
          <w:noProof/>
          <w:sz w:val="24"/>
          <w:szCs w:val="24"/>
          <w:lang w:eastAsia="en-GB"/>
        </w:rPr>
        <w:t xml:space="preserve"> most have submitted replies to the implementation questionnaires for the directives this report covers. Member States could better fulfil their reporting obligations, by providing reports on time, answering all the questions and giving complete information. Annex 1 gives an overview of the reports provided.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quality and level of detail of reporting and of the information provided varied considerably. Unclear, vague answers were repeatedly provided. For instance, answers frequently only referred to national legislation or to answers given in previous reporting periods, without providing further information on the implementation of the directives on the ground, even when this was explicitly requested.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When asked to provide statistical data and data on compliance with targets set in the directives, most Member States referred to the annual reports submitted to Eurostat.</w:t>
      </w:r>
      <w:r>
        <w:rPr>
          <w:rFonts w:ascii="Times New Roman" w:eastAsia="Times New Roman" w:hAnsi="Times New Roman" w:cs="Times New Roman"/>
          <w:noProof/>
          <w:sz w:val="20"/>
          <w:vertAlign w:val="superscript"/>
          <w:lang w:eastAsia="en-GB"/>
        </w:rPr>
        <w:footnoteReference w:id="2"/>
      </w:r>
    </w:p>
    <w:p>
      <w:pPr>
        <w:pStyle w:val="Heading1"/>
      </w:pPr>
      <w:bookmarkStart w:id="8" w:name="_Toc425752516"/>
      <w:bookmarkStart w:id="9" w:name="_Toc442198288"/>
      <w:bookmarkStart w:id="10" w:name="_Toc447205566"/>
      <w:bookmarkStart w:id="11" w:name="_Toc459816924"/>
      <w:r>
        <w:t>Directive 2008/98/EC on Waste</w:t>
      </w:r>
      <w:bookmarkEnd w:id="8"/>
      <w:bookmarkEnd w:id="9"/>
      <w:bookmarkEnd w:id="10"/>
      <w:bookmarkEnd w:id="11"/>
    </w:p>
    <w:p>
      <w:pPr>
        <w:autoSpaceDE w:val="0"/>
        <w:autoSpaceDN w:val="0"/>
        <w:adjustRightInd w:val="0"/>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Member States had to transpose the new Waste Framework Directive by 12 December 2010 at the latest. At the time of reporting all Member States had either transposed it or were in the process of doing so.</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Compared to the previous reporting period, municipal waste generation per capita was lower, the landfill of municipal waste had decreased and recycling and incineration with energy recovery had increased. By the end of 2012, at least half of the Member States reached or exceeded the 2020-target of preparing for re-use and recycling 50 % of household and similar waste or were well on track to reach them by then. Seven Member States reported that by 2012 they had already reached or exceeded that target. Seven other Member States reported that they had prepared for re-use and recycled more than 40 % of household and similar waste.</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 number of Member States submitted data on the recovery rates of construction and demolition waste for 2010-2012. Fourteen Member States reported that they had already reached or exceeded the target of recovering 70 % of construction and demolition waste.</w:t>
      </w:r>
    </w:p>
    <w:p>
      <w:pPr>
        <w:spacing w:after="120" w:line="240" w:lineRule="auto"/>
        <w:jc w:val="both"/>
        <w:rPr>
          <w:rFonts w:ascii="Times New Roman" w:eastAsia="Times New Roman" w:hAnsi="Times New Roman" w:cs="Times New Roman"/>
          <w:noProof/>
          <w:color w:val="000000" w:themeColor="text1"/>
          <w:sz w:val="24"/>
          <w:szCs w:val="24"/>
          <w:lang w:eastAsia="en-GB"/>
        </w:rPr>
      </w:pPr>
      <w:r>
        <w:rPr>
          <w:rFonts w:ascii="Times New Roman" w:eastAsia="Times New Roman" w:hAnsi="Times New Roman" w:cs="Times New Roman"/>
          <w:noProof/>
          <w:sz w:val="24"/>
          <w:szCs w:val="24"/>
          <w:lang w:eastAsia="en-GB"/>
        </w:rPr>
        <w:t xml:space="preserve">Most Member States have published waste prevention programmes. Eight Member States were still updating their waste management plans in line with the requirements of the Waste Framework Directive. Member States have incorporated the principles of extended producer responsibility, self-sufficiency and proximity and the polluter pays principle, along with the </w:t>
      </w:r>
      <w:r>
        <w:rPr>
          <w:rFonts w:ascii="Times New Roman" w:eastAsia="Times New Roman" w:hAnsi="Times New Roman" w:cs="Times New Roman"/>
          <w:noProof/>
          <w:color w:val="000000" w:themeColor="text1"/>
          <w:sz w:val="24"/>
          <w:szCs w:val="24"/>
          <w:lang w:eastAsia="en-GB"/>
        </w:rPr>
        <w:t>TEEP requirements,</w:t>
      </w:r>
      <w:r>
        <w:rPr>
          <w:rFonts w:ascii="Times New Roman" w:eastAsia="Times New Roman" w:hAnsi="Times New Roman" w:cs="Times New Roman"/>
          <w:noProof/>
          <w:color w:val="000000" w:themeColor="text1"/>
          <w:sz w:val="24"/>
          <w:szCs w:val="24"/>
          <w:vertAlign w:val="superscript"/>
          <w:lang w:eastAsia="en-GB"/>
        </w:rPr>
        <w:footnoteReference w:id="3"/>
      </w:r>
      <w:r>
        <w:rPr>
          <w:rFonts w:ascii="Times New Roman" w:eastAsia="Times New Roman" w:hAnsi="Times New Roman" w:cs="Times New Roman"/>
          <w:noProof/>
          <w:color w:val="000000" w:themeColor="text1"/>
          <w:sz w:val="24"/>
          <w:szCs w:val="24"/>
          <w:lang w:eastAsia="en-GB"/>
        </w:rPr>
        <w:t xml:space="preserve"> into national legislation and policy.</w:t>
      </w:r>
    </w:p>
    <w:p>
      <w:pPr>
        <w:autoSpaceDE w:val="0"/>
        <w:autoSpaceDN w:val="0"/>
        <w:adjustRightInd w:val="0"/>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There are significant shortcomings in the application of EU waste legislation to waste management in a number of Member States that still largely rely on landfilling of municipal waste. The Commission has developed targeted advice on the implementation of specific measures and the use of European funds to help these Member States improve their waste management.</w:t>
      </w:r>
      <w:r>
        <w:rPr>
          <w:rFonts w:ascii="Times New Roman" w:eastAsia="Times New Roman" w:hAnsi="Times New Roman" w:cs="Times New Roman"/>
          <w:noProof/>
          <w:sz w:val="24"/>
          <w:szCs w:val="24"/>
          <w:vertAlign w:val="superscript"/>
          <w:lang w:eastAsia="en-GB"/>
        </w:rPr>
        <w:footnoteReference w:id="4"/>
      </w:r>
    </w:p>
    <w:p>
      <w:pPr>
        <w:pStyle w:val="Heading1"/>
      </w:pPr>
      <w:bookmarkStart w:id="12" w:name="_Toc425752520"/>
      <w:bookmarkStart w:id="13" w:name="_Toc442198289"/>
      <w:bookmarkStart w:id="14" w:name="_Toc447205567"/>
      <w:bookmarkStart w:id="15" w:name="_Toc459816925"/>
      <w:r>
        <w:t>Directive 86/278/EEC on Sewage Sludge</w:t>
      </w:r>
      <w:bookmarkEnd w:id="12"/>
      <w:bookmarkEnd w:id="13"/>
      <w:bookmarkEnd w:id="14"/>
      <w:bookmarkEnd w:id="15"/>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Sewage Sludge Directive has been in force for almost three decades and its implementation remains unproblematic. Little has changed since the previous reporting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During the reporting period not all Member States used sewage sludge for agricultural purposes. In some Member States there is no or very little agricultural use of sludge. One Member State reported that it has begun to use sewage sludge for agricultural purposes.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All Member States have put sludge treatment infrastructure in place and reported on the methods of treating sewage sludge before it is applied to land.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performance of Member States varies greatly with regard to the requirement to set frequencies for the testing of soil on which sludge is used. Some Member States have stipulated times at which soil should be analysed subsequent to initial applications of sludge. Other Member States have set frequencies as long as 10 or even 20 years. Others have not set frequencies, requiring soil testing only if it is expected that the limit values will be exceeded.</w:t>
      </w:r>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data the Member States have provided on sludge produced and used in agriculture confirm that this remains one of the predominant uses. Although the generation of sludge was reduced by 2 % between 2010 and 2012 compared to between 2007 and 2009, the Member States reported that almost the same amount of sludge was used in agriculture as in the previous period.</w:t>
      </w:r>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This corresponds to approximately 45 % of the amount of sludge produced.</w:t>
      </w:r>
    </w:p>
    <w:p>
      <w:pPr>
        <w:pStyle w:val="Heading1"/>
      </w:pPr>
      <w:bookmarkStart w:id="16" w:name="_Toc425752518"/>
      <w:bookmarkStart w:id="17" w:name="_Toc442198290"/>
      <w:bookmarkStart w:id="18" w:name="_Toc447205568"/>
      <w:bookmarkStart w:id="19" w:name="_Toc459816926"/>
      <w:r>
        <w:t>Directive 1999/31/EC on the Landfill of Waste</w:t>
      </w:r>
      <w:bookmarkEnd w:id="16"/>
      <w:bookmarkEnd w:id="17"/>
      <w:bookmarkEnd w:id="18"/>
      <w:bookmarkEnd w:id="19"/>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Landfill Directive has been in force for a long time and there has been little change since the previous reporting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Member States have taken measures to minimise or eliminate waste to landfill. The landfill of municipal waste in the EU-27 has decreased from a total of 96,055 million tonnes/193 kg per capita in 2009 to a total of 78,036 million tonnes/152 kg per capita in 2012. The average rate of landfilling of the total waste generated decreased to 32 % in 2012. Some Member States reported landfilling rates for municipal waste below 5 % in 2012. In a number of Member States, however, landfilling is still the predominant municipal waste treatment operation, with landfilling rates of more than 80 % of the total waste generated. These Member States have a lot to do to reduce landfilling.</w:t>
      </w:r>
    </w:p>
    <w:p>
      <w:pPr>
        <w:spacing w:after="120" w:line="240" w:lineRule="auto"/>
        <w:jc w:val="both"/>
        <w:rPr>
          <w:rFonts w:ascii="Times New Roman" w:eastAsia="Times New Roman" w:hAnsi="Times New Roman" w:cs="Times New Roman"/>
          <w:noProof/>
          <w:sz w:val="24"/>
          <w:szCs w:val="24"/>
          <w:vertAlign w:val="superscript"/>
          <w:lang w:eastAsia="en-GB"/>
        </w:rPr>
      </w:pPr>
      <w:r>
        <w:rPr>
          <w:rFonts w:ascii="Times New Roman" w:eastAsia="Times New Roman" w:hAnsi="Times New Roman" w:cs="Times New Roman"/>
          <w:noProof/>
          <w:sz w:val="24"/>
          <w:szCs w:val="24"/>
          <w:lang w:eastAsia="en-GB"/>
        </w:rPr>
        <w:t>Most Member States reported a year-by-year reduction of landfilling of biodegradable municipal and other biodegradable waste. The completeness of the data submitted varies however.</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Member States have taken measures to provide for the collection, treatment and use of landfill gas and to minimise nuisances and hazards.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They have also transposed the requirement for waste acceptance criteria into their national legislation, including technical requirements such as the monitoring of leachate, surface water, ground water</w:t>
      </w:r>
      <w:r>
        <w:rPr>
          <w:noProof/>
          <w:color w:val="1F497D"/>
        </w:rPr>
        <w:t xml:space="preserve"> </w:t>
      </w:r>
      <w:r>
        <w:rPr>
          <w:rFonts w:ascii="Times New Roman" w:eastAsia="Times New Roman" w:hAnsi="Times New Roman" w:cs="Times New Roman"/>
          <w:noProof/>
          <w:sz w:val="24"/>
          <w:szCs w:val="24"/>
          <w:lang w:eastAsia="en-GB"/>
        </w:rPr>
        <w:t>and gas emissions. Data on the practical enforcement of these requirements by landfill operators were not always provided however.</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Fifteen Member States reported that all of their hazardous waste landfills meet the requirements of the directive and seven reported that they still had non-compliant landfills. Eleven Member States reported that all non-hazardous waste landfills comply with the directive and 10 Member States reported that they still had non-compliant landfills. Ten Member States reported that all inert waste landfills comply with the directive and eight Member States reported that they still had such non-compliant landfills.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number of non-compliant landfills in operation for all waste streams (hazardous, non-hazardous and inert) remains a matter of concern in certain Member States. This was also the case in the previous reporting period</w:t>
      </w:r>
      <w:r>
        <w:rPr>
          <w:rFonts w:ascii="Times New Roman" w:eastAsia="Times New Roman" w:hAnsi="Times New Roman" w:cs="Times New Roman"/>
          <w:bCs/>
          <w:noProof/>
          <w:sz w:val="24"/>
          <w:szCs w:val="24"/>
          <w:lang w:eastAsia="en-GB"/>
        </w:rPr>
        <w:t>. A lot needs to be done to tackle the problem.</w:t>
      </w:r>
    </w:p>
    <w:p>
      <w:pPr>
        <w:pStyle w:val="Heading1"/>
      </w:pPr>
      <w:bookmarkStart w:id="20" w:name="_Toc425752519"/>
      <w:bookmarkStart w:id="21" w:name="_Toc442198291"/>
      <w:bookmarkStart w:id="22" w:name="_Toc447205569"/>
      <w:bookmarkStart w:id="23" w:name="_Toc459816927"/>
      <w:r>
        <w:t>Directive 94/62/EC on Packaging and Packaging Waste</w:t>
      </w:r>
      <w:bookmarkEnd w:id="20"/>
      <w:bookmarkEnd w:id="21"/>
      <w:bookmarkEnd w:id="22"/>
      <w:bookmarkEnd w:id="23"/>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Packaging and Packaging Waste Directive has been in force for more than twenty years and there has been little change since the previous reporting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Member States have taken action to prevent the generation of packaging waste through a variety of measures. These include prevention plans, producer responsibility schemes, taxation measures, pay as you throw systems, green public procurement, information and awareness-raising campaigns, eco-design and action plans for key industries. Between 2010 and 2012, the amount and composition of packaging and packaging waste reported remained stable, with the reported amount of packaging waste being generated across the EU-27 increasing by 0.16 % during that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Most Member States have taken a variety of measures to encourage re-use. These include deposit and return systems for specific types of packaging, taxation measures, obligations to offer products in reusable packaging, promoting re-use in waste plans and as waste prevention measures, and information and awareness-raising measures. Some Member States have introduced, or plan to introduce, new deposit refund systems.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vast majority of Member States reached the targets for the overall recovery and recycling of packaging waste and the material-specific recycling targets.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general, Member States’ performance improved slightly for recovery (from 76.3 % in 2010 to 78.5 % in 2012) and recycling (from 63.3 % in 2010 to 64.6 % in 2012).</w:t>
      </w:r>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Most Member States oblige producers to collect packaging waste for recovery and recycling. Packaging producers fulfil their obligations by setting up their own take-back schemes or by participating in a scheme covering the return, collection, re-use, recycling or other recovery of packaging waste. Some Member States have made progress by expanding existing collective packaging waste management schemes or by setting up additional return schemes and increasing the number of collective compliance schemes for packaging waste.</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Most Member States reported the existence of national standards for the maximum concentration levels of heavy metals in packaging. Based on Commission Decision 2009/292 EC of 24 March 2009, a derogation for plastic crates and plastic pallets from the heavy metal concentration levels set out in the Packaging and Packaging Waste Directive is in place. Despite the obligation to report on the functioning of the system provided for in this decision and on progress made in phasing out plastic crates and plastic pallets with too high a concentration of heavy metals, no Member State provided any information about this.</w:t>
      </w:r>
    </w:p>
    <w:p>
      <w:pPr>
        <w:pStyle w:val="Heading1"/>
      </w:pPr>
      <w:bookmarkStart w:id="24" w:name="_Toc416945226"/>
      <w:bookmarkStart w:id="25" w:name="_Toc416945285"/>
      <w:bookmarkStart w:id="26" w:name="_Toc416945228"/>
      <w:bookmarkStart w:id="27" w:name="_Toc416945287"/>
      <w:bookmarkStart w:id="28" w:name="_Toc425752517"/>
      <w:bookmarkStart w:id="29" w:name="_Toc442198292"/>
      <w:bookmarkStart w:id="30" w:name="_Toc447205570"/>
      <w:bookmarkStart w:id="31" w:name="_Toc459816928"/>
      <w:bookmarkEnd w:id="24"/>
      <w:bookmarkEnd w:id="25"/>
      <w:bookmarkEnd w:id="26"/>
      <w:bookmarkEnd w:id="27"/>
      <w:r>
        <w:t>Directive 2002/96/EC on Waste Electrical and Electronic Equipment (WEEE)</w:t>
      </w:r>
      <w:bookmarkEnd w:id="28"/>
      <w:bookmarkEnd w:id="29"/>
      <w:bookmarkEnd w:id="30"/>
      <w:bookmarkEnd w:id="31"/>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current reporting exercise covers the old WEEE Directive. Directive 2012/19/EU has since replaced it.</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All Member States have set up collection systems and introduced measures concerning the environmentally sound treatment of WEEE and measures ensuring financing by producers of the collection, treatment, recovery and environmentally sound disposal of WEEE from private households. They have also introduced measures to ensure that producers provide consumers and the WEEE treatment facilities with relevant information.</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More WEEE was collected, re-used/recycled and recovered between 2010 and 2012 than during the previous reporting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amount of WEEE collected from private households across the EU-27 increased from 2.97 million tonnes by the end of 2009 to 3.02 million tonnes by the end of 2012. During this period, 17 Member States reached the collection target of 4 kg per inhabitant of WEEE from private households.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Most Member States reached the directive’s category-specific targets for re-use/recycling and recovery, with rates improving over the reporting period. The highest rates were reported for consumer equipment and small household appliances. With regard to consumer equipment, 26 Member States reached the 65 % re-use/recycling target and the 75 % recovery target. These Member States also reached the 50 % re-use/recycling target and the 70 % recovery target for household appliances. The number of Member States that reached these targets was slightly higher than in the previous reporting period, although the list of Member States changes with each category of WEEE. The number of Member States that reached the category-specific targets for re-use and recycling fell slightly for only a few categories of WEEE.</w:t>
      </w:r>
      <w:r>
        <w:rPr>
          <w:rFonts w:ascii="Times New Roman" w:eastAsia="Times New Roman" w:hAnsi="Times New Roman" w:cs="Times New Roman"/>
          <w:noProof/>
          <w:sz w:val="24"/>
          <w:szCs w:val="24"/>
          <w:vertAlign w:val="superscript"/>
          <w:lang w:eastAsia="en-GB"/>
        </w:rPr>
        <w:footnoteReference w:id="5"/>
      </w:r>
    </w:p>
    <w:p>
      <w:pPr>
        <w:pStyle w:val="Heading1"/>
      </w:pPr>
      <w:bookmarkStart w:id="32" w:name="_Toc416945238"/>
      <w:bookmarkStart w:id="33" w:name="_Toc416945297"/>
      <w:bookmarkStart w:id="34" w:name="_Toc416945239"/>
      <w:bookmarkStart w:id="35" w:name="_Toc416945298"/>
      <w:bookmarkStart w:id="36" w:name="_Toc425752521"/>
      <w:bookmarkStart w:id="37" w:name="_Toc442198293"/>
      <w:bookmarkStart w:id="38" w:name="_Toc447205571"/>
      <w:bookmarkStart w:id="39" w:name="_Toc459816929"/>
      <w:bookmarkEnd w:id="32"/>
      <w:bookmarkEnd w:id="33"/>
      <w:bookmarkEnd w:id="34"/>
      <w:bookmarkEnd w:id="35"/>
      <w:r>
        <w:t>Directive 2006/66/EC on Batteries and Accumulators</w:t>
      </w:r>
      <w:bookmarkEnd w:id="36"/>
      <w:bookmarkEnd w:id="37"/>
      <w:bookmarkEnd w:id="38"/>
      <w:bookmarkEnd w:id="39"/>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This was the first time Member States were required to report to the Commission on the Batteries Directive. It is therefore not possible to compare with the previous reporting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All Member States have transposed the requirements of the Batteries Directive into national legislation.</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Most Member States set up collection schemes for batteries and accumulators in the reporting period and a few reported that they were still making these schemes fully operational. Member States have measures in place for the treatment and recycling of waste batteries and accumulators.</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Member States reported that they had put in place a range of measures to prevent waste batteries and accumulators being sent to landfill, such as permit systems and lists of types of waste prohibited from landfilling. Eleven Member States reported to have put in place measures going beyond the obligations of the directive. These include minimising the disposal of waste from industrial and automotive batteries and accumulators as mixed municipal waste, awareness-raising campaigns in schools and communities and making collection points for free take-back available.</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By 26 September 2012 20 Member States had reached the minimum collection target of 25 %.</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Four Member States reported that they had achieved 100 % recycling and eight Member States reported rates between 50 % and 99 %.</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Nineteen Member States reached and/or exceeded the recycling efficiency rates for lead-acid, nickel-cadmium and other batteries and accumulators. Two Member States reached and/or exceeded the rates for lead-acid and other batteries and accumulators and two Member States reached and/or exceeded them for lead-acid batteries and accumulators only.</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Two Member States exported waste batteries and accumulators to third countries. A number of Member States exported them to other Member States, something the implementation questionnaire doesn’t fully convey. Member States without any domestic treatment or recycling facilities exported all of their collected batteries and accumulators. However, a number of Member States with domestic treatment facilities also reported that they had exported their waste batteries and accumulators for treatment elsewhere in the EU.</w:t>
      </w:r>
    </w:p>
    <w:p>
      <w:pPr>
        <w:pStyle w:val="Heading1"/>
      </w:pPr>
      <w:bookmarkStart w:id="40" w:name="_Toc425752522"/>
      <w:bookmarkStart w:id="41" w:name="_Toc442198294"/>
      <w:bookmarkStart w:id="42" w:name="_Toc447205572"/>
      <w:bookmarkStart w:id="43" w:name="_Toc459816930"/>
      <w:r>
        <w:t>Conclusions</w:t>
      </w:r>
      <w:bookmarkEnd w:id="40"/>
      <w:bookmarkEnd w:id="41"/>
      <w:bookmarkEnd w:id="42"/>
      <w:bookmarkEnd w:id="43"/>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Not all Member States fulfilled the obligation in the directives to report to the Commission on their implementation every three years. Some did not submit replies to the Implementation Questionnaire 2010-2012.</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Replies vary between detailed and complete to only referring to national legislation. Most Member States reported on whether measures had been transposed into national law but did not comment on whether actions had proved effective or had led to improvements in practice. Replies were also sometimes inconsistent. In some cases data were missing. In others, the replies did not enable any comparison between Member States or between a Member State’s performance in the previous and the current reporting period.</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many cases replies did not provide sufficient information for an assessment of the state of actual implementation of the directives. For instance, many replies simply referred to national legislation or transcribed parts of legislative texts, without providing any further information on implementation, or referring only to replies to the implementation questionnaires for previous reporting periods, without providing the information requested or information on the evolution of the situation over time.</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conclusion, the triennial implementation reports prepared by the Member States have not proven effective for verifying compliance with the directives, their implementation and their impact. The reporting exercise also requires a lot of resources and it may create unnecessary administrative burden.</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most objective and accurate information for assessing performance on waste management across Member States is the data they have to provide every year on waste generated, waste collection, waste recycling and recovery, landfill and sewage sludge generation and use. They should therefore do more to improve the quality, reliability and comparability of such data. They could do this by benchmarking reporting methodologies and introducing a data quality check report, so that when reporting on the achievement of the targets set out in the legislation, Member States use the most recent and harmonised methodology.</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These conclusions are addressed in the recent review of waste policy and legislation.</w:t>
      </w:r>
      <w:r>
        <w:rPr>
          <w:rFonts w:ascii="Times New Roman" w:eastAsia="Times New Roman" w:hAnsi="Times New Roman" w:cs="Times New Roman"/>
          <w:noProof/>
          <w:sz w:val="24"/>
          <w:szCs w:val="24"/>
          <w:vertAlign w:val="superscript"/>
          <w:lang w:eastAsia="en-GB"/>
        </w:rPr>
        <w:footnoteReference w:id="6"/>
      </w:r>
      <w:r>
        <w:rPr>
          <w:rFonts w:ascii="Times New Roman" w:eastAsia="Times New Roman" w:hAnsi="Times New Roman" w:cs="Times New Roman"/>
          <w:noProof/>
          <w:sz w:val="24"/>
          <w:szCs w:val="24"/>
          <w:lang w:eastAsia="en-GB"/>
        </w:rPr>
        <w:t xml:space="preserve"> In it, the Commission proposed to repeal provisions obliging Member States to produce triennial implementation reports and to base compliance monitoring exclusively on quality statistical data that Member States must provide the Commission with annually.</w:t>
      </w:r>
    </w:p>
    <w:p>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br w:type="page"/>
      </w:r>
    </w:p>
    <w:p>
      <w:pPr>
        <w:keepNext/>
        <w:spacing w:before="600" w:after="240" w:line="240" w:lineRule="auto"/>
        <w:ind w:left="1200" w:right="-948" w:hanging="1200"/>
        <w:jc w:val="both"/>
        <w:outlineLvl w:val="0"/>
        <w:rPr>
          <w:rFonts w:ascii="Times New Roman" w:eastAsia="Times New Roman" w:hAnsi="Times New Roman" w:cs="Times New Roman"/>
          <w:b/>
          <w:bCs/>
          <w:smallCaps/>
          <w:noProof/>
          <w:sz w:val="24"/>
          <w:szCs w:val="24"/>
          <w:lang w:eastAsia="en-GB"/>
        </w:rPr>
      </w:pPr>
      <w:bookmarkStart w:id="44" w:name="_Toc442198299"/>
      <w:bookmarkStart w:id="45" w:name="_Toc447205576"/>
      <w:r>
        <w:rPr>
          <w:rFonts w:ascii="Times New Roman" w:eastAsia="Times New Roman" w:hAnsi="Times New Roman" w:cs="Times New Roman"/>
          <w:b/>
          <w:bCs/>
          <w:smallCaps/>
          <w:noProof/>
          <w:sz w:val="24"/>
          <w:szCs w:val="24"/>
          <w:lang w:eastAsia="en-GB"/>
        </w:rPr>
        <w:t>Annex 1:</w:t>
      </w:r>
      <w:bookmarkStart w:id="46" w:name="_Toc425752528"/>
      <w:r>
        <w:rPr>
          <w:rFonts w:ascii="Times New Roman" w:eastAsia="Times New Roman" w:hAnsi="Times New Roman" w:cs="Times New Roman"/>
          <w:b/>
          <w:bCs/>
          <w:smallCaps/>
          <w:noProof/>
          <w:sz w:val="24"/>
          <w:szCs w:val="24"/>
          <w:lang w:eastAsia="en-GB"/>
        </w:rPr>
        <w:tab/>
        <w:t>Member States’ responses to the implementation Questionnaires</w:t>
      </w:r>
      <w:bookmarkEnd w:id="44"/>
      <w:bookmarkEnd w:id="46"/>
      <w:r>
        <w:rPr>
          <w:rFonts w:ascii="Times New Roman" w:eastAsia="Times New Roman" w:hAnsi="Times New Roman" w:cs="Times New Roman"/>
          <w:b/>
          <w:bCs/>
          <w:smallCaps/>
          <w:noProof/>
          <w:sz w:val="24"/>
          <w:szCs w:val="24"/>
          <w:lang w:eastAsia="en-GB"/>
        </w:rPr>
        <w:t xml:space="preserve"> received by the Commission</w:t>
      </w:r>
      <w:bookmarkEnd w:id="45"/>
      <w:r>
        <w:rPr>
          <w:rFonts w:ascii="Times New Roman" w:eastAsia="Times New Roman" w:hAnsi="Times New Roman" w:cs="Times New Roman"/>
          <w:b/>
          <w:bCs/>
          <w:smallCaps/>
          <w:noProof/>
          <w:sz w:val="24"/>
          <w:szCs w:val="24"/>
          <w:lang w:eastAsia="en-GB"/>
        </w:rPr>
        <w:t xml:space="preserve"> before the end of 2014</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04"/>
        <w:gridCol w:w="1357"/>
        <w:gridCol w:w="1357"/>
        <w:gridCol w:w="1357"/>
        <w:gridCol w:w="1357"/>
        <w:gridCol w:w="1357"/>
        <w:gridCol w:w="1358"/>
      </w:tblGrid>
      <w:tr>
        <w:trPr>
          <w:cantSplit/>
          <w:tblHeader/>
        </w:trPr>
        <w:tc>
          <w:tcPr>
            <w:tcW w:w="1604" w:type="dxa"/>
            <w:shd w:val="clear" w:color="auto" w:fill="BFBFBF"/>
            <w:vAlign w:val="center"/>
          </w:tcPr>
          <w:p>
            <w:pPr>
              <w:spacing w:after="0" w:line="240" w:lineRule="auto"/>
              <w:rPr>
                <w:rFonts w:ascii="Times New Roman" w:eastAsia="Times New Roman" w:hAnsi="Times New Roman" w:cs="Times New Roman"/>
                <w:b/>
                <w:noProof/>
                <w:lang w:eastAsia="en-GB"/>
              </w:rPr>
            </w:pPr>
            <w:r>
              <w:rPr>
                <w:rFonts w:ascii="Times New Roman" w:eastAsia="Times New Roman" w:hAnsi="Times New Roman" w:cs="Times New Roman"/>
                <w:b/>
                <w:noProof/>
                <w:lang w:eastAsia="en-GB"/>
              </w:rPr>
              <w:t>Member States</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Waste Framework Directive</w:t>
            </w:r>
            <w:r>
              <w:rPr>
                <w:rFonts w:ascii="Times New Roman" w:eastAsia="Times New Roman" w:hAnsi="Times New Roman" w:cs="Times New Roman"/>
                <w:b/>
                <w:bCs/>
                <w:noProof/>
                <w:lang w:eastAsia="en-GB"/>
              </w:rPr>
              <w:br/>
              <w:t>2008/98/EC</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 xml:space="preserve">WEEE Directive </w:t>
            </w:r>
            <w:r>
              <w:rPr>
                <w:rFonts w:ascii="Times New Roman" w:eastAsia="Times New Roman" w:hAnsi="Times New Roman" w:cs="Times New Roman"/>
                <w:b/>
                <w:bCs/>
                <w:noProof/>
                <w:lang w:eastAsia="en-GB"/>
              </w:rPr>
              <w:br/>
              <w:t>2002/96/EC</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 xml:space="preserve">Landfill Waste Directive </w:t>
            </w:r>
            <w:r>
              <w:rPr>
                <w:rFonts w:ascii="Times New Roman" w:eastAsia="Times New Roman" w:hAnsi="Times New Roman" w:cs="Times New Roman"/>
                <w:b/>
                <w:bCs/>
                <w:noProof/>
                <w:lang w:eastAsia="en-GB"/>
              </w:rPr>
              <w:br/>
              <w:t>1999/31/EC</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 xml:space="preserve">Packaging and Packaging Waste Directive </w:t>
            </w:r>
            <w:r>
              <w:rPr>
                <w:rFonts w:ascii="Times New Roman" w:eastAsia="Times New Roman" w:hAnsi="Times New Roman" w:cs="Times New Roman"/>
                <w:b/>
                <w:bCs/>
                <w:noProof/>
                <w:lang w:eastAsia="en-GB"/>
              </w:rPr>
              <w:br/>
              <w:t>94/62/EC</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 xml:space="preserve">Sewage Sludge Directive </w:t>
            </w:r>
            <w:r>
              <w:rPr>
                <w:rFonts w:ascii="Times New Roman" w:eastAsia="Times New Roman" w:hAnsi="Times New Roman" w:cs="Times New Roman"/>
                <w:b/>
                <w:bCs/>
                <w:noProof/>
                <w:lang w:eastAsia="en-GB"/>
              </w:rPr>
              <w:br/>
              <w:t>86/278/EEC</w:t>
            </w:r>
          </w:p>
        </w:tc>
        <w:tc>
          <w:tcPr>
            <w:tcW w:w="1358" w:type="dxa"/>
            <w:shd w:val="clear" w:color="auto" w:fill="BFBFBF"/>
            <w:vAlign w:val="bottom"/>
          </w:tcPr>
          <w:p>
            <w:pPr>
              <w:spacing w:after="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 xml:space="preserve">Batteries Directive </w:t>
            </w:r>
            <w:r>
              <w:rPr>
                <w:rFonts w:ascii="Times New Roman" w:eastAsia="Times New Roman" w:hAnsi="Times New Roman" w:cs="Times New Roman"/>
                <w:b/>
                <w:bCs/>
                <w:noProof/>
                <w:lang w:eastAsia="en-GB"/>
              </w:rPr>
              <w:br/>
              <w:t>2006/66/EC</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Austria</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Belgium</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r>
              <w:rPr>
                <w:rFonts w:ascii="Times New Roman" w:eastAsia="Times New Roman" w:hAnsi="Times New Roman" w:cs="Times New Roman"/>
                <w:noProof/>
                <w:vertAlign w:val="superscript"/>
                <w:lang w:eastAsia="en-GB"/>
              </w:rPr>
              <w:footnoteReference w:id="7"/>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Bulgaria</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Croatia</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r>
              <w:rPr>
                <w:rFonts w:ascii="Times New Roman" w:eastAsia="Times New Roman" w:hAnsi="Times New Roman" w:cs="Times New Roman"/>
                <w:noProof/>
                <w:lang w:eastAsia="en-GB"/>
              </w:rPr>
              <w:br/>
              <w:t>not required</w:t>
            </w:r>
          </w:p>
        </w:tc>
        <w:tc>
          <w:tcPr>
            <w:tcW w:w="1357" w:type="dxa"/>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Not Required</w:t>
            </w:r>
          </w:p>
        </w:tc>
        <w:tc>
          <w:tcPr>
            <w:tcW w:w="1357" w:type="dxa"/>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Not Required</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r>
              <w:rPr>
                <w:rFonts w:ascii="Times New Roman" w:eastAsia="Times New Roman" w:hAnsi="Times New Roman" w:cs="Times New Roman"/>
                <w:noProof/>
                <w:lang w:eastAsia="en-GB"/>
              </w:rPr>
              <w:br/>
              <w:t>not required</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r>
              <w:rPr>
                <w:rFonts w:ascii="Times New Roman" w:eastAsia="Times New Roman" w:hAnsi="Times New Roman" w:cs="Times New Roman"/>
                <w:noProof/>
                <w:lang w:eastAsia="en-GB"/>
              </w:rPr>
              <w:br/>
              <w:t>not required</w:t>
            </w:r>
          </w:p>
        </w:tc>
        <w:tc>
          <w:tcPr>
            <w:tcW w:w="1358" w:type="dxa"/>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Not Required</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Cyprus</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Czech Republic</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Denmark</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FF0000"/>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Estonia</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Finland</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France</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Germany</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Greece</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Hungary</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Ireland</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Italy</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Latvia</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Lithuania</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Luxembourg</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Malta</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Netherlands</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Poland</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Portugal</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Romania</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Slovakia</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Slovenia</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Spain</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Sweden</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United Kingdom</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r>
      <w:tr>
        <w:trPr>
          <w:cantSplit/>
        </w:trPr>
        <w:tc>
          <w:tcPr>
            <w:tcW w:w="1604" w:type="dxa"/>
            <w:shd w:val="clear" w:color="auto" w:fill="D9D9D9" w:themeFill="background1" w:themeFillShade="D9"/>
            <w:vAlign w:val="center"/>
          </w:tcPr>
          <w:p>
            <w:pPr>
              <w:spacing w:before="60" w:after="60" w:line="240" w:lineRule="auto"/>
              <w:rPr>
                <w:rFonts w:ascii="Times New Roman" w:eastAsia="Times New Roman" w:hAnsi="Times New Roman" w:cs="Times New Roman"/>
                <w:b/>
                <w:noProof/>
                <w:lang w:eastAsia="en-GB"/>
              </w:rPr>
            </w:pPr>
            <w:r>
              <w:rPr>
                <w:rFonts w:ascii="Times New Roman" w:eastAsia="Times New Roman" w:hAnsi="Times New Roman" w:cs="Times New Roman"/>
                <w:b/>
                <w:noProof/>
                <w:lang w:eastAsia="en-GB"/>
              </w:rPr>
              <w:t>EU-28: percentage received (%)</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lang w:eastAsia="en-GB"/>
              </w:rPr>
            </w:pPr>
            <w:r>
              <w:rPr>
                <w:rFonts w:ascii="Times New Roman" w:eastAsia="Times New Roman" w:hAnsi="Times New Roman" w:cs="Times New Roman"/>
                <w:b/>
                <w:bCs/>
                <w:noProof/>
                <w:lang w:eastAsia="en-GB"/>
              </w:rPr>
              <w:t>89 %</w:t>
            </w:r>
          </w:p>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(25/28)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lang w:eastAsia="en-GB"/>
              </w:rPr>
            </w:pPr>
            <w:r>
              <w:rPr>
                <w:rFonts w:ascii="Times New Roman" w:eastAsia="Times New Roman" w:hAnsi="Times New Roman" w:cs="Times New Roman"/>
                <w:b/>
                <w:bCs/>
                <w:noProof/>
                <w:lang w:eastAsia="en-GB"/>
              </w:rPr>
              <w:t>75 %</w:t>
            </w:r>
          </w:p>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(21/28)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lang w:eastAsia="en-GB"/>
              </w:rPr>
            </w:pPr>
            <w:r>
              <w:rPr>
                <w:rFonts w:ascii="Times New Roman" w:eastAsia="Times New Roman" w:hAnsi="Times New Roman" w:cs="Times New Roman"/>
                <w:b/>
                <w:bCs/>
                <w:noProof/>
                <w:lang w:eastAsia="en-GB"/>
              </w:rPr>
              <w:t>82 %</w:t>
            </w:r>
          </w:p>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(23/28)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noProof/>
                <w:lang w:eastAsia="en-GB"/>
              </w:rPr>
              <w:t>89 %</w:t>
            </w:r>
          </w:p>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noProof/>
                <w:lang w:eastAsia="en-GB"/>
              </w:rPr>
              <w:t>(25/28)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lang w:eastAsia="en-GB"/>
              </w:rPr>
            </w:pPr>
            <w:r>
              <w:rPr>
                <w:rFonts w:ascii="Times New Roman" w:eastAsia="Times New Roman" w:hAnsi="Times New Roman" w:cs="Times New Roman"/>
                <w:b/>
                <w:bCs/>
                <w:noProof/>
                <w:lang w:eastAsia="en-GB"/>
              </w:rPr>
              <w:t>82 %</w:t>
            </w:r>
          </w:p>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(23/28)</w:t>
            </w:r>
          </w:p>
        </w:tc>
        <w:tc>
          <w:tcPr>
            <w:tcW w:w="1358"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lang w:eastAsia="en-GB"/>
              </w:rPr>
            </w:pPr>
            <w:r>
              <w:rPr>
                <w:rFonts w:ascii="Times New Roman" w:eastAsia="Times New Roman" w:hAnsi="Times New Roman" w:cs="Times New Roman"/>
                <w:b/>
                <w:bCs/>
                <w:noProof/>
                <w:lang w:eastAsia="en-GB"/>
              </w:rPr>
              <w:t>86 %</w:t>
            </w:r>
          </w:p>
          <w:p>
            <w:pPr>
              <w:spacing w:before="60" w:after="60" w:line="240" w:lineRule="auto"/>
              <w:jc w:val="center"/>
              <w:rPr>
                <w:rFonts w:ascii="Times New Roman" w:eastAsia="Times New Roman" w:hAnsi="Times New Roman" w:cs="Times New Roman"/>
                <w:b/>
                <w:noProof/>
                <w:lang w:eastAsia="en-GB"/>
              </w:rPr>
            </w:pPr>
            <w:r>
              <w:rPr>
                <w:rFonts w:ascii="Times New Roman" w:eastAsia="Times New Roman" w:hAnsi="Times New Roman" w:cs="Times New Roman"/>
                <w:b/>
                <w:bCs/>
                <w:noProof/>
                <w:lang w:eastAsia="en-GB"/>
              </w:rPr>
              <w:t>(24/28)</w:t>
            </w:r>
          </w:p>
        </w:tc>
      </w:tr>
    </w:tbl>
    <w:p>
      <w:pPr>
        <w:spacing w:after="0" w:line="240" w:lineRule="auto"/>
        <w:rPr>
          <w:rFonts w:ascii="Times New Roman" w:eastAsia="Times New Roman" w:hAnsi="Times New Roman" w:cs="Times New Roman"/>
          <w:noProof/>
          <w:sz w:val="24"/>
          <w:szCs w:val="24"/>
          <w:lang w:eastAsia="en-GB"/>
        </w:rPr>
      </w:pPr>
    </w:p>
    <w:tbl>
      <w:tblPr>
        <w:tblW w:w="963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34"/>
        <w:gridCol w:w="3544"/>
        <w:gridCol w:w="284"/>
        <w:gridCol w:w="1134"/>
        <w:gridCol w:w="3543"/>
      </w:tblGrid>
      <w:tr>
        <w:trPr>
          <w:cantSplit/>
        </w:trPr>
        <w:tc>
          <w:tcPr>
            <w:tcW w:w="1134" w:type="dxa"/>
            <w:shd w:val="clear" w:color="auto" w:fill="D6E3BC" w:themeFill="accent3" w:themeFillTint="66"/>
            <w:vAlign w:val="center"/>
          </w:tcPr>
          <w:p>
            <w:pPr>
              <w:spacing w:after="120" w:line="240" w:lineRule="auto"/>
              <w:rPr>
                <w:rFonts w:ascii="Times New Roman" w:eastAsia="Times New Roman" w:hAnsi="Times New Roman" w:cs="Times New Roman"/>
                <w:b/>
                <w:noProof/>
                <w:lang w:eastAsia="en-GB"/>
              </w:rPr>
            </w:pPr>
          </w:p>
        </w:tc>
        <w:tc>
          <w:tcPr>
            <w:tcW w:w="3544" w:type="dxa"/>
            <w:shd w:val="clear" w:color="auto" w:fill="FFFFFF" w:themeFill="background1"/>
            <w:vAlign w:val="center"/>
          </w:tcPr>
          <w:p>
            <w:pPr>
              <w:spacing w:after="120" w:line="240" w:lineRule="auto"/>
              <w:rPr>
                <w:rFonts w:ascii="Times New Roman" w:eastAsia="Times New Roman" w:hAnsi="Times New Roman" w:cs="Times New Roman"/>
                <w:bCs/>
                <w:noProof/>
                <w:lang w:eastAsia="en-GB"/>
              </w:rPr>
            </w:pPr>
            <w:r>
              <w:rPr>
                <w:rFonts w:ascii="Times New Roman" w:eastAsia="Times New Roman" w:hAnsi="Times New Roman" w:cs="Times New Roman"/>
                <w:noProof/>
                <w:lang w:eastAsia="en-GB"/>
              </w:rPr>
              <w:t>On time: by 30.09.2013</w:t>
            </w:r>
          </w:p>
        </w:tc>
        <w:tc>
          <w:tcPr>
            <w:tcW w:w="284" w:type="dxa"/>
            <w:tcBorders>
              <w:top w:val="nil"/>
              <w:bottom w:val="nil"/>
            </w:tcBorders>
            <w:shd w:val="clear" w:color="auto" w:fill="auto"/>
          </w:tcPr>
          <w:p>
            <w:pPr>
              <w:spacing w:after="120" w:line="240" w:lineRule="auto"/>
              <w:rPr>
                <w:rFonts w:ascii="Times New Roman" w:eastAsia="Times New Roman" w:hAnsi="Times New Roman" w:cs="Times New Roman"/>
                <w:noProof/>
                <w:lang w:eastAsia="en-GB"/>
              </w:rPr>
            </w:pPr>
          </w:p>
        </w:tc>
        <w:tc>
          <w:tcPr>
            <w:tcW w:w="1134" w:type="dxa"/>
            <w:shd w:val="clear" w:color="auto" w:fill="FBD4B4" w:themeFill="accent6" w:themeFillTint="66"/>
          </w:tcPr>
          <w:p>
            <w:pPr>
              <w:spacing w:after="120" w:line="240" w:lineRule="auto"/>
              <w:rPr>
                <w:rFonts w:ascii="Times New Roman" w:eastAsia="Times New Roman" w:hAnsi="Times New Roman" w:cs="Times New Roman"/>
                <w:noProof/>
                <w:lang w:eastAsia="en-GB"/>
              </w:rPr>
            </w:pPr>
          </w:p>
        </w:tc>
        <w:tc>
          <w:tcPr>
            <w:tcW w:w="3543" w:type="dxa"/>
            <w:shd w:val="clear" w:color="auto" w:fill="FFFFFF" w:themeFill="background1"/>
          </w:tcPr>
          <w:p>
            <w:pPr>
              <w:spacing w:after="120" w:line="240"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Between 1.11.2013 and 31.12.2014</w:t>
            </w:r>
          </w:p>
        </w:tc>
      </w:tr>
      <w:tr>
        <w:trPr>
          <w:cantSplit/>
        </w:trPr>
        <w:tc>
          <w:tcPr>
            <w:tcW w:w="1134" w:type="dxa"/>
            <w:shd w:val="clear" w:color="auto" w:fill="C6D9F1" w:themeFill="text2" w:themeFillTint="33"/>
            <w:vAlign w:val="center"/>
          </w:tcPr>
          <w:p>
            <w:pPr>
              <w:spacing w:after="120" w:line="240" w:lineRule="auto"/>
              <w:rPr>
                <w:rFonts w:ascii="Times New Roman" w:eastAsia="Times New Roman" w:hAnsi="Times New Roman" w:cs="Times New Roman"/>
                <w:b/>
                <w:noProof/>
                <w:lang w:eastAsia="en-GB"/>
              </w:rPr>
            </w:pPr>
          </w:p>
        </w:tc>
        <w:tc>
          <w:tcPr>
            <w:tcW w:w="3544" w:type="dxa"/>
            <w:shd w:val="clear" w:color="auto" w:fill="FFFFFF" w:themeFill="background1"/>
            <w:vAlign w:val="center"/>
          </w:tcPr>
          <w:p>
            <w:pPr>
              <w:spacing w:before="120" w:after="120" w:line="240" w:lineRule="auto"/>
              <w:contextualSpacing/>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Between 1.10.2013 and 31.10.2013</w:t>
            </w:r>
          </w:p>
        </w:tc>
        <w:tc>
          <w:tcPr>
            <w:tcW w:w="284" w:type="dxa"/>
            <w:tcBorders>
              <w:top w:val="nil"/>
              <w:bottom w:val="nil"/>
            </w:tcBorders>
            <w:shd w:val="clear" w:color="auto" w:fill="auto"/>
          </w:tcPr>
          <w:p>
            <w:pPr>
              <w:spacing w:before="120" w:after="120" w:line="240" w:lineRule="auto"/>
              <w:contextualSpacing/>
              <w:rPr>
                <w:rFonts w:ascii="Times New Roman" w:eastAsia="Times New Roman" w:hAnsi="Times New Roman" w:cs="Times New Roman"/>
                <w:noProof/>
                <w:lang w:eastAsia="en-GB"/>
              </w:rPr>
            </w:pPr>
          </w:p>
        </w:tc>
        <w:tc>
          <w:tcPr>
            <w:tcW w:w="1134" w:type="dxa"/>
            <w:shd w:val="clear" w:color="auto" w:fill="FF0000"/>
          </w:tcPr>
          <w:p>
            <w:pPr>
              <w:spacing w:before="120" w:after="120" w:line="240" w:lineRule="auto"/>
              <w:contextualSpacing/>
              <w:rPr>
                <w:rFonts w:ascii="Times New Roman" w:eastAsia="Times New Roman" w:hAnsi="Times New Roman" w:cs="Times New Roman"/>
                <w:noProof/>
                <w:lang w:eastAsia="en-GB"/>
              </w:rPr>
            </w:pPr>
          </w:p>
        </w:tc>
        <w:tc>
          <w:tcPr>
            <w:tcW w:w="3543" w:type="dxa"/>
            <w:shd w:val="clear" w:color="auto" w:fill="FFFFFF" w:themeFill="background1"/>
          </w:tcPr>
          <w:p>
            <w:pPr>
              <w:spacing w:before="120" w:after="120" w:line="240" w:lineRule="auto"/>
              <w:contextualSpacing/>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No report received before 31.12.2014</w:t>
            </w:r>
          </w:p>
        </w:tc>
      </w:tr>
    </w:tbl>
    <w:p>
      <w:pPr>
        <w:spacing w:after="0" w:line="240" w:lineRule="auto"/>
        <w:rPr>
          <w:rFonts w:ascii="Times New Roman" w:eastAsia="Times New Roman" w:hAnsi="Times New Roman" w:cs="Times New Roman"/>
          <w:b/>
          <w:bCs/>
          <w:noProof/>
          <w:sz w:val="24"/>
          <w:szCs w:val="24"/>
          <w:lang w:eastAsia="en-GB"/>
        </w:rPr>
      </w:pPr>
    </w:p>
    <w:p>
      <w:pPr>
        <w:spacing w:after="0" w:line="240" w:lineRule="auto"/>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lang w:eastAsia="en-GB"/>
        </w:rPr>
      </w:pPr>
      <w:bookmarkStart w:id="47" w:name="_Toc442198300"/>
      <w:bookmarkStart w:id="48" w:name="_Toc447205577"/>
      <w:r>
        <w:rPr>
          <w:rFonts w:ascii="Times New Roman" w:eastAsia="Times New Roman" w:hAnsi="Times New Roman" w:cs="Times New Roman"/>
          <w:b/>
          <w:bCs/>
          <w:smallCaps/>
          <w:noProof/>
          <w:sz w:val="24"/>
          <w:szCs w:val="24"/>
          <w:lang w:eastAsia="en-GB"/>
        </w:rPr>
        <w:t>Annex 2:</w:t>
      </w:r>
      <w:r>
        <w:rPr>
          <w:rFonts w:ascii="Times New Roman" w:eastAsia="Times New Roman" w:hAnsi="Times New Roman" w:cs="Times New Roman"/>
          <w:b/>
          <w:bCs/>
          <w:smallCaps/>
          <w:noProof/>
          <w:sz w:val="24"/>
          <w:szCs w:val="24"/>
          <w:lang w:eastAsia="en-GB"/>
        </w:rPr>
        <w:tab/>
        <w:t>generation and treatment of waste</w:t>
      </w:r>
      <w:bookmarkStart w:id="49" w:name="_Toc425752529"/>
      <w:bookmarkStart w:id="50" w:name="_Toc442187905"/>
      <w:bookmarkStart w:id="51" w:name="_Toc442187926"/>
      <w:bookmarkEnd w:id="47"/>
      <w:bookmarkEnd w:id="48"/>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52" w:name="_Toc425752531"/>
      <w:bookmarkStart w:id="53" w:name="_Toc442187907"/>
      <w:bookmarkStart w:id="54" w:name="_Toc442187928"/>
      <w:bookmarkStart w:id="55" w:name="_Toc442198305"/>
      <w:bookmarkStart w:id="56" w:name="_Toc447205582"/>
      <w:bookmarkEnd w:id="49"/>
      <w:bookmarkEnd w:id="50"/>
      <w:bookmarkEnd w:id="51"/>
      <w:r>
        <w:rPr>
          <w:rFonts w:ascii="Times New Roman" w:eastAsia="Times New Roman" w:hAnsi="Times New Roman" w:cs="Times New Roman"/>
          <w:b/>
          <w:bCs/>
          <w:noProof/>
          <w:sz w:val="24"/>
          <w:szCs w:val="24"/>
          <w:lang w:eastAsia="en-GB"/>
        </w:rPr>
        <w:t xml:space="preserve">Municipal waste generated by </w:t>
      </w:r>
      <w:bookmarkEnd w:id="52"/>
      <w:bookmarkEnd w:id="53"/>
      <w:bookmarkEnd w:id="54"/>
      <w:r>
        <w:rPr>
          <w:rFonts w:ascii="Times New Roman" w:eastAsia="Times New Roman" w:hAnsi="Times New Roman" w:cs="Times New Roman"/>
          <w:b/>
          <w:bCs/>
          <w:noProof/>
          <w:sz w:val="24"/>
          <w:szCs w:val="24"/>
          <w:lang w:eastAsia="en-GB"/>
        </w:rPr>
        <w:t>Member State (thousand tonnes)</w:t>
      </w:r>
      <w:bookmarkEnd w:id="55"/>
      <w:bookmarkEnd w:id="56"/>
    </w:p>
    <w:p>
      <w:pPr>
        <w:keepNext/>
        <w:spacing w:after="240" w:line="240" w:lineRule="auto"/>
        <w:ind w:left="357" w:right="-1746" w:hanging="357"/>
        <w:jc w:val="both"/>
        <w:outlineLvl w:val="0"/>
        <w:rPr>
          <w:rFonts w:ascii="Times New Roman" w:eastAsia="Times New Roman" w:hAnsi="Times New Roman" w:cs="Times New Roman"/>
          <w:b/>
          <w:bCs/>
          <w:noProof/>
          <w:sz w:val="24"/>
          <w:szCs w:val="24"/>
          <w:lang w:eastAsia="en-GB"/>
        </w:rPr>
      </w:pPr>
      <w:r>
        <w:rPr>
          <w:noProof/>
          <w:lang w:val="en-US"/>
        </w:rPr>
        <w:drawing>
          <wp:inline distT="0" distB="0" distL="0" distR="0">
            <wp:extent cx="5734050" cy="31813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after="120" w:line="240" w:lineRule="auto"/>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EUROSTAT (online data code: t_env_wasst)</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57" w:name="_Toc425752532"/>
      <w:bookmarkStart w:id="58" w:name="_Toc442187908"/>
      <w:bookmarkStart w:id="59" w:name="_Toc442187929"/>
      <w:bookmarkStart w:id="60" w:name="_Toc442198307"/>
      <w:bookmarkStart w:id="61" w:name="_Toc447205584"/>
      <w:bookmarkStart w:id="62" w:name="_Ref411243975"/>
      <w:r>
        <w:rPr>
          <w:rFonts w:ascii="Times New Roman" w:eastAsia="Times New Roman" w:hAnsi="Times New Roman" w:cs="Times New Roman"/>
          <w:b/>
          <w:bCs/>
          <w:noProof/>
          <w:sz w:val="24"/>
          <w:szCs w:val="24"/>
          <w:lang w:eastAsia="en-GB"/>
        </w:rPr>
        <w:t>Treatment of municipal waste by Member State</w:t>
      </w:r>
      <w:bookmarkEnd w:id="57"/>
      <w:bookmarkEnd w:id="58"/>
      <w:bookmarkEnd w:id="59"/>
      <w:bookmarkEnd w:id="60"/>
      <w:bookmarkEnd w:id="61"/>
      <w:r>
        <w:rPr>
          <w:rFonts w:ascii="Times New Roman" w:eastAsia="Times New Roman" w:hAnsi="Times New Roman" w:cs="Times New Roman"/>
          <w:b/>
          <w:bCs/>
          <w:noProof/>
          <w:sz w:val="24"/>
          <w:szCs w:val="24"/>
          <w:lang w:eastAsia="en-GB"/>
        </w:rPr>
        <w:t xml:space="preserve"> (2012)</w:t>
      </w:r>
    </w:p>
    <w:p>
      <w:pPr>
        <w:keepNext/>
        <w:spacing w:after="0" w:line="240" w:lineRule="auto"/>
        <w:ind w:left="357" w:right="-1746" w:hanging="357"/>
        <w:jc w:val="both"/>
        <w:outlineLvl w:val="0"/>
        <w:rPr>
          <w:rFonts w:ascii="Times New Roman" w:eastAsia="Times New Roman" w:hAnsi="Times New Roman" w:cs="Times New Roman"/>
          <w:b/>
          <w:bCs/>
          <w:noProof/>
          <w:sz w:val="24"/>
          <w:szCs w:val="24"/>
          <w:lang w:eastAsia="en-GB"/>
        </w:rPr>
      </w:pPr>
      <w:r>
        <w:rPr>
          <w:noProof/>
          <w:lang w:val="en-US"/>
        </w:rPr>
        <w:drawing>
          <wp:inline distT="0" distB="0" distL="0" distR="0">
            <wp:extent cx="5731510" cy="3517146"/>
            <wp:effectExtent l="0" t="0" r="21590" b="266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after="120" w:line="240" w:lineRule="auto"/>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EUROSTAT (online data code: t_env_wasst)</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63" w:name="_Toc425752533"/>
      <w:bookmarkStart w:id="64" w:name="_Toc442187909"/>
      <w:bookmarkStart w:id="65" w:name="_Toc442187930"/>
      <w:bookmarkStart w:id="66" w:name="_Toc442198308"/>
      <w:bookmarkStart w:id="67" w:name="_Toc447205585"/>
      <w:bookmarkEnd w:id="62"/>
      <w:r>
        <w:rPr>
          <w:rFonts w:ascii="Times New Roman" w:eastAsia="Times New Roman" w:hAnsi="Times New Roman" w:cs="Times New Roman"/>
          <w:b/>
          <w:bCs/>
          <w:noProof/>
          <w:sz w:val="24"/>
          <w:szCs w:val="24"/>
          <w:lang w:eastAsia="en-GB"/>
        </w:rPr>
        <w:t>Re-use and recycling of household waste by Member State</w:t>
      </w:r>
      <w:bookmarkEnd w:id="63"/>
      <w:bookmarkEnd w:id="64"/>
      <w:bookmarkEnd w:id="65"/>
      <w:bookmarkEnd w:id="66"/>
      <w:bookmarkEnd w:id="67"/>
    </w:p>
    <w:p>
      <w:pPr>
        <w:spacing w:after="120" w:line="240" w:lineRule="auto"/>
        <w:rPr>
          <w:rFonts w:ascii="Times New Roman" w:eastAsia="Times New Roman" w:hAnsi="Times New Roman" w:cs="Times New Roman"/>
          <w:i/>
          <w:noProof/>
          <w:sz w:val="20"/>
          <w:szCs w:val="24"/>
          <w:lang w:eastAsia="en-GB"/>
        </w:rPr>
      </w:pPr>
      <w:r>
        <w:rPr>
          <w:noProof/>
          <w:lang w:val="en-US"/>
        </w:rPr>
        <w:drawing>
          <wp:inline distT="0" distB="0" distL="0" distR="0">
            <wp:extent cx="5731510" cy="3697513"/>
            <wp:effectExtent l="0" t="0" r="21590" b="177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after="120" w:line="240" w:lineRule="auto"/>
        <w:rPr>
          <w:rFonts w:ascii="Times New Roman" w:eastAsia="Times New Roman" w:hAnsi="Times New Roman" w:cs="Times New Roman"/>
          <w:i/>
          <w:noProof/>
          <w:sz w:val="20"/>
          <w:szCs w:val="24"/>
          <w:lang w:eastAsia="en-GB"/>
        </w:rPr>
      </w:pPr>
      <w:r>
        <w:rPr>
          <w:rFonts w:ascii="Times New Roman" w:eastAsia="Times New Roman" w:hAnsi="Times New Roman" w:cs="Times New Roman"/>
          <w:i/>
          <w:noProof/>
          <w:sz w:val="20"/>
          <w:szCs w:val="24"/>
          <w:lang w:eastAsia="en-GB"/>
        </w:rPr>
        <w:t>Source: Data provided by Member States to the European Commission in Implementation Questionnaires 2010-2012 or to EUROSTAT using the EDAMIS portal</w:t>
      </w:r>
    </w:p>
    <w:p>
      <w:pPr>
        <w:spacing w:after="12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68" w:name="_Toc425752534"/>
      <w:bookmarkStart w:id="69" w:name="_Toc442198309"/>
      <w:bookmarkStart w:id="70" w:name="_Toc447205586"/>
      <w:r>
        <w:rPr>
          <w:rFonts w:ascii="Times New Roman" w:eastAsia="Times New Roman" w:hAnsi="Times New Roman" w:cs="Times New Roman"/>
          <w:b/>
          <w:bCs/>
          <w:noProof/>
          <w:sz w:val="24"/>
          <w:szCs w:val="24"/>
          <w:lang w:eastAsia="en-GB"/>
        </w:rPr>
        <w:t xml:space="preserve">Preparation for the re-use and recycling of household waste </w:t>
      </w:r>
      <w:bookmarkEnd w:id="68"/>
      <w:r>
        <w:rPr>
          <w:rFonts w:ascii="Times New Roman" w:eastAsia="Times New Roman" w:hAnsi="Times New Roman" w:cs="Times New Roman"/>
          <w:b/>
          <w:bCs/>
          <w:noProof/>
          <w:sz w:val="24"/>
          <w:szCs w:val="24"/>
          <w:lang w:eastAsia="en-GB"/>
        </w:rPr>
        <w:t xml:space="preserve"> — calculation method</w:t>
      </w:r>
      <w:bookmarkEnd w:id="69"/>
      <w:bookmarkEnd w:id="70"/>
    </w:p>
    <w:tbl>
      <w:tblPr>
        <w:tblStyle w:val="Eunomia-NoTotals"/>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8"/>
        <w:gridCol w:w="1788"/>
        <w:gridCol w:w="1941"/>
        <w:gridCol w:w="1864"/>
        <w:gridCol w:w="1865"/>
      </w:tblGrid>
      <w:tr>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148" w:type="dxa"/>
            <w:vMerge w:val="restart"/>
          </w:tcPr>
          <w:p>
            <w:pPr>
              <w:jc w:val="both"/>
              <w:rPr>
                <w:rFonts w:ascii="Times New Roman" w:hAnsi="Times New Roman"/>
                <w:noProof/>
              </w:rPr>
            </w:pPr>
            <w:r>
              <w:rPr>
                <w:rFonts w:ascii="Times New Roman" w:hAnsi="Times New Roman"/>
                <w:noProof/>
              </w:rPr>
              <w:t>Member State</w:t>
            </w:r>
          </w:p>
        </w:tc>
        <w:tc>
          <w:tcPr>
            <w:tcW w:w="1788" w:type="dxa"/>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p>
        </w:tc>
        <w:tc>
          <w:tcPr>
            <w:tcW w:w="5670" w:type="dxa"/>
            <w:gridSpan w:val="3"/>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Rates of preparation for the re-use and recycling of household waste</w:t>
            </w:r>
          </w:p>
        </w:tc>
      </w:tr>
      <w:tr>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148" w:type="dxa"/>
            <w:vMerge/>
          </w:tcPr>
          <w:p>
            <w:pPr>
              <w:jc w:val="both"/>
              <w:rPr>
                <w:rFonts w:ascii="Times New Roman" w:hAnsi="Times New Roman"/>
                <w:noProof/>
              </w:rPr>
            </w:pPr>
          </w:p>
        </w:tc>
        <w:tc>
          <w:tcPr>
            <w:tcW w:w="1788"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Calculation method the Member State used:</w:t>
            </w:r>
            <w:r>
              <w:rPr>
                <w:rFonts w:ascii="Times New Roman" w:hAnsi="Times New Roman"/>
                <w:noProof/>
                <w:vertAlign w:val="superscript"/>
              </w:rPr>
              <w:footnoteReference w:id="8"/>
            </w:r>
          </w:p>
        </w:tc>
        <w:tc>
          <w:tcPr>
            <w:tcW w:w="1941"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2010</w:t>
            </w:r>
          </w:p>
        </w:tc>
        <w:tc>
          <w:tcPr>
            <w:tcW w:w="1864"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2011</w:t>
            </w:r>
          </w:p>
        </w:tc>
        <w:tc>
          <w:tcPr>
            <w:tcW w:w="1865"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2012</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Austria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79 %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79 %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Belgium</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58 %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59 %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57 %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Bulgaria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29 %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32 %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Croatia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15 %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Cyprus</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20.3 %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22.4 %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Czech Republic</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38 %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50 %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46 %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Denmark</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53 %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Estonia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27 %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27 %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Finland</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33 %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35 %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33 %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France</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59 %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Germany</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63 %</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63 %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Greece</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Hungary</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34 %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40 %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Ireland</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53 %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45 %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44 %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Italy</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37 %</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39 %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41 %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Latvia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16 %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18 %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18 %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Lithuania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37 %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43 %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42 %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Luxembourg</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51 %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50 %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Malta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23 %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24 %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Netherlands</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48 %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48 %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48 %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Poland</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18 %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Portugal</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19 %</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19 %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22 %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Romania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Slovakia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9 %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13 %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13 %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Slovenia</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22 %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34 %</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Spain</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29 %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27 %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Sweden</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62 %</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United Kingdom</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40 %</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43 %</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44 %</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Notes:</w:t>
            </w:r>
          </w:p>
        </w:tc>
        <w:tc>
          <w:tcPr>
            <w:tcW w:w="7458" w:type="dxa"/>
            <w:gridSpan w:val="4"/>
          </w:tcPr>
          <w:p>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To verify compliance with the target under Article 11(2)(a) of the Waste Framework Directive, Decision 2011/753/EU</w:t>
            </w:r>
            <w:r>
              <w:rPr>
                <w:rFonts w:ascii="Times New Roman" w:hAnsi="Times New Roman"/>
                <w:noProof/>
                <w:color w:val="000000" w:themeColor="text1"/>
                <w:vertAlign w:val="superscript"/>
              </w:rPr>
              <w:footnoteReference w:id="9"/>
            </w:r>
            <w:r>
              <w:rPr>
                <w:rFonts w:ascii="Times New Roman" w:hAnsi="Times New Roman"/>
                <w:noProof/>
                <w:color w:val="000000" w:themeColor="text1"/>
              </w:rPr>
              <w:t xml:space="preserve"> allows Member States to use four different calculation methods to report their re-use and recycling rates for household waste. The difference between the calculation methods relates to the waste types each covers, as follows.</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Method 1: paper, metal, plastic and glass household waste.</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Method 2: paper, metal, plastic and glass waste and other single waste streams from households or similar waste streams.</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Method 3: household waste.</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cs="Arial"/>
                <w:noProof/>
                <w:szCs w:val="24"/>
              </w:rPr>
            </w:pPr>
            <w:r>
              <w:rPr>
                <w:rFonts w:ascii="Times New Roman" w:hAnsi="Times New Roman"/>
                <w:noProof/>
                <w:color w:val="000000" w:themeColor="text1"/>
              </w:rPr>
              <w:t>Method 4: municipal waste.</w:t>
            </w:r>
          </w:p>
        </w:tc>
      </w:tr>
    </w:tbl>
    <w:p>
      <w:pPr>
        <w:spacing w:after="120" w:line="240" w:lineRule="auto"/>
        <w:rPr>
          <w:rFonts w:ascii="Times New Roman" w:eastAsia="Times New Roman" w:hAnsi="Times New Roman" w:cs="Times New Roman"/>
          <w:noProof/>
          <w:sz w:val="24"/>
          <w:szCs w:val="24"/>
          <w:lang w:eastAsia="en-GB"/>
        </w:rPr>
      </w:pPr>
    </w:p>
    <w:p>
      <w:pPr>
        <w:spacing w:before="120" w:after="120" w:line="240" w:lineRule="auto"/>
        <w:ind w:right="95"/>
        <w:rPr>
          <w:rFonts w:ascii="Times New Roman" w:eastAsia="Times New Roman" w:hAnsi="Times New Roman" w:cs="Times New Roman"/>
          <w:i/>
          <w:noProof/>
          <w:sz w:val="20"/>
          <w:szCs w:val="24"/>
          <w:lang w:eastAsia="en-GB"/>
        </w:rPr>
      </w:pPr>
      <w:r>
        <w:rPr>
          <w:rFonts w:ascii="Times New Roman" w:eastAsia="Times New Roman" w:hAnsi="Times New Roman" w:cs="Times New Roman"/>
          <w:i/>
          <w:noProof/>
          <w:sz w:val="20"/>
          <w:szCs w:val="24"/>
          <w:lang w:eastAsia="en-GB"/>
        </w:rPr>
        <w:t>Source: Data provided by Member States to the European Commission in Implementation Questionnaires 2010-2012 or to EUROSTAT using the EDAMIS portal.</w:t>
      </w:r>
      <w:r>
        <w:rPr>
          <w:rFonts w:ascii="Times New Roman" w:eastAsia="Times New Roman" w:hAnsi="Times New Roman" w:cs="Times New Roman"/>
          <w:i/>
          <w:noProof/>
          <w:sz w:val="20"/>
          <w:szCs w:val="24"/>
          <w:lang w:eastAsia="en-GB"/>
        </w:rPr>
        <w:footnoteReference w:id="10"/>
      </w:r>
    </w:p>
    <w:p>
      <w:pPr>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71" w:name="_Toc425752535"/>
      <w:bookmarkStart w:id="72" w:name="_Toc442187910"/>
      <w:bookmarkStart w:id="73" w:name="_Toc442187931"/>
      <w:bookmarkStart w:id="74" w:name="_Toc442198310"/>
      <w:bookmarkStart w:id="75" w:name="_Toc447205587"/>
      <w:r>
        <w:rPr>
          <w:rFonts w:ascii="Times New Roman" w:eastAsia="Times New Roman" w:hAnsi="Times New Roman" w:cs="Times New Roman"/>
          <w:b/>
          <w:bCs/>
          <w:noProof/>
          <w:sz w:val="24"/>
          <w:szCs w:val="24"/>
          <w:lang w:eastAsia="en-GB"/>
        </w:rPr>
        <w:t xml:space="preserve">Recovery of construction and demolition (C&amp;D) waste by </w:t>
      </w:r>
      <w:bookmarkEnd w:id="71"/>
      <w:bookmarkEnd w:id="72"/>
      <w:bookmarkEnd w:id="73"/>
      <w:r>
        <w:rPr>
          <w:rFonts w:ascii="Times New Roman" w:eastAsia="Times New Roman" w:hAnsi="Times New Roman" w:cs="Times New Roman"/>
          <w:b/>
          <w:bCs/>
          <w:noProof/>
          <w:sz w:val="24"/>
          <w:szCs w:val="24"/>
          <w:lang w:eastAsia="en-GB"/>
        </w:rPr>
        <w:t>Member State</w:t>
      </w:r>
      <w:bookmarkEnd w:id="74"/>
      <w:bookmarkEnd w:id="75"/>
    </w:p>
    <w:p>
      <w:pPr>
        <w:spacing w:after="240" w:line="240" w:lineRule="auto"/>
        <w:rPr>
          <w:rFonts w:ascii="Times New Roman" w:eastAsia="Times New Roman" w:hAnsi="Times New Roman" w:cs="Times New Roman"/>
          <w:noProof/>
          <w:sz w:val="24"/>
          <w:szCs w:val="24"/>
          <w:lang w:eastAsia="en-GB"/>
        </w:rPr>
      </w:pPr>
      <w:r>
        <w:rPr>
          <w:noProof/>
          <w:lang w:val="en-US"/>
        </w:rPr>
        <w:drawing>
          <wp:inline distT="0" distB="0" distL="0" distR="0">
            <wp:extent cx="5731510" cy="3150320"/>
            <wp:effectExtent l="0" t="0" r="21590"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after="120" w:line="240" w:lineRule="auto"/>
        <w:rPr>
          <w:rFonts w:ascii="Times New Roman" w:eastAsia="Times New Roman" w:hAnsi="Times New Roman" w:cs="Times New Roman"/>
          <w:i/>
          <w:noProof/>
          <w:sz w:val="20"/>
          <w:szCs w:val="24"/>
          <w:lang w:eastAsia="en-GB"/>
        </w:rPr>
      </w:pPr>
      <w:r>
        <w:rPr>
          <w:rFonts w:ascii="Times New Roman" w:eastAsia="Times New Roman" w:hAnsi="Times New Roman" w:cs="Times New Roman"/>
          <w:i/>
          <w:noProof/>
          <w:sz w:val="20"/>
          <w:szCs w:val="24"/>
          <w:lang w:eastAsia="en-GB"/>
        </w:rPr>
        <w:t>Source: Data provided by Member States to the European Commission in Implementation Questionnaires 2010-2012 or to EUROSTAT using the EDAMIS portal.</w:t>
      </w:r>
      <w:r>
        <w:rPr>
          <w:rFonts w:ascii="Times New Roman" w:eastAsia="Times New Roman" w:hAnsi="Times New Roman" w:cs="Times New Roman"/>
          <w:i/>
          <w:noProof/>
          <w:sz w:val="20"/>
          <w:szCs w:val="24"/>
          <w:vertAlign w:val="superscript"/>
          <w:lang w:eastAsia="en-GB"/>
        </w:rPr>
        <w:footnoteReference w:id="11"/>
      </w:r>
    </w:p>
    <w:p>
      <w:pPr>
        <w:spacing w:after="120" w:line="240" w:lineRule="auto"/>
        <w:rPr>
          <w:rFonts w:ascii="Times New Roman" w:eastAsia="Times New Roman" w:hAnsi="Times New Roman" w:cs="Times New Roman"/>
          <w:noProof/>
          <w:sz w:val="24"/>
          <w:szCs w:val="24"/>
          <w:lang w:eastAsia="en-GB"/>
        </w:rPr>
      </w:pPr>
    </w:p>
    <w:p>
      <w:pPr>
        <w:spacing w:after="0" w:line="240" w:lineRule="auto"/>
        <w:rPr>
          <w:rFonts w:ascii="Times New Roman" w:eastAsia="Times New Roman" w:hAnsi="Times New Roman" w:cs="Times New Roman"/>
          <w:b/>
          <w:bCs/>
          <w:noProof/>
          <w:sz w:val="24"/>
          <w:szCs w:val="24"/>
          <w:lang w:eastAsia="en-GB"/>
        </w:rPr>
      </w:pPr>
      <w:bookmarkStart w:id="76" w:name="_Ref411258929"/>
      <w:r>
        <w:rPr>
          <w:rFonts w:ascii="Times New Roman" w:eastAsia="Times New Roman" w:hAnsi="Times New Roman" w:cs="Times New Roman"/>
          <w:b/>
          <w:bCs/>
          <w:noProof/>
          <w:sz w:val="24"/>
          <w:szCs w:val="24"/>
          <w:lang w:eastAsia="en-GB"/>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lang w:eastAsia="en-GB"/>
        </w:rPr>
      </w:pPr>
      <w:bookmarkStart w:id="77" w:name="_Toc442198312"/>
      <w:bookmarkStart w:id="78" w:name="_Toc447205589"/>
      <w:bookmarkStart w:id="79" w:name="_Toc442198311"/>
      <w:bookmarkStart w:id="80" w:name="_Toc447205588"/>
      <w:r>
        <w:rPr>
          <w:rFonts w:ascii="Times New Roman" w:eastAsia="Times New Roman" w:hAnsi="Times New Roman" w:cs="Times New Roman"/>
          <w:b/>
          <w:bCs/>
          <w:smallCaps/>
          <w:noProof/>
          <w:sz w:val="24"/>
          <w:szCs w:val="24"/>
          <w:lang w:eastAsia="en-GB"/>
        </w:rPr>
        <w:t xml:space="preserve">Annex 3: sewage </w:t>
      </w:r>
      <w:bookmarkEnd w:id="77"/>
      <w:bookmarkEnd w:id="78"/>
      <w:r>
        <w:rPr>
          <w:rFonts w:ascii="Times New Roman" w:eastAsia="Times New Roman" w:hAnsi="Times New Roman" w:cs="Times New Roman"/>
          <w:b/>
          <w:bCs/>
          <w:smallCaps/>
          <w:noProof/>
          <w:sz w:val="24"/>
          <w:szCs w:val="24"/>
          <w:lang w:eastAsia="en-GB"/>
        </w:rPr>
        <w:t>sludge</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The amounts of sludge produced and used in Member States, 2010-2012</w:t>
      </w:r>
    </w:p>
    <w:tbl>
      <w:tblPr>
        <w:tblStyle w:val="TableGrid"/>
        <w:tblW w:w="0" w:type="auto"/>
        <w:tblLook w:val="04A0" w:firstRow="1" w:lastRow="0" w:firstColumn="1" w:lastColumn="0" w:noHBand="0" w:noVBand="1"/>
      </w:tblPr>
      <w:tblGrid>
        <w:gridCol w:w="1328"/>
        <w:gridCol w:w="1272"/>
        <w:gridCol w:w="1272"/>
        <w:gridCol w:w="1272"/>
        <w:gridCol w:w="1273"/>
        <w:gridCol w:w="1273"/>
        <w:gridCol w:w="1273"/>
      </w:tblGrid>
      <w:tr>
        <w:tc>
          <w:tcPr>
            <w:tcW w:w="1272" w:type="dxa"/>
            <w:vMerge w:val="restart"/>
            <w:shd w:val="clear" w:color="auto" w:fill="D9D9D9" w:themeFill="background1" w:themeFillShade="D9"/>
            <w:vAlign w:val="bottom"/>
          </w:tcPr>
          <w:p>
            <w:pPr>
              <w:spacing w:before="120" w:after="120"/>
              <w:jc w:val="both"/>
              <w:rPr>
                <w:b/>
                <w:noProof/>
              </w:rPr>
            </w:pPr>
          </w:p>
        </w:tc>
        <w:tc>
          <w:tcPr>
            <w:tcW w:w="3816" w:type="dxa"/>
            <w:gridSpan w:val="3"/>
            <w:tcBorders>
              <w:right w:val="double" w:sz="12" w:space="0" w:color="auto"/>
            </w:tcBorders>
            <w:shd w:val="clear" w:color="auto" w:fill="D9D9D9" w:themeFill="background1" w:themeFillShade="D9"/>
            <w:vAlign w:val="bottom"/>
          </w:tcPr>
          <w:p>
            <w:pPr>
              <w:spacing w:before="120" w:after="120"/>
              <w:jc w:val="center"/>
              <w:rPr>
                <w:b/>
                <w:noProof/>
              </w:rPr>
            </w:pPr>
            <w:r>
              <w:rPr>
                <w:b/>
                <w:noProof/>
              </w:rPr>
              <w:t>Amounts of sludge produced by waste water plants, dry matter (tonnes/year)</w:t>
            </w:r>
          </w:p>
        </w:tc>
        <w:tc>
          <w:tcPr>
            <w:tcW w:w="3819" w:type="dxa"/>
            <w:gridSpan w:val="3"/>
            <w:tcBorders>
              <w:left w:val="double" w:sz="12" w:space="0" w:color="auto"/>
            </w:tcBorders>
            <w:shd w:val="clear" w:color="auto" w:fill="D9D9D9" w:themeFill="background1" w:themeFillShade="D9"/>
            <w:vAlign w:val="bottom"/>
          </w:tcPr>
          <w:p>
            <w:pPr>
              <w:spacing w:before="120" w:after="120"/>
              <w:jc w:val="center"/>
              <w:rPr>
                <w:b/>
                <w:noProof/>
              </w:rPr>
            </w:pPr>
            <w:r>
              <w:rPr>
                <w:b/>
                <w:noProof/>
              </w:rPr>
              <w:t>Amounts of sludge used in agriculture</w:t>
            </w:r>
          </w:p>
        </w:tc>
      </w:tr>
      <w:tr>
        <w:tc>
          <w:tcPr>
            <w:tcW w:w="1272" w:type="dxa"/>
            <w:vMerge/>
            <w:shd w:val="clear" w:color="auto" w:fill="D9D9D9" w:themeFill="background1" w:themeFillShade="D9"/>
            <w:vAlign w:val="bottom"/>
          </w:tcPr>
          <w:p>
            <w:pPr>
              <w:spacing w:before="120" w:after="120"/>
              <w:jc w:val="both"/>
              <w:rPr>
                <w:b/>
                <w:noProof/>
              </w:rPr>
            </w:pPr>
          </w:p>
        </w:tc>
        <w:tc>
          <w:tcPr>
            <w:tcW w:w="1272" w:type="dxa"/>
            <w:shd w:val="clear" w:color="auto" w:fill="D9D9D9" w:themeFill="background1" w:themeFillShade="D9"/>
            <w:vAlign w:val="bottom"/>
          </w:tcPr>
          <w:p>
            <w:pPr>
              <w:spacing w:before="120" w:after="120"/>
              <w:jc w:val="center"/>
              <w:rPr>
                <w:b/>
                <w:noProof/>
              </w:rPr>
            </w:pPr>
            <w:r>
              <w:rPr>
                <w:b/>
                <w:noProof/>
              </w:rPr>
              <w:t>2010</w:t>
            </w:r>
          </w:p>
        </w:tc>
        <w:tc>
          <w:tcPr>
            <w:tcW w:w="1272" w:type="dxa"/>
            <w:shd w:val="clear" w:color="auto" w:fill="D9D9D9" w:themeFill="background1" w:themeFillShade="D9"/>
            <w:vAlign w:val="bottom"/>
          </w:tcPr>
          <w:p>
            <w:pPr>
              <w:spacing w:before="120" w:after="120"/>
              <w:jc w:val="center"/>
              <w:rPr>
                <w:b/>
                <w:noProof/>
              </w:rPr>
            </w:pPr>
            <w:r>
              <w:rPr>
                <w:b/>
                <w:noProof/>
              </w:rPr>
              <w:t>2011</w:t>
            </w:r>
          </w:p>
        </w:tc>
        <w:tc>
          <w:tcPr>
            <w:tcW w:w="1272" w:type="dxa"/>
            <w:tcBorders>
              <w:right w:val="double" w:sz="12" w:space="0" w:color="auto"/>
            </w:tcBorders>
            <w:shd w:val="clear" w:color="auto" w:fill="D9D9D9" w:themeFill="background1" w:themeFillShade="D9"/>
            <w:vAlign w:val="bottom"/>
          </w:tcPr>
          <w:p>
            <w:pPr>
              <w:spacing w:before="120" w:after="120"/>
              <w:jc w:val="center"/>
              <w:rPr>
                <w:b/>
                <w:noProof/>
              </w:rPr>
            </w:pPr>
            <w:r>
              <w:rPr>
                <w:b/>
                <w:noProof/>
              </w:rPr>
              <w:t>2012</w:t>
            </w:r>
          </w:p>
        </w:tc>
        <w:tc>
          <w:tcPr>
            <w:tcW w:w="1273" w:type="dxa"/>
            <w:tcBorders>
              <w:left w:val="double" w:sz="12" w:space="0" w:color="auto"/>
            </w:tcBorders>
            <w:shd w:val="clear" w:color="auto" w:fill="D9D9D9" w:themeFill="background1" w:themeFillShade="D9"/>
            <w:vAlign w:val="bottom"/>
          </w:tcPr>
          <w:p>
            <w:pPr>
              <w:spacing w:before="120" w:after="120"/>
              <w:jc w:val="center"/>
              <w:rPr>
                <w:b/>
                <w:noProof/>
              </w:rPr>
            </w:pPr>
            <w:r>
              <w:rPr>
                <w:b/>
                <w:noProof/>
              </w:rPr>
              <w:t>2010</w:t>
            </w:r>
          </w:p>
        </w:tc>
        <w:tc>
          <w:tcPr>
            <w:tcW w:w="1273" w:type="dxa"/>
            <w:shd w:val="clear" w:color="auto" w:fill="D9D9D9" w:themeFill="background1" w:themeFillShade="D9"/>
            <w:vAlign w:val="bottom"/>
          </w:tcPr>
          <w:p>
            <w:pPr>
              <w:spacing w:before="120" w:after="120"/>
              <w:jc w:val="center"/>
              <w:rPr>
                <w:b/>
                <w:noProof/>
              </w:rPr>
            </w:pPr>
            <w:r>
              <w:rPr>
                <w:b/>
                <w:noProof/>
              </w:rPr>
              <w:t>2011</w:t>
            </w:r>
          </w:p>
        </w:tc>
        <w:tc>
          <w:tcPr>
            <w:tcW w:w="1273" w:type="dxa"/>
            <w:shd w:val="clear" w:color="auto" w:fill="D9D9D9" w:themeFill="background1" w:themeFillShade="D9"/>
            <w:vAlign w:val="bottom"/>
          </w:tcPr>
          <w:p>
            <w:pPr>
              <w:spacing w:before="120" w:after="120"/>
              <w:jc w:val="center"/>
              <w:rPr>
                <w:b/>
                <w:noProof/>
              </w:rPr>
            </w:pPr>
            <w:r>
              <w:rPr>
                <w:b/>
                <w:noProof/>
              </w:rPr>
              <w:t>2012</w:t>
            </w:r>
          </w:p>
        </w:tc>
      </w:tr>
      <w:tr>
        <w:tc>
          <w:tcPr>
            <w:tcW w:w="1272" w:type="dxa"/>
            <w:vAlign w:val="center"/>
          </w:tcPr>
          <w:p>
            <w:pPr>
              <w:spacing w:before="120" w:after="120"/>
              <w:jc w:val="both"/>
              <w:rPr>
                <w:b/>
                <w:noProof/>
              </w:rPr>
            </w:pPr>
            <w:r>
              <w:rPr>
                <w:b/>
                <w:noProof/>
              </w:rPr>
              <w:t>Austria *</w:t>
            </w:r>
          </w:p>
        </w:tc>
        <w:tc>
          <w:tcPr>
            <w:tcW w:w="1272" w:type="dxa"/>
            <w:vAlign w:val="center"/>
          </w:tcPr>
          <w:p>
            <w:pPr>
              <w:spacing w:before="120" w:after="120"/>
              <w:jc w:val="center"/>
              <w:rPr>
                <w:noProof/>
              </w:rPr>
            </w:pPr>
            <w:r>
              <w:rPr>
                <w:noProof/>
              </w:rPr>
              <w:t>117 471</w:t>
            </w:r>
          </w:p>
        </w:tc>
        <w:tc>
          <w:tcPr>
            <w:tcW w:w="1272" w:type="dxa"/>
            <w:vAlign w:val="center"/>
          </w:tcPr>
          <w:p>
            <w:pPr>
              <w:spacing w:before="120" w:after="120"/>
              <w:jc w:val="center"/>
              <w:rPr>
                <w:noProof/>
              </w:rPr>
            </w:pPr>
            <w:r>
              <w:rPr>
                <w:noProof/>
              </w:rPr>
              <w:t>119 069</w:t>
            </w:r>
          </w:p>
        </w:tc>
        <w:tc>
          <w:tcPr>
            <w:tcW w:w="1272" w:type="dxa"/>
            <w:tcBorders>
              <w:right w:val="double" w:sz="12" w:space="0" w:color="auto"/>
            </w:tcBorders>
            <w:vAlign w:val="center"/>
          </w:tcPr>
          <w:p>
            <w:pPr>
              <w:spacing w:before="120" w:after="120"/>
              <w:jc w:val="center"/>
              <w:rPr>
                <w:noProof/>
              </w:rPr>
            </w:pPr>
            <w:r>
              <w:rPr>
                <w:noProof/>
              </w:rPr>
              <w:t>34 798</w:t>
            </w:r>
          </w:p>
        </w:tc>
        <w:tc>
          <w:tcPr>
            <w:tcW w:w="1273" w:type="dxa"/>
            <w:tcBorders>
              <w:left w:val="double" w:sz="12" w:space="0" w:color="auto"/>
            </w:tcBorders>
            <w:vAlign w:val="center"/>
          </w:tcPr>
          <w:p>
            <w:pPr>
              <w:spacing w:before="120" w:after="120"/>
              <w:jc w:val="center"/>
              <w:rPr>
                <w:noProof/>
              </w:rPr>
            </w:pPr>
            <w:r>
              <w:rPr>
                <w:noProof/>
              </w:rPr>
              <w:t>33 076</w:t>
            </w:r>
          </w:p>
        </w:tc>
        <w:tc>
          <w:tcPr>
            <w:tcW w:w="1273" w:type="dxa"/>
            <w:vAlign w:val="center"/>
          </w:tcPr>
          <w:p>
            <w:pPr>
              <w:spacing w:before="120" w:after="120"/>
              <w:jc w:val="center"/>
              <w:rPr>
                <w:noProof/>
              </w:rPr>
            </w:pPr>
            <w:r>
              <w:rPr>
                <w:noProof/>
              </w:rPr>
              <w:t>113 248</w:t>
            </w:r>
          </w:p>
        </w:tc>
        <w:tc>
          <w:tcPr>
            <w:tcW w:w="1273" w:type="dxa"/>
            <w:vAlign w:val="center"/>
          </w:tcPr>
          <w:p>
            <w:pPr>
              <w:spacing w:before="120" w:after="120"/>
              <w:jc w:val="center"/>
              <w:rPr>
                <w:noProof/>
              </w:rPr>
            </w:pPr>
            <w:r>
              <w:rPr>
                <w:noProof/>
              </w:rPr>
              <w:t>13 029</w:t>
            </w:r>
          </w:p>
        </w:tc>
      </w:tr>
      <w:tr>
        <w:tc>
          <w:tcPr>
            <w:tcW w:w="1272" w:type="dxa"/>
            <w:vAlign w:val="center"/>
          </w:tcPr>
          <w:p>
            <w:pPr>
              <w:spacing w:before="120" w:after="120"/>
              <w:jc w:val="both"/>
              <w:rPr>
                <w:b/>
                <w:noProof/>
              </w:rPr>
            </w:pPr>
            <w:r>
              <w:rPr>
                <w:b/>
                <w:noProof/>
              </w:rPr>
              <w:t>Bulgaria</w:t>
            </w:r>
          </w:p>
        </w:tc>
        <w:tc>
          <w:tcPr>
            <w:tcW w:w="1272" w:type="dxa"/>
            <w:vAlign w:val="center"/>
          </w:tcPr>
          <w:p>
            <w:pPr>
              <w:spacing w:before="120" w:after="120"/>
              <w:jc w:val="center"/>
              <w:rPr>
                <w:noProof/>
              </w:rPr>
            </w:pPr>
            <w:r>
              <w:rPr>
                <w:noProof/>
              </w:rPr>
              <w:t>49 757</w:t>
            </w:r>
          </w:p>
        </w:tc>
        <w:tc>
          <w:tcPr>
            <w:tcW w:w="1272" w:type="dxa"/>
            <w:vAlign w:val="center"/>
          </w:tcPr>
          <w:p>
            <w:pPr>
              <w:spacing w:before="120" w:after="120"/>
              <w:jc w:val="center"/>
              <w:rPr>
                <w:noProof/>
              </w:rPr>
            </w:pPr>
            <w:r>
              <w:rPr>
                <w:noProof/>
              </w:rPr>
              <w:t>51 388</w:t>
            </w:r>
          </w:p>
        </w:tc>
        <w:tc>
          <w:tcPr>
            <w:tcW w:w="1272" w:type="dxa"/>
            <w:tcBorders>
              <w:right w:val="double" w:sz="12" w:space="0" w:color="auto"/>
            </w:tcBorders>
            <w:vAlign w:val="center"/>
          </w:tcPr>
          <w:p>
            <w:pPr>
              <w:spacing w:before="120" w:after="120"/>
              <w:jc w:val="center"/>
              <w:rPr>
                <w:noProof/>
              </w:rPr>
            </w:pPr>
            <w:r>
              <w:rPr>
                <w:noProof/>
              </w:rPr>
              <w:t>59 261</w:t>
            </w:r>
          </w:p>
        </w:tc>
        <w:tc>
          <w:tcPr>
            <w:tcW w:w="1273" w:type="dxa"/>
            <w:tcBorders>
              <w:left w:val="double" w:sz="12" w:space="0" w:color="auto"/>
            </w:tcBorders>
            <w:vAlign w:val="center"/>
          </w:tcPr>
          <w:p>
            <w:pPr>
              <w:spacing w:before="120" w:after="120"/>
              <w:jc w:val="center"/>
              <w:rPr>
                <w:noProof/>
              </w:rPr>
            </w:pPr>
            <w:r>
              <w:rPr>
                <w:noProof/>
              </w:rPr>
              <w:t>13 644</w:t>
            </w:r>
          </w:p>
        </w:tc>
        <w:tc>
          <w:tcPr>
            <w:tcW w:w="1273" w:type="dxa"/>
            <w:vAlign w:val="center"/>
          </w:tcPr>
          <w:p>
            <w:pPr>
              <w:spacing w:before="120" w:after="120"/>
              <w:jc w:val="center"/>
              <w:rPr>
                <w:noProof/>
              </w:rPr>
            </w:pPr>
            <w:r>
              <w:rPr>
                <w:noProof/>
              </w:rPr>
              <w:t>17 561</w:t>
            </w:r>
          </w:p>
        </w:tc>
        <w:tc>
          <w:tcPr>
            <w:tcW w:w="1273" w:type="dxa"/>
            <w:vAlign w:val="center"/>
          </w:tcPr>
          <w:p>
            <w:pPr>
              <w:spacing w:before="120" w:after="120"/>
              <w:jc w:val="center"/>
              <w:rPr>
                <w:noProof/>
              </w:rPr>
            </w:pPr>
            <w:r>
              <w:rPr>
                <w:noProof/>
              </w:rPr>
              <w:t>21 241</w:t>
            </w:r>
          </w:p>
        </w:tc>
      </w:tr>
      <w:tr>
        <w:tc>
          <w:tcPr>
            <w:tcW w:w="1272" w:type="dxa"/>
            <w:vAlign w:val="center"/>
          </w:tcPr>
          <w:p>
            <w:pPr>
              <w:spacing w:before="120" w:after="120"/>
              <w:jc w:val="both"/>
              <w:rPr>
                <w:b/>
                <w:noProof/>
              </w:rPr>
            </w:pPr>
            <w:r>
              <w:rPr>
                <w:b/>
                <w:noProof/>
              </w:rPr>
              <w:t>Croatia</w:t>
            </w:r>
          </w:p>
        </w:tc>
        <w:tc>
          <w:tcPr>
            <w:tcW w:w="1272" w:type="dxa"/>
            <w:vAlign w:val="center"/>
          </w:tcPr>
          <w:p>
            <w:pPr>
              <w:spacing w:before="120" w:after="120"/>
              <w:jc w:val="center"/>
              <w:rPr>
                <w:noProof/>
              </w:rPr>
            </w:pPr>
            <w:r>
              <w:rPr>
                <w:noProof/>
              </w:rPr>
              <w:t>21 315</w:t>
            </w:r>
          </w:p>
        </w:tc>
        <w:tc>
          <w:tcPr>
            <w:tcW w:w="1272" w:type="dxa"/>
            <w:vAlign w:val="center"/>
          </w:tcPr>
          <w:p>
            <w:pPr>
              <w:spacing w:before="120" w:after="120"/>
              <w:jc w:val="center"/>
              <w:rPr>
                <w:noProof/>
              </w:rPr>
            </w:pPr>
            <w:r>
              <w:rPr>
                <w:noProof/>
              </w:rPr>
              <w:t>18 570</w:t>
            </w:r>
          </w:p>
        </w:tc>
        <w:tc>
          <w:tcPr>
            <w:tcW w:w="1272" w:type="dxa"/>
            <w:tcBorders>
              <w:right w:val="double" w:sz="12" w:space="0" w:color="auto"/>
            </w:tcBorders>
            <w:vAlign w:val="center"/>
          </w:tcPr>
          <w:p>
            <w:pPr>
              <w:spacing w:before="120" w:after="120"/>
              <w:jc w:val="center"/>
              <w:rPr>
                <w:noProof/>
              </w:rPr>
            </w:pPr>
            <w:r>
              <w:rPr>
                <w:noProof/>
              </w:rPr>
              <w:t>19 457</w:t>
            </w:r>
          </w:p>
        </w:tc>
        <w:tc>
          <w:tcPr>
            <w:tcW w:w="1273" w:type="dxa"/>
            <w:tcBorders>
              <w:left w:val="double" w:sz="12" w:space="0" w:color="auto"/>
            </w:tcBorders>
            <w:vAlign w:val="center"/>
          </w:tcPr>
          <w:p>
            <w:pPr>
              <w:spacing w:before="120" w:after="120"/>
              <w:jc w:val="center"/>
              <w:rPr>
                <w:noProof/>
              </w:rPr>
            </w:pPr>
            <w:r>
              <w:rPr>
                <w:noProof/>
              </w:rPr>
              <w:t>546</w:t>
            </w:r>
          </w:p>
        </w:tc>
        <w:tc>
          <w:tcPr>
            <w:tcW w:w="1273" w:type="dxa"/>
            <w:vAlign w:val="center"/>
          </w:tcPr>
          <w:p>
            <w:pPr>
              <w:spacing w:before="120" w:after="120"/>
              <w:jc w:val="center"/>
              <w:rPr>
                <w:noProof/>
              </w:rPr>
            </w:pPr>
            <w:r>
              <w:rPr>
                <w:noProof/>
              </w:rPr>
              <w:t>681</w:t>
            </w:r>
          </w:p>
        </w:tc>
        <w:tc>
          <w:tcPr>
            <w:tcW w:w="1273" w:type="dxa"/>
            <w:vAlign w:val="center"/>
          </w:tcPr>
          <w:p>
            <w:pPr>
              <w:spacing w:before="120" w:after="120"/>
              <w:jc w:val="center"/>
              <w:rPr>
                <w:noProof/>
              </w:rPr>
            </w:pPr>
            <w:r>
              <w:rPr>
                <w:noProof/>
              </w:rPr>
              <w:t>954</w:t>
            </w:r>
          </w:p>
        </w:tc>
      </w:tr>
      <w:tr>
        <w:tc>
          <w:tcPr>
            <w:tcW w:w="1272" w:type="dxa"/>
            <w:vAlign w:val="center"/>
          </w:tcPr>
          <w:p>
            <w:pPr>
              <w:spacing w:before="120" w:after="120"/>
              <w:jc w:val="both"/>
              <w:rPr>
                <w:b/>
                <w:noProof/>
              </w:rPr>
            </w:pPr>
            <w:r>
              <w:rPr>
                <w:b/>
                <w:noProof/>
              </w:rPr>
              <w:t>Cyprus</w:t>
            </w:r>
          </w:p>
        </w:tc>
        <w:tc>
          <w:tcPr>
            <w:tcW w:w="1272" w:type="dxa"/>
            <w:vAlign w:val="center"/>
          </w:tcPr>
          <w:p>
            <w:pPr>
              <w:spacing w:before="120" w:after="120"/>
              <w:jc w:val="center"/>
              <w:rPr>
                <w:noProof/>
              </w:rPr>
            </w:pPr>
            <w:r>
              <w:rPr>
                <w:noProof/>
              </w:rPr>
              <w:t>7 083</w:t>
            </w:r>
          </w:p>
        </w:tc>
        <w:tc>
          <w:tcPr>
            <w:tcW w:w="1272" w:type="dxa"/>
            <w:vAlign w:val="center"/>
          </w:tcPr>
          <w:p>
            <w:pPr>
              <w:spacing w:before="120" w:after="120"/>
              <w:jc w:val="center"/>
              <w:rPr>
                <w:noProof/>
              </w:rPr>
            </w:pPr>
            <w:r>
              <w:rPr>
                <w:noProof/>
              </w:rPr>
              <w:t>6 815</w:t>
            </w:r>
          </w:p>
        </w:tc>
        <w:tc>
          <w:tcPr>
            <w:tcW w:w="1272" w:type="dxa"/>
            <w:tcBorders>
              <w:right w:val="double" w:sz="12" w:space="0" w:color="auto"/>
            </w:tcBorders>
            <w:vAlign w:val="center"/>
          </w:tcPr>
          <w:p>
            <w:pPr>
              <w:spacing w:before="120" w:after="120"/>
              <w:jc w:val="center"/>
              <w:rPr>
                <w:noProof/>
              </w:rPr>
            </w:pPr>
            <w:r>
              <w:rPr>
                <w:noProof/>
              </w:rPr>
              <w:t>6 533</w:t>
            </w:r>
          </w:p>
        </w:tc>
        <w:tc>
          <w:tcPr>
            <w:tcW w:w="1273" w:type="dxa"/>
            <w:tcBorders>
              <w:left w:val="double" w:sz="12" w:space="0" w:color="auto"/>
            </w:tcBorders>
            <w:vAlign w:val="center"/>
          </w:tcPr>
          <w:p>
            <w:pPr>
              <w:spacing w:before="120" w:after="120"/>
              <w:jc w:val="center"/>
              <w:rPr>
                <w:noProof/>
              </w:rPr>
            </w:pPr>
            <w:r>
              <w:rPr>
                <w:noProof/>
              </w:rPr>
              <w:t>5 294</w:t>
            </w:r>
          </w:p>
        </w:tc>
        <w:tc>
          <w:tcPr>
            <w:tcW w:w="1273" w:type="dxa"/>
            <w:vAlign w:val="center"/>
          </w:tcPr>
          <w:p>
            <w:pPr>
              <w:spacing w:before="120" w:after="120"/>
              <w:jc w:val="center"/>
              <w:rPr>
                <w:noProof/>
              </w:rPr>
            </w:pPr>
            <w:r>
              <w:rPr>
                <w:noProof/>
              </w:rPr>
              <w:t>3 912</w:t>
            </w:r>
          </w:p>
        </w:tc>
        <w:tc>
          <w:tcPr>
            <w:tcW w:w="1273" w:type="dxa"/>
            <w:vAlign w:val="center"/>
          </w:tcPr>
          <w:p>
            <w:pPr>
              <w:spacing w:before="120" w:after="120"/>
              <w:jc w:val="center"/>
              <w:rPr>
                <w:noProof/>
              </w:rPr>
            </w:pPr>
            <w:r>
              <w:rPr>
                <w:noProof/>
              </w:rPr>
              <w:t>2 756</w:t>
            </w:r>
          </w:p>
        </w:tc>
      </w:tr>
      <w:tr>
        <w:tc>
          <w:tcPr>
            <w:tcW w:w="1272" w:type="dxa"/>
            <w:vAlign w:val="center"/>
          </w:tcPr>
          <w:p>
            <w:pPr>
              <w:spacing w:before="120" w:after="120"/>
              <w:jc w:val="both"/>
              <w:rPr>
                <w:b/>
                <w:noProof/>
              </w:rPr>
            </w:pPr>
            <w:r>
              <w:rPr>
                <w:b/>
                <w:noProof/>
              </w:rPr>
              <w:t>Czech Republic</w:t>
            </w:r>
          </w:p>
        </w:tc>
        <w:tc>
          <w:tcPr>
            <w:tcW w:w="1272" w:type="dxa"/>
            <w:vAlign w:val="center"/>
          </w:tcPr>
          <w:p>
            <w:pPr>
              <w:spacing w:before="120" w:after="120"/>
              <w:jc w:val="center"/>
              <w:rPr>
                <w:noProof/>
              </w:rPr>
            </w:pPr>
            <w:r>
              <w:rPr>
                <w:noProof/>
              </w:rPr>
              <w:t>162 724</w:t>
            </w:r>
          </w:p>
        </w:tc>
        <w:tc>
          <w:tcPr>
            <w:tcW w:w="1272" w:type="dxa"/>
            <w:vAlign w:val="center"/>
          </w:tcPr>
          <w:p>
            <w:pPr>
              <w:spacing w:before="120" w:after="120"/>
              <w:jc w:val="center"/>
              <w:rPr>
                <w:noProof/>
              </w:rPr>
            </w:pPr>
            <w:r>
              <w:rPr>
                <w:noProof/>
              </w:rPr>
              <w:t>163 739</w:t>
            </w:r>
          </w:p>
        </w:tc>
        <w:tc>
          <w:tcPr>
            <w:tcW w:w="1272" w:type="dxa"/>
            <w:tcBorders>
              <w:right w:val="double" w:sz="12" w:space="0" w:color="auto"/>
            </w:tcBorders>
            <w:vAlign w:val="center"/>
          </w:tcPr>
          <w:p>
            <w:pPr>
              <w:spacing w:before="120" w:after="120"/>
              <w:jc w:val="center"/>
              <w:rPr>
                <w:noProof/>
              </w:rPr>
            </w:pPr>
            <w:r>
              <w:rPr>
                <w:noProof/>
              </w:rPr>
              <w:t>162 217</w:t>
            </w:r>
          </w:p>
        </w:tc>
        <w:tc>
          <w:tcPr>
            <w:tcW w:w="1273" w:type="dxa"/>
            <w:tcBorders>
              <w:left w:val="double" w:sz="12" w:space="0" w:color="auto"/>
            </w:tcBorders>
            <w:vAlign w:val="center"/>
          </w:tcPr>
          <w:p>
            <w:pPr>
              <w:spacing w:before="120" w:after="120"/>
              <w:jc w:val="center"/>
              <w:rPr>
                <w:noProof/>
              </w:rPr>
            </w:pPr>
            <w:r>
              <w:rPr>
                <w:noProof/>
              </w:rPr>
              <w:t>27 253</w:t>
            </w:r>
          </w:p>
        </w:tc>
        <w:tc>
          <w:tcPr>
            <w:tcW w:w="1273" w:type="dxa"/>
            <w:vAlign w:val="center"/>
          </w:tcPr>
          <w:p>
            <w:pPr>
              <w:spacing w:before="120" w:after="120"/>
              <w:jc w:val="center"/>
              <w:rPr>
                <w:noProof/>
              </w:rPr>
            </w:pPr>
            <w:r>
              <w:rPr>
                <w:noProof/>
              </w:rPr>
              <w:t>20 562</w:t>
            </w:r>
          </w:p>
        </w:tc>
        <w:tc>
          <w:tcPr>
            <w:tcW w:w="1273" w:type="dxa"/>
            <w:vAlign w:val="center"/>
          </w:tcPr>
          <w:p>
            <w:pPr>
              <w:spacing w:before="120" w:after="120"/>
              <w:jc w:val="center"/>
              <w:rPr>
                <w:noProof/>
              </w:rPr>
            </w:pPr>
            <w:r>
              <w:rPr>
                <w:noProof/>
              </w:rPr>
              <w:t>35 542</w:t>
            </w:r>
          </w:p>
        </w:tc>
      </w:tr>
      <w:tr>
        <w:tc>
          <w:tcPr>
            <w:tcW w:w="1272" w:type="dxa"/>
            <w:vAlign w:val="center"/>
          </w:tcPr>
          <w:p>
            <w:pPr>
              <w:spacing w:before="120" w:after="120"/>
              <w:jc w:val="both"/>
              <w:rPr>
                <w:b/>
                <w:noProof/>
              </w:rPr>
            </w:pPr>
            <w:r>
              <w:rPr>
                <w:b/>
                <w:noProof/>
              </w:rPr>
              <w:t>Denmark</w:t>
            </w:r>
          </w:p>
        </w:tc>
        <w:tc>
          <w:tcPr>
            <w:tcW w:w="1272" w:type="dxa"/>
            <w:vAlign w:val="center"/>
          </w:tcPr>
          <w:p>
            <w:pPr>
              <w:spacing w:before="120" w:after="120"/>
              <w:jc w:val="center"/>
              <w:rPr>
                <w:noProof/>
              </w:rPr>
            </w:pPr>
            <w:r>
              <w:rPr>
                <w:noProof/>
              </w:rPr>
              <w:t>131 900</w:t>
            </w:r>
          </w:p>
        </w:tc>
        <w:tc>
          <w:tcPr>
            <w:tcW w:w="1272" w:type="dxa"/>
            <w:vAlign w:val="center"/>
          </w:tcPr>
          <w:p>
            <w:pPr>
              <w:spacing w:before="120" w:after="120"/>
              <w:jc w:val="center"/>
              <w:rPr>
                <w:noProof/>
              </w:rPr>
            </w:pPr>
            <w:r>
              <w:rPr>
                <w:noProof/>
              </w:rPr>
              <w:t>no data</w:t>
            </w:r>
          </w:p>
        </w:tc>
        <w:tc>
          <w:tcPr>
            <w:tcW w:w="1272" w:type="dxa"/>
            <w:tcBorders>
              <w:right w:val="double" w:sz="12" w:space="0" w:color="auto"/>
            </w:tcBorders>
            <w:vAlign w:val="center"/>
          </w:tcPr>
          <w:p>
            <w:pPr>
              <w:spacing w:before="120" w:after="120"/>
              <w:jc w:val="center"/>
              <w:rPr>
                <w:noProof/>
              </w:rPr>
            </w:pPr>
            <w:r>
              <w:rPr>
                <w:noProof/>
              </w:rPr>
              <w:t>no data</w:t>
            </w:r>
          </w:p>
        </w:tc>
        <w:tc>
          <w:tcPr>
            <w:tcW w:w="1273" w:type="dxa"/>
            <w:tcBorders>
              <w:left w:val="double" w:sz="12" w:space="0" w:color="auto"/>
            </w:tcBorders>
            <w:vAlign w:val="center"/>
          </w:tcPr>
          <w:p>
            <w:pPr>
              <w:spacing w:before="120" w:after="120"/>
              <w:jc w:val="center"/>
              <w:rPr>
                <w:noProof/>
              </w:rPr>
            </w:pPr>
            <w:r>
              <w:rPr>
                <w:noProof/>
              </w:rPr>
              <w:t>79 140</w:t>
            </w:r>
          </w:p>
        </w:tc>
        <w:tc>
          <w:tcPr>
            <w:tcW w:w="1273" w:type="dxa"/>
            <w:vAlign w:val="center"/>
          </w:tcPr>
          <w:p>
            <w:pPr>
              <w:spacing w:before="120" w:after="120"/>
              <w:jc w:val="center"/>
              <w:rPr>
                <w:noProof/>
              </w:rPr>
            </w:pPr>
            <w:r>
              <w:rPr>
                <w:noProof/>
              </w:rPr>
              <w:t>no data</w:t>
            </w:r>
          </w:p>
        </w:tc>
        <w:tc>
          <w:tcPr>
            <w:tcW w:w="1273" w:type="dxa"/>
            <w:vAlign w:val="center"/>
          </w:tcPr>
          <w:p>
            <w:pPr>
              <w:spacing w:before="120" w:after="120"/>
              <w:jc w:val="center"/>
              <w:rPr>
                <w:noProof/>
              </w:rPr>
            </w:pPr>
            <w:r>
              <w:rPr>
                <w:noProof/>
              </w:rPr>
              <w:t>no data</w:t>
            </w:r>
          </w:p>
        </w:tc>
      </w:tr>
      <w:tr>
        <w:tc>
          <w:tcPr>
            <w:tcW w:w="1272" w:type="dxa"/>
            <w:vAlign w:val="center"/>
          </w:tcPr>
          <w:p>
            <w:pPr>
              <w:spacing w:before="120" w:after="120"/>
              <w:jc w:val="both"/>
              <w:rPr>
                <w:b/>
                <w:noProof/>
              </w:rPr>
            </w:pPr>
            <w:r>
              <w:rPr>
                <w:b/>
                <w:noProof/>
              </w:rPr>
              <w:t>Estonia</w:t>
            </w:r>
          </w:p>
        </w:tc>
        <w:tc>
          <w:tcPr>
            <w:tcW w:w="1272" w:type="dxa"/>
            <w:vAlign w:val="center"/>
          </w:tcPr>
          <w:p>
            <w:pPr>
              <w:spacing w:before="120" w:after="120"/>
              <w:jc w:val="center"/>
              <w:rPr>
                <w:noProof/>
              </w:rPr>
            </w:pPr>
            <w:r>
              <w:rPr>
                <w:noProof/>
              </w:rPr>
              <w:t>27 950</w:t>
            </w:r>
          </w:p>
        </w:tc>
        <w:tc>
          <w:tcPr>
            <w:tcW w:w="1272" w:type="dxa"/>
            <w:vAlign w:val="center"/>
          </w:tcPr>
          <w:p>
            <w:pPr>
              <w:spacing w:before="120" w:after="120"/>
              <w:jc w:val="center"/>
              <w:rPr>
                <w:noProof/>
              </w:rPr>
            </w:pPr>
            <w:r>
              <w:rPr>
                <w:noProof/>
              </w:rPr>
              <w:t>27 780</w:t>
            </w:r>
          </w:p>
        </w:tc>
        <w:tc>
          <w:tcPr>
            <w:tcW w:w="1272" w:type="dxa"/>
            <w:tcBorders>
              <w:right w:val="double" w:sz="12" w:space="0" w:color="auto"/>
            </w:tcBorders>
            <w:vAlign w:val="center"/>
          </w:tcPr>
          <w:p>
            <w:pPr>
              <w:spacing w:before="120" w:after="120"/>
              <w:jc w:val="center"/>
              <w:rPr>
                <w:noProof/>
              </w:rPr>
            </w:pPr>
            <w:r>
              <w:rPr>
                <w:noProof/>
              </w:rPr>
              <w:t>22 796</w:t>
            </w:r>
          </w:p>
        </w:tc>
        <w:tc>
          <w:tcPr>
            <w:tcW w:w="1273" w:type="dxa"/>
            <w:tcBorders>
              <w:left w:val="double" w:sz="12" w:space="0" w:color="auto"/>
            </w:tcBorders>
            <w:vAlign w:val="center"/>
          </w:tcPr>
          <w:p>
            <w:pPr>
              <w:spacing w:before="120" w:after="120"/>
              <w:jc w:val="center"/>
              <w:rPr>
                <w:noProof/>
              </w:rPr>
            </w:pPr>
            <w:r>
              <w:rPr>
                <w:noProof/>
              </w:rPr>
              <w:t>14 100</w:t>
            </w:r>
          </w:p>
        </w:tc>
        <w:tc>
          <w:tcPr>
            <w:tcW w:w="1273" w:type="dxa"/>
            <w:vAlign w:val="center"/>
          </w:tcPr>
          <w:p>
            <w:pPr>
              <w:spacing w:before="120" w:after="120"/>
              <w:jc w:val="center"/>
              <w:rPr>
                <w:noProof/>
              </w:rPr>
            </w:pPr>
            <w:r>
              <w:rPr>
                <w:noProof/>
              </w:rPr>
              <w:t>16 030</w:t>
            </w:r>
          </w:p>
        </w:tc>
        <w:tc>
          <w:tcPr>
            <w:tcW w:w="1273" w:type="dxa"/>
            <w:vAlign w:val="center"/>
          </w:tcPr>
          <w:p>
            <w:pPr>
              <w:spacing w:before="120" w:after="120"/>
              <w:jc w:val="center"/>
              <w:rPr>
                <w:noProof/>
              </w:rPr>
            </w:pPr>
            <w:r>
              <w:rPr>
                <w:noProof/>
              </w:rPr>
              <w:t>12 536</w:t>
            </w:r>
          </w:p>
        </w:tc>
      </w:tr>
      <w:tr>
        <w:tc>
          <w:tcPr>
            <w:tcW w:w="1272" w:type="dxa"/>
            <w:vAlign w:val="center"/>
          </w:tcPr>
          <w:p>
            <w:pPr>
              <w:spacing w:before="120" w:after="120"/>
              <w:jc w:val="both"/>
              <w:rPr>
                <w:b/>
                <w:noProof/>
              </w:rPr>
            </w:pPr>
            <w:r>
              <w:rPr>
                <w:b/>
                <w:noProof/>
              </w:rPr>
              <w:t>Finland</w:t>
            </w:r>
          </w:p>
        </w:tc>
        <w:tc>
          <w:tcPr>
            <w:tcW w:w="1272" w:type="dxa"/>
            <w:vAlign w:val="center"/>
          </w:tcPr>
          <w:p>
            <w:pPr>
              <w:spacing w:before="120" w:after="120"/>
              <w:jc w:val="center"/>
              <w:rPr>
                <w:noProof/>
              </w:rPr>
            </w:pPr>
            <w:r>
              <w:rPr>
                <w:noProof/>
              </w:rPr>
              <w:t>142 700</w:t>
            </w:r>
          </w:p>
        </w:tc>
        <w:tc>
          <w:tcPr>
            <w:tcW w:w="1272" w:type="dxa"/>
            <w:vAlign w:val="center"/>
          </w:tcPr>
          <w:p>
            <w:pPr>
              <w:spacing w:before="120" w:after="120"/>
              <w:jc w:val="center"/>
              <w:rPr>
                <w:noProof/>
              </w:rPr>
            </w:pPr>
            <w:r>
              <w:rPr>
                <w:noProof/>
              </w:rPr>
              <w:t>140 900</w:t>
            </w:r>
          </w:p>
        </w:tc>
        <w:tc>
          <w:tcPr>
            <w:tcW w:w="1272" w:type="dxa"/>
            <w:tcBorders>
              <w:right w:val="double" w:sz="12" w:space="0" w:color="auto"/>
            </w:tcBorders>
            <w:vAlign w:val="center"/>
          </w:tcPr>
          <w:p>
            <w:pPr>
              <w:spacing w:before="120" w:after="120"/>
              <w:jc w:val="center"/>
              <w:rPr>
                <w:noProof/>
              </w:rPr>
            </w:pPr>
            <w:r>
              <w:rPr>
                <w:noProof/>
              </w:rPr>
              <w:t>no data</w:t>
            </w:r>
          </w:p>
        </w:tc>
        <w:tc>
          <w:tcPr>
            <w:tcW w:w="1273" w:type="dxa"/>
            <w:tcBorders>
              <w:left w:val="double" w:sz="12" w:space="0" w:color="auto"/>
            </w:tcBorders>
            <w:vAlign w:val="center"/>
          </w:tcPr>
          <w:p>
            <w:pPr>
              <w:spacing w:before="120" w:after="120"/>
              <w:jc w:val="center"/>
              <w:rPr>
                <w:noProof/>
              </w:rPr>
            </w:pPr>
            <w:r>
              <w:rPr>
                <w:noProof/>
              </w:rPr>
              <w:t>7 500</w:t>
            </w:r>
          </w:p>
        </w:tc>
        <w:tc>
          <w:tcPr>
            <w:tcW w:w="1273" w:type="dxa"/>
            <w:vAlign w:val="center"/>
          </w:tcPr>
          <w:p>
            <w:pPr>
              <w:spacing w:before="120" w:after="120"/>
              <w:jc w:val="center"/>
              <w:rPr>
                <w:noProof/>
              </w:rPr>
            </w:pPr>
            <w:r>
              <w:rPr>
                <w:noProof/>
              </w:rPr>
              <w:t>3 800</w:t>
            </w:r>
          </w:p>
        </w:tc>
        <w:tc>
          <w:tcPr>
            <w:tcW w:w="1273" w:type="dxa"/>
            <w:vAlign w:val="center"/>
          </w:tcPr>
          <w:p>
            <w:pPr>
              <w:spacing w:before="120" w:after="120"/>
              <w:jc w:val="center"/>
              <w:rPr>
                <w:noProof/>
              </w:rPr>
            </w:pPr>
            <w:r>
              <w:rPr>
                <w:noProof/>
              </w:rPr>
              <w:t>no data</w:t>
            </w:r>
          </w:p>
        </w:tc>
      </w:tr>
      <w:tr>
        <w:tc>
          <w:tcPr>
            <w:tcW w:w="1272" w:type="dxa"/>
            <w:vAlign w:val="center"/>
          </w:tcPr>
          <w:p>
            <w:pPr>
              <w:spacing w:before="120" w:after="120"/>
              <w:jc w:val="both"/>
              <w:rPr>
                <w:b/>
                <w:noProof/>
              </w:rPr>
            </w:pPr>
            <w:r>
              <w:rPr>
                <w:b/>
                <w:noProof/>
              </w:rPr>
              <w:t>France</w:t>
            </w:r>
          </w:p>
        </w:tc>
        <w:tc>
          <w:tcPr>
            <w:tcW w:w="1272" w:type="dxa"/>
            <w:vAlign w:val="center"/>
          </w:tcPr>
          <w:p>
            <w:pPr>
              <w:spacing w:before="120" w:after="120"/>
              <w:jc w:val="center"/>
              <w:rPr>
                <w:noProof/>
              </w:rPr>
            </w:pPr>
            <w:r>
              <w:rPr>
                <w:noProof/>
              </w:rPr>
              <w:t>1 127 039</w:t>
            </w:r>
          </w:p>
        </w:tc>
        <w:tc>
          <w:tcPr>
            <w:tcW w:w="1272" w:type="dxa"/>
            <w:vAlign w:val="center"/>
          </w:tcPr>
          <w:p>
            <w:pPr>
              <w:spacing w:before="120" w:after="120"/>
              <w:jc w:val="center"/>
              <w:rPr>
                <w:noProof/>
              </w:rPr>
            </w:pPr>
            <w:r>
              <w:rPr>
                <w:noProof/>
              </w:rPr>
              <w:t>1 094 836</w:t>
            </w:r>
          </w:p>
        </w:tc>
        <w:tc>
          <w:tcPr>
            <w:tcW w:w="1272" w:type="dxa"/>
            <w:tcBorders>
              <w:right w:val="double" w:sz="12" w:space="0" w:color="auto"/>
            </w:tcBorders>
            <w:vAlign w:val="center"/>
          </w:tcPr>
          <w:p>
            <w:pPr>
              <w:spacing w:before="120" w:after="120"/>
              <w:jc w:val="center"/>
              <w:rPr>
                <w:noProof/>
              </w:rPr>
            </w:pPr>
            <w:r>
              <w:rPr>
                <w:noProof/>
              </w:rPr>
              <w:t>1 124 363</w:t>
            </w:r>
          </w:p>
        </w:tc>
        <w:tc>
          <w:tcPr>
            <w:tcW w:w="1273" w:type="dxa"/>
            <w:tcBorders>
              <w:left w:val="double" w:sz="12" w:space="0" w:color="auto"/>
            </w:tcBorders>
            <w:vAlign w:val="center"/>
          </w:tcPr>
          <w:p>
            <w:pPr>
              <w:spacing w:before="120" w:after="120"/>
              <w:jc w:val="center"/>
              <w:rPr>
                <w:noProof/>
              </w:rPr>
            </w:pPr>
            <w:r>
              <w:rPr>
                <w:noProof/>
              </w:rPr>
              <w:t>779 609</w:t>
            </w:r>
          </w:p>
        </w:tc>
        <w:tc>
          <w:tcPr>
            <w:tcW w:w="1273" w:type="dxa"/>
            <w:vAlign w:val="center"/>
          </w:tcPr>
          <w:p>
            <w:pPr>
              <w:spacing w:before="120" w:after="120"/>
              <w:jc w:val="center"/>
              <w:rPr>
                <w:noProof/>
              </w:rPr>
            </w:pPr>
            <w:r>
              <w:rPr>
                <w:noProof/>
              </w:rPr>
              <w:t>790 780</w:t>
            </w:r>
          </w:p>
        </w:tc>
        <w:tc>
          <w:tcPr>
            <w:tcW w:w="1273" w:type="dxa"/>
            <w:vAlign w:val="center"/>
          </w:tcPr>
          <w:p>
            <w:pPr>
              <w:spacing w:before="120" w:after="120"/>
              <w:jc w:val="center"/>
              <w:rPr>
                <w:noProof/>
              </w:rPr>
            </w:pPr>
            <w:r>
              <w:rPr>
                <w:noProof/>
              </w:rPr>
              <w:t>787 300</w:t>
            </w:r>
          </w:p>
        </w:tc>
      </w:tr>
      <w:tr>
        <w:tc>
          <w:tcPr>
            <w:tcW w:w="1272" w:type="dxa"/>
            <w:vAlign w:val="center"/>
          </w:tcPr>
          <w:p>
            <w:pPr>
              <w:spacing w:before="120" w:after="120"/>
              <w:jc w:val="both"/>
              <w:rPr>
                <w:b/>
                <w:noProof/>
              </w:rPr>
            </w:pPr>
            <w:r>
              <w:rPr>
                <w:b/>
                <w:noProof/>
              </w:rPr>
              <w:t>Germany</w:t>
            </w:r>
          </w:p>
        </w:tc>
        <w:tc>
          <w:tcPr>
            <w:tcW w:w="1272" w:type="dxa"/>
            <w:vAlign w:val="center"/>
          </w:tcPr>
          <w:p>
            <w:pPr>
              <w:spacing w:before="120" w:after="120"/>
              <w:jc w:val="center"/>
              <w:rPr>
                <w:noProof/>
              </w:rPr>
            </w:pPr>
            <w:r>
              <w:rPr>
                <w:noProof/>
              </w:rPr>
              <w:t>1 774 793</w:t>
            </w:r>
          </w:p>
        </w:tc>
        <w:tc>
          <w:tcPr>
            <w:tcW w:w="1272" w:type="dxa"/>
            <w:vAlign w:val="center"/>
          </w:tcPr>
          <w:p>
            <w:pPr>
              <w:spacing w:before="120" w:after="120"/>
              <w:jc w:val="center"/>
              <w:rPr>
                <w:noProof/>
              </w:rPr>
            </w:pPr>
            <w:r>
              <w:rPr>
                <w:noProof/>
              </w:rPr>
              <w:t>1 836 952</w:t>
            </w:r>
          </w:p>
        </w:tc>
        <w:tc>
          <w:tcPr>
            <w:tcW w:w="1272" w:type="dxa"/>
            <w:tcBorders>
              <w:right w:val="double" w:sz="12" w:space="0" w:color="auto"/>
            </w:tcBorders>
            <w:vAlign w:val="center"/>
          </w:tcPr>
          <w:p>
            <w:pPr>
              <w:spacing w:before="120" w:after="120"/>
              <w:jc w:val="center"/>
              <w:rPr>
                <w:noProof/>
              </w:rPr>
            </w:pPr>
            <w:r>
              <w:rPr>
                <w:noProof/>
              </w:rPr>
              <w:t>1 742 920</w:t>
            </w:r>
          </w:p>
        </w:tc>
        <w:tc>
          <w:tcPr>
            <w:tcW w:w="1273" w:type="dxa"/>
            <w:tcBorders>
              <w:left w:val="double" w:sz="12" w:space="0" w:color="auto"/>
            </w:tcBorders>
            <w:vAlign w:val="center"/>
          </w:tcPr>
          <w:p>
            <w:pPr>
              <w:spacing w:before="120" w:after="120"/>
              <w:jc w:val="center"/>
              <w:rPr>
                <w:noProof/>
              </w:rPr>
            </w:pPr>
            <w:r>
              <w:rPr>
                <w:noProof/>
              </w:rPr>
              <w:t>610 249</w:t>
            </w:r>
          </w:p>
        </w:tc>
        <w:tc>
          <w:tcPr>
            <w:tcW w:w="1273" w:type="dxa"/>
            <w:vAlign w:val="center"/>
          </w:tcPr>
          <w:p>
            <w:pPr>
              <w:spacing w:before="120" w:after="120"/>
              <w:jc w:val="center"/>
              <w:rPr>
                <w:noProof/>
              </w:rPr>
            </w:pPr>
            <w:r>
              <w:rPr>
                <w:noProof/>
              </w:rPr>
              <w:t>600 270</w:t>
            </w:r>
          </w:p>
        </w:tc>
        <w:tc>
          <w:tcPr>
            <w:tcW w:w="1273" w:type="dxa"/>
            <w:vAlign w:val="center"/>
          </w:tcPr>
          <w:p>
            <w:pPr>
              <w:spacing w:before="120" w:after="120"/>
              <w:jc w:val="center"/>
              <w:rPr>
                <w:noProof/>
              </w:rPr>
            </w:pPr>
            <w:r>
              <w:rPr>
                <w:noProof/>
              </w:rPr>
              <w:t>580 031</w:t>
            </w:r>
          </w:p>
        </w:tc>
      </w:tr>
      <w:tr>
        <w:tc>
          <w:tcPr>
            <w:tcW w:w="1272" w:type="dxa"/>
            <w:vAlign w:val="center"/>
          </w:tcPr>
          <w:p>
            <w:pPr>
              <w:spacing w:before="120" w:after="120"/>
              <w:jc w:val="both"/>
              <w:rPr>
                <w:b/>
                <w:noProof/>
              </w:rPr>
            </w:pPr>
            <w:r>
              <w:rPr>
                <w:b/>
                <w:noProof/>
              </w:rPr>
              <w:t>Greece</w:t>
            </w:r>
          </w:p>
        </w:tc>
        <w:tc>
          <w:tcPr>
            <w:tcW w:w="1272" w:type="dxa"/>
            <w:vAlign w:val="center"/>
          </w:tcPr>
          <w:p>
            <w:pPr>
              <w:spacing w:before="120" w:after="120"/>
              <w:jc w:val="center"/>
              <w:rPr>
                <w:noProof/>
              </w:rPr>
            </w:pPr>
            <w:r>
              <w:rPr>
                <w:noProof/>
              </w:rPr>
              <w:t>103 866</w:t>
            </w:r>
          </w:p>
        </w:tc>
        <w:tc>
          <w:tcPr>
            <w:tcW w:w="1272" w:type="dxa"/>
            <w:vAlign w:val="center"/>
          </w:tcPr>
          <w:p>
            <w:pPr>
              <w:spacing w:before="120" w:after="120"/>
              <w:jc w:val="center"/>
              <w:rPr>
                <w:noProof/>
              </w:rPr>
            </w:pPr>
            <w:r>
              <w:rPr>
                <w:noProof/>
              </w:rPr>
              <w:t>90 655</w:t>
            </w:r>
          </w:p>
        </w:tc>
        <w:tc>
          <w:tcPr>
            <w:tcW w:w="1272" w:type="dxa"/>
            <w:tcBorders>
              <w:right w:val="double" w:sz="12" w:space="0" w:color="auto"/>
            </w:tcBorders>
            <w:vAlign w:val="center"/>
          </w:tcPr>
          <w:p>
            <w:pPr>
              <w:spacing w:before="120" w:after="120"/>
              <w:jc w:val="center"/>
              <w:rPr>
                <w:noProof/>
              </w:rPr>
            </w:pPr>
            <w:r>
              <w:rPr>
                <w:noProof/>
              </w:rPr>
              <w:t>89 978</w:t>
            </w:r>
          </w:p>
        </w:tc>
        <w:tc>
          <w:tcPr>
            <w:tcW w:w="1273" w:type="dxa"/>
            <w:tcBorders>
              <w:left w:val="double" w:sz="12" w:space="0" w:color="auto"/>
            </w:tcBorders>
            <w:vAlign w:val="center"/>
          </w:tcPr>
          <w:p>
            <w:pPr>
              <w:spacing w:before="120" w:after="120"/>
              <w:jc w:val="center"/>
              <w:rPr>
                <w:noProof/>
              </w:rPr>
            </w:pPr>
            <w:r>
              <w:rPr>
                <w:noProof/>
              </w:rPr>
              <w:t>270</w:t>
            </w:r>
          </w:p>
        </w:tc>
        <w:tc>
          <w:tcPr>
            <w:tcW w:w="1273" w:type="dxa"/>
            <w:vAlign w:val="center"/>
          </w:tcPr>
          <w:p>
            <w:pPr>
              <w:spacing w:before="120" w:after="120"/>
              <w:jc w:val="center"/>
              <w:rPr>
                <w:noProof/>
              </w:rPr>
            </w:pPr>
            <w:r>
              <w:rPr>
                <w:noProof/>
              </w:rPr>
              <w:t>180</w:t>
            </w:r>
          </w:p>
        </w:tc>
        <w:tc>
          <w:tcPr>
            <w:tcW w:w="1273" w:type="dxa"/>
            <w:vAlign w:val="center"/>
          </w:tcPr>
          <w:p>
            <w:pPr>
              <w:spacing w:before="120" w:after="120"/>
              <w:jc w:val="center"/>
              <w:rPr>
                <w:noProof/>
              </w:rPr>
            </w:pPr>
            <w:r>
              <w:rPr>
                <w:noProof/>
              </w:rPr>
              <w:t>9 358</w:t>
            </w:r>
          </w:p>
        </w:tc>
      </w:tr>
      <w:tr>
        <w:tc>
          <w:tcPr>
            <w:tcW w:w="1272" w:type="dxa"/>
            <w:vAlign w:val="center"/>
          </w:tcPr>
          <w:p>
            <w:pPr>
              <w:spacing w:before="120" w:after="120"/>
              <w:jc w:val="both"/>
              <w:rPr>
                <w:b/>
                <w:noProof/>
              </w:rPr>
            </w:pPr>
            <w:r>
              <w:rPr>
                <w:b/>
                <w:noProof/>
              </w:rPr>
              <w:t>Hungary **</w:t>
            </w:r>
          </w:p>
        </w:tc>
        <w:tc>
          <w:tcPr>
            <w:tcW w:w="1272" w:type="dxa"/>
            <w:vAlign w:val="center"/>
          </w:tcPr>
          <w:p>
            <w:pPr>
              <w:spacing w:before="120" w:after="120"/>
              <w:jc w:val="center"/>
              <w:rPr>
                <w:noProof/>
              </w:rPr>
            </w:pPr>
            <w:r>
              <w:rPr>
                <w:noProof/>
              </w:rPr>
              <w:t>236 043</w:t>
            </w:r>
          </w:p>
        </w:tc>
        <w:tc>
          <w:tcPr>
            <w:tcW w:w="1272" w:type="dxa"/>
            <w:vAlign w:val="center"/>
          </w:tcPr>
          <w:p>
            <w:pPr>
              <w:spacing w:before="120" w:after="120"/>
              <w:jc w:val="center"/>
              <w:rPr>
                <w:noProof/>
              </w:rPr>
            </w:pPr>
            <w:r>
              <w:rPr>
                <w:noProof/>
              </w:rPr>
              <w:t>217 494</w:t>
            </w:r>
          </w:p>
        </w:tc>
        <w:tc>
          <w:tcPr>
            <w:tcW w:w="1272" w:type="dxa"/>
            <w:tcBorders>
              <w:right w:val="double" w:sz="12" w:space="0" w:color="auto"/>
            </w:tcBorders>
            <w:vAlign w:val="center"/>
          </w:tcPr>
          <w:p>
            <w:pPr>
              <w:spacing w:before="120" w:after="120"/>
              <w:jc w:val="center"/>
              <w:rPr>
                <w:noProof/>
              </w:rPr>
            </w:pPr>
            <w:r>
              <w:rPr>
                <w:noProof/>
              </w:rPr>
              <w:t>no data</w:t>
            </w:r>
          </w:p>
        </w:tc>
        <w:tc>
          <w:tcPr>
            <w:tcW w:w="1273" w:type="dxa"/>
            <w:tcBorders>
              <w:left w:val="double" w:sz="12" w:space="0" w:color="auto"/>
            </w:tcBorders>
            <w:vAlign w:val="center"/>
          </w:tcPr>
          <w:p>
            <w:pPr>
              <w:spacing w:before="120" w:after="120"/>
              <w:jc w:val="center"/>
              <w:rPr>
                <w:noProof/>
              </w:rPr>
            </w:pPr>
            <w:r>
              <w:rPr>
                <w:noProof/>
              </w:rPr>
              <w:t>24 580</w:t>
            </w:r>
          </w:p>
        </w:tc>
        <w:tc>
          <w:tcPr>
            <w:tcW w:w="1273" w:type="dxa"/>
            <w:vAlign w:val="center"/>
          </w:tcPr>
          <w:p>
            <w:pPr>
              <w:spacing w:before="120" w:after="120"/>
              <w:jc w:val="center"/>
              <w:rPr>
                <w:noProof/>
              </w:rPr>
            </w:pPr>
            <w:r>
              <w:rPr>
                <w:noProof/>
              </w:rPr>
              <w:t>22 322</w:t>
            </w:r>
          </w:p>
        </w:tc>
        <w:tc>
          <w:tcPr>
            <w:tcW w:w="1273" w:type="dxa"/>
            <w:vAlign w:val="center"/>
          </w:tcPr>
          <w:p>
            <w:pPr>
              <w:spacing w:before="120" w:after="120"/>
              <w:jc w:val="center"/>
              <w:rPr>
                <w:noProof/>
              </w:rPr>
            </w:pPr>
            <w:r>
              <w:rPr>
                <w:noProof/>
              </w:rPr>
              <w:t>no data</w:t>
            </w:r>
          </w:p>
        </w:tc>
      </w:tr>
      <w:tr>
        <w:tc>
          <w:tcPr>
            <w:tcW w:w="1272" w:type="dxa"/>
            <w:vAlign w:val="center"/>
          </w:tcPr>
          <w:p>
            <w:pPr>
              <w:spacing w:before="120" w:after="120"/>
              <w:jc w:val="both"/>
              <w:rPr>
                <w:b/>
                <w:noProof/>
              </w:rPr>
            </w:pPr>
            <w:r>
              <w:rPr>
                <w:b/>
                <w:noProof/>
              </w:rPr>
              <w:t>Ireland</w:t>
            </w:r>
          </w:p>
        </w:tc>
        <w:tc>
          <w:tcPr>
            <w:tcW w:w="1272" w:type="dxa"/>
            <w:vAlign w:val="center"/>
          </w:tcPr>
          <w:p>
            <w:pPr>
              <w:spacing w:before="120" w:after="120"/>
              <w:jc w:val="center"/>
              <w:rPr>
                <w:noProof/>
              </w:rPr>
            </w:pPr>
            <w:r>
              <w:rPr>
                <w:noProof/>
              </w:rPr>
              <w:t>89 991</w:t>
            </w:r>
          </w:p>
        </w:tc>
        <w:tc>
          <w:tcPr>
            <w:tcW w:w="1272" w:type="dxa"/>
            <w:vAlign w:val="center"/>
          </w:tcPr>
          <w:p>
            <w:pPr>
              <w:spacing w:before="120" w:after="120"/>
              <w:jc w:val="center"/>
              <w:rPr>
                <w:noProof/>
              </w:rPr>
            </w:pPr>
            <w:r>
              <w:rPr>
                <w:noProof/>
              </w:rPr>
              <w:t>85 648</w:t>
            </w:r>
          </w:p>
        </w:tc>
        <w:tc>
          <w:tcPr>
            <w:tcW w:w="1272" w:type="dxa"/>
            <w:tcBorders>
              <w:right w:val="double" w:sz="12" w:space="0" w:color="auto"/>
            </w:tcBorders>
            <w:vAlign w:val="center"/>
          </w:tcPr>
          <w:p>
            <w:pPr>
              <w:spacing w:before="120" w:after="120"/>
              <w:jc w:val="center"/>
              <w:rPr>
                <w:noProof/>
              </w:rPr>
            </w:pPr>
            <w:r>
              <w:rPr>
                <w:noProof/>
              </w:rPr>
              <w:t>72 429</w:t>
            </w:r>
          </w:p>
        </w:tc>
        <w:tc>
          <w:tcPr>
            <w:tcW w:w="1273" w:type="dxa"/>
            <w:tcBorders>
              <w:left w:val="double" w:sz="12" w:space="0" w:color="auto"/>
            </w:tcBorders>
            <w:vAlign w:val="center"/>
          </w:tcPr>
          <w:p>
            <w:pPr>
              <w:spacing w:before="120" w:after="120"/>
              <w:jc w:val="center"/>
              <w:rPr>
                <w:noProof/>
              </w:rPr>
            </w:pPr>
            <w:r>
              <w:rPr>
                <w:noProof/>
              </w:rPr>
              <w:t>82 670</w:t>
            </w:r>
          </w:p>
        </w:tc>
        <w:tc>
          <w:tcPr>
            <w:tcW w:w="1273" w:type="dxa"/>
            <w:vAlign w:val="center"/>
          </w:tcPr>
          <w:p>
            <w:pPr>
              <w:spacing w:before="120" w:after="120"/>
              <w:jc w:val="center"/>
              <w:rPr>
                <w:noProof/>
              </w:rPr>
            </w:pPr>
            <w:r>
              <w:rPr>
                <w:noProof/>
              </w:rPr>
              <w:t>57 699</w:t>
            </w:r>
          </w:p>
        </w:tc>
        <w:tc>
          <w:tcPr>
            <w:tcW w:w="1273" w:type="dxa"/>
            <w:vAlign w:val="center"/>
          </w:tcPr>
          <w:p>
            <w:pPr>
              <w:spacing w:before="120" w:after="120"/>
              <w:jc w:val="center"/>
              <w:rPr>
                <w:noProof/>
              </w:rPr>
            </w:pPr>
            <w:r>
              <w:rPr>
                <w:noProof/>
              </w:rPr>
              <w:t>68 329</w:t>
            </w:r>
          </w:p>
        </w:tc>
      </w:tr>
      <w:tr>
        <w:tc>
          <w:tcPr>
            <w:tcW w:w="1272" w:type="dxa"/>
            <w:vAlign w:val="center"/>
          </w:tcPr>
          <w:p>
            <w:pPr>
              <w:spacing w:before="120" w:after="120"/>
              <w:jc w:val="both"/>
              <w:rPr>
                <w:b/>
                <w:noProof/>
              </w:rPr>
            </w:pPr>
            <w:r>
              <w:rPr>
                <w:b/>
                <w:noProof/>
              </w:rPr>
              <w:t>Italy</w:t>
            </w:r>
          </w:p>
        </w:tc>
        <w:tc>
          <w:tcPr>
            <w:tcW w:w="1272" w:type="dxa"/>
            <w:vAlign w:val="center"/>
          </w:tcPr>
          <w:p>
            <w:pPr>
              <w:spacing w:before="120" w:after="120"/>
              <w:jc w:val="center"/>
              <w:rPr>
                <w:noProof/>
              </w:rPr>
            </w:pPr>
            <w:r>
              <w:rPr>
                <w:noProof/>
              </w:rPr>
              <w:t>839 725</w:t>
            </w:r>
          </w:p>
        </w:tc>
        <w:tc>
          <w:tcPr>
            <w:tcW w:w="1272" w:type="dxa"/>
            <w:vAlign w:val="center"/>
          </w:tcPr>
          <w:p>
            <w:pPr>
              <w:spacing w:before="120" w:after="120"/>
              <w:jc w:val="center"/>
              <w:rPr>
                <w:noProof/>
              </w:rPr>
            </w:pPr>
            <w:r>
              <w:rPr>
                <w:noProof/>
              </w:rPr>
              <w:t>851 760</w:t>
            </w:r>
          </w:p>
        </w:tc>
        <w:tc>
          <w:tcPr>
            <w:tcW w:w="1272" w:type="dxa"/>
            <w:tcBorders>
              <w:right w:val="double" w:sz="12" w:space="0" w:color="auto"/>
            </w:tcBorders>
            <w:vAlign w:val="center"/>
          </w:tcPr>
          <w:p>
            <w:pPr>
              <w:spacing w:before="120" w:after="120"/>
              <w:jc w:val="center"/>
              <w:rPr>
                <w:noProof/>
              </w:rPr>
            </w:pPr>
            <w:r>
              <w:rPr>
                <w:noProof/>
              </w:rPr>
              <w:t>654 024</w:t>
            </w:r>
          </w:p>
        </w:tc>
        <w:tc>
          <w:tcPr>
            <w:tcW w:w="1273" w:type="dxa"/>
            <w:tcBorders>
              <w:left w:val="double" w:sz="12" w:space="0" w:color="auto"/>
            </w:tcBorders>
            <w:vAlign w:val="center"/>
          </w:tcPr>
          <w:p>
            <w:pPr>
              <w:spacing w:before="120" w:after="120"/>
              <w:jc w:val="center"/>
              <w:rPr>
                <w:noProof/>
              </w:rPr>
            </w:pPr>
            <w:r>
              <w:rPr>
                <w:noProof/>
              </w:rPr>
              <w:t>248 215</w:t>
            </w:r>
          </w:p>
        </w:tc>
        <w:tc>
          <w:tcPr>
            <w:tcW w:w="1273" w:type="dxa"/>
            <w:vAlign w:val="center"/>
          </w:tcPr>
          <w:p>
            <w:pPr>
              <w:spacing w:before="120" w:after="120"/>
              <w:jc w:val="center"/>
              <w:rPr>
                <w:noProof/>
              </w:rPr>
            </w:pPr>
            <w:r>
              <w:rPr>
                <w:noProof/>
              </w:rPr>
              <w:t>299 159</w:t>
            </w:r>
          </w:p>
        </w:tc>
        <w:tc>
          <w:tcPr>
            <w:tcW w:w="1273" w:type="dxa"/>
            <w:vAlign w:val="center"/>
          </w:tcPr>
          <w:p>
            <w:pPr>
              <w:spacing w:before="120" w:after="120"/>
              <w:jc w:val="center"/>
              <w:rPr>
                <w:noProof/>
              </w:rPr>
            </w:pPr>
            <w:r>
              <w:rPr>
                <w:noProof/>
              </w:rPr>
              <w:t>274 095</w:t>
            </w:r>
          </w:p>
        </w:tc>
      </w:tr>
      <w:tr>
        <w:tc>
          <w:tcPr>
            <w:tcW w:w="1272" w:type="dxa"/>
            <w:vAlign w:val="center"/>
          </w:tcPr>
          <w:p>
            <w:pPr>
              <w:spacing w:before="120" w:after="120"/>
              <w:jc w:val="both"/>
              <w:rPr>
                <w:b/>
                <w:noProof/>
              </w:rPr>
            </w:pPr>
            <w:r>
              <w:rPr>
                <w:b/>
                <w:noProof/>
              </w:rPr>
              <w:t>Latvia</w:t>
            </w:r>
          </w:p>
        </w:tc>
        <w:tc>
          <w:tcPr>
            <w:tcW w:w="1272" w:type="dxa"/>
            <w:vAlign w:val="center"/>
          </w:tcPr>
          <w:p>
            <w:pPr>
              <w:spacing w:before="120" w:after="120"/>
              <w:jc w:val="center"/>
              <w:rPr>
                <w:noProof/>
              </w:rPr>
            </w:pPr>
            <w:r>
              <w:rPr>
                <w:noProof/>
              </w:rPr>
              <w:t>23 258</w:t>
            </w:r>
          </w:p>
        </w:tc>
        <w:tc>
          <w:tcPr>
            <w:tcW w:w="1272" w:type="dxa"/>
            <w:vAlign w:val="center"/>
          </w:tcPr>
          <w:p>
            <w:pPr>
              <w:spacing w:before="120" w:after="120"/>
              <w:jc w:val="center"/>
              <w:rPr>
                <w:noProof/>
              </w:rPr>
            </w:pPr>
            <w:r>
              <w:rPr>
                <w:noProof/>
              </w:rPr>
              <w:t>22 458</w:t>
            </w:r>
          </w:p>
        </w:tc>
        <w:tc>
          <w:tcPr>
            <w:tcW w:w="1272" w:type="dxa"/>
            <w:tcBorders>
              <w:right w:val="double" w:sz="12" w:space="0" w:color="auto"/>
            </w:tcBorders>
            <w:vAlign w:val="center"/>
          </w:tcPr>
          <w:p>
            <w:pPr>
              <w:spacing w:before="120" w:after="120"/>
              <w:jc w:val="center"/>
              <w:rPr>
                <w:noProof/>
              </w:rPr>
            </w:pPr>
            <w:r>
              <w:rPr>
                <w:noProof/>
              </w:rPr>
              <w:t>22 686</w:t>
            </w:r>
          </w:p>
        </w:tc>
        <w:tc>
          <w:tcPr>
            <w:tcW w:w="1273" w:type="dxa"/>
            <w:tcBorders>
              <w:left w:val="double" w:sz="12" w:space="0" w:color="auto"/>
            </w:tcBorders>
            <w:vAlign w:val="center"/>
          </w:tcPr>
          <w:p>
            <w:pPr>
              <w:spacing w:before="120" w:after="120"/>
              <w:jc w:val="center"/>
              <w:rPr>
                <w:noProof/>
              </w:rPr>
            </w:pPr>
            <w:r>
              <w:rPr>
                <w:noProof/>
              </w:rPr>
              <w:t>8 131</w:t>
            </w:r>
          </w:p>
        </w:tc>
        <w:tc>
          <w:tcPr>
            <w:tcW w:w="1273" w:type="dxa"/>
            <w:vAlign w:val="center"/>
          </w:tcPr>
          <w:p>
            <w:pPr>
              <w:spacing w:before="120" w:after="120"/>
              <w:jc w:val="center"/>
              <w:rPr>
                <w:noProof/>
              </w:rPr>
            </w:pPr>
            <w:r>
              <w:rPr>
                <w:noProof/>
              </w:rPr>
              <w:t>5 307</w:t>
            </w:r>
          </w:p>
        </w:tc>
        <w:tc>
          <w:tcPr>
            <w:tcW w:w="1273" w:type="dxa"/>
            <w:vAlign w:val="center"/>
          </w:tcPr>
          <w:p>
            <w:pPr>
              <w:spacing w:before="120" w:after="120"/>
              <w:jc w:val="center"/>
              <w:rPr>
                <w:noProof/>
              </w:rPr>
            </w:pPr>
            <w:r>
              <w:rPr>
                <w:noProof/>
              </w:rPr>
              <w:t>6 740</w:t>
            </w:r>
          </w:p>
        </w:tc>
      </w:tr>
      <w:tr>
        <w:tc>
          <w:tcPr>
            <w:tcW w:w="1272" w:type="dxa"/>
            <w:vAlign w:val="center"/>
          </w:tcPr>
          <w:p>
            <w:pPr>
              <w:spacing w:before="120" w:after="120"/>
              <w:jc w:val="both"/>
              <w:rPr>
                <w:b/>
                <w:noProof/>
              </w:rPr>
            </w:pPr>
            <w:r>
              <w:rPr>
                <w:b/>
                <w:noProof/>
              </w:rPr>
              <w:t>Lithuania</w:t>
            </w:r>
          </w:p>
        </w:tc>
        <w:tc>
          <w:tcPr>
            <w:tcW w:w="1272" w:type="dxa"/>
            <w:vAlign w:val="center"/>
          </w:tcPr>
          <w:p>
            <w:pPr>
              <w:spacing w:before="120" w:after="120"/>
              <w:jc w:val="center"/>
              <w:rPr>
                <w:noProof/>
              </w:rPr>
            </w:pPr>
            <w:r>
              <w:rPr>
                <w:noProof/>
              </w:rPr>
              <w:t>67 990</w:t>
            </w:r>
          </w:p>
        </w:tc>
        <w:tc>
          <w:tcPr>
            <w:tcW w:w="1272" w:type="dxa"/>
            <w:vAlign w:val="center"/>
          </w:tcPr>
          <w:p>
            <w:pPr>
              <w:spacing w:before="120" w:after="120"/>
              <w:jc w:val="center"/>
              <w:rPr>
                <w:noProof/>
              </w:rPr>
            </w:pPr>
            <w:r>
              <w:rPr>
                <w:noProof/>
              </w:rPr>
              <w:t>65 971</w:t>
            </w:r>
          </w:p>
        </w:tc>
        <w:tc>
          <w:tcPr>
            <w:tcW w:w="1272" w:type="dxa"/>
            <w:tcBorders>
              <w:right w:val="double" w:sz="12" w:space="0" w:color="auto"/>
            </w:tcBorders>
            <w:vAlign w:val="center"/>
          </w:tcPr>
          <w:p>
            <w:pPr>
              <w:spacing w:before="120" w:after="120"/>
              <w:jc w:val="center"/>
              <w:rPr>
                <w:noProof/>
              </w:rPr>
            </w:pPr>
            <w:r>
              <w:rPr>
                <w:noProof/>
              </w:rPr>
              <w:t>no data</w:t>
            </w:r>
          </w:p>
        </w:tc>
        <w:tc>
          <w:tcPr>
            <w:tcW w:w="1273" w:type="dxa"/>
            <w:tcBorders>
              <w:left w:val="double" w:sz="12" w:space="0" w:color="auto"/>
            </w:tcBorders>
            <w:vAlign w:val="center"/>
          </w:tcPr>
          <w:p>
            <w:pPr>
              <w:spacing w:before="120" w:after="120"/>
              <w:jc w:val="center"/>
              <w:rPr>
                <w:noProof/>
              </w:rPr>
            </w:pPr>
            <w:r>
              <w:rPr>
                <w:noProof/>
              </w:rPr>
              <w:t>15 517</w:t>
            </w:r>
          </w:p>
        </w:tc>
        <w:tc>
          <w:tcPr>
            <w:tcW w:w="1273" w:type="dxa"/>
            <w:vAlign w:val="center"/>
          </w:tcPr>
          <w:p>
            <w:pPr>
              <w:spacing w:before="120" w:after="120"/>
              <w:jc w:val="center"/>
              <w:rPr>
                <w:noProof/>
              </w:rPr>
            </w:pPr>
            <w:r>
              <w:rPr>
                <w:noProof/>
              </w:rPr>
              <w:t>15 877</w:t>
            </w:r>
          </w:p>
        </w:tc>
        <w:tc>
          <w:tcPr>
            <w:tcW w:w="1273" w:type="dxa"/>
            <w:vAlign w:val="center"/>
          </w:tcPr>
          <w:p>
            <w:pPr>
              <w:spacing w:before="120" w:after="120"/>
              <w:jc w:val="center"/>
              <w:rPr>
                <w:noProof/>
              </w:rPr>
            </w:pPr>
            <w:r>
              <w:rPr>
                <w:noProof/>
              </w:rPr>
              <w:t>no data</w:t>
            </w:r>
          </w:p>
        </w:tc>
      </w:tr>
      <w:tr>
        <w:tc>
          <w:tcPr>
            <w:tcW w:w="1272" w:type="dxa"/>
            <w:vAlign w:val="center"/>
          </w:tcPr>
          <w:p>
            <w:pPr>
              <w:spacing w:before="120" w:after="120"/>
              <w:jc w:val="both"/>
              <w:rPr>
                <w:b/>
                <w:noProof/>
              </w:rPr>
            </w:pPr>
            <w:r>
              <w:rPr>
                <w:b/>
                <w:noProof/>
              </w:rPr>
              <w:t>Luxembourg</w:t>
            </w:r>
          </w:p>
        </w:tc>
        <w:tc>
          <w:tcPr>
            <w:tcW w:w="1272" w:type="dxa"/>
            <w:vAlign w:val="center"/>
          </w:tcPr>
          <w:p>
            <w:pPr>
              <w:spacing w:before="120" w:after="120"/>
              <w:jc w:val="center"/>
              <w:rPr>
                <w:noProof/>
              </w:rPr>
            </w:pPr>
            <w:r>
              <w:rPr>
                <w:noProof/>
              </w:rPr>
              <w:t>7 434</w:t>
            </w:r>
          </w:p>
        </w:tc>
        <w:tc>
          <w:tcPr>
            <w:tcW w:w="1272" w:type="dxa"/>
            <w:vAlign w:val="center"/>
          </w:tcPr>
          <w:p>
            <w:pPr>
              <w:spacing w:before="120" w:after="120"/>
              <w:jc w:val="center"/>
              <w:rPr>
                <w:noProof/>
              </w:rPr>
            </w:pPr>
            <w:r>
              <w:rPr>
                <w:noProof/>
              </w:rPr>
              <w:t>7 852</w:t>
            </w:r>
          </w:p>
        </w:tc>
        <w:tc>
          <w:tcPr>
            <w:tcW w:w="1272" w:type="dxa"/>
            <w:tcBorders>
              <w:right w:val="double" w:sz="12" w:space="0" w:color="auto"/>
            </w:tcBorders>
            <w:vAlign w:val="center"/>
          </w:tcPr>
          <w:p>
            <w:pPr>
              <w:spacing w:before="120" w:after="120"/>
              <w:jc w:val="center"/>
              <w:rPr>
                <w:noProof/>
              </w:rPr>
            </w:pPr>
            <w:r>
              <w:rPr>
                <w:noProof/>
              </w:rPr>
              <w:t>8 733</w:t>
            </w:r>
          </w:p>
        </w:tc>
        <w:tc>
          <w:tcPr>
            <w:tcW w:w="1273" w:type="dxa"/>
            <w:tcBorders>
              <w:left w:val="double" w:sz="12" w:space="0" w:color="auto"/>
            </w:tcBorders>
            <w:vAlign w:val="center"/>
          </w:tcPr>
          <w:p>
            <w:pPr>
              <w:spacing w:before="120" w:after="120"/>
              <w:jc w:val="center"/>
              <w:rPr>
                <w:noProof/>
              </w:rPr>
            </w:pPr>
            <w:r>
              <w:rPr>
                <w:noProof/>
              </w:rPr>
              <w:t>2 738</w:t>
            </w:r>
          </w:p>
        </w:tc>
        <w:tc>
          <w:tcPr>
            <w:tcW w:w="1273" w:type="dxa"/>
            <w:vAlign w:val="center"/>
          </w:tcPr>
          <w:p>
            <w:pPr>
              <w:spacing w:before="120" w:after="120"/>
              <w:jc w:val="center"/>
              <w:rPr>
                <w:noProof/>
              </w:rPr>
            </w:pPr>
            <w:r>
              <w:rPr>
                <w:noProof/>
              </w:rPr>
              <w:t>3 569</w:t>
            </w:r>
          </w:p>
        </w:tc>
        <w:tc>
          <w:tcPr>
            <w:tcW w:w="1273" w:type="dxa"/>
            <w:vAlign w:val="center"/>
          </w:tcPr>
          <w:p>
            <w:pPr>
              <w:spacing w:before="120" w:after="120"/>
              <w:jc w:val="center"/>
              <w:rPr>
                <w:noProof/>
              </w:rPr>
            </w:pPr>
            <w:r>
              <w:rPr>
                <w:noProof/>
              </w:rPr>
              <w:t>4 292</w:t>
            </w:r>
          </w:p>
        </w:tc>
      </w:tr>
      <w:tr>
        <w:tc>
          <w:tcPr>
            <w:tcW w:w="1272" w:type="dxa"/>
            <w:vAlign w:val="center"/>
          </w:tcPr>
          <w:p>
            <w:pPr>
              <w:spacing w:before="120" w:after="120"/>
              <w:jc w:val="both"/>
              <w:rPr>
                <w:b/>
                <w:noProof/>
              </w:rPr>
            </w:pPr>
            <w:r>
              <w:rPr>
                <w:b/>
                <w:noProof/>
              </w:rPr>
              <w:t>Netherlands</w:t>
            </w:r>
          </w:p>
        </w:tc>
        <w:tc>
          <w:tcPr>
            <w:tcW w:w="1272" w:type="dxa"/>
            <w:vAlign w:val="center"/>
          </w:tcPr>
          <w:p>
            <w:pPr>
              <w:spacing w:before="120" w:after="120"/>
              <w:jc w:val="center"/>
              <w:rPr>
                <w:noProof/>
              </w:rPr>
            </w:pPr>
            <w:r>
              <w:rPr>
                <w:noProof/>
              </w:rPr>
              <w:t>523 744</w:t>
            </w:r>
          </w:p>
        </w:tc>
        <w:tc>
          <w:tcPr>
            <w:tcW w:w="1272" w:type="dxa"/>
            <w:vAlign w:val="center"/>
          </w:tcPr>
          <w:p>
            <w:pPr>
              <w:spacing w:before="120" w:after="120"/>
              <w:jc w:val="center"/>
              <w:rPr>
                <w:noProof/>
              </w:rPr>
            </w:pPr>
            <w:r>
              <w:rPr>
                <w:noProof/>
              </w:rPr>
              <w:t>513 786</w:t>
            </w:r>
          </w:p>
        </w:tc>
        <w:tc>
          <w:tcPr>
            <w:tcW w:w="1272" w:type="dxa"/>
            <w:tcBorders>
              <w:right w:val="double" w:sz="12" w:space="0" w:color="auto"/>
            </w:tcBorders>
            <w:vAlign w:val="center"/>
          </w:tcPr>
          <w:p>
            <w:pPr>
              <w:spacing w:before="120" w:after="120"/>
              <w:jc w:val="center"/>
              <w:rPr>
                <w:noProof/>
              </w:rPr>
            </w:pPr>
            <w:r>
              <w:rPr>
                <w:noProof/>
              </w:rPr>
              <w:t>510 000</w:t>
            </w:r>
          </w:p>
        </w:tc>
        <w:tc>
          <w:tcPr>
            <w:tcW w:w="1273" w:type="dxa"/>
            <w:tcBorders>
              <w:left w:val="double" w:sz="12" w:space="0" w:color="auto"/>
            </w:tcBorders>
            <w:vAlign w:val="center"/>
          </w:tcPr>
          <w:p>
            <w:pPr>
              <w:spacing w:before="120" w:after="120"/>
              <w:jc w:val="center"/>
              <w:rPr>
                <w:noProof/>
              </w:rPr>
            </w:pPr>
            <w:r>
              <w:rPr>
                <w:noProof/>
              </w:rPr>
              <w:t>23 853</w:t>
            </w:r>
          </w:p>
        </w:tc>
        <w:tc>
          <w:tcPr>
            <w:tcW w:w="1273" w:type="dxa"/>
            <w:vAlign w:val="center"/>
          </w:tcPr>
          <w:p>
            <w:pPr>
              <w:spacing w:before="120" w:after="120"/>
              <w:jc w:val="center"/>
              <w:rPr>
                <w:noProof/>
              </w:rPr>
            </w:pPr>
            <w:r>
              <w:rPr>
                <w:noProof/>
              </w:rPr>
              <w:t>20 708</w:t>
            </w:r>
          </w:p>
        </w:tc>
        <w:tc>
          <w:tcPr>
            <w:tcW w:w="1273" w:type="dxa"/>
            <w:vAlign w:val="center"/>
          </w:tcPr>
          <w:p>
            <w:pPr>
              <w:spacing w:before="120" w:after="120"/>
              <w:jc w:val="center"/>
              <w:rPr>
                <w:noProof/>
              </w:rPr>
            </w:pPr>
            <w:r>
              <w:rPr>
                <w:noProof/>
              </w:rPr>
              <w:t>20 000</w:t>
            </w:r>
          </w:p>
        </w:tc>
      </w:tr>
      <w:tr>
        <w:tc>
          <w:tcPr>
            <w:tcW w:w="1272" w:type="dxa"/>
            <w:vAlign w:val="center"/>
          </w:tcPr>
          <w:p>
            <w:pPr>
              <w:spacing w:before="120" w:after="120"/>
              <w:jc w:val="both"/>
              <w:rPr>
                <w:b/>
                <w:noProof/>
              </w:rPr>
            </w:pPr>
            <w:r>
              <w:rPr>
                <w:b/>
                <w:noProof/>
              </w:rPr>
              <w:t>Poland</w:t>
            </w:r>
          </w:p>
        </w:tc>
        <w:tc>
          <w:tcPr>
            <w:tcW w:w="1272" w:type="dxa"/>
            <w:vAlign w:val="center"/>
          </w:tcPr>
          <w:p>
            <w:pPr>
              <w:spacing w:before="120" w:after="120"/>
              <w:jc w:val="center"/>
              <w:rPr>
                <w:noProof/>
              </w:rPr>
            </w:pPr>
            <w:r>
              <w:rPr>
                <w:noProof/>
              </w:rPr>
              <w:t>533 400</w:t>
            </w:r>
          </w:p>
        </w:tc>
        <w:tc>
          <w:tcPr>
            <w:tcW w:w="1272" w:type="dxa"/>
            <w:vAlign w:val="center"/>
          </w:tcPr>
          <w:p>
            <w:pPr>
              <w:spacing w:before="120" w:after="120"/>
              <w:jc w:val="center"/>
              <w:rPr>
                <w:noProof/>
              </w:rPr>
            </w:pPr>
            <w:r>
              <w:rPr>
                <w:noProof/>
              </w:rPr>
              <w:t>567 300</w:t>
            </w:r>
          </w:p>
        </w:tc>
        <w:tc>
          <w:tcPr>
            <w:tcW w:w="1272" w:type="dxa"/>
            <w:tcBorders>
              <w:right w:val="double" w:sz="12" w:space="0" w:color="auto"/>
            </w:tcBorders>
            <w:vAlign w:val="center"/>
          </w:tcPr>
          <w:p>
            <w:pPr>
              <w:spacing w:before="120" w:after="120"/>
              <w:jc w:val="center"/>
              <w:rPr>
                <w:noProof/>
              </w:rPr>
            </w:pPr>
            <w:r>
              <w:rPr>
                <w:noProof/>
              </w:rPr>
              <w:t>562 000</w:t>
            </w:r>
          </w:p>
        </w:tc>
        <w:tc>
          <w:tcPr>
            <w:tcW w:w="1273" w:type="dxa"/>
            <w:tcBorders>
              <w:left w:val="double" w:sz="12" w:space="0" w:color="auto"/>
            </w:tcBorders>
            <w:vAlign w:val="center"/>
          </w:tcPr>
          <w:p>
            <w:pPr>
              <w:spacing w:before="120" w:after="120"/>
              <w:jc w:val="center"/>
              <w:rPr>
                <w:noProof/>
              </w:rPr>
            </w:pPr>
            <w:r>
              <w:rPr>
                <w:noProof/>
              </w:rPr>
              <w:t>98 200</w:t>
            </w:r>
          </w:p>
        </w:tc>
        <w:tc>
          <w:tcPr>
            <w:tcW w:w="1273" w:type="dxa"/>
            <w:vAlign w:val="center"/>
          </w:tcPr>
          <w:p>
            <w:pPr>
              <w:spacing w:before="120" w:after="120"/>
              <w:jc w:val="center"/>
              <w:rPr>
                <w:noProof/>
              </w:rPr>
            </w:pPr>
            <w:r>
              <w:rPr>
                <w:noProof/>
              </w:rPr>
              <w:t>112 000</w:t>
            </w:r>
          </w:p>
        </w:tc>
        <w:tc>
          <w:tcPr>
            <w:tcW w:w="1273" w:type="dxa"/>
            <w:vAlign w:val="center"/>
          </w:tcPr>
          <w:p>
            <w:pPr>
              <w:spacing w:before="120" w:after="120"/>
              <w:jc w:val="center"/>
              <w:rPr>
                <w:noProof/>
              </w:rPr>
            </w:pPr>
            <w:r>
              <w:rPr>
                <w:noProof/>
              </w:rPr>
              <w:t>123 000</w:t>
            </w:r>
          </w:p>
        </w:tc>
      </w:tr>
      <w:tr>
        <w:tc>
          <w:tcPr>
            <w:tcW w:w="1272" w:type="dxa"/>
            <w:vAlign w:val="center"/>
          </w:tcPr>
          <w:p>
            <w:pPr>
              <w:spacing w:before="120" w:after="120"/>
              <w:jc w:val="both"/>
              <w:rPr>
                <w:b/>
                <w:noProof/>
              </w:rPr>
            </w:pPr>
            <w:r>
              <w:rPr>
                <w:b/>
                <w:noProof/>
              </w:rPr>
              <w:t>Portugal ***</w:t>
            </w:r>
          </w:p>
        </w:tc>
        <w:tc>
          <w:tcPr>
            <w:tcW w:w="1272" w:type="dxa"/>
            <w:vAlign w:val="center"/>
          </w:tcPr>
          <w:p>
            <w:pPr>
              <w:spacing w:before="120" w:after="120"/>
              <w:jc w:val="center"/>
              <w:rPr>
                <w:noProof/>
              </w:rPr>
            </w:pPr>
            <w:r>
              <w:rPr>
                <w:noProof/>
              </w:rPr>
              <w:t>162 680</w:t>
            </w:r>
          </w:p>
        </w:tc>
        <w:tc>
          <w:tcPr>
            <w:tcW w:w="1272" w:type="dxa"/>
            <w:vAlign w:val="center"/>
          </w:tcPr>
          <w:p>
            <w:pPr>
              <w:spacing w:before="120" w:after="120"/>
              <w:jc w:val="center"/>
              <w:rPr>
                <w:noProof/>
              </w:rPr>
            </w:pPr>
            <w:r>
              <w:rPr>
                <w:noProof/>
              </w:rPr>
              <w:t>140 013</w:t>
            </w:r>
          </w:p>
        </w:tc>
        <w:tc>
          <w:tcPr>
            <w:tcW w:w="1272" w:type="dxa"/>
            <w:tcBorders>
              <w:right w:val="double" w:sz="12" w:space="0" w:color="auto"/>
            </w:tcBorders>
            <w:vAlign w:val="center"/>
          </w:tcPr>
          <w:p>
            <w:pPr>
              <w:spacing w:before="120" w:after="120"/>
              <w:jc w:val="center"/>
              <w:rPr>
                <w:noProof/>
              </w:rPr>
            </w:pPr>
            <w:r>
              <w:rPr>
                <w:noProof/>
              </w:rPr>
              <w:t>284 776</w:t>
            </w:r>
          </w:p>
        </w:tc>
        <w:tc>
          <w:tcPr>
            <w:tcW w:w="1273" w:type="dxa"/>
            <w:tcBorders>
              <w:left w:val="double" w:sz="12" w:space="0" w:color="auto"/>
            </w:tcBorders>
            <w:vAlign w:val="center"/>
          </w:tcPr>
          <w:p>
            <w:pPr>
              <w:spacing w:before="120" w:after="120"/>
              <w:jc w:val="center"/>
              <w:rPr>
                <w:noProof/>
              </w:rPr>
            </w:pPr>
            <w:r>
              <w:rPr>
                <w:noProof/>
              </w:rPr>
              <w:t>5 646</w:t>
            </w:r>
          </w:p>
        </w:tc>
        <w:tc>
          <w:tcPr>
            <w:tcW w:w="1273" w:type="dxa"/>
            <w:vAlign w:val="center"/>
          </w:tcPr>
          <w:p>
            <w:pPr>
              <w:spacing w:before="120" w:after="120"/>
              <w:jc w:val="center"/>
              <w:rPr>
                <w:noProof/>
              </w:rPr>
            </w:pPr>
            <w:r>
              <w:rPr>
                <w:noProof/>
              </w:rPr>
              <w:t>23 087</w:t>
            </w:r>
          </w:p>
        </w:tc>
        <w:tc>
          <w:tcPr>
            <w:tcW w:w="1273" w:type="dxa"/>
            <w:vAlign w:val="center"/>
          </w:tcPr>
          <w:p>
            <w:pPr>
              <w:spacing w:before="120" w:after="120"/>
              <w:jc w:val="center"/>
              <w:rPr>
                <w:noProof/>
              </w:rPr>
            </w:pPr>
            <w:r>
              <w:rPr>
                <w:noProof/>
              </w:rPr>
              <w:t>29 171</w:t>
            </w:r>
          </w:p>
        </w:tc>
      </w:tr>
      <w:tr>
        <w:tc>
          <w:tcPr>
            <w:tcW w:w="1272" w:type="dxa"/>
            <w:vAlign w:val="center"/>
          </w:tcPr>
          <w:p>
            <w:pPr>
              <w:spacing w:before="120" w:after="120"/>
              <w:jc w:val="both"/>
              <w:rPr>
                <w:b/>
                <w:noProof/>
              </w:rPr>
            </w:pPr>
            <w:r>
              <w:rPr>
                <w:b/>
                <w:noProof/>
              </w:rPr>
              <w:t>Romania ****</w:t>
            </w:r>
          </w:p>
        </w:tc>
        <w:tc>
          <w:tcPr>
            <w:tcW w:w="1272" w:type="dxa"/>
            <w:vAlign w:val="center"/>
          </w:tcPr>
          <w:p>
            <w:pPr>
              <w:spacing w:before="120" w:after="120"/>
              <w:jc w:val="center"/>
              <w:rPr>
                <w:noProof/>
              </w:rPr>
            </w:pPr>
            <w:r>
              <w:rPr>
                <w:noProof/>
              </w:rPr>
              <w:t>138 850</w:t>
            </w:r>
          </w:p>
        </w:tc>
        <w:tc>
          <w:tcPr>
            <w:tcW w:w="1272" w:type="dxa"/>
            <w:vAlign w:val="center"/>
          </w:tcPr>
          <w:p>
            <w:pPr>
              <w:spacing w:before="120" w:after="120"/>
              <w:jc w:val="center"/>
              <w:rPr>
                <w:noProof/>
              </w:rPr>
            </w:pPr>
            <w:r>
              <w:rPr>
                <w:noProof/>
              </w:rPr>
              <w:t>124 500</w:t>
            </w:r>
          </w:p>
        </w:tc>
        <w:tc>
          <w:tcPr>
            <w:tcW w:w="1272" w:type="dxa"/>
            <w:tcBorders>
              <w:right w:val="double" w:sz="12" w:space="0" w:color="auto"/>
            </w:tcBorders>
            <w:vAlign w:val="center"/>
          </w:tcPr>
          <w:p>
            <w:pPr>
              <w:spacing w:before="120" w:after="120"/>
              <w:jc w:val="center"/>
              <w:rPr>
                <w:noProof/>
              </w:rPr>
            </w:pPr>
            <w:r>
              <w:rPr>
                <w:noProof/>
              </w:rPr>
              <w:t>no data</w:t>
            </w:r>
          </w:p>
        </w:tc>
        <w:tc>
          <w:tcPr>
            <w:tcW w:w="1273" w:type="dxa"/>
            <w:tcBorders>
              <w:left w:val="double" w:sz="12" w:space="0" w:color="auto"/>
            </w:tcBorders>
            <w:vAlign w:val="center"/>
          </w:tcPr>
          <w:p>
            <w:pPr>
              <w:spacing w:before="120" w:after="120"/>
              <w:jc w:val="center"/>
              <w:rPr>
                <w:noProof/>
              </w:rPr>
            </w:pPr>
            <w:r>
              <w:rPr>
                <w:noProof/>
              </w:rPr>
              <w:t>0</w:t>
            </w:r>
          </w:p>
        </w:tc>
        <w:tc>
          <w:tcPr>
            <w:tcW w:w="1273" w:type="dxa"/>
            <w:vAlign w:val="center"/>
          </w:tcPr>
          <w:p>
            <w:pPr>
              <w:spacing w:before="120" w:after="120"/>
              <w:jc w:val="center"/>
              <w:rPr>
                <w:noProof/>
              </w:rPr>
            </w:pPr>
            <w:r>
              <w:rPr>
                <w:noProof/>
              </w:rPr>
              <w:t>0</w:t>
            </w:r>
          </w:p>
        </w:tc>
        <w:tc>
          <w:tcPr>
            <w:tcW w:w="1273" w:type="dxa"/>
            <w:vAlign w:val="center"/>
          </w:tcPr>
          <w:p>
            <w:pPr>
              <w:spacing w:before="120" w:after="120"/>
              <w:jc w:val="center"/>
              <w:rPr>
                <w:noProof/>
              </w:rPr>
            </w:pPr>
            <w:r>
              <w:rPr>
                <w:noProof/>
              </w:rPr>
              <w:t>no data</w:t>
            </w:r>
          </w:p>
        </w:tc>
      </w:tr>
      <w:tr>
        <w:tc>
          <w:tcPr>
            <w:tcW w:w="1272" w:type="dxa"/>
            <w:vAlign w:val="center"/>
          </w:tcPr>
          <w:p>
            <w:pPr>
              <w:spacing w:before="120" w:after="120"/>
              <w:jc w:val="both"/>
              <w:rPr>
                <w:b/>
                <w:noProof/>
              </w:rPr>
            </w:pPr>
            <w:r>
              <w:rPr>
                <w:b/>
                <w:noProof/>
              </w:rPr>
              <w:t>Slovakia</w:t>
            </w:r>
          </w:p>
        </w:tc>
        <w:tc>
          <w:tcPr>
            <w:tcW w:w="1272" w:type="dxa"/>
            <w:vAlign w:val="center"/>
          </w:tcPr>
          <w:p>
            <w:pPr>
              <w:spacing w:before="120" w:after="120"/>
              <w:jc w:val="center"/>
              <w:rPr>
                <w:noProof/>
              </w:rPr>
            </w:pPr>
            <w:r>
              <w:rPr>
                <w:noProof/>
              </w:rPr>
              <w:t>54 760</w:t>
            </w:r>
          </w:p>
        </w:tc>
        <w:tc>
          <w:tcPr>
            <w:tcW w:w="1272" w:type="dxa"/>
            <w:vAlign w:val="center"/>
          </w:tcPr>
          <w:p>
            <w:pPr>
              <w:spacing w:before="120" w:after="120"/>
              <w:jc w:val="center"/>
              <w:rPr>
                <w:noProof/>
              </w:rPr>
            </w:pPr>
            <w:r>
              <w:rPr>
                <w:noProof/>
              </w:rPr>
              <w:t>58 720</w:t>
            </w:r>
          </w:p>
        </w:tc>
        <w:tc>
          <w:tcPr>
            <w:tcW w:w="1272" w:type="dxa"/>
            <w:tcBorders>
              <w:right w:val="double" w:sz="12" w:space="0" w:color="auto"/>
            </w:tcBorders>
            <w:vAlign w:val="center"/>
          </w:tcPr>
          <w:p>
            <w:pPr>
              <w:spacing w:before="120" w:after="120"/>
              <w:jc w:val="center"/>
              <w:rPr>
                <w:noProof/>
              </w:rPr>
            </w:pPr>
            <w:r>
              <w:rPr>
                <w:noProof/>
              </w:rPr>
              <w:t>58 706</w:t>
            </w:r>
          </w:p>
        </w:tc>
        <w:tc>
          <w:tcPr>
            <w:tcW w:w="1273" w:type="dxa"/>
            <w:tcBorders>
              <w:left w:val="double" w:sz="12" w:space="0" w:color="auto"/>
            </w:tcBorders>
            <w:vAlign w:val="center"/>
          </w:tcPr>
          <w:p>
            <w:pPr>
              <w:spacing w:before="120" w:after="120"/>
              <w:jc w:val="center"/>
              <w:rPr>
                <w:noProof/>
              </w:rPr>
            </w:pPr>
            <w:r>
              <w:rPr>
                <w:noProof/>
              </w:rPr>
              <w:t>923</w:t>
            </w:r>
          </w:p>
        </w:tc>
        <w:tc>
          <w:tcPr>
            <w:tcW w:w="1273" w:type="dxa"/>
            <w:vAlign w:val="center"/>
          </w:tcPr>
          <w:p>
            <w:pPr>
              <w:spacing w:before="120" w:after="120"/>
              <w:jc w:val="center"/>
              <w:rPr>
                <w:noProof/>
              </w:rPr>
            </w:pPr>
            <w:r>
              <w:rPr>
                <w:noProof/>
              </w:rPr>
              <w:t>462</w:t>
            </w:r>
          </w:p>
        </w:tc>
        <w:tc>
          <w:tcPr>
            <w:tcW w:w="1273" w:type="dxa"/>
            <w:vAlign w:val="center"/>
          </w:tcPr>
          <w:p>
            <w:pPr>
              <w:spacing w:before="120" w:after="120"/>
              <w:jc w:val="center"/>
              <w:rPr>
                <w:noProof/>
              </w:rPr>
            </w:pPr>
            <w:r>
              <w:rPr>
                <w:noProof/>
              </w:rPr>
              <w:t>1 140</w:t>
            </w:r>
          </w:p>
        </w:tc>
      </w:tr>
      <w:tr>
        <w:tc>
          <w:tcPr>
            <w:tcW w:w="1272" w:type="dxa"/>
            <w:vAlign w:val="center"/>
          </w:tcPr>
          <w:p>
            <w:pPr>
              <w:spacing w:before="120" w:after="120"/>
              <w:jc w:val="both"/>
              <w:rPr>
                <w:b/>
                <w:noProof/>
              </w:rPr>
            </w:pPr>
            <w:r>
              <w:rPr>
                <w:b/>
                <w:noProof/>
              </w:rPr>
              <w:t>Slovenia</w:t>
            </w:r>
          </w:p>
        </w:tc>
        <w:tc>
          <w:tcPr>
            <w:tcW w:w="1272" w:type="dxa"/>
            <w:vAlign w:val="center"/>
          </w:tcPr>
          <w:p>
            <w:pPr>
              <w:spacing w:before="120" w:after="120"/>
              <w:jc w:val="center"/>
              <w:rPr>
                <w:noProof/>
              </w:rPr>
            </w:pPr>
            <w:r>
              <w:rPr>
                <w:noProof/>
              </w:rPr>
              <w:t>29 996</w:t>
            </w:r>
          </w:p>
        </w:tc>
        <w:tc>
          <w:tcPr>
            <w:tcW w:w="1272" w:type="dxa"/>
            <w:vAlign w:val="center"/>
          </w:tcPr>
          <w:p>
            <w:pPr>
              <w:spacing w:before="120" w:after="120"/>
              <w:jc w:val="center"/>
              <w:rPr>
                <w:noProof/>
              </w:rPr>
            </w:pPr>
            <w:r>
              <w:rPr>
                <w:noProof/>
              </w:rPr>
              <w:t>26 808</w:t>
            </w:r>
          </w:p>
        </w:tc>
        <w:tc>
          <w:tcPr>
            <w:tcW w:w="1272" w:type="dxa"/>
            <w:tcBorders>
              <w:right w:val="double" w:sz="12" w:space="0" w:color="auto"/>
            </w:tcBorders>
            <w:vAlign w:val="center"/>
          </w:tcPr>
          <w:p>
            <w:pPr>
              <w:spacing w:before="120" w:after="120"/>
              <w:jc w:val="center"/>
              <w:rPr>
                <w:noProof/>
              </w:rPr>
            </w:pPr>
            <w:r>
              <w:rPr>
                <w:noProof/>
              </w:rPr>
              <w:t>26 171</w:t>
            </w:r>
          </w:p>
        </w:tc>
        <w:tc>
          <w:tcPr>
            <w:tcW w:w="1273" w:type="dxa"/>
            <w:tcBorders>
              <w:left w:val="double" w:sz="12" w:space="0" w:color="auto"/>
            </w:tcBorders>
            <w:vAlign w:val="center"/>
          </w:tcPr>
          <w:p>
            <w:pPr>
              <w:spacing w:before="120" w:after="120"/>
              <w:jc w:val="center"/>
              <w:rPr>
                <w:noProof/>
              </w:rPr>
            </w:pPr>
            <w:r>
              <w:rPr>
                <w:noProof/>
              </w:rPr>
              <w:t>3</w:t>
            </w:r>
          </w:p>
        </w:tc>
        <w:tc>
          <w:tcPr>
            <w:tcW w:w="1273" w:type="dxa"/>
            <w:vAlign w:val="center"/>
          </w:tcPr>
          <w:p>
            <w:pPr>
              <w:spacing w:before="120" w:after="120"/>
              <w:jc w:val="center"/>
              <w:rPr>
                <w:noProof/>
              </w:rPr>
            </w:pPr>
            <w:r>
              <w:rPr>
                <w:noProof/>
              </w:rPr>
              <w:t>0</w:t>
            </w:r>
          </w:p>
        </w:tc>
        <w:tc>
          <w:tcPr>
            <w:tcW w:w="1273" w:type="dxa"/>
            <w:vAlign w:val="center"/>
          </w:tcPr>
          <w:p>
            <w:pPr>
              <w:spacing w:before="120" w:after="120"/>
              <w:jc w:val="center"/>
              <w:rPr>
                <w:noProof/>
              </w:rPr>
            </w:pPr>
            <w:r>
              <w:rPr>
                <w:noProof/>
              </w:rPr>
              <w:t>2</w:t>
            </w:r>
          </w:p>
        </w:tc>
      </w:tr>
      <w:tr>
        <w:tc>
          <w:tcPr>
            <w:tcW w:w="1272" w:type="dxa"/>
            <w:vAlign w:val="center"/>
          </w:tcPr>
          <w:p>
            <w:pPr>
              <w:spacing w:before="120" w:after="120"/>
              <w:jc w:val="both"/>
              <w:rPr>
                <w:b/>
                <w:noProof/>
              </w:rPr>
            </w:pPr>
            <w:r>
              <w:rPr>
                <w:b/>
                <w:noProof/>
              </w:rPr>
              <w:t>Spain</w:t>
            </w:r>
          </w:p>
        </w:tc>
        <w:tc>
          <w:tcPr>
            <w:tcW w:w="1272" w:type="dxa"/>
            <w:vAlign w:val="center"/>
          </w:tcPr>
          <w:p>
            <w:pPr>
              <w:spacing w:before="120" w:after="120"/>
              <w:jc w:val="center"/>
              <w:rPr>
                <w:noProof/>
              </w:rPr>
            </w:pPr>
            <w:r>
              <w:rPr>
                <w:noProof/>
              </w:rPr>
              <w:t>1 086 720</w:t>
            </w:r>
          </w:p>
        </w:tc>
        <w:tc>
          <w:tcPr>
            <w:tcW w:w="1272" w:type="dxa"/>
            <w:vAlign w:val="center"/>
          </w:tcPr>
          <w:p>
            <w:pPr>
              <w:spacing w:before="120" w:after="120"/>
              <w:jc w:val="center"/>
              <w:rPr>
                <w:noProof/>
              </w:rPr>
            </w:pPr>
            <w:r>
              <w:rPr>
                <w:noProof/>
              </w:rPr>
              <w:t>1 058 999</w:t>
            </w:r>
          </w:p>
        </w:tc>
        <w:tc>
          <w:tcPr>
            <w:tcW w:w="1272" w:type="dxa"/>
            <w:tcBorders>
              <w:right w:val="double" w:sz="12" w:space="0" w:color="auto"/>
            </w:tcBorders>
            <w:vAlign w:val="center"/>
          </w:tcPr>
          <w:p>
            <w:pPr>
              <w:spacing w:before="120" w:after="120"/>
              <w:jc w:val="center"/>
              <w:rPr>
                <w:noProof/>
              </w:rPr>
            </w:pPr>
            <w:r>
              <w:rPr>
                <w:noProof/>
              </w:rPr>
              <w:t>1 082 669</w:t>
            </w:r>
          </w:p>
        </w:tc>
        <w:tc>
          <w:tcPr>
            <w:tcW w:w="1273" w:type="dxa"/>
            <w:tcBorders>
              <w:left w:val="double" w:sz="12" w:space="0" w:color="auto"/>
            </w:tcBorders>
            <w:vAlign w:val="center"/>
          </w:tcPr>
          <w:p>
            <w:pPr>
              <w:spacing w:before="120" w:after="120"/>
              <w:jc w:val="center"/>
              <w:rPr>
                <w:noProof/>
              </w:rPr>
            </w:pPr>
            <w:r>
              <w:rPr>
                <w:noProof/>
              </w:rPr>
              <w:t>895 791</w:t>
            </w:r>
          </w:p>
        </w:tc>
        <w:tc>
          <w:tcPr>
            <w:tcW w:w="1273" w:type="dxa"/>
            <w:vAlign w:val="center"/>
          </w:tcPr>
          <w:p>
            <w:pPr>
              <w:spacing w:before="120" w:after="120"/>
              <w:jc w:val="center"/>
              <w:rPr>
                <w:noProof/>
              </w:rPr>
            </w:pPr>
            <w:r>
              <w:rPr>
                <w:noProof/>
              </w:rPr>
              <w:t>863 765</w:t>
            </w:r>
          </w:p>
        </w:tc>
        <w:tc>
          <w:tcPr>
            <w:tcW w:w="1273" w:type="dxa"/>
            <w:vAlign w:val="center"/>
          </w:tcPr>
          <w:p>
            <w:pPr>
              <w:spacing w:before="120" w:after="120"/>
              <w:jc w:val="center"/>
              <w:rPr>
                <w:noProof/>
              </w:rPr>
            </w:pPr>
            <w:r>
              <w:rPr>
                <w:noProof/>
              </w:rPr>
              <w:t>870 059</w:t>
            </w:r>
          </w:p>
        </w:tc>
      </w:tr>
      <w:tr>
        <w:tc>
          <w:tcPr>
            <w:tcW w:w="1272" w:type="dxa"/>
            <w:vAlign w:val="center"/>
          </w:tcPr>
          <w:p>
            <w:pPr>
              <w:spacing w:before="120" w:after="120"/>
              <w:jc w:val="both"/>
              <w:rPr>
                <w:b/>
                <w:noProof/>
              </w:rPr>
            </w:pPr>
            <w:r>
              <w:rPr>
                <w:b/>
                <w:noProof/>
              </w:rPr>
              <w:t>Sweden</w:t>
            </w:r>
          </w:p>
        </w:tc>
        <w:tc>
          <w:tcPr>
            <w:tcW w:w="1272" w:type="dxa"/>
            <w:vAlign w:val="center"/>
          </w:tcPr>
          <w:p>
            <w:pPr>
              <w:spacing w:before="120" w:after="120"/>
              <w:jc w:val="center"/>
              <w:rPr>
                <w:noProof/>
              </w:rPr>
            </w:pPr>
            <w:r>
              <w:rPr>
                <w:noProof/>
              </w:rPr>
              <w:t>211 100</w:t>
            </w:r>
          </w:p>
        </w:tc>
        <w:tc>
          <w:tcPr>
            <w:tcW w:w="1272" w:type="dxa"/>
            <w:vAlign w:val="center"/>
          </w:tcPr>
          <w:p>
            <w:pPr>
              <w:spacing w:before="120" w:after="120"/>
              <w:jc w:val="center"/>
              <w:rPr>
                <w:noProof/>
              </w:rPr>
            </w:pPr>
            <w:r>
              <w:rPr>
                <w:noProof/>
              </w:rPr>
              <w:t>214 420</w:t>
            </w:r>
          </w:p>
        </w:tc>
        <w:tc>
          <w:tcPr>
            <w:tcW w:w="1272" w:type="dxa"/>
            <w:tcBorders>
              <w:right w:val="double" w:sz="12" w:space="0" w:color="auto"/>
            </w:tcBorders>
            <w:vAlign w:val="center"/>
          </w:tcPr>
          <w:p>
            <w:pPr>
              <w:spacing w:before="120" w:after="120"/>
              <w:jc w:val="center"/>
              <w:rPr>
                <w:noProof/>
              </w:rPr>
            </w:pPr>
            <w:r>
              <w:rPr>
                <w:noProof/>
              </w:rPr>
              <w:t>207 460</w:t>
            </w:r>
          </w:p>
        </w:tc>
        <w:tc>
          <w:tcPr>
            <w:tcW w:w="1273" w:type="dxa"/>
            <w:tcBorders>
              <w:left w:val="double" w:sz="12" w:space="0" w:color="auto"/>
            </w:tcBorders>
            <w:vAlign w:val="center"/>
          </w:tcPr>
          <w:p>
            <w:pPr>
              <w:spacing w:before="120" w:after="120"/>
              <w:jc w:val="center"/>
              <w:rPr>
                <w:noProof/>
              </w:rPr>
            </w:pPr>
            <w:r>
              <w:rPr>
                <w:noProof/>
              </w:rPr>
              <w:t>49 600</w:t>
            </w:r>
          </w:p>
        </w:tc>
        <w:tc>
          <w:tcPr>
            <w:tcW w:w="1273" w:type="dxa"/>
            <w:vAlign w:val="center"/>
          </w:tcPr>
          <w:p>
            <w:pPr>
              <w:spacing w:before="120" w:after="120"/>
              <w:jc w:val="center"/>
              <w:rPr>
                <w:noProof/>
              </w:rPr>
            </w:pPr>
            <w:r>
              <w:rPr>
                <w:noProof/>
              </w:rPr>
              <w:t>44 170</w:t>
            </w:r>
          </w:p>
        </w:tc>
        <w:tc>
          <w:tcPr>
            <w:tcW w:w="1273" w:type="dxa"/>
            <w:vAlign w:val="center"/>
          </w:tcPr>
          <w:p>
            <w:pPr>
              <w:spacing w:before="120" w:after="120"/>
              <w:jc w:val="center"/>
              <w:rPr>
                <w:noProof/>
              </w:rPr>
            </w:pPr>
            <w:r>
              <w:rPr>
                <w:noProof/>
              </w:rPr>
              <w:t>48 340</w:t>
            </w:r>
          </w:p>
        </w:tc>
      </w:tr>
      <w:tr>
        <w:tc>
          <w:tcPr>
            <w:tcW w:w="1272" w:type="dxa"/>
            <w:vAlign w:val="center"/>
          </w:tcPr>
          <w:p>
            <w:pPr>
              <w:spacing w:before="120" w:after="120"/>
              <w:jc w:val="both"/>
              <w:rPr>
                <w:b/>
                <w:noProof/>
              </w:rPr>
            </w:pPr>
            <w:r>
              <w:rPr>
                <w:b/>
                <w:noProof/>
              </w:rPr>
              <w:t>United Kingdom</w:t>
            </w:r>
          </w:p>
        </w:tc>
        <w:tc>
          <w:tcPr>
            <w:tcW w:w="1272" w:type="dxa"/>
            <w:vAlign w:val="center"/>
          </w:tcPr>
          <w:p>
            <w:pPr>
              <w:spacing w:before="120" w:after="120"/>
              <w:jc w:val="center"/>
              <w:rPr>
                <w:noProof/>
              </w:rPr>
            </w:pPr>
            <w:r>
              <w:rPr>
                <w:noProof/>
              </w:rPr>
              <w:t>1 422 024</w:t>
            </w:r>
          </w:p>
        </w:tc>
        <w:tc>
          <w:tcPr>
            <w:tcW w:w="1272" w:type="dxa"/>
            <w:vAlign w:val="center"/>
          </w:tcPr>
          <w:p>
            <w:pPr>
              <w:spacing w:before="120" w:after="120"/>
              <w:jc w:val="center"/>
              <w:rPr>
                <w:noProof/>
              </w:rPr>
            </w:pPr>
            <w:r>
              <w:rPr>
                <w:noProof/>
              </w:rPr>
              <w:t>1 434 710</w:t>
            </w:r>
          </w:p>
        </w:tc>
        <w:tc>
          <w:tcPr>
            <w:tcW w:w="1272" w:type="dxa"/>
            <w:tcBorders>
              <w:right w:val="double" w:sz="12" w:space="0" w:color="auto"/>
            </w:tcBorders>
            <w:vAlign w:val="center"/>
          </w:tcPr>
          <w:p>
            <w:pPr>
              <w:spacing w:before="120" w:after="120"/>
              <w:jc w:val="center"/>
              <w:rPr>
                <w:noProof/>
              </w:rPr>
            </w:pPr>
            <w:r>
              <w:rPr>
                <w:noProof/>
              </w:rPr>
              <w:t>1 152 327</w:t>
            </w:r>
          </w:p>
        </w:tc>
        <w:tc>
          <w:tcPr>
            <w:tcW w:w="1273" w:type="dxa"/>
            <w:tcBorders>
              <w:left w:val="double" w:sz="12" w:space="0" w:color="auto"/>
            </w:tcBorders>
            <w:vAlign w:val="center"/>
          </w:tcPr>
          <w:p>
            <w:pPr>
              <w:spacing w:before="120" w:after="120"/>
              <w:jc w:val="center"/>
              <w:rPr>
                <w:noProof/>
              </w:rPr>
            </w:pPr>
            <w:r>
              <w:rPr>
                <w:noProof/>
              </w:rPr>
              <w:t>1 067 672</w:t>
            </w:r>
          </w:p>
        </w:tc>
        <w:tc>
          <w:tcPr>
            <w:tcW w:w="1273" w:type="dxa"/>
            <w:vAlign w:val="center"/>
          </w:tcPr>
          <w:p>
            <w:pPr>
              <w:spacing w:before="120" w:after="120"/>
              <w:jc w:val="center"/>
              <w:rPr>
                <w:noProof/>
              </w:rPr>
            </w:pPr>
            <w:r>
              <w:rPr>
                <w:noProof/>
              </w:rPr>
              <w:t>1 074 424</w:t>
            </w:r>
          </w:p>
        </w:tc>
        <w:tc>
          <w:tcPr>
            <w:tcW w:w="1273" w:type="dxa"/>
            <w:vAlign w:val="center"/>
          </w:tcPr>
          <w:p>
            <w:pPr>
              <w:spacing w:before="120" w:after="120"/>
              <w:jc w:val="center"/>
              <w:rPr>
                <w:noProof/>
              </w:rPr>
            </w:pPr>
            <w:r>
              <w:rPr>
                <w:noProof/>
              </w:rPr>
              <w:t>834 202</w:t>
            </w:r>
          </w:p>
        </w:tc>
      </w:tr>
    </w:tbl>
    <w:p>
      <w:pPr>
        <w:spacing w:after="0" w:line="240" w:lineRule="auto"/>
        <w:rPr>
          <w:rFonts w:ascii="Times New Roman" w:eastAsia="Times New Roman" w:hAnsi="Times New Roman" w:cs="Times New Roman"/>
          <w:bCs/>
          <w:noProof/>
          <w:sz w:val="24"/>
          <w:szCs w:val="24"/>
          <w:lang w:eastAsia="en-GB"/>
        </w:rPr>
      </w:pPr>
    </w:p>
    <w:p>
      <w:pPr>
        <w:spacing w:after="0" w:line="240" w:lineRule="auto"/>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 xml:space="preserve">* </w:t>
      </w:r>
      <w:r>
        <w:rPr>
          <w:rFonts w:ascii="Times New Roman" w:eastAsia="Times New Roman" w:hAnsi="Times New Roman" w:cs="Times New Roman"/>
          <w:bCs/>
          <w:noProof/>
          <w:sz w:val="24"/>
          <w:szCs w:val="24"/>
          <w:lang w:eastAsia="en-GB"/>
        </w:rPr>
        <w:tab/>
        <w:t>Data for 2011 do not include data from Lower Austria.</w:t>
      </w:r>
    </w:p>
    <w:p>
      <w:pPr>
        <w:spacing w:after="0" w:line="240" w:lineRule="auto"/>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 xml:space="preserve">** </w:t>
      </w:r>
      <w:r>
        <w:rPr>
          <w:rFonts w:ascii="Times New Roman" w:eastAsia="Times New Roman" w:hAnsi="Times New Roman" w:cs="Times New Roman"/>
          <w:bCs/>
          <w:noProof/>
          <w:sz w:val="24"/>
          <w:szCs w:val="24"/>
          <w:lang w:eastAsia="en-GB"/>
        </w:rPr>
        <w:tab/>
        <w:t>Not final data as the final calculation of 2011 data is ongoing.</w:t>
      </w:r>
    </w:p>
    <w:p>
      <w:pPr>
        <w:spacing w:after="0" w:line="240" w:lineRule="auto"/>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 xml:space="preserve">*** </w:t>
      </w:r>
      <w:r>
        <w:rPr>
          <w:rFonts w:ascii="Times New Roman" w:eastAsia="Times New Roman" w:hAnsi="Times New Roman" w:cs="Times New Roman"/>
          <w:bCs/>
          <w:noProof/>
          <w:sz w:val="24"/>
          <w:szCs w:val="24"/>
          <w:lang w:eastAsia="en-GB"/>
        </w:rPr>
        <w:tab/>
        <w:t>An estimated average value of 20 % dry matter was used.</w:t>
      </w:r>
    </w:p>
    <w:p>
      <w:pPr>
        <w:spacing w:after="0" w:line="240" w:lineRule="auto"/>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 xml:space="preserve">**** </w:t>
      </w:r>
      <w:r>
        <w:rPr>
          <w:rFonts w:ascii="Times New Roman" w:eastAsia="Times New Roman" w:hAnsi="Times New Roman" w:cs="Times New Roman"/>
          <w:bCs/>
          <w:noProof/>
          <w:sz w:val="24"/>
          <w:szCs w:val="24"/>
          <w:lang w:eastAsia="en-GB"/>
        </w:rPr>
        <w:tab/>
        <w:t>Data used for 2007-2009.</w:t>
      </w:r>
    </w:p>
    <w:p>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b/>
          <w:bCs/>
          <w:noProof/>
          <w:sz w:val="24"/>
          <w:szCs w:val="24"/>
          <w:lang w:eastAsia="en-GB"/>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Annex 4: waste</w:t>
      </w:r>
      <w:bookmarkEnd w:id="79"/>
      <w:bookmarkEnd w:id="80"/>
      <w:r>
        <w:rPr>
          <w:rFonts w:ascii="Times New Roman" w:eastAsia="Times New Roman" w:hAnsi="Times New Roman" w:cs="Times New Roman"/>
          <w:b/>
          <w:bCs/>
          <w:smallCaps/>
          <w:noProof/>
          <w:sz w:val="24"/>
          <w:szCs w:val="24"/>
          <w:lang w:eastAsia="en-GB"/>
        </w:rPr>
        <w:t xml:space="preserve"> landfill</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81" w:name="_Ref424203986"/>
      <w:bookmarkStart w:id="82" w:name="_Toc424229932"/>
      <w:bookmarkStart w:id="83" w:name="_Toc425434908"/>
      <w:r>
        <w:rPr>
          <w:rFonts w:ascii="Times New Roman" w:eastAsia="Times New Roman" w:hAnsi="Times New Roman" w:cs="Times New Roman"/>
          <w:b/>
          <w:bCs/>
          <w:noProof/>
          <w:sz w:val="24"/>
          <w:szCs w:val="24"/>
          <w:lang w:eastAsia="en-GB"/>
        </w:rPr>
        <w:t xml:space="preserve">Table </w:t>
      </w:r>
      <w:bookmarkEnd w:id="81"/>
      <w:r>
        <w:rPr>
          <w:rFonts w:ascii="Times New Roman" w:eastAsia="Times New Roman" w:hAnsi="Times New Roman" w:cs="Times New Roman"/>
          <w:b/>
          <w:bCs/>
          <w:noProof/>
          <w:sz w:val="24"/>
          <w:szCs w:val="24"/>
          <w:lang w:eastAsia="en-GB"/>
        </w:rPr>
        <w:t>1: Number of Landfills in 2012</w:t>
      </w:r>
      <w:bookmarkEnd w:id="82"/>
      <w:bookmarkEnd w:id="83"/>
    </w:p>
    <w:p>
      <w:pPr>
        <w:spacing w:before="120" w:after="120" w:line="240" w:lineRule="auto"/>
        <w:rPr>
          <w:rFonts w:ascii="Calibri" w:eastAsia="Times New Roman" w:hAnsi="Calibri" w:cs="Arial"/>
          <w:noProof/>
          <w:sz w:val="24"/>
          <w:szCs w:val="24"/>
          <w:lang w:eastAsia="en-GB"/>
        </w:rPr>
      </w:pPr>
    </w:p>
    <w:tbl>
      <w:tblPr>
        <w:tblW w:w="4426" w:type="pct"/>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Look w:val="04A0" w:firstRow="1" w:lastRow="0" w:firstColumn="1" w:lastColumn="0" w:noHBand="0" w:noVBand="1"/>
      </w:tblPr>
      <w:tblGrid>
        <w:gridCol w:w="1882"/>
        <w:gridCol w:w="1954"/>
        <w:gridCol w:w="1203"/>
        <w:gridCol w:w="1571"/>
        <w:gridCol w:w="1571"/>
      </w:tblGrid>
      <w:tr>
        <w:trPr>
          <w:cantSplit/>
          <w:tblHeader/>
        </w:trPr>
        <w:tc>
          <w:tcPr>
            <w:tcW w:w="1151" w:type="pct"/>
            <w:tcBorders>
              <w:top w:val="single" w:sz="4" w:space="0" w:color="A6A6A6"/>
              <w:left w:val="single" w:sz="4" w:space="0" w:color="A6A6A6"/>
            </w:tcBorders>
            <w:shd w:val="clear" w:color="auto" w:fill="BFBFBF"/>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lang w:eastAsia="en-GB"/>
              </w:rPr>
              <w:t>Member State</w:t>
            </w:r>
          </w:p>
        </w:tc>
        <w:tc>
          <w:tcPr>
            <w:tcW w:w="1194"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lang w:eastAsia="en-GB"/>
              </w:rPr>
            </w:pPr>
            <w:r>
              <w:rPr>
                <w:rFonts w:ascii="Calibri" w:eastAsia="Times New Roman" w:hAnsi="Calibri" w:cs="Arial"/>
                <w:b/>
                <w:noProof/>
                <w:lang w:eastAsia="en-GB"/>
              </w:rPr>
              <w:t xml:space="preserve">hazardous waste </w:t>
            </w:r>
          </w:p>
        </w:tc>
        <w:tc>
          <w:tcPr>
            <w:tcW w:w="735"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lang w:eastAsia="en-GB"/>
              </w:rPr>
            </w:pPr>
            <w:r>
              <w:rPr>
                <w:rFonts w:ascii="Calibri" w:eastAsia="Times New Roman" w:hAnsi="Calibri" w:cs="Arial"/>
                <w:b/>
                <w:noProof/>
                <w:lang w:eastAsia="en-GB"/>
              </w:rPr>
              <w:t xml:space="preserve">Non-hazardous waste </w:t>
            </w:r>
          </w:p>
        </w:tc>
        <w:tc>
          <w:tcPr>
            <w:tcW w:w="960"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lang w:eastAsia="en-GB"/>
              </w:rPr>
            </w:pPr>
            <w:r>
              <w:rPr>
                <w:rFonts w:ascii="Calibri" w:eastAsia="Times New Roman" w:hAnsi="Calibri" w:cs="Arial"/>
                <w:b/>
                <w:noProof/>
                <w:lang w:eastAsia="en-GB"/>
              </w:rPr>
              <w:t>Inert waste</w:t>
            </w:r>
          </w:p>
        </w:tc>
        <w:tc>
          <w:tcPr>
            <w:tcW w:w="960"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lang w:eastAsia="en-GB"/>
              </w:rPr>
            </w:pPr>
            <w:r>
              <w:rPr>
                <w:rFonts w:ascii="Calibri" w:eastAsia="Times New Roman" w:hAnsi="Calibri" w:cs="Arial"/>
                <w:b/>
                <w:noProof/>
                <w:lang w:eastAsia="en-GB"/>
              </w:rPr>
              <w:t>Other waste</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lang w:eastAsia="en-GB"/>
              </w:rPr>
            </w:pPr>
            <w:r>
              <w:rPr>
                <w:rFonts w:ascii="Calibri" w:eastAsia="Times New Roman" w:hAnsi="Calibri" w:cs="Arial"/>
                <w:b/>
                <w:noProof/>
                <w:color w:val="000000"/>
                <w:lang w:eastAsia="en-GB"/>
              </w:rPr>
              <w:t>Austria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0</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156</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35</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505</w:t>
            </w:r>
            <w:r>
              <w:rPr>
                <w:rFonts w:ascii="Times New Roman" w:eastAsia="Times New Roman" w:hAnsi="Times New Roman" w:cs="Times New Roman"/>
                <w:noProof/>
                <w:vertAlign w:val="superscript"/>
                <w:lang w:eastAsia="en-GB"/>
              </w:rPr>
              <w:footnoteReference w:id="12"/>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Belgium</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7</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31</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14</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Bulgaria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8</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174</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Cyprus</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1</w:t>
            </w:r>
            <w:r>
              <w:rPr>
                <w:rFonts w:ascii="Calibri" w:eastAsia="Times New Roman" w:hAnsi="Calibri" w:cs="Arial"/>
                <w:noProof/>
                <w:vertAlign w:val="superscript"/>
                <w:lang w:eastAsia="en-GB"/>
              </w:rPr>
              <w:footnoteReference w:id="13"/>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119</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Czech Republic</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26</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152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62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lang w:eastAsia="en-GB"/>
              </w:rPr>
            </w:pPr>
            <w:r>
              <w:rPr>
                <w:rFonts w:ascii="Calibri" w:eastAsia="Times New Roman" w:hAnsi="Calibri" w:cs="Arial"/>
                <w:b/>
                <w:noProof/>
                <w:color w:val="000000"/>
                <w:lang w:eastAsia="en-GB"/>
              </w:rPr>
              <w:t>Croatia</w:t>
            </w:r>
          </w:p>
        </w:tc>
        <w:tc>
          <w:tcPr>
            <w:tcW w:w="3849" w:type="pct"/>
            <w:gridSpan w:val="4"/>
            <w:shd w:val="clear" w:color="auto" w:fill="auto"/>
            <w:vAlign w:val="center"/>
          </w:tcPr>
          <w:p>
            <w:pPr>
              <w:spacing w:before="120" w:after="12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Not required</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Denmark</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6</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52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6</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Estonia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7</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6</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Finland</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22</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90</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4</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France</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Germany</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76</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2 643</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1 742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11</w:t>
            </w:r>
            <w:r>
              <w:rPr>
                <w:rFonts w:ascii="Times New Roman" w:eastAsia="Times New Roman" w:hAnsi="Times New Roman" w:cs="Times New Roman"/>
                <w:noProof/>
                <w:vertAlign w:val="superscript"/>
                <w:lang w:eastAsia="en-GB"/>
              </w:rPr>
              <w:footnoteReference w:id="14"/>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Greece</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74</w:t>
            </w:r>
          </w:p>
        </w:tc>
        <w:tc>
          <w:tcPr>
            <w:tcW w:w="960" w:type="pct"/>
            <w:shd w:val="clear" w:color="auto" w:fill="auto"/>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w:t>
            </w:r>
            <w:r>
              <w:rPr>
                <w:rFonts w:ascii="Times New Roman" w:eastAsia="Times New Roman" w:hAnsi="Times New Roman" w:cs="Times New Roman"/>
                <w:noProof/>
                <w:vertAlign w:val="superscript"/>
                <w:lang w:eastAsia="en-GB"/>
              </w:rPr>
              <w:footnoteReference w:id="15"/>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Hungary</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13</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72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11</w:t>
            </w:r>
          </w:p>
        </w:tc>
        <w:tc>
          <w:tcPr>
            <w:tcW w:w="960" w:type="pct"/>
            <w:shd w:val="clear" w:color="auto" w:fill="auto"/>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Ireland</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0</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36</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5</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45</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Italy</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Latvia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1</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11</w:t>
            </w:r>
          </w:p>
        </w:tc>
        <w:tc>
          <w:tcPr>
            <w:tcW w:w="960" w:type="pct"/>
            <w:shd w:val="clear" w:color="auto" w:fill="auto"/>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lang w:eastAsia="en-GB"/>
              </w:rPr>
            </w:pPr>
            <w:r>
              <w:rPr>
                <w:rFonts w:ascii="Calibri" w:eastAsia="Times New Roman" w:hAnsi="Calibri" w:cs="Arial"/>
                <w:b/>
                <w:noProof/>
                <w:color w:val="000000"/>
                <w:lang w:eastAsia="en-GB"/>
              </w:rPr>
              <w:t>Lithuania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0</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11</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0</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lang w:eastAsia="en-GB"/>
              </w:rPr>
            </w:pPr>
            <w:r>
              <w:rPr>
                <w:rFonts w:ascii="Calibri" w:eastAsia="Times New Roman" w:hAnsi="Calibri" w:cs="Arial"/>
                <w:b/>
                <w:noProof/>
                <w:color w:val="000000"/>
                <w:lang w:eastAsia="en-GB"/>
              </w:rPr>
              <w:t>Luxembourg</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0</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11</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0</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lang w:eastAsia="en-GB"/>
              </w:rPr>
            </w:pPr>
            <w:r>
              <w:rPr>
                <w:rFonts w:ascii="Calibri" w:eastAsia="Times New Roman" w:hAnsi="Calibri" w:cs="Arial"/>
                <w:b/>
                <w:noProof/>
                <w:color w:val="000000"/>
                <w:lang w:eastAsia="en-GB"/>
              </w:rPr>
              <w:t>Malta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0</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lang w:eastAsia="en-GB"/>
              </w:rPr>
            </w:pPr>
            <w:r>
              <w:rPr>
                <w:rFonts w:ascii="Calibri" w:eastAsia="Times New Roman" w:hAnsi="Calibri" w:cs="Arial"/>
                <w:b/>
                <w:noProof/>
                <w:color w:val="000000"/>
                <w:lang w:eastAsia="en-GB"/>
              </w:rPr>
              <w:t>Netherlands</w:t>
            </w:r>
            <w:r>
              <w:rPr>
                <w:rFonts w:ascii="Calibri" w:eastAsia="Times New Roman" w:hAnsi="Calibri" w:cs="Arial"/>
                <w:b/>
                <w:noProof/>
                <w:color w:val="000000"/>
                <w:vertAlign w:val="superscript"/>
                <w:lang w:eastAsia="en-GB"/>
              </w:rPr>
              <w:footnoteReference w:id="16"/>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22</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22</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22</w:t>
            </w:r>
          </w:p>
        </w:tc>
        <w:tc>
          <w:tcPr>
            <w:tcW w:w="960" w:type="pct"/>
            <w:shd w:val="clear" w:color="auto" w:fill="auto"/>
          </w:tcPr>
          <w:p>
            <w:pPr>
              <w:spacing w:before="120" w:after="120" w:line="240" w:lineRule="auto"/>
              <w:jc w:val="center"/>
              <w:rPr>
                <w:rFonts w:ascii="Calibri" w:eastAsia="Times New Roman" w:hAnsi="Calibri" w:cs="Arial"/>
                <w:noProof/>
                <w:highlight w:val="yellow"/>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Poland</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Portugal</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63</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4</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Romania</w:t>
            </w:r>
            <w:r>
              <w:rPr>
                <w:rFonts w:ascii="Calibri" w:eastAsia="Times New Roman" w:hAnsi="Calibri" w:cs="Arial"/>
                <w:b/>
                <w:noProof/>
                <w:color w:val="000000"/>
                <w:vertAlign w:val="superscript"/>
                <w:lang w:eastAsia="en-GB"/>
              </w:rPr>
              <w:footnoteReference w:id="17"/>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105</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105</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105</w:t>
            </w:r>
          </w:p>
        </w:tc>
        <w:tc>
          <w:tcPr>
            <w:tcW w:w="960" w:type="pct"/>
            <w:shd w:val="clear" w:color="auto" w:fill="auto"/>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Slovakia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11</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90</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17</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Slovenia</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71</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14</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lang w:eastAsia="en-GB"/>
              </w:rPr>
            </w:pPr>
            <w:r>
              <w:rPr>
                <w:rFonts w:ascii="Calibri" w:eastAsia="Times New Roman" w:hAnsi="Calibri" w:cs="Arial"/>
                <w:b/>
                <w:noProof/>
                <w:color w:val="000000"/>
                <w:lang w:eastAsia="en-GB"/>
              </w:rPr>
              <w:t>Spain</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14</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206</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170</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lang w:eastAsia="en-GB"/>
              </w:rPr>
            </w:pPr>
            <w:r>
              <w:rPr>
                <w:rFonts w:ascii="Calibri" w:eastAsia="Times New Roman" w:hAnsi="Calibri" w:cs="Arial"/>
                <w:b/>
                <w:noProof/>
                <w:color w:val="000000"/>
                <w:lang w:eastAsia="en-GB"/>
              </w:rPr>
              <w:t>Sweden</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46</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108</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30</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lang w:eastAsia="en-GB"/>
              </w:rPr>
            </w:pPr>
            <w:r>
              <w:rPr>
                <w:rFonts w:ascii="Calibri" w:eastAsia="Times New Roman" w:hAnsi="Calibri" w:cs="Arial"/>
                <w:b/>
                <w:noProof/>
                <w:color w:val="000000"/>
                <w:lang w:eastAsia="en-GB"/>
              </w:rPr>
              <w:t>United Kingdom</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225</w:t>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423</w:t>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429</w:t>
            </w:r>
          </w:p>
        </w:tc>
        <w:tc>
          <w:tcPr>
            <w:tcW w:w="960" w:type="pct"/>
            <w:shd w:val="clear" w:color="auto" w:fill="auto"/>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lang w:eastAsia="en-GB"/>
              </w:rPr>
            </w:pPr>
            <w:r>
              <w:rPr>
                <w:rFonts w:ascii="Calibri" w:eastAsia="Times New Roman" w:hAnsi="Calibri" w:cs="Arial"/>
                <w:b/>
                <w:noProof/>
                <w:color w:val="000000"/>
                <w:lang w:eastAsia="en-GB"/>
              </w:rPr>
              <w:t>EU27:</w:t>
            </w:r>
          </w:p>
        </w:tc>
        <w:tc>
          <w:tcPr>
            <w:tcW w:w="1194"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355</w:t>
            </w:r>
            <w:r>
              <w:rPr>
                <w:rFonts w:ascii="Calibri" w:eastAsia="Times New Roman" w:hAnsi="Calibri" w:cs="Arial"/>
                <w:noProof/>
                <w:vertAlign w:val="superscript"/>
                <w:lang w:eastAsia="en-GB"/>
              </w:rPr>
              <w:footnoteReference w:id="18"/>
            </w:r>
          </w:p>
        </w:tc>
        <w:tc>
          <w:tcPr>
            <w:tcW w:w="735"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3 719</w:t>
            </w:r>
            <w:r>
              <w:rPr>
                <w:rFonts w:ascii="Times New Roman" w:eastAsia="Times New Roman" w:hAnsi="Times New Roman" w:cs="Times New Roman"/>
                <w:noProof/>
                <w:vertAlign w:val="superscript"/>
                <w:lang w:eastAsia="en-GB"/>
              </w:rPr>
              <w:footnoteReference w:id="19"/>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2 362</w:t>
            </w:r>
            <w:r>
              <w:rPr>
                <w:rFonts w:ascii="Times New Roman" w:eastAsia="Times New Roman" w:hAnsi="Times New Roman" w:cs="Times New Roman"/>
                <w:noProof/>
                <w:vertAlign w:val="superscript"/>
                <w:lang w:eastAsia="en-GB"/>
              </w:rPr>
              <w:footnoteReference w:id="20"/>
            </w:r>
          </w:p>
        </w:tc>
        <w:tc>
          <w:tcPr>
            <w:tcW w:w="960"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Times New Roman" w:eastAsia="Times New Roman" w:hAnsi="Times New Roman" w:cs="Times New Roman"/>
                <w:noProof/>
                <w:lang w:eastAsia="en-GB"/>
              </w:rPr>
              <w:t>564</w:t>
            </w:r>
          </w:p>
        </w:tc>
      </w:tr>
    </w:tbl>
    <w:p>
      <w:pPr>
        <w:spacing w:before="120" w:after="120" w:line="240" w:lineRule="auto"/>
        <w:rPr>
          <w:rFonts w:ascii="Calibri" w:eastAsia="Times New Roman" w:hAnsi="Calibri" w:cs="Arial"/>
          <w:noProof/>
          <w:sz w:val="24"/>
          <w:szCs w:val="24"/>
          <w:lang w:eastAsia="en-GB"/>
        </w:rPr>
      </w:pPr>
    </w:p>
    <w:p>
      <w:pPr>
        <w:spacing w:before="120" w:after="120" w:line="240" w:lineRule="auto"/>
        <w:rPr>
          <w:rFonts w:ascii="Calibri" w:eastAsia="Times New Roman" w:hAnsi="Calibri" w:cs="Arial"/>
          <w:noProof/>
          <w:sz w:val="24"/>
          <w:szCs w:val="24"/>
          <w:lang w:eastAsia="en-GB"/>
        </w:rPr>
      </w:pPr>
      <w:r>
        <w:rPr>
          <w:rFonts w:ascii="Calibri" w:eastAsia="Times New Roman" w:hAnsi="Calibri" w:cs="Arial"/>
          <w:noProof/>
          <w:sz w:val="24"/>
          <w:szCs w:val="24"/>
          <w:lang w:eastAsia="en-GB"/>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84" w:name="_Ref424113270"/>
      <w:bookmarkStart w:id="85" w:name="_Toc416764946"/>
      <w:bookmarkStart w:id="86" w:name="_Toc424229933"/>
      <w:bookmarkStart w:id="87" w:name="_Toc425434909"/>
      <w:r>
        <w:rPr>
          <w:rFonts w:ascii="Times New Roman" w:eastAsia="Times New Roman" w:hAnsi="Times New Roman" w:cs="Times New Roman"/>
          <w:b/>
          <w:bCs/>
          <w:noProof/>
          <w:sz w:val="24"/>
          <w:szCs w:val="24"/>
          <w:lang w:eastAsia="en-GB"/>
        </w:rPr>
        <w:t xml:space="preserve">Table </w:t>
      </w:r>
      <w:bookmarkEnd w:id="84"/>
      <w:r>
        <w:rPr>
          <w:rFonts w:ascii="Times New Roman" w:eastAsia="Times New Roman" w:hAnsi="Times New Roman" w:cs="Times New Roman"/>
          <w:b/>
          <w:bCs/>
          <w:noProof/>
          <w:sz w:val="24"/>
          <w:szCs w:val="24"/>
          <w:lang w:eastAsia="en-GB"/>
        </w:rPr>
        <w:t xml:space="preserve">2: Rest capacity of landfills for non-hazardous </w:t>
      </w:r>
      <w:bookmarkEnd w:id="85"/>
      <w:r>
        <w:rPr>
          <w:rFonts w:ascii="Times New Roman" w:eastAsia="Times New Roman" w:hAnsi="Times New Roman" w:cs="Times New Roman"/>
          <w:b/>
          <w:bCs/>
          <w:noProof/>
          <w:sz w:val="24"/>
          <w:szCs w:val="24"/>
          <w:lang w:eastAsia="en-GB"/>
        </w:rPr>
        <w:t>waste in 2012</w:t>
      </w:r>
      <w:bookmarkEnd w:id="86"/>
      <w:bookmarkEnd w:id="87"/>
      <w:r>
        <w:rPr>
          <w:rFonts w:ascii="Times New Roman" w:eastAsia="Times New Roman" w:hAnsi="Times New Roman" w:cs="Times New Roman"/>
          <w:b/>
          <w:bCs/>
          <w:noProof/>
          <w:sz w:val="24"/>
          <w:szCs w:val="24"/>
          <w:lang w:eastAsia="en-GB"/>
        </w:rPr>
        <w:t xml:space="preserve"> </w:t>
      </w:r>
      <w:r>
        <w:rPr>
          <w:rFonts w:ascii="Times New Roman" w:eastAsia="Times New Roman" w:hAnsi="Times New Roman" w:cs="Times New Roman"/>
          <w:bCs/>
          <w:noProof/>
          <w:sz w:val="24"/>
          <w:szCs w:val="24"/>
          <w:lang w:eastAsia="en-GB"/>
        </w:rPr>
        <w:t>(in 1 000 tonnes or m</w:t>
      </w:r>
      <w:r>
        <w:rPr>
          <w:rFonts w:ascii="Times New Roman" w:eastAsia="Times New Roman" w:hAnsi="Times New Roman" w:cs="Times New Roman"/>
          <w:bCs/>
          <w:noProof/>
          <w:sz w:val="24"/>
          <w:szCs w:val="24"/>
          <w:vertAlign w:val="superscript"/>
          <w:lang w:eastAsia="en-GB"/>
        </w:rPr>
        <w:t>3</w:t>
      </w:r>
      <w:r>
        <w:rPr>
          <w:rFonts w:ascii="Times New Roman" w:eastAsia="Times New Roman" w:hAnsi="Times New Roman" w:cs="Times New Roman"/>
          <w:bCs/>
          <w:noProof/>
          <w:sz w:val="24"/>
          <w:szCs w:val="24"/>
          <w:lang w:eastAsia="en-GB"/>
        </w:rPr>
        <w:t>)</w:t>
      </w:r>
    </w:p>
    <w:tbl>
      <w:tblPr>
        <w:tblW w:w="5000" w:type="pct"/>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Look w:val="04A0" w:firstRow="1" w:lastRow="0" w:firstColumn="1" w:lastColumn="0" w:noHBand="0" w:noVBand="1"/>
      </w:tblPr>
      <w:tblGrid>
        <w:gridCol w:w="1562"/>
        <w:gridCol w:w="1418"/>
        <w:gridCol w:w="1425"/>
        <w:gridCol w:w="1673"/>
        <w:gridCol w:w="1604"/>
        <w:gridCol w:w="1560"/>
      </w:tblGrid>
      <w:tr>
        <w:trPr>
          <w:cantSplit/>
          <w:tblHeader/>
        </w:trPr>
        <w:tc>
          <w:tcPr>
            <w:tcW w:w="845" w:type="pct"/>
            <w:tcBorders>
              <w:top w:val="single" w:sz="4" w:space="0" w:color="A6A6A6"/>
              <w:left w:val="single" w:sz="4" w:space="0" w:color="A6A6A6"/>
            </w:tcBorders>
            <w:shd w:val="clear" w:color="auto" w:fill="BFBFBF"/>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lang w:eastAsia="en-GB"/>
              </w:rPr>
              <w:t>Member State</w:t>
            </w:r>
          </w:p>
        </w:tc>
        <w:tc>
          <w:tcPr>
            <w:tcW w:w="767"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lang w:eastAsia="en-GB"/>
              </w:rPr>
            </w:pPr>
            <w:r>
              <w:rPr>
                <w:rFonts w:ascii="Calibri" w:eastAsia="Times New Roman" w:hAnsi="Calibri" w:cs="Arial"/>
                <w:b/>
                <w:noProof/>
                <w:lang w:eastAsia="en-GB"/>
              </w:rPr>
              <w:t xml:space="preserve">hazardous waste </w:t>
            </w:r>
          </w:p>
        </w:tc>
        <w:tc>
          <w:tcPr>
            <w:tcW w:w="771"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lang w:eastAsia="en-GB"/>
              </w:rPr>
            </w:pPr>
            <w:r>
              <w:rPr>
                <w:rFonts w:ascii="Calibri" w:eastAsia="Times New Roman" w:hAnsi="Calibri" w:cs="Arial"/>
                <w:b/>
                <w:noProof/>
                <w:lang w:eastAsia="en-GB"/>
              </w:rPr>
              <w:t xml:space="preserve">Non-hazardous waste </w:t>
            </w:r>
          </w:p>
        </w:tc>
        <w:tc>
          <w:tcPr>
            <w:tcW w:w="905"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lang w:eastAsia="en-GB"/>
              </w:rPr>
            </w:pPr>
            <w:r>
              <w:rPr>
                <w:rFonts w:ascii="Calibri" w:eastAsia="Times New Roman" w:hAnsi="Calibri" w:cs="Arial"/>
                <w:b/>
                <w:noProof/>
                <w:lang w:eastAsia="en-GB"/>
              </w:rPr>
              <w:t>Inert waste</w:t>
            </w:r>
          </w:p>
        </w:tc>
        <w:tc>
          <w:tcPr>
            <w:tcW w:w="868"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lang w:eastAsia="en-GB"/>
              </w:rPr>
            </w:pPr>
            <w:r>
              <w:rPr>
                <w:rFonts w:ascii="Calibri" w:eastAsia="Times New Roman" w:hAnsi="Calibri" w:cs="Arial"/>
                <w:b/>
                <w:noProof/>
                <w:lang w:eastAsia="en-GB"/>
              </w:rPr>
              <w:t>Other waste</w:t>
            </w:r>
          </w:p>
        </w:tc>
        <w:tc>
          <w:tcPr>
            <w:tcW w:w="844"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Austria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38 900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5 300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Belgium</w:t>
            </w:r>
          </w:p>
        </w:tc>
        <w:tc>
          <w:tcPr>
            <w:tcW w:w="767" w:type="pct"/>
            <w:shd w:val="clear" w:color="auto" w:fill="auto"/>
            <w:vAlign w:val="center"/>
          </w:tcPr>
          <w:p>
            <w:pPr>
              <w:spacing w:before="120" w:after="120" w:line="240" w:lineRule="auto"/>
              <w:jc w:val="center"/>
              <w:rPr>
                <w:rFonts w:ascii="Calibri" w:eastAsia="Times New Roman" w:hAnsi="Calibri" w:cs="Arial"/>
                <w:noProof/>
                <w:lang w:eastAsia="en-GB"/>
              </w:rPr>
            </w:pPr>
            <w:r>
              <w:rPr>
                <w:rFonts w:ascii="Calibri" w:eastAsia="Times New Roman" w:hAnsi="Calibri" w:cs="Arial"/>
                <w:noProof/>
                <w:lang w:eastAsia="en-GB"/>
              </w:rPr>
              <w:t>3 354 t +</w:t>
            </w:r>
          </w:p>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607 460 m</w:t>
            </w:r>
            <w:r>
              <w:rPr>
                <w:rFonts w:ascii="Calibri" w:eastAsia="Times New Roman" w:hAnsi="Calibri" w:cs="Arial"/>
                <w:noProof/>
                <w:vertAlign w:val="superscript"/>
                <w:lang w:eastAsia="en-GB"/>
              </w:rPr>
              <w:t>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8 763 t +</w:t>
            </w:r>
          </w:p>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16 385 m</w:t>
            </w:r>
            <w:r>
              <w:rPr>
                <w:rFonts w:ascii="Times New Roman" w:eastAsia="Times New Roman" w:hAnsi="Times New Roman" w:cs="Times New Roman"/>
                <w:noProof/>
                <w:vertAlign w:val="superscript"/>
                <w:lang w:eastAsia="en-GB"/>
              </w:rPr>
              <w:t>3</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3 992</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2 076.52</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vertAlign w:val="superscript"/>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Bulgaria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3 693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235 258</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1 439</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Cyprus</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Czech Republic</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8 821</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33 584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9 830</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lang w:eastAsia="en-GB"/>
              </w:rPr>
            </w:pPr>
            <w:r>
              <w:rPr>
                <w:rFonts w:ascii="Times New Roman" w:eastAsia="Times New Roman" w:hAnsi="Times New Roman" w:cs="Times New Roman"/>
                <w:b/>
                <w:noProof/>
                <w:color w:val="000000"/>
                <w:lang w:eastAsia="en-GB"/>
              </w:rPr>
              <w:t>Croatia</w:t>
            </w:r>
          </w:p>
        </w:tc>
        <w:tc>
          <w:tcPr>
            <w:tcW w:w="3311" w:type="pct"/>
            <w:gridSpan w:val="4"/>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Not required</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Denmark</w:t>
            </w:r>
            <w:r>
              <w:rPr>
                <w:rFonts w:ascii="Times New Roman" w:eastAsia="Times New Roman" w:hAnsi="Times New Roman" w:cs="Times New Roman"/>
                <w:b/>
                <w:noProof/>
                <w:color w:val="000000"/>
                <w:vertAlign w:val="superscript"/>
                <w:lang w:eastAsia="en-GB"/>
              </w:rPr>
              <w:footnoteReference w:id="21"/>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463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692</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260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Estonia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205 500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6 200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Finland</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18 061</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48 667</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496</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France</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Germany</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54 800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455 200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184 100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7 600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Greece</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1.5</w:t>
            </w:r>
            <w:r>
              <w:rPr>
                <w:rFonts w:ascii="Calibri" w:eastAsia="Times New Roman" w:hAnsi="Calibri" w:cs="Arial"/>
                <w:noProof/>
                <w:vertAlign w:val="superscript"/>
                <w:lang w:eastAsia="en-GB"/>
              </w:rPr>
              <w:footnoteReference w:id="22"/>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Hungary</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185 per year</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38 900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16 800</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Ireland</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14 500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Italy</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Latvia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180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16 211</w:t>
            </w:r>
          </w:p>
        </w:tc>
        <w:tc>
          <w:tcPr>
            <w:tcW w:w="905"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Lithuania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1 250 per year</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106 per year</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Luxembourg</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1 160 127 m</w:t>
            </w:r>
            <w:r>
              <w:rPr>
                <w:rFonts w:ascii="Times New Roman" w:eastAsia="Times New Roman" w:hAnsi="Times New Roman" w:cs="Times New Roman"/>
                <w:noProof/>
                <w:vertAlign w:val="superscript"/>
                <w:lang w:eastAsia="en-GB"/>
              </w:rPr>
              <w:t>3</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14 593 544 m</w:t>
            </w:r>
            <w:r>
              <w:rPr>
                <w:rFonts w:ascii="Times New Roman" w:eastAsia="Times New Roman" w:hAnsi="Times New Roman" w:cs="Times New Roman"/>
                <w:noProof/>
                <w:vertAlign w:val="superscript"/>
                <w:lang w:eastAsia="en-GB"/>
              </w:rPr>
              <w:t>3</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vertAlign w:val="superscript"/>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Malta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Netherlands</w:t>
            </w:r>
            <w:r>
              <w:rPr>
                <w:rFonts w:ascii="Times New Roman" w:eastAsia="Times New Roman" w:hAnsi="Times New Roman" w:cs="Times New Roman"/>
                <w:b/>
                <w:noProof/>
                <w:color w:val="000000"/>
                <w:vertAlign w:val="superscript"/>
                <w:lang w:eastAsia="en-GB"/>
              </w:rPr>
              <w:footnoteReference w:id="23"/>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771"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39 690 m</w:t>
            </w:r>
            <w:r>
              <w:rPr>
                <w:rFonts w:ascii="Calibri" w:eastAsia="Times New Roman" w:hAnsi="Calibri" w:cs="Arial"/>
                <w:noProof/>
                <w:vertAlign w:val="superscript"/>
                <w:lang w:eastAsia="en-GB"/>
              </w:rPr>
              <w:t>3</w:t>
            </w:r>
          </w:p>
        </w:tc>
        <w:tc>
          <w:tcPr>
            <w:tcW w:w="905"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Poland</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Portugal</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1 670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28 275</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653</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Romania</w:t>
            </w:r>
            <w:r>
              <w:rPr>
                <w:rFonts w:ascii="Times New Roman" w:eastAsia="Times New Roman" w:hAnsi="Times New Roman" w:cs="Times New Roman"/>
                <w:b/>
                <w:noProof/>
                <w:color w:val="000000"/>
                <w:vertAlign w:val="superscript"/>
                <w:lang w:eastAsia="en-GB"/>
              </w:rPr>
              <w:footnoteReference w:id="24"/>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sz w:val="20"/>
                <w:lang w:eastAsia="en-GB"/>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Slovakia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813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8 964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Slovenia</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75</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6 464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609</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lang w:eastAsia="en-GB"/>
              </w:rPr>
            </w:pPr>
            <w:r>
              <w:rPr>
                <w:rFonts w:ascii="Times New Roman" w:eastAsia="Times New Roman" w:hAnsi="Times New Roman" w:cs="Times New Roman"/>
                <w:b/>
                <w:noProof/>
                <w:color w:val="000000"/>
                <w:lang w:eastAsia="en-GB"/>
              </w:rPr>
              <w:t>Spain</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5 130 t +</w:t>
            </w:r>
            <w:r>
              <w:rPr>
                <w:rFonts w:ascii="Calibri" w:eastAsia="Times New Roman" w:hAnsi="Calibri" w:cs="Arial"/>
                <w:noProof/>
                <w:lang w:eastAsia="en-GB"/>
              </w:rPr>
              <w:br/>
              <w:t>80 000 m</w:t>
            </w:r>
            <w:r>
              <w:rPr>
                <w:rFonts w:ascii="Calibri" w:eastAsia="Times New Roman" w:hAnsi="Calibri" w:cs="Arial"/>
                <w:noProof/>
                <w:vertAlign w:val="superscript"/>
                <w:lang w:eastAsia="en-GB"/>
              </w:rPr>
              <w:t>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124 168 t + 53 307 000 m</w:t>
            </w:r>
            <w:r>
              <w:rPr>
                <w:rFonts w:ascii="Times New Roman" w:eastAsia="Times New Roman" w:hAnsi="Times New Roman" w:cs="Times New Roman"/>
                <w:noProof/>
                <w:vertAlign w:val="superscript"/>
                <w:lang w:eastAsia="en-GB"/>
              </w:rPr>
              <w:t>3</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102 254</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lang w:eastAsia="en-GB"/>
              </w:rPr>
            </w:pPr>
            <w:r>
              <w:rPr>
                <w:rFonts w:ascii="Times New Roman" w:eastAsia="Times New Roman" w:hAnsi="Times New Roman" w:cs="Times New Roman"/>
                <w:b/>
                <w:noProof/>
                <w:color w:val="000000"/>
                <w:lang w:eastAsia="en-GB"/>
              </w:rPr>
              <w:t>Sweden</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7 050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34 726</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637</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lang w:eastAsia="en-GB"/>
              </w:rPr>
            </w:pPr>
            <w:r>
              <w:rPr>
                <w:rFonts w:ascii="Times New Roman" w:eastAsia="Times New Roman" w:hAnsi="Times New Roman" w:cs="Times New Roman"/>
                <w:b/>
                <w:noProof/>
                <w:color w:val="000000"/>
                <w:lang w:eastAsia="en-GB"/>
              </w:rPr>
              <w:t>United Kingdom</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18 545</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485 174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130 024</w:t>
            </w:r>
          </w:p>
        </w:tc>
        <w:tc>
          <w:tcPr>
            <w:tcW w:w="868" w:type="pct"/>
            <w:shd w:val="clear" w:color="auto" w:fill="auto"/>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lang w:eastAsia="en-GB"/>
              </w:rPr>
            </w:pPr>
            <w:r>
              <w:rPr>
                <w:rFonts w:ascii="Times New Roman" w:eastAsia="Times New Roman" w:hAnsi="Times New Roman" w:cs="Times New Roman"/>
                <w:b/>
                <w:noProof/>
                <w:color w:val="000000"/>
                <w:lang w:eastAsia="en-GB"/>
              </w:rPr>
              <w:t>EU-27</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Calibri" w:eastAsia="Times New Roman" w:hAnsi="Calibri" w:cs="Arial"/>
                <w:noProof/>
                <w:lang w:eastAsia="en-GB"/>
              </w:rPr>
              <w:t>551 120</w:t>
            </w:r>
            <w:r>
              <w:rPr>
                <w:rFonts w:ascii="Calibri" w:eastAsia="Times New Roman" w:hAnsi="Calibri" w:cs="Arial"/>
                <w:noProof/>
                <w:vertAlign w:val="superscript"/>
                <w:lang w:eastAsia="en-GB"/>
              </w:rPr>
              <w:footnoteReference w:id="25"/>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2 288 590</w:t>
            </w:r>
            <w:r>
              <w:rPr>
                <w:rFonts w:ascii="Times New Roman" w:eastAsia="Times New Roman" w:hAnsi="Times New Roman" w:cs="Times New Roman"/>
                <w:noProof/>
                <w:vertAlign w:val="superscript"/>
                <w:lang w:eastAsia="en-GB"/>
              </w:rPr>
              <w:footnoteReference w:id="26"/>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978 550</w:t>
            </w:r>
            <w:r>
              <w:rPr>
                <w:rFonts w:ascii="Times New Roman" w:eastAsia="Times New Roman" w:hAnsi="Times New Roman" w:cs="Times New Roman"/>
                <w:noProof/>
                <w:vertAlign w:val="superscript"/>
                <w:lang w:eastAsia="en-GB"/>
              </w:rPr>
              <w:footnoteReference w:id="27"/>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lang w:eastAsia="en-GB"/>
              </w:rPr>
            </w:pPr>
          </w:p>
        </w:tc>
      </w:tr>
    </w:tbl>
    <w:p>
      <w:pPr>
        <w:spacing w:before="120" w:after="120" w:line="240" w:lineRule="auto"/>
        <w:jc w:val="both"/>
        <w:rPr>
          <w:rFonts w:ascii="Times New Roman" w:eastAsia="Times New Roman" w:hAnsi="Times New Roman" w:cs="Times New Roman"/>
          <w:b/>
          <w:i/>
          <w:noProof/>
          <w:sz w:val="20"/>
          <w:szCs w:val="20"/>
          <w:lang w:val="fr-BE" w:eastAsia="en-GB"/>
        </w:rPr>
      </w:pPr>
    </w:p>
    <w:p>
      <w:pPr>
        <w:spacing w:before="120" w:after="120" w:line="240" w:lineRule="auto"/>
        <w:jc w:val="both"/>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Implementation Questionnaires 2010-2012 and EUROSTAT 2015.</w:t>
      </w:r>
      <w:r>
        <w:rPr>
          <w:rFonts w:ascii="Times New Roman" w:eastAsia="Times New Roman" w:hAnsi="Times New Roman" w:cs="Times New Roman"/>
          <w:i/>
          <w:noProof/>
          <w:sz w:val="20"/>
          <w:szCs w:val="24"/>
          <w:vertAlign w:val="superscript"/>
          <w:lang w:eastAsia="en-GB"/>
        </w:rPr>
        <w:footnoteReference w:id="28"/>
      </w:r>
    </w:p>
    <w:p>
      <w:pPr>
        <w:spacing w:after="0" w:line="240" w:lineRule="auto"/>
        <w:rPr>
          <w:rFonts w:ascii="Times New Roman" w:eastAsia="Times New Roman" w:hAnsi="Times New Roman" w:cs="Times New Roman"/>
          <w:noProof/>
          <w:sz w:val="20"/>
          <w:szCs w:val="20"/>
          <w:lang w:val="fr-BE" w:eastAsia="en-GB"/>
        </w:rPr>
      </w:pPr>
    </w:p>
    <w:p>
      <w:pPr>
        <w:spacing w:after="0" w:line="240" w:lineRule="auto"/>
        <w:rPr>
          <w:rFonts w:ascii="Times New Roman" w:eastAsia="Times New Roman" w:hAnsi="Times New Roman" w:cs="Times New Roman"/>
          <w:b/>
          <w:bCs/>
          <w:noProof/>
          <w:sz w:val="24"/>
          <w:szCs w:val="24"/>
          <w:lang w:val="fr-BE" w:eastAsia="en-GB"/>
        </w:rPr>
      </w:pPr>
      <w:r>
        <w:rPr>
          <w:rFonts w:ascii="Times New Roman" w:eastAsia="Times New Roman" w:hAnsi="Times New Roman" w:cs="Times New Roman"/>
          <w:b/>
          <w:bCs/>
          <w:noProof/>
          <w:sz w:val="24"/>
          <w:szCs w:val="24"/>
          <w:lang w:val="fr-BE" w:eastAsia="en-GB"/>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lang w:eastAsia="en-GB"/>
        </w:rPr>
      </w:pPr>
      <w:bookmarkStart w:id="88" w:name="_Toc442198313"/>
      <w:bookmarkStart w:id="89" w:name="_Toc447205590"/>
      <w:r>
        <w:rPr>
          <w:rFonts w:ascii="Times New Roman" w:eastAsia="Times New Roman" w:hAnsi="Times New Roman" w:cs="Times New Roman"/>
          <w:b/>
          <w:bCs/>
          <w:smallCaps/>
          <w:noProof/>
          <w:sz w:val="24"/>
          <w:szCs w:val="24"/>
          <w:lang w:eastAsia="en-GB"/>
        </w:rPr>
        <w:t>ANNEX 5:</w:t>
      </w:r>
      <w:bookmarkStart w:id="90" w:name="_Toc425752536"/>
      <w:bookmarkStart w:id="91" w:name="_Toc442187911"/>
      <w:bookmarkStart w:id="92" w:name="_Toc442187932"/>
      <w:bookmarkEnd w:id="76"/>
      <w:r>
        <w:rPr>
          <w:rFonts w:ascii="Times New Roman" w:eastAsia="Times New Roman" w:hAnsi="Times New Roman" w:cs="Times New Roman"/>
          <w:b/>
          <w:bCs/>
          <w:smallCaps/>
          <w:noProof/>
          <w:sz w:val="24"/>
          <w:szCs w:val="24"/>
          <w:lang w:eastAsia="en-GB"/>
        </w:rPr>
        <w:t xml:space="preserve"> packaging and packaging waste</w:t>
      </w:r>
      <w:bookmarkEnd w:id="88"/>
      <w:bookmarkEnd w:id="89"/>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93" w:name="_Toc425752538"/>
      <w:bookmarkStart w:id="94" w:name="_Toc442187913"/>
      <w:bookmarkStart w:id="95" w:name="_Toc442187934"/>
      <w:bookmarkStart w:id="96" w:name="_Toc442198314"/>
      <w:bookmarkStart w:id="97" w:name="_Toc447205591"/>
      <w:r>
        <w:rPr>
          <w:rFonts w:ascii="Times New Roman" w:eastAsia="Times New Roman" w:hAnsi="Times New Roman" w:cs="Times New Roman"/>
          <w:b/>
          <w:bCs/>
          <w:noProof/>
          <w:sz w:val="24"/>
          <w:szCs w:val="24"/>
          <w:lang w:eastAsia="en-GB"/>
        </w:rPr>
        <w:t xml:space="preserve">Packaging and packaging waste generated </w:t>
      </w:r>
      <w:bookmarkEnd w:id="93"/>
      <w:bookmarkEnd w:id="94"/>
      <w:bookmarkEnd w:id="95"/>
      <w:r>
        <w:rPr>
          <w:rFonts w:ascii="Times New Roman" w:eastAsia="Times New Roman" w:hAnsi="Times New Roman" w:cs="Times New Roman"/>
          <w:b/>
          <w:bCs/>
          <w:noProof/>
          <w:sz w:val="24"/>
          <w:szCs w:val="24"/>
          <w:lang w:eastAsia="en-GB"/>
        </w:rPr>
        <w:t>by Member State</w:t>
      </w:r>
      <w:bookmarkEnd w:id="96"/>
      <w:r>
        <w:rPr>
          <w:rFonts w:ascii="Times New Roman" w:eastAsia="Times New Roman" w:hAnsi="Times New Roman" w:cs="Times New Roman"/>
          <w:b/>
          <w:bCs/>
          <w:noProof/>
          <w:sz w:val="24"/>
          <w:szCs w:val="24"/>
          <w:lang w:eastAsia="en-GB"/>
        </w:rPr>
        <w:t xml:space="preserve"> (tonnes)</w:t>
      </w:r>
      <w:bookmarkEnd w:id="97"/>
    </w:p>
    <w:p>
      <w:pPr>
        <w:spacing w:after="120" w:line="240" w:lineRule="auto"/>
        <w:ind w:left="-426"/>
        <w:rPr>
          <w:rFonts w:ascii="Times New Roman" w:eastAsia="Times New Roman" w:hAnsi="Times New Roman" w:cs="Times New Roman"/>
          <w:noProof/>
          <w:sz w:val="24"/>
          <w:szCs w:val="24"/>
          <w:lang w:val="fr-BE" w:eastAsia="en-GB"/>
        </w:rPr>
      </w:pPr>
      <w:r>
        <w:rPr>
          <w:noProof/>
          <w:lang w:val="en-US"/>
        </w:rPr>
        <w:drawing>
          <wp:inline distT="0" distB="0" distL="0" distR="0">
            <wp:extent cx="6248400" cy="4191000"/>
            <wp:effectExtent l="0" t="0" r="0" b="0"/>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after="120" w:line="240" w:lineRule="auto"/>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EUROSTAT (online code: t_</w:t>
      </w:r>
      <w:bookmarkStart w:id="98" w:name="_Toc442198315"/>
      <w:bookmarkStart w:id="99" w:name="_Toc447205593"/>
      <w:r>
        <w:rPr>
          <w:rFonts w:ascii="Times New Roman" w:eastAsia="Times New Roman" w:hAnsi="Times New Roman" w:cs="Times New Roman"/>
          <w:i/>
          <w:noProof/>
          <w:sz w:val="20"/>
          <w:szCs w:val="24"/>
          <w:lang w:val="fr-BE" w:eastAsia="en-GB"/>
        </w:rPr>
        <w:t>env_wasst)</w:t>
      </w:r>
    </w:p>
    <w:p>
      <w:pPr>
        <w:rPr>
          <w:rFonts w:ascii="Times New Roman" w:eastAsia="Times New Roman" w:hAnsi="Times New Roman" w:cs="Times New Roman"/>
          <w:b/>
          <w:bCs/>
          <w:noProof/>
          <w:sz w:val="24"/>
          <w:szCs w:val="24"/>
          <w:lang w:val="fr-BE" w:eastAsia="en-GB"/>
        </w:rPr>
      </w:pPr>
      <w:r>
        <w:rPr>
          <w:rFonts w:ascii="Times New Roman" w:eastAsia="Times New Roman" w:hAnsi="Times New Roman" w:cs="Times New Roman"/>
          <w:b/>
          <w:bCs/>
          <w:noProof/>
          <w:sz w:val="24"/>
          <w:szCs w:val="24"/>
          <w:lang w:val="fr-BE" w:eastAsia="en-GB"/>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100" w:name="_Toc425752537"/>
      <w:bookmarkStart w:id="101" w:name="_Toc442187912"/>
      <w:bookmarkStart w:id="102" w:name="_Toc442187933"/>
      <w:bookmarkStart w:id="103" w:name="_Toc442198316"/>
      <w:bookmarkStart w:id="104" w:name="_Toc447205594"/>
      <w:bookmarkEnd w:id="90"/>
      <w:bookmarkEnd w:id="91"/>
      <w:bookmarkEnd w:id="92"/>
      <w:bookmarkEnd w:id="98"/>
      <w:bookmarkEnd w:id="99"/>
      <w:r>
        <w:rPr>
          <w:rFonts w:ascii="Times New Roman" w:eastAsia="Times New Roman" w:hAnsi="Times New Roman" w:cs="Times New Roman"/>
          <w:b/>
          <w:bCs/>
          <w:noProof/>
          <w:sz w:val="24"/>
          <w:szCs w:val="24"/>
          <w:lang w:eastAsia="en-GB"/>
        </w:rPr>
        <w:t xml:space="preserve">Recovery of packaging waste by </w:t>
      </w:r>
      <w:bookmarkEnd w:id="100"/>
      <w:bookmarkEnd w:id="101"/>
      <w:bookmarkEnd w:id="102"/>
      <w:r>
        <w:rPr>
          <w:rFonts w:ascii="Times New Roman" w:eastAsia="Times New Roman" w:hAnsi="Times New Roman" w:cs="Times New Roman"/>
          <w:b/>
          <w:bCs/>
          <w:noProof/>
          <w:sz w:val="24"/>
          <w:szCs w:val="24"/>
          <w:lang w:eastAsia="en-GB"/>
        </w:rPr>
        <w:t>Member State</w:t>
      </w:r>
      <w:bookmarkEnd w:id="103"/>
      <w:r>
        <w:rPr>
          <w:rFonts w:ascii="Times New Roman" w:eastAsia="Times New Roman" w:hAnsi="Times New Roman" w:cs="Times New Roman"/>
          <w:b/>
          <w:bCs/>
          <w:noProof/>
          <w:sz w:val="24"/>
          <w:szCs w:val="24"/>
          <w:lang w:eastAsia="en-GB"/>
        </w:rPr>
        <w:t xml:space="preserve"> (%)</w:t>
      </w:r>
      <w:bookmarkEnd w:id="104"/>
    </w:p>
    <w:p>
      <w:pPr>
        <w:spacing w:after="120" w:line="240" w:lineRule="auto"/>
        <w:rPr>
          <w:rFonts w:ascii="Times New Roman" w:eastAsia="Times New Roman" w:hAnsi="Times New Roman" w:cs="Times New Roman"/>
          <w:i/>
          <w:noProof/>
          <w:sz w:val="20"/>
          <w:szCs w:val="24"/>
          <w:lang w:val="fr-BE" w:eastAsia="en-GB"/>
        </w:rPr>
      </w:pPr>
      <w:r>
        <w:rPr>
          <w:noProof/>
          <w:lang w:val="en-US"/>
        </w:rPr>
        <w:drawing>
          <wp:inline distT="0" distB="0" distL="0" distR="0">
            <wp:extent cx="5731510" cy="3469008"/>
            <wp:effectExtent l="0" t="0" r="2159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pacing w:after="120" w:line="240" w:lineRule="auto"/>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EUROSTAT (online code: t_env_wasst)</w:t>
      </w:r>
      <w:bookmarkStart w:id="105" w:name="_Ref411266237"/>
    </w:p>
    <w:p>
      <w:pPr>
        <w:spacing w:after="120" w:line="240" w:lineRule="auto"/>
        <w:rPr>
          <w:rFonts w:ascii="Times New Roman" w:eastAsia="Times New Roman" w:hAnsi="Times New Roman" w:cs="Times New Roman"/>
          <w:i/>
          <w:noProof/>
          <w:sz w:val="20"/>
          <w:szCs w:val="24"/>
          <w:lang w:val="fr-BE" w:eastAsia="en-GB"/>
        </w:rPr>
      </w:pPr>
    </w:p>
    <w:p>
      <w:pPr>
        <w:keepNext/>
        <w:spacing w:before="600" w:after="240" w:line="240" w:lineRule="auto"/>
        <w:ind w:right="-1749"/>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Recycling of packaging waste by Member State (%)</w:t>
      </w:r>
    </w:p>
    <w:p>
      <w:pPr>
        <w:spacing w:after="120" w:line="240" w:lineRule="auto"/>
        <w:rPr>
          <w:rFonts w:ascii="Times New Roman" w:eastAsia="Times New Roman" w:hAnsi="Times New Roman" w:cs="Times New Roman"/>
          <w:i/>
          <w:noProof/>
          <w:sz w:val="20"/>
          <w:szCs w:val="24"/>
          <w:lang w:val="fr-BE" w:eastAsia="en-GB"/>
        </w:rPr>
      </w:pPr>
      <w:r>
        <w:rPr>
          <w:noProof/>
          <w:lang w:val="en-US"/>
        </w:rPr>
        <w:drawing>
          <wp:inline distT="0" distB="0" distL="0" distR="0">
            <wp:extent cx="5731510" cy="3486679"/>
            <wp:effectExtent l="0" t="0" r="2159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after="120" w:line="240" w:lineRule="auto"/>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EUROSTAT (online code: t_env_wasst)</w:t>
      </w:r>
      <w:r>
        <w:rPr>
          <w:rFonts w:ascii="Times New Roman" w:eastAsia="Times New Roman" w:hAnsi="Times New Roman" w:cs="Times New Roman"/>
          <w:noProof/>
          <w:sz w:val="24"/>
          <w:szCs w:val="24"/>
          <w:lang w:val="fr-BE" w:eastAsia="en-GB"/>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lang w:eastAsia="en-GB"/>
        </w:rPr>
      </w:pPr>
      <w:bookmarkStart w:id="106" w:name="_Toc442198317"/>
      <w:bookmarkStart w:id="107" w:name="_Toc447205595"/>
      <w:r>
        <w:rPr>
          <w:rFonts w:ascii="Times New Roman" w:eastAsia="Times New Roman" w:hAnsi="Times New Roman" w:cs="Times New Roman"/>
          <w:b/>
          <w:bCs/>
          <w:smallCaps/>
          <w:noProof/>
          <w:sz w:val="24"/>
          <w:szCs w:val="24"/>
          <w:lang w:eastAsia="en-GB"/>
        </w:rPr>
        <w:t>Annex 6: waste of electrical and electronic equipment</w:t>
      </w:r>
      <w:bookmarkEnd w:id="106"/>
      <w:bookmarkEnd w:id="107"/>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lang w:eastAsia="en-GB"/>
        </w:rPr>
      </w:pPr>
      <w:bookmarkStart w:id="108" w:name="_Toc425752542"/>
      <w:bookmarkStart w:id="109" w:name="_Toc442187916"/>
      <w:bookmarkStart w:id="110" w:name="_Toc442187937"/>
      <w:bookmarkStart w:id="111" w:name="_Toc442198319"/>
      <w:bookmarkStart w:id="112" w:name="_Toc447205597"/>
      <w:r>
        <w:rPr>
          <w:rFonts w:ascii="Times New Roman" w:eastAsia="Times New Roman" w:hAnsi="Times New Roman" w:cs="Times New Roman"/>
          <w:b/>
          <w:bCs/>
          <w:noProof/>
          <w:sz w:val="24"/>
          <w:szCs w:val="24"/>
          <w:lang w:eastAsia="en-GB"/>
        </w:rPr>
        <w:t>Total amount of WEEE collected from private households by Member State (kg per capita)</w:t>
      </w:r>
      <w:bookmarkEnd w:id="108"/>
      <w:bookmarkEnd w:id="109"/>
      <w:bookmarkEnd w:id="110"/>
      <w:bookmarkEnd w:id="111"/>
      <w:bookmarkEnd w:id="112"/>
    </w:p>
    <w:p>
      <w:pPr>
        <w:spacing w:after="120" w:line="240" w:lineRule="auto"/>
        <w:rPr>
          <w:rFonts w:ascii="Times New Roman" w:eastAsia="Times New Roman" w:hAnsi="Times New Roman" w:cs="Times New Roman"/>
          <w:i/>
          <w:noProof/>
          <w:sz w:val="20"/>
          <w:szCs w:val="24"/>
          <w:lang w:val="fr-BE" w:eastAsia="en-GB"/>
        </w:rPr>
      </w:pPr>
      <w:r>
        <w:rPr>
          <w:noProof/>
          <w:lang w:val="en-US"/>
        </w:rPr>
        <w:drawing>
          <wp:inline distT="0" distB="0" distL="0" distR="0">
            <wp:extent cx="5731510" cy="3362372"/>
            <wp:effectExtent l="0" t="0" r="2159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after="120" w:line="240" w:lineRule="auto"/>
        <w:rPr>
          <w:rFonts w:ascii="Times New Roman" w:eastAsia="Times New Roman" w:hAnsi="Times New Roman" w:cs="Times New Roman"/>
          <w:i/>
          <w:noProof/>
          <w:sz w:val="20"/>
          <w:szCs w:val="24"/>
          <w:lang w:val="fr-BE" w:eastAsia="en-GB"/>
        </w:rPr>
      </w:pPr>
      <w:r>
        <w:rPr>
          <w:rFonts w:ascii="Times New Roman" w:eastAsia="Times New Roman" w:hAnsi="Times New Roman" w:cs="Times New Roman"/>
          <w:i/>
          <w:noProof/>
          <w:sz w:val="20"/>
          <w:szCs w:val="24"/>
          <w:lang w:val="fr-BE" w:eastAsia="en-GB"/>
        </w:rPr>
        <w:t>Source: EUROSTAT (online code: env_waselee)</w:t>
      </w:r>
    </w:p>
    <w:p>
      <w:pPr>
        <w:spacing w:after="0" w:line="240" w:lineRule="auto"/>
        <w:rPr>
          <w:rFonts w:ascii="Times New Roman" w:eastAsia="Times New Roman" w:hAnsi="Times New Roman" w:cs="Times New Roman"/>
          <w:b/>
          <w:bCs/>
          <w:caps/>
          <w:noProof/>
          <w:sz w:val="24"/>
          <w:szCs w:val="24"/>
          <w:lang w:val="fr-BE" w:eastAsia="en-GB"/>
        </w:rPr>
      </w:pPr>
      <w:r>
        <w:rPr>
          <w:rFonts w:ascii="Times New Roman" w:eastAsia="Times New Roman" w:hAnsi="Times New Roman" w:cs="Times New Roman"/>
          <w:noProof/>
          <w:sz w:val="24"/>
          <w:szCs w:val="24"/>
          <w:lang w:val="fr-BE" w:eastAsia="en-GB"/>
        </w:rPr>
        <w:br w:type="page"/>
      </w:r>
    </w:p>
    <w:p>
      <w:pPr>
        <w:keepNext/>
        <w:spacing w:before="600" w:after="0" w:line="240" w:lineRule="auto"/>
        <w:ind w:left="1202" w:right="-1746" w:hanging="1202"/>
        <w:jc w:val="both"/>
        <w:outlineLvl w:val="0"/>
        <w:rPr>
          <w:rFonts w:ascii="Times New Roman" w:eastAsia="Times New Roman" w:hAnsi="Times New Roman" w:cs="Times New Roman"/>
          <w:b/>
          <w:bCs/>
          <w:smallCaps/>
          <w:noProof/>
          <w:sz w:val="24"/>
          <w:szCs w:val="24"/>
          <w:lang w:eastAsia="en-GB"/>
        </w:rPr>
      </w:pPr>
      <w:bookmarkStart w:id="113" w:name="_Toc442198320"/>
      <w:bookmarkStart w:id="114" w:name="_Toc447205598"/>
      <w:r>
        <w:rPr>
          <w:rFonts w:ascii="Times New Roman" w:eastAsia="Times New Roman" w:hAnsi="Times New Roman" w:cs="Times New Roman"/>
          <w:b/>
          <w:bCs/>
          <w:smallCaps/>
          <w:noProof/>
          <w:sz w:val="24"/>
          <w:szCs w:val="24"/>
          <w:lang w:eastAsia="en-GB"/>
        </w:rPr>
        <w:t>ANNEX 7: batteries and accumulators</w:t>
      </w:r>
      <w:bookmarkEnd w:id="113"/>
      <w:bookmarkEnd w:id="114"/>
    </w:p>
    <w:p>
      <w:pPr>
        <w:keepNext/>
        <w:spacing w:before="240" w:after="120" w:line="240" w:lineRule="auto"/>
        <w:ind w:left="357" w:right="-1746" w:hanging="357"/>
        <w:jc w:val="both"/>
        <w:outlineLvl w:val="0"/>
        <w:rPr>
          <w:rFonts w:ascii="Times New Roman" w:eastAsia="Times New Roman" w:hAnsi="Times New Roman" w:cs="Times New Roman"/>
          <w:b/>
          <w:bCs/>
          <w:noProof/>
          <w:sz w:val="24"/>
          <w:szCs w:val="24"/>
          <w:lang w:eastAsia="en-GB"/>
        </w:rPr>
      </w:pPr>
      <w:bookmarkStart w:id="115" w:name="_Toc417638962"/>
      <w:bookmarkStart w:id="116" w:name="_Toc425752539"/>
      <w:bookmarkStart w:id="117" w:name="_Toc442187914"/>
      <w:bookmarkStart w:id="118" w:name="_Toc442187935"/>
      <w:bookmarkStart w:id="119" w:name="_Toc442198321"/>
      <w:bookmarkStart w:id="120" w:name="_Toc447205599"/>
      <w:r>
        <w:rPr>
          <w:rFonts w:ascii="Times New Roman" w:eastAsia="Times New Roman" w:hAnsi="Times New Roman" w:cs="Times New Roman"/>
          <w:b/>
          <w:bCs/>
          <w:noProof/>
          <w:sz w:val="24"/>
          <w:szCs w:val="24"/>
          <w:lang w:eastAsia="en-GB"/>
        </w:rPr>
        <w:t>Collection of waste batteries and accumulators by Member State (%)</w:t>
      </w:r>
      <w:r>
        <w:rPr>
          <w:rFonts w:ascii="Times New Roman" w:eastAsia="Times New Roman" w:hAnsi="Times New Roman" w:cs="Times New Roman"/>
          <w:b/>
          <w:bCs/>
          <w:noProof/>
          <w:sz w:val="24"/>
          <w:szCs w:val="24"/>
          <w:vertAlign w:val="superscript"/>
          <w:lang w:eastAsia="en-GB"/>
        </w:rPr>
        <w:footnoteReference w:id="29"/>
      </w:r>
      <w:bookmarkEnd w:id="115"/>
      <w:bookmarkEnd w:id="116"/>
      <w:bookmarkEnd w:id="117"/>
      <w:bookmarkEnd w:id="118"/>
      <w:bookmarkEnd w:id="119"/>
      <w:bookmarkEnd w:id="120"/>
    </w:p>
    <w:p>
      <w:pPr>
        <w:spacing w:after="0" w:line="240" w:lineRule="auto"/>
        <w:rPr>
          <w:rFonts w:ascii="Times New Roman" w:eastAsia="Times New Roman" w:hAnsi="Times New Roman" w:cs="Times New Roman"/>
          <w:b/>
          <w:noProof/>
          <w:sz w:val="24"/>
          <w:szCs w:val="24"/>
          <w:lang w:eastAsia="en-GB"/>
        </w:rPr>
      </w:pPr>
      <w:r>
        <w:rPr>
          <w:noProof/>
          <w:lang w:val="en-US"/>
        </w:rPr>
        <w:drawing>
          <wp:inline distT="0" distB="0" distL="0" distR="0">
            <wp:extent cx="5731510" cy="2923034"/>
            <wp:effectExtent l="0" t="0" r="2159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bookmarkEnd w:id="105"/>
    <w:p>
      <w:pPr>
        <w:spacing w:after="120" w:line="240" w:lineRule="auto"/>
        <w:rPr>
          <w:rFonts w:ascii="Times New Roman" w:eastAsia="Times New Roman" w:hAnsi="Times New Roman" w:cs="Times New Roman"/>
          <w:i/>
          <w:noProof/>
          <w:sz w:val="20"/>
          <w:szCs w:val="24"/>
          <w:lang w:eastAsia="en-GB"/>
        </w:rPr>
      </w:pPr>
      <w:r>
        <w:rPr>
          <w:rFonts w:ascii="Times New Roman" w:eastAsia="Times New Roman" w:hAnsi="Times New Roman" w:cs="Times New Roman"/>
          <w:i/>
          <w:noProof/>
          <w:sz w:val="20"/>
          <w:szCs w:val="24"/>
          <w:lang w:eastAsia="en-GB"/>
        </w:rPr>
        <w:t>Source: Data provided by Member States to the European Commission (EC, 2014)</w:t>
      </w:r>
    </w:p>
    <w:p>
      <w:pPr>
        <w:keepNext/>
        <w:spacing w:before="360" w:after="120" w:line="240" w:lineRule="auto"/>
        <w:ind w:left="357" w:right="-1746" w:hanging="357"/>
        <w:jc w:val="both"/>
        <w:outlineLvl w:val="0"/>
        <w:rPr>
          <w:rFonts w:ascii="Times New Roman" w:eastAsia="Times New Roman" w:hAnsi="Times New Roman" w:cs="Times New Roman"/>
          <w:b/>
          <w:bCs/>
          <w:noProof/>
          <w:sz w:val="24"/>
          <w:szCs w:val="24"/>
          <w:lang w:eastAsia="en-GB"/>
        </w:rPr>
      </w:pPr>
      <w:bookmarkStart w:id="121" w:name="_Toc425752540"/>
      <w:bookmarkStart w:id="122" w:name="_Toc442187915"/>
      <w:bookmarkStart w:id="123" w:name="_Toc442187936"/>
      <w:bookmarkStart w:id="124" w:name="_Toc442198322"/>
      <w:bookmarkStart w:id="125" w:name="_Toc447205600"/>
      <w:r>
        <w:rPr>
          <w:rFonts w:ascii="Times New Roman" w:eastAsia="Times New Roman" w:hAnsi="Times New Roman" w:cs="Times New Roman"/>
          <w:b/>
          <w:bCs/>
          <w:noProof/>
          <w:sz w:val="24"/>
          <w:szCs w:val="24"/>
          <w:lang w:eastAsia="en-GB"/>
        </w:rPr>
        <w:t>Recycling efficiency of waste batteries and accumulators by Member State (%)</w:t>
      </w:r>
      <w:r>
        <w:rPr>
          <w:rFonts w:ascii="Times New Roman" w:eastAsia="Times New Roman" w:hAnsi="Times New Roman" w:cs="Times New Roman"/>
          <w:b/>
          <w:bCs/>
          <w:noProof/>
          <w:sz w:val="24"/>
          <w:szCs w:val="24"/>
          <w:vertAlign w:val="superscript"/>
          <w:lang w:eastAsia="en-GB"/>
        </w:rPr>
        <w:footnoteReference w:id="30"/>
      </w:r>
      <w:bookmarkEnd w:id="121"/>
      <w:bookmarkEnd w:id="122"/>
      <w:bookmarkEnd w:id="123"/>
      <w:bookmarkEnd w:id="124"/>
      <w:bookmarkEnd w:id="125"/>
    </w:p>
    <w:p>
      <w:pPr>
        <w:spacing w:after="120" w:line="240" w:lineRule="auto"/>
        <w:rPr>
          <w:rFonts w:ascii="Times New Roman" w:eastAsia="Times New Roman" w:hAnsi="Times New Roman" w:cs="Times New Roman"/>
          <w:noProof/>
          <w:lang w:eastAsia="en-GB"/>
        </w:rPr>
      </w:pPr>
      <w:r>
        <w:rPr>
          <w:noProof/>
          <w:lang w:val="en-US"/>
        </w:rPr>
        <w:drawing>
          <wp:inline distT="0" distB="0" distL="0" distR="0">
            <wp:extent cx="5731510" cy="3085120"/>
            <wp:effectExtent l="0" t="0" r="21590" b="2032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rPr>
          <w:rFonts w:ascii="Times New Roman" w:eastAsia="Times New Roman" w:hAnsi="Times New Roman" w:cs="Times New Roman"/>
          <w:i/>
          <w:noProof/>
          <w:sz w:val="20"/>
          <w:szCs w:val="24"/>
          <w:lang w:eastAsia="en-GB"/>
        </w:rPr>
      </w:pPr>
      <w:r>
        <w:rPr>
          <w:rFonts w:ascii="Times New Roman" w:eastAsia="Times New Roman" w:hAnsi="Times New Roman" w:cs="Times New Roman"/>
          <w:i/>
          <w:noProof/>
          <w:sz w:val="20"/>
          <w:szCs w:val="24"/>
          <w:lang w:eastAsia="en-GB"/>
        </w:rPr>
        <w:t>Source: Data provided by Member States to the European Commission (EC, 2014)</w:t>
      </w:r>
    </w:p>
    <w:sectPr>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Arial"/>
    <w:charset w:val="00"/>
    <w:family w:val="swiss"/>
    <w:pitch w:val="variable"/>
    <w:sig w:usb0="00000001"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25049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426" w:hanging="426"/>
      </w:pPr>
      <w:r>
        <w:rPr>
          <w:rStyle w:val="FootnoteReference"/>
        </w:rPr>
        <w:footnoteRef/>
      </w:r>
      <w:r>
        <w:t xml:space="preserve"> </w:t>
      </w:r>
      <w:r>
        <w:tab/>
        <w:t>Croatia became a Member State of the European Union (EU) on 1 July 2013. It was therefore not required to implement these directives during the reporting period. However, it submitted replies to Implementation Questionnaires 2010-2012 for the Waste Framework, Packaging and Packaging Waste and Sewage Sludge Directives and the information provided is included in this report.</w:t>
      </w:r>
    </w:p>
  </w:footnote>
  <w:footnote w:id="2">
    <w:p>
      <w:pPr>
        <w:pStyle w:val="FootnoteText"/>
        <w:ind w:left="426" w:hanging="426"/>
      </w:pPr>
      <w:r>
        <w:rPr>
          <w:rStyle w:val="FootnoteReference"/>
        </w:rPr>
        <w:footnoteRef/>
      </w:r>
      <w:r>
        <w:t xml:space="preserve"> </w:t>
      </w:r>
      <w:r>
        <w:tab/>
      </w:r>
      <w:hyperlink r:id="rId1" w:history="1">
        <w:r>
          <w:rPr>
            <w:rStyle w:val="Hyperlink"/>
          </w:rPr>
          <w:t>http://ec.europa.eu/eurostat/web/environment/waste/database</w:t>
        </w:r>
      </w:hyperlink>
      <w:r>
        <w:t>.</w:t>
      </w:r>
    </w:p>
  </w:footnote>
  <w:footnote w:id="3">
    <w:p>
      <w:pPr>
        <w:autoSpaceDE w:val="0"/>
        <w:autoSpaceDN w:val="0"/>
        <w:adjustRightInd w:val="0"/>
        <w:ind w:left="426" w:hanging="426"/>
      </w:pPr>
      <w:r>
        <w:rPr>
          <w:rStyle w:val="FootnoteReference"/>
          <w:rFonts w:ascii="Times New Roman" w:hAnsi="Times New Roman" w:cs="Times New Roman"/>
        </w:rPr>
        <w:footnoteRef/>
      </w:r>
      <w:r>
        <w:t xml:space="preserve"> </w:t>
      </w:r>
      <w:r>
        <w:tab/>
      </w:r>
      <w:r>
        <w:rPr>
          <w:rFonts w:ascii="Times New Roman" w:hAnsi="Times New Roman" w:cs="Times New Roman"/>
          <w:sz w:val="20"/>
          <w:szCs w:val="20"/>
        </w:rPr>
        <w:t xml:space="preserve">Meaning that </w:t>
      </w:r>
      <w:r>
        <w:rPr>
          <w:rStyle w:val="Emphasis"/>
          <w:rFonts w:ascii="Times New Roman" w:hAnsi="Times New Roman" w:cs="Times New Roman"/>
          <w:color w:val="333333"/>
          <w:sz w:val="20"/>
          <w:szCs w:val="20"/>
        </w:rPr>
        <w:t xml:space="preserve">waste shall be collected separately if this is </w:t>
      </w:r>
      <w:r>
        <w:rPr>
          <w:rStyle w:val="Emphasis"/>
          <w:rFonts w:ascii="Times New Roman" w:hAnsi="Times New Roman" w:cs="Times New Roman"/>
          <w:b/>
          <w:color w:val="333333"/>
          <w:sz w:val="20"/>
          <w:szCs w:val="20"/>
          <w:u w:val="single"/>
        </w:rPr>
        <w:t>t</w:t>
      </w:r>
      <w:r>
        <w:rPr>
          <w:rStyle w:val="Emphasis"/>
          <w:rFonts w:ascii="Times New Roman" w:hAnsi="Times New Roman" w:cs="Times New Roman"/>
          <w:color w:val="333333"/>
          <w:sz w:val="20"/>
          <w:szCs w:val="20"/>
        </w:rPr>
        <w:t xml:space="preserve">echnically, </w:t>
      </w:r>
      <w:r>
        <w:rPr>
          <w:rStyle w:val="Emphasis"/>
          <w:rFonts w:ascii="Times New Roman" w:hAnsi="Times New Roman" w:cs="Times New Roman"/>
          <w:b/>
          <w:color w:val="333333"/>
          <w:sz w:val="20"/>
          <w:szCs w:val="20"/>
          <w:u w:val="single"/>
        </w:rPr>
        <w:t>e</w:t>
      </w:r>
      <w:r>
        <w:rPr>
          <w:rStyle w:val="Emphasis"/>
          <w:rFonts w:ascii="Times New Roman" w:hAnsi="Times New Roman" w:cs="Times New Roman"/>
          <w:color w:val="333333"/>
          <w:sz w:val="20"/>
          <w:szCs w:val="20"/>
        </w:rPr>
        <w:t xml:space="preserve">nvironmentally and </w:t>
      </w:r>
      <w:r>
        <w:rPr>
          <w:rStyle w:val="Emphasis"/>
          <w:rFonts w:ascii="Times New Roman" w:hAnsi="Times New Roman" w:cs="Times New Roman"/>
          <w:b/>
          <w:color w:val="333333"/>
          <w:sz w:val="20"/>
          <w:szCs w:val="20"/>
          <w:u w:val="single"/>
        </w:rPr>
        <w:t>e</w:t>
      </w:r>
      <w:r>
        <w:rPr>
          <w:rStyle w:val="Emphasis"/>
          <w:rFonts w:ascii="Times New Roman" w:hAnsi="Times New Roman" w:cs="Times New Roman"/>
          <w:color w:val="333333"/>
          <w:sz w:val="20"/>
          <w:szCs w:val="20"/>
        </w:rPr>
        <w:t xml:space="preserve">conomically </w:t>
      </w:r>
      <w:r>
        <w:rPr>
          <w:rStyle w:val="Emphasis"/>
          <w:rFonts w:ascii="Times New Roman" w:hAnsi="Times New Roman" w:cs="Times New Roman"/>
          <w:color w:val="333333"/>
          <w:sz w:val="20"/>
          <w:szCs w:val="20"/>
          <w:u w:val="single"/>
        </w:rPr>
        <w:t>p</w:t>
      </w:r>
      <w:r>
        <w:rPr>
          <w:rStyle w:val="Emphasis"/>
          <w:rFonts w:ascii="Times New Roman" w:hAnsi="Times New Roman" w:cs="Times New Roman"/>
          <w:color w:val="333333"/>
          <w:sz w:val="20"/>
          <w:szCs w:val="20"/>
        </w:rPr>
        <w:t>racticable (Article 10 WFD).</w:t>
      </w:r>
    </w:p>
  </w:footnote>
  <w:footnote w:id="4">
    <w:p>
      <w:pPr>
        <w:pStyle w:val="FootnoteText"/>
        <w:ind w:left="426" w:hanging="426"/>
      </w:pPr>
      <w:r>
        <w:rPr>
          <w:rStyle w:val="FootnoteReference"/>
        </w:rPr>
        <w:footnoteRef/>
      </w:r>
      <w:r>
        <w:t xml:space="preserve"> </w:t>
      </w:r>
      <w:r>
        <w:tab/>
      </w:r>
      <w:hyperlink r:id="rId2" w:history="1">
        <w:r>
          <w:rPr>
            <w:rStyle w:val="Hyperlink"/>
          </w:rPr>
          <w:t>http://ec.europa.eu/environment/waste/framework/support_implementation_1st_phase.htm</w:t>
        </w:r>
      </w:hyperlink>
      <w:r>
        <w:t>.</w:t>
      </w:r>
    </w:p>
  </w:footnote>
  <w:footnote w:id="5">
    <w:p>
      <w:pPr>
        <w:pStyle w:val="FootnoteText"/>
        <w:ind w:left="426" w:hanging="426"/>
      </w:pPr>
      <w:r>
        <w:rPr>
          <w:rStyle w:val="FootnoteReference"/>
        </w:rPr>
        <w:footnoteRef/>
      </w:r>
      <w:r>
        <w:t xml:space="preserve"> </w:t>
      </w:r>
      <w:r>
        <w:tab/>
        <w:t>In 2009, 26 Member States reached the targets for the re-use and recycling of waste electrical and electronic tools. In 2012, 25 Member States reached these targets. In 2009, 24 Member States reached the targets for the re-use and recycling of waste gas discharge lamps. In 2012, 23 Member States reached these targets. In 2009, 26 Member States reached the target for the recovery of waste electrical and electronic tools. In 2012, 25 Member States reached these targets.</w:t>
      </w:r>
    </w:p>
  </w:footnote>
  <w:footnote w:id="6">
    <w:p>
      <w:pPr>
        <w:pStyle w:val="FootnoteText"/>
        <w:ind w:left="426" w:hanging="426"/>
      </w:pPr>
      <w:r>
        <w:rPr>
          <w:rStyle w:val="FootnoteReference"/>
        </w:rPr>
        <w:footnoteRef/>
      </w:r>
      <w:r>
        <w:t xml:space="preserve"> </w:t>
      </w:r>
      <w:r>
        <w:tab/>
      </w:r>
      <w:hyperlink r:id="rId3" w:history="1">
        <w:r>
          <w:rPr>
            <w:rStyle w:val="Hyperlink"/>
          </w:rPr>
          <w:t>http://ec.europa.eu/environment/waste/target_review.htm</w:t>
        </w:r>
      </w:hyperlink>
      <w:r>
        <w:t xml:space="preserve"> </w:t>
      </w:r>
    </w:p>
  </w:footnote>
  <w:footnote w:id="7">
    <w:p>
      <w:pPr>
        <w:pStyle w:val="FootnoteText"/>
        <w:ind w:left="426" w:hanging="426"/>
      </w:pPr>
      <w:r>
        <w:rPr>
          <w:rStyle w:val="FootnoteReference"/>
        </w:rPr>
        <w:footnoteRef/>
      </w:r>
      <w:r>
        <w:t xml:space="preserve"> </w:t>
      </w:r>
      <w:r>
        <w:tab/>
        <w:t>Reports received from the Walloon Region and Flanders, but not from the Brussels Capital Region.</w:t>
      </w:r>
    </w:p>
  </w:footnote>
  <w:footnote w:id="8">
    <w:p>
      <w:pPr>
        <w:pStyle w:val="FootnoteText"/>
        <w:ind w:left="426" w:hanging="426"/>
      </w:pPr>
      <w:r>
        <w:rPr>
          <w:rStyle w:val="FootnoteReference"/>
        </w:rPr>
        <w:footnoteRef/>
      </w:r>
      <w:r>
        <w:t xml:space="preserve"> </w:t>
      </w:r>
      <w:r>
        <w:tab/>
      </w:r>
      <w:r>
        <w:fldChar w:fldCharType="begin"/>
      </w:r>
      <w:r>
        <w:instrText xml:space="preserve"> ADDIN ZOTERO_ITEM CSL_CITATION {"citationID":"1u3vkbg542","properties":{"formattedCitation":"Commission Decision of 18 November 2011 establishing rules and calculation methods for verifying compliance with the targets set in Article 11(2) of Directive 2008/98/EC of the European Parliament and of the Council (2011/753/EU) (OJ L310/11)","plainCitation":"Commission Decision of 18 November 2011 establishing rules and calculation methods for verifying compliance with the targets set in Article 11(2) of Directive 2008/98/EC of the European Parliament and of the Council (2011/753/EU) (OJ L310/11)"},"citationItems":[{"id":18597,"uris":["http://zotero.org/groups/162180/items/IZTT2E3X"],"uri":["http://zotero.org/groups/162180/items/IZTT2E3X"],"itemData":{"id":18597,"type":"bill","title":"Commission Decision of 18 November 2011 establishing rules and calculation methods for verifying compliance with the targets set in Article 11(2) of Directive 2008/98/EC of the European Parliament and of the Council (2011/753/EU) (OJ L310/11)","URL":"http://eur-lex.europa.eu/legal-content/EN/TXT/PDF/?uri=CELEX:32011D0753&amp;from=EN","accessed":{"date-parts":[["2015",6,30]]}},"label":"page"}],"schema":"https://github.com/citation-style-language/schema/raw/master/csl-citation.json"} </w:instrText>
      </w:r>
      <w:r>
        <w:fldChar w:fldCharType="separate"/>
      </w:r>
      <w:r>
        <w:t>Commission Decision of 18 November 2011 establishing rules and calculation methods for verifying compliance with the targets set in Article 11(2) of Directive 2008/98/EC of the European Parliament and of the Council (2011/753/EU) (OJ L 310/11)</w:t>
      </w:r>
      <w:r>
        <w:fldChar w:fldCharType="end"/>
      </w:r>
      <w:r>
        <w:t>.</w:t>
      </w:r>
    </w:p>
  </w:footnote>
  <w:footnote w:id="9">
    <w:p>
      <w:pPr>
        <w:pStyle w:val="FootnoteText"/>
        <w:ind w:left="426" w:hanging="426"/>
      </w:pPr>
      <w:r>
        <w:rPr>
          <w:rStyle w:val="FootnoteReference"/>
        </w:rPr>
        <w:footnoteRef/>
      </w:r>
      <w:r>
        <w:t xml:space="preserve"> </w:t>
      </w:r>
      <w:r>
        <w:tab/>
      </w:r>
      <w:r>
        <w:fldChar w:fldCharType="begin"/>
      </w:r>
      <w:r>
        <w:instrText xml:space="preserve"> ADDIN ZOTERO_ITEM CSL_CITATION {"citationID":"29g3cqgn1f","properties":{"formattedCitation":"Commission Decision of 18 November 2011 establishing rules and calculation methods for verifying compliance with the targets set in Article 11(2) of Directive 2008/98/EC of the European Parliament and of the Council (2011/753/EU) (OJ L310/11)","plainCitation":"Commission Decision of 18 November 2011 establishing rules and calculation methods for verifying compliance with the targets set in Article 11(2) of Directive 2008/98/EC of the European Parliament and of the Council (2011/753/EU) (OJ L310/11)"},"citationItems":[{"id":18597,"uris":["http://zotero.org/groups/162180/items/IZTT2E3X"],"uri":["http://zotero.org/groups/162180/items/IZTT2E3X"],"itemData":{"id":18597,"type":"bill","title":"Commission Decision of 18 November 2011 establishing rules and calculation methods for verifying compliance with the targets set in Article 11(2) of Directive 2008/98/EC of the European Parliament and of the Council (2011/753/EU) (OJ L310/11)","URL":"http://eur-lex.europa.eu/legal-content/EN/TXT/PDF/?uri=CELEX:32011D0753&amp;from=EN","accessed":{"date-parts":[["2015",6,30]]}},"locator":"753","label":"page"}],"schema":"https://github.com/citation-style-language/schema/raw/master/csl-citation.json"} </w:instrText>
      </w:r>
      <w:r>
        <w:fldChar w:fldCharType="separate"/>
      </w:r>
      <w:r>
        <w:t>Commission Decision of 18 November 2011 establishing rules and calculation methods for verifying compliance with the targets set in Article 11(2) of Directive 2008/98/EC of the European Parliament and of the Council (2011/753/EU) (OJ L 310/11)</w:t>
      </w:r>
      <w:r>
        <w:fldChar w:fldCharType="end"/>
      </w:r>
      <w:r>
        <w:t>.</w:t>
      </w:r>
    </w:p>
  </w:footnote>
  <w:footnote w:id="10">
    <w:p>
      <w:pPr>
        <w:pStyle w:val="FootnoteText"/>
        <w:ind w:left="426" w:hanging="426"/>
      </w:pPr>
      <w:r>
        <w:rPr>
          <w:rStyle w:val="FootnoteReference"/>
        </w:rPr>
        <w:footnoteRef/>
      </w:r>
      <w:r>
        <w:t xml:space="preserve"> </w:t>
      </w:r>
      <w:r>
        <w:tab/>
      </w:r>
      <w:r>
        <w:fldChar w:fldCharType="begin"/>
      </w:r>
      <w:r>
        <w:instrText xml:space="preserve"> ADDIN ZOTERO_ITEM CSL_CITATION {"citationID":"1nfptsj40","properties":{"formattedCitation":"{\\rtf ARGUS (2014) \\i Compliance Reporting on Waste Framework Directive - Recycling and Recovery Rates for 2010, 2011 and 2012: Report on the validation of household waste data (draft)\\i0{}, December 2014}","plainCitation":"ARGUS (2014) Compliance Reporting on Waste Framework Directive - Recycling and Recovery Rates for 2010, 2011 and 2012: Report on the validation of household waste data (draft), December 2014"},"citationItems":[{"id":18299,"uris":["http://zotero.org/groups/162180/items/3TX9SV67"],"uri":["http://zotero.org/groups/162180/items/3TX9SV67"],"itemData":{"id":18299,"type":"report","title":"Compliance Reporting on Waste Framework Directive - Recycling and Recovery Rates for 2010, 2011 and 2012: Report on the validation of household waste data (draft)","author":[{"family":"ARGUS","given":""}],"issued":{"date-parts":[["2014",12,20]]},"accessed":{"date-parts":[["2015",7,23]]}}}],"schema":"https://github.com/citation-style-language/schema/raw/master/csl-citation.json"} </w:instrText>
      </w:r>
      <w:r>
        <w:fldChar w:fldCharType="separate"/>
      </w:r>
      <w:r>
        <w:t xml:space="preserve">ARGUS (2014), </w:t>
      </w:r>
      <w:r>
        <w:rPr>
          <w:i/>
          <w:iCs/>
        </w:rPr>
        <w:t>Compliance Reporting on Waste Framework Directive — Recycling and Recovery Rates for 2010, 2011 and 2012: Report on the validation of household waste data (draft)</w:t>
      </w:r>
      <w:r>
        <w:t>, December 2014</w:t>
      </w:r>
      <w:r>
        <w:fldChar w:fldCharType="end"/>
      </w:r>
      <w:r>
        <w:t>.</w:t>
      </w:r>
    </w:p>
  </w:footnote>
  <w:footnote w:id="11">
    <w:p>
      <w:pPr>
        <w:pStyle w:val="FootnoteText"/>
        <w:ind w:left="426" w:hanging="426"/>
      </w:pPr>
      <w:r>
        <w:rPr>
          <w:rStyle w:val="FootnoteReference"/>
        </w:rPr>
        <w:footnoteRef/>
      </w:r>
      <w:r>
        <w:t xml:space="preserve"> </w:t>
      </w:r>
      <w:r>
        <w:tab/>
      </w:r>
      <w:r>
        <w:fldChar w:fldCharType="begin"/>
      </w:r>
      <w:r>
        <w:instrText xml:space="preserve"> ADDIN ZOTERO_ITEM CSL_CITATION {"citationID":"1lq61s4doi","properties":{"formattedCitation":"{\\rtf ARGUS (2014) \\i Compliance Reporting on Waste Framework Directive - Recycling and Recovery Rates for 2010, 2011 and 2012: Report on the validation of construction and demolition waste data (draft)\\i0{}, October 2014}","plainCitation":"ARGUS (2014) Compliance Reporting on Waste Framework Directive - Recycling and Recovery Rates for 2010, 2011 and 2012: Report on the validation of construction and demolition waste data (draft), October 2014"},"citationItems":[{"id":18305,"uris":["http://zotero.org/groups/162180/items/AF5JGGG8"],"uri":["http://zotero.org/groups/162180/items/AF5JGGG8"],"itemData":{"id":18305,"type":"report","title":"Compliance Reporting on Waste Framework Directive - Recycling and Recovery Rates for 2010, 2011 and 2012: Report on the validation of construction and demolition waste data (draft)","author":[{"family":"ARGUS","given":""}],"issued":{"date-parts":[["2014",10,29]]},"accessed":{"date-parts":[["2015",7,23]]}}}],"schema":"https://github.com/citation-style-language/schema/raw/master/csl-citation.json"} </w:instrText>
      </w:r>
      <w:r>
        <w:fldChar w:fldCharType="separate"/>
      </w:r>
      <w:r>
        <w:t xml:space="preserve">ARGUS (2014) </w:t>
      </w:r>
      <w:r>
        <w:rPr>
          <w:i/>
          <w:iCs/>
        </w:rPr>
        <w:t>Compliance Reporting on Waste Framework Directive — Recycling and Recovery Rates for 2010, 2011 and 2012: Report on the validation of construction and demolition waste data (draft)</w:t>
      </w:r>
      <w:r>
        <w:t>, October 2014</w:t>
      </w:r>
      <w:r>
        <w:fldChar w:fldCharType="end"/>
      </w:r>
      <w:r>
        <w:t>.</w:t>
      </w:r>
    </w:p>
  </w:footnote>
  <w:footnote w:id="12">
    <w:p>
      <w:pPr>
        <w:pStyle w:val="FootnoteText"/>
        <w:ind w:left="426" w:hanging="426"/>
      </w:pPr>
      <w:r>
        <w:rPr>
          <w:rStyle w:val="FootnoteReference"/>
        </w:rPr>
        <w:footnoteRef/>
      </w:r>
      <w:r>
        <w:t xml:space="preserve"> </w:t>
      </w:r>
      <w:r>
        <w:tab/>
        <w:t>Excavated soil dumps.</w:t>
      </w:r>
    </w:p>
  </w:footnote>
  <w:footnote w:id="13">
    <w:p>
      <w:pPr>
        <w:pStyle w:val="FootnoteText"/>
        <w:ind w:left="426" w:hanging="426"/>
        <w:rPr>
          <w:lang w:val="ca-ES"/>
        </w:rPr>
      </w:pPr>
      <w:r>
        <w:rPr>
          <w:rStyle w:val="FootnoteReference"/>
        </w:rPr>
        <w:footnoteRef/>
      </w:r>
      <w:r>
        <w:t xml:space="preserve"> </w:t>
      </w:r>
      <w:r>
        <w:tab/>
        <w:t>The landfill was constructed before the Directive was published.</w:t>
      </w:r>
    </w:p>
  </w:footnote>
  <w:footnote w:id="14">
    <w:p>
      <w:pPr>
        <w:pStyle w:val="FootnoteText"/>
        <w:ind w:left="426" w:hanging="426"/>
      </w:pPr>
      <w:r>
        <w:rPr>
          <w:rStyle w:val="FootnoteReference"/>
        </w:rPr>
        <w:footnoteRef/>
      </w:r>
      <w:r>
        <w:t xml:space="preserve"> </w:t>
      </w:r>
      <w:r>
        <w:tab/>
        <w:t>Underground storage and long-term storage.</w:t>
      </w:r>
    </w:p>
  </w:footnote>
  <w:footnote w:id="15">
    <w:p>
      <w:pPr>
        <w:pStyle w:val="FootnoteText"/>
        <w:ind w:left="426" w:hanging="426"/>
      </w:pPr>
      <w:r>
        <w:rPr>
          <w:rStyle w:val="FootnoteReference"/>
        </w:rPr>
        <w:footnoteRef/>
      </w:r>
      <w:r>
        <w:t xml:space="preserve"> </w:t>
      </w:r>
      <w:r>
        <w:tab/>
        <w:t>Non-hazardous industrial waste.</w:t>
      </w:r>
    </w:p>
  </w:footnote>
  <w:footnote w:id="16">
    <w:p>
      <w:pPr>
        <w:pStyle w:val="FootnoteText"/>
        <w:ind w:left="426" w:hanging="426"/>
      </w:pPr>
      <w:r>
        <w:rPr>
          <w:rStyle w:val="FootnoteReference"/>
        </w:rPr>
        <w:footnoteRef/>
      </w:r>
      <w:r>
        <w:t xml:space="preserve"> </w:t>
      </w:r>
      <w:r>
        <w:tab/>
        <w:t xml:space="preserve">The figures the Netherlands submitted in Implementation Questionnaire 2010-2012 do not differentiate between landfills for hazardous waste, non-hazardous waste or inert waste. </w:t>
      </w:r>
    </w:p>
  </w:footnote>
  <w:footnote w:id="17">
    <w:p>
      <w:pPr>
        <w:pStyle w:val="FootnoteText"/>
        <w:ind w:left="426" w:hanging="426"/>
      </w:pPr>
      <w:r>
        <w:rPr>
          <w:rStyle w:val="FootnoteReference"/>
        </w:rPr>
        <w:footnoteRef/>
      </w:r>
      <w:r>
        <w:t xml:space="preserve"> </w:t>
      </w:r>
      <w:r>
        <w:tab/>
        <w:t>The figures Romania submitted in Implementation Questionnaire 2010-2012 do not differentiate between landfills for hazardous waste, non-hazardous waste or inert waste.</w:t>
      </w:r>
    </w:p>
  </w:footnote>
  <w:footnote w:id="18">
    <w:p>
      <w:pPr>
        <w:pStyle w:val="FootnoteText"/>
        <w:ind w:left="426" w:hanging="426"/>
        <w:rPr>
          <w:lang w:val="ca-ES"/>
        </w:rPr>
      </w:pPr>
      <w:r>
        <w:rPr>
          <w:rStyle w:val="FootnoteReference"/>
        </w:rPr>
        <w:footnoteRef/>
      </w:r>
      <w:r>
        <w:t xml:space="preserve"> </w:t>
      </w:r>
      <w:r>
        <w:tab/>
        <w:t>EUROSTAT estimate (phased out)</w:t>
      </w:r>
    </w:p>
  </w:footnote>
  <w:footnote w:id="19">
    <w:p>
      <w:pPr>
        <w:pStyle w:val="FootnoteText"/>
        <w:ind w:left="426" w:hanging="426"/>
      </w:pPr>
      <w:r>
        <w:rPr>
          <w:rStyle w:val="FootnoteReference"/>
        </w:rPr>
        <w:footnoteRef/>
      </w:r>
      <w:r>
        <w:t xml:space="preserve"> </w:t>
      </w:r>
      <w:r>
        <w:tab/>
        <w:t>EUROSTAT estimate (phased out)</w:t>
      </w:r>
    </w:p>
  </w:footnote>
  <w:footnote w:id="20">
    <w:p>
      <w:pPr>
        <w:pStyle w:val="FootnoteText"/>
        <w:ind w:left="426" w:hanging="426"/>
      </w:pPr>
      <w:r>
        <w:rPr>
          <w:rStyle w:val="FootnoteReference"/>
        </w:rPr>
        <w:footnoteRef/>
      </w:r>
      <w:r>
        <w:t xml:space="preserve"> </w:t>
      </w:r>
      <w:r>
        <w:tab/>
        <w:t>EUROSTAT estimate (phased out)</w:t>
      </w:r>
    </w:p>
  </w:footnote>
  <w:footnote w:id="21">
    <w:p>
      <w:pPr>
        <w:pStyle w:val="FootnoteText"/>
        <w:ind w:left="426" w:hanging="426"/>
      </w:pPr>
      <w:r>
        <w:rPr>
          <w:rStyle w:val="FootnoteReference"/>
        </w:rPr>
        <w:footnoteRef/>
      </w:r>
      <w:r>
        <w:t xml:space="preserve"> </w:t>
      </w:r>
      <w:r>
        <w:tab/>
        <w:t>Includes landfills for mineral waste and landfills for mixed waste.</w:t>
      </w:r>
    </w:p>
  </w:footnote>
  <w:footnote w:id="22">
    <w:p>
      <w:pPr>
        <w:pStyle w:val="FootnoteText"/>
        <w:ind w:left="426" w:hanging="426"/>
        <w:rPr>
          <w:lang w:val="ca-ES"/>
        </w:rPr>
      </w:pPr>
      <w:r>
        <w:rPr>
          <w:rStyle w:val="FootnoteReference"/>
        </w:rPr>
        <w:footnoteRef/>
      </w:r>
      <w:r>
        <w:t xml:space="preserve"> </w:t>
      </w:r>
      <w:r>
        <w:tab/>
        <w:t>Data refer to one of the two sites.</w:t>
      </w:r>
    </w:p>
  </w:footnote>
  <w:footnote w:id="23">
    <w:p>
      <w:pPr>
        <w:pStyle w:val="FootnoteText"/>
        <w:ind w:left="426" w:hanging="426"/>
      </w:pPr>
      <w:r>
        <w:rPr>
          <w:rStyle w:val="FootnoteReference"/>
        </w:rPr>
        <w:footnoteRef/>
      </w:r>
      <w:r>
        <w:t xml:space="preserve"> </w:t>
      </w:r>
      <w:r>
        <w:tab/>
        <w:t>The figures submitted by the Netherlands in Implementation Questionnaire 2010-2012 do not differentiate between landfills for hazardous waste, non-hazardous waste or inert waste.</w:t>
      </w:r>
    </w:p>
  </w:footnote>
  <w:footnote w:id="24">
    <w:p>
      <w:pPr>
        <w:pStyle w:val="FootnoteText"/>
        <w:ind w:left="426" w:hanging="426"/>
      </w:pPr>
      <w:r>
        <w:rPr>
          <w:rStyle w:val="FootnoteReference"/>
        </w:rPr>
        <w:footnoteRef/>
      </w:r>
      <w:r>
        <w:t xml:space="preserve"> </w:t>
      </w:r>
      <w:r>
        <w:tab/>
        <w:t>The figures Romania submitted in Implementation Questionnaire 2010-2012 do not differentiate between landfills for hazardous waste, non-hazardous waste or inert waste.</w:t>
      </w:r>
    </w:p>
  </w:footnote>
  <w:footnote w:id="25">
    <w:p>
      <w:pPr>
        <w:pStyle w:val="FootnoteText"/>
        <w:ind w:left="426" w:hanging="426"/>
        <w:rPr>
          <w:lang w:val="ca-ES"/>
        </w:rPr>
      </w:pPr>
      <w:r>
        <w:rPr>
          <w:rStyle w:val="FootnoteReference"/>
        </w:rPr>
        <w:footnoteRef/>
      </w:r>
      <w:r>
        <w:t xml:space="preserve"> EUROSTAT estimate (phased out)</w:t>
      </w:r>
    </w:p>
  </w:footnote>
  <w:footnote w:id="26">
    <w:p>
      <w:pPr>
        <w:pStyle w:val="FootnoteText"/>
        <w:ind w:left="426" w:hanging="426"/>
      </w:pPr>
      <w:r>
        <w:rPr>
          <w:rStyle w:val="FootnoteReference"/>
        </w:rPr>
        <w:footnoteRef/>
      </w:r>
      <w:r>
        <w:t xml:space="preserve"> EUROSTAT estimate (phased out)</w:t>
      </w:r>
    </w:p>
  </w:footnote>
  <w:footnote w:id="27">
    <w:p>
      <w:pPr>
        <w:pStyle w:val="FootnoteText"/>
        <w:ind w:left="426" w:hanging="426"/>
      </w:pPr>
      <w:r>
        <w:rPr>
          <w:rStyle w:val="FootnoteReference"/>
        </w:rPr>
        <w:footnoteRef/>
      </w:r>
      <w:r>
        <w:t xml:space="preserve"> EUROSTAT estimate (phased out)</w:t>
      </w:r>
    </w:p>
  </w:footnote>
  <w:footnote w:id="28">
    <w:p>
      <w:pPr>
        <w:pStyle w:val="FootnoteText"/>
        <w:ind w:left="426" w:hanging="426"/>
      </w:pPr>
      <w:r>
        <w:rPr>
          <w:rStyle w:val="FootnoteReference"/>
        </w:rPr>
        <w:footnoteRef/>
      </w:r>
      <w:r>
        <w:t xml:space="preserve"> </w:t>
      </w:r>
      <w:r>
        <w:tab/>
      </w:r>
      <w:r>
        <w:rPr>
          <w:i/>
        </w:rPr>
        <w:t>Database EUROSTAT.</w:t>
      </w:r>
      <w:r>
        <w:t xml:space="preserve"> Available at: </w:t>
      </w:r>
      <w:hyperlink r:id="rId4" w:history="1">
        <w:r>
          <w:rPr>
            <w:rStyle w:val="Hyperlink"/>
          </w:rPr>
          <w:t>http://ec.europa.eu/eurostat/web/environment/waste/database</w:t>
        </w:r>
      </w:hyperlink>
      <w:r>
        <w:t>. The table shows all available data at the time of writing this report.</w:t>
      </w:r>
    </w:p>
  </w:footnote>
  <w:footnote w:id="29">
    <w:p>
      <w:pPr>
        <w:pStyle w:val="FootnoteText"/>
        <w:ind w:left="426" w:hanging="426"/>
      </w:pPr>
      <w:r>
        <w:rPr>
          <w:rStyle w:val="FootnoteReference"/>
        </w:rPr>
        <w:footnoteRef/>
      </w:r>
      <w:r>
        <w:t xml:space="preserve"> </w:t>
      </w:r>
      <w:r>
        <w:tab/>
        <w:t>For comparative purposes, collection rates are calculated as an average percentage rate across battery types.</w:t>
      </w:r>
    </w:p>
  </w:footnote>
  <w:footnote w:id="30">
    <w:p>
      <w:pPr>
        <w:pStyle w:val="FootnoteText"/>
        <w:ind w:left="426" w:hanging="426"/>
      </w:pPr>
      <w:r>
        <w:rPr>
          <w:rStyle w:val="FootnoteReference"/>
        </w:rPr>
        <w:footnoteRef/>
      </w:r>
      <w:r>
        <w:t xml:space="preserve"> </w:t>
      </w:r>
      <w:r>
        <w:tab/>
        <w:t>The most recent year of data has been used for each Member State to show recycling efficiency across battery types between 2010 and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50C453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B1D2727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174D61"/>
    <w:multiLevelType w:val="multilevel"/>
    <w:tmpl w:val="F306DB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65A4DF6"/>
    <w:multiLevelType w:val="multilevel"/>
    <w:tmpl w:val="F8E622EE"/>
    <w:styleLink w:val="Style1"/>
    <w:lvl w:ilvl="0">
      <w:start w:val="1"/>
      <w:numFmt w:val="decimal"/>
      <w:lvlText w:val="%1)"/>
      <w:lvlJc w:val="left"/>
      <w:pPr>
        <w:ind w:left="720" w:hanging="360"/>
      </w:pPr>
      <w:rPr>
        <w:rFonts w:hint="default"/>
        <w:color w:val="F15D25"/>
      </w:rPr>
    </w:lvl>
    <w:lvl w:ilvl="1">
      <w:start w:val="1"/>
      <w:numFmt w:val="lowerLetter"/>
      <w:lvlText w:val="%2."/>
      <w:lvlJc w:val="left"/>
      <w:pPr>
        <w:ind w:left="1440" w:hanging="360"/>
      </w:pPr>
      <w:rPr>
        <w:rFonts w:hint="default"/>
        <w:color w:val="F15D25"/>
      </w:rPr>
    </w:lvl>
    <w:lvl w:ilvl="2">
      <w:start w:val="1"/>
      <w:numFmt w:val="lowerRoman"/>
      <w:lvlText w:val="%3."/>
      <w:lvlJc w:val="right"/>
      <w:pPr>
        <w:ind w:left="2160" w:hanging="180"/>
      </w:pPr>
      <w:rPr>
        <w:rFonts w:hint="default"/>
        <w:color w:val="F15D25"/>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7537A9"/>
    <w:multiLevelType w:val="multilevel"/>
    <w:tmpl w:val="0809001D"/>
    <w:styleLink w:val="EunomiaStyleBullets"/>
    <w:lvl w:ilvl="0">
      <w:start w:val="1"/>
      <w:numFmt w:val="bullet"/>
      <w:lvlText w:val=""/>
      <w:lvlJc w:val="left"/>
      <w:pPr>
        <w:ind w:left="360" w:hanging="360"/>
      </w:pPr>
      <w:rPr>
        <w:rFonts w:ascii="Symbol" w:hAnsi="Symbol" w:hint="default"/>
        <w:color w:val="F15D25"/>
      </w:rPr>
    </w:lvl>
    <w:lvl w:ilvl="1">
      <w:start w:val="1"/>
      <w:numFmt w:val="bullet"/>
      <w:lvlText w:val="o"/>
      <w:lvlJc w:val="left"/>
      <w:pPr>
        <w:ind w:left="720" w:hanging="360"/>
      </w:pPr>
      <w:rPr>
        <w:rFonts w:ascii="Symbol" w:hAnsi="Symbol" w:hint="default"/>
        <w:color w:val="F15D25"/>
      </w:rPr>
    </w:lvl>
    <w:lvl w:ilvl="2">
      <w:start w:val="1"/>
      <w:numFmt w:val="bullet"/>
      <w:lvlText w:val=""/>
      <w:lvlJc w:val="left"/>
      <w:pPr>
        <w:ind w:left="1080" w:hanging="360"/>
      </w:pPr>
      <w:rPr>
        <w:rFonts w:ascii="Wingdings" w:hAnsi="Wingdings" w:hint="default"/>
        <w:color w:val="F15D25"/>
      </w:rPr>
    </w:lvl>
    <w:lvl w:ilvl="3">
      <w:start w:val="1"/>
      <w:numFmt w:val="bullet"/>
      <w:lvlText w:val=""/>
      <w:lvlJc w:val="left"/>
      <w:pPr>
        <w:ind w:left="1440" w:hanging="360"/>
      </w:pPr>
      <w:rPr>
        <w:rFonts w:ascii="Symbol" w:hAnsi="Symbol" w:hint="default"/>
        <w:color w:val="F15D25"/>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8F019A"/>
    <w:multiLevelType w:val="multilevel"/>
    <w:tmpl w:val="0409001D"/>
    <w:styleLink w:val="StyleNumbered"/>
    <w:lvl w:ilvl="0">
      <w:start w:val="1"/>
      <w:numFmt w:val="decimal"/>
      <w:lvlText w:val="%1)"/>
      <w:lvlJc w:val="left"/>
      <w:pPr>
        <w:tabs>
          <w:tab w:val="num" w:pos="360"/>
        </w:tabs>
        <w:ind w:left="360" w:hanging="360"/>
      </w:pPr>
      <w:rPr>
        <w:rFonts w:ascii="Franklin Gothic Book" w:hAnsi="Franklin Gothic Book"/>
        <w:color w:val="auto"/>
        <w:sz w:val="24"/>
      </w:rPr>
    </w:lvl>
    <w:lvl w:ilvl="1">
      <w:start w:val="1"/>
      <w:numFmt w:val="upperLetter"/>
      <w:lvlText w:val="%2)"/>
      <w:lvlJc w:val="left"/>
      <w:pPr>
        <w:tabs>
          <w:tab w:val="num" w:pos="720"/>
        </w:tabs>
        <w:ind w:left="720" w:hanging="360"/>
      </w:pPr>
      <w:rPr>
        <w:rFonts w:ascii="Franklin Gothic Book" w:hAnsi="Franklin Gothic Book"/>
        <w:color w:val="auto"/>
        <w:sz w:val="24"/>
      </w:rPr>
    </w:lvl>
    <w:lvl w:ilvl="2">
      <w:start w:val="1"/>
      <w:numFmt w:val="lowerRoman"/>
      <w:lvlText w:val="%3)"/>
      <w:lvlJc w:val="left"/>
      <w:pPr>
        <w:tabs>
          <w:tab w:val="num" w:pos="1080"/>
        </w:tabs>
        <w:ind w:left="1080" w:hanging="360"/>
      </w:pPr>
      <w:rPr>
        <w:rFonts w:ascii="Franklin Gothic Book" w:hAnsi="Franklin Gothic Book"/>
        <w:color w:val="auto"/>
        <w:sz w:val="24"/>
      </w:rPr>
    </w:lvl>
    <w:lvl w:ilvl="3">
      <w:start w:val="1"/>
      <w:numFmt w:val="lowerLetter"/>
      <w:lvlText w:val="(%4)"/>
      <w:lvlJc w:val="left"/>
      <w:pPr>
        <w:tabs>
          <w:tab w:val="num" w:pos="1440"/>
        </w:tabs>
        <w:ind w:left="1440" w:hanging="360"/>
      </w:pPr>
      <w:rPr>
        <w:rFonts w:ascii="Franklin Gothic Book" w:hAnsi="Franklin Gothic Book"/>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9C4A68"/>
    <w:multiLevelType w:val="hybridMultilevel"/>
    <w:tmpl w:val="F8E622EE"/>
    <w:lvl w:ilvl="0" w:tplc="FC944400">
      <w:start w:val="1"/>
      <w:numFmt w:val="decimal"/>
      <w:pStyle w:val="StyleNumbering"/>
      <w:lvlText w:val="%1)"/>
      <w:lvlJc w:val="left"/>
      <w:pPr>
        <w:ind w:left="720" w:hanging="360"/>
      </w:pPr>
      <w:rPr>
        <w:rFonts w:hint="default"/>
        <w:color w:val="F15D25"/>
      </w:rPr>
    </w:lvl>
    <w:lvl w:ilvl="1" w:tplc="CB60A54C">
      <w:start w:val="1"/>
      <w:numFmt w:val="lowerLetter"/>
      <w:lvlText w:val="%2."/>
      <w:lvlJc w:val="left"/>
      <w:pPr>
        <w:ind w:left="1440" w:hanging="360"/>
      </w:pPr>
      <w:rPr>
        <w:rFonts w:hint="default"/>
        <w:color w:val="F15D25"/>
      </w:rPr>
    </w:lvl>
    <w:lvl w:ilvl="2" w:tplc="93B29D46">
      <w:start w:val="1"/>
      <w:numFmt w:val="lowerRoman"/>
      <w:lvlText w:val="%3."/>
      <w:lvlJc w:val="right"/>
      <w:pPr>
        <w:ind w:left="2160" w:hanging="180"/>
      </w:pPr>
      <w:rPr>
        <w:rFonts w:hint="default"/>
        <w:color w:val="F15D25"/>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6B4C3C"/>
    <w:multiLevelType w:val="hybridMultilevel"/>
    <w:tmpl w:val="280A79BA"/>
    <w:lvl w:ilvl="0" w:tplc="4790B7EE">
      <w:start w:val="1"/>
      <w:numFmt w:val="bullet"/>
      <w:lvlText w:val=""/>
      <w:lvlJc w:val="left"/>
      <w:pPr>
        <w:ind w:left="360" w:hanging="360"/>
      </w:pPr>
      <w:rPr>
        <w:rFonts w:ascii="Wingdings 2" w:hAnsi="Wingdings 2" w:hint="default"/>
        <w:color w:val="FFC0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2362F8"/>
    <w:multiLevelType w:val="hybridMultilevel"/>
    <w:tmpl w:val="26B44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4E095F"/>
    <w:multiLevelType w:val="hybridMultilevel"/>
    <w:tmpl w:val="50E4A4DE"/>
    <w:lvl w:ilvl="0" w:tplc="51A80522">
      <w:start w:val="1"/>
      <w:numFmt w:val="bullet"/>
      <w:lvlText w:val=""/>
      <w:lvlJc w:val="left"/>
      <w:pPr>
        <w:ind w:left="360" w:hanging="360"/>
      </w:pPr>
      <w:rPr>
        <w:rFonts w:ascii="Wingdings 2" w:hAnsi="Wingdings 2" w:hint="default"/>
        <w:color w:val="76923C" w:themeColor="accent3" w:themeShade="BF"/>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18396D"/>
    <w:multiLevelType w:val="multilevel"/>
    <w:tmpl w:val="120CDC52"/>
    <w:styleLink w:val="StyleEunomiaBullets"/>
    <w:lvl w:ilvl="0">
      <w:start w:val="1"/>
      <w:numFmt w:val="bullet"/>
      <w:lvlText w:val=""/>
      <w:lvlJc w:val="left"/>
      <w:pPr>
        <w:ind w:left="1080" w:hanging="360"/>
      </w:pPr>
      <w:rPr>
        <w:rFonts w:ascii="Symbol" w:hAnsi="Symbol" w:hint="default"/>
        <w:color w:val="F15D25"/>
      </w:rPr>
    </w:lvl>
    <w:lvl w:ilvl="1">
      <w:start w:val="1"/>
      <w:numFmt w:val="bullet"/>
      <w:lvlText w:val="o"/>
      <w:lvlJc w:val="left"/>
      <w:pPr>
        <w:ind w:left="1800" w:hanging="360"/>
      </w:pPr>
      <w:rPr>
        <w:rFonts w:ascii="Courier New" w:hAnsi="Courier New" w:hint="default"/>
        <w:color w:val="F15D25"/>
      </w:rPr>
    </w:lvl>
    <w:lvl w:ilvl="2">
      <w:start w:val="1"/>
      <w:numFmt w:val="bullet"/>
      <w:lvlText w:val=""/>
      <w:lvlJc w:val="left"/>
      <w:pPr>
        <w:ind w:left="2520" w:hanging="360"/>
      </w:pPr>
      <w:rPr>
        <w:rFonts w:ascii="Wingdings" w:hAnsi="Wingdings" w:hint="default"/>
        <w:color w:val="F15D25"/>
      </w:rPr>
    </w:lvl>
    <w:lvl w:ilvl="3">
      <w:start w:val="1"/>
      <w:numFmt w:val="bullet"/>
      <w:lvlText w:val=""/>
      <w:lvlJc w:val="left"/>
      <w:pPr>
        <w:ind w:left="3240" w:hanging="360"/>
      </w:pPr>
      <w:rPr>
        <w:rFonts w:ascii="Symbol" w:hAnsi="Symbol" w:hint="default"/>
        <w:color w:val="F15D25"/>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3EBC75DA"/>
    <w:multiLevelType w:val="multilevel"/>
    <w:tmpl w:val="2B3E734A"/>
    <w:styleLink w:val="StyleBulleted"/>
    <w:lvl w:ilvl="0">
      <w:start w:val="1"/>
      <w:numFmt w:val="bullet"/>
      <w:lvlText w:val=""/>
      <w:lvlJc w:val="left"/>
      <w:pPr>
        <w:tabs>
          <w:tab w:val="num" w:pos="720"/>
        </w:tabs>
        <w:ind w:left="720" w:hanging="360"/>
      </w:pPr>
      <w:rPr>
        <w:rFonts w:ascii="Wingdings" w:hAnsi="Wingdings" w:hint="default"/>
        <w:color w:val="808000"/>
        <w:sz w:val="24"/>
        <w:szCs w:val="24"/>
      </w:rPr>
    </w:lvl>
    <w:lvl w:ilvl="1">
      <w:start w:val="1"/>
      <w:numFmt w:val="bullet"/>
      <w:lvlText w:val=""/>
      <w:lvlJc w:val="left"/>
      <w:pPr>
        <w:tabs>
          <w:tab w:val="num" w:pos="1440"/>
        </w:tabs>
        <w:ind w:left="1440" w:hanging="360"/>
      </w:pPr>
      <w:rPr>
        <w:rFonts w:ascii="Symbol" w:hAnsi="Symbol" w:cs="Courier New"/>
        <w:color w:val="808000"/>
      </w:rPr>
    </w:lvl>
    <w:lvl w:ilvl="2">
      <w:start w:val="1"/>
      <w:numFmt w:val="bullet"/>
      <w:lvlText w:val="o"/>
      <w:lvlJc w:val="left"/>
      <w:pPr>
        <w:tabs>
          <w:tab w:val="num" w:pos="2160"/>
        </w:tabs>
        <w:ind w:left="2160" w:hanging="360"/>
      </w:pPr>
      <w:rPr>
        <w:rFonts w:ascii="Courier New" w:hAnsi="Courier New"/>
        <w:color w:val="808000"/>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FD757FD"/>
    <w:multiLevelType w:val="multilevel"/>
    <w:tmpl w:val="750CCF96"/>
    <w:lvl w:ilvl="0">
      <w:start w:val="1"/>
      <w:numFmt w:val="decimal"/>
      <w:pStyle w:val="ExecSummHead1"/>
      <w:lvlText w:val="E.%1.0"/>
      <w:lvlJc w:val="left"/>
      <w:pPr>
        <w:tabs>
          <w:tab w:val="num" w:pos="432"/>
        </w:tabs>
        <w:ind w:left="432" w:hanging="432"/>
      </w:pPr>
      <w:rPr>
        <w:rFonts w:hint="default"/>
      </w:rPr>
    </w:lvl>
    <w:lvl w:ilvl="1">
      <w:start w:val="1"/>
      <w:numFmt w:val="decimal"/>
      <w:pStyle w:val="ExecSummHead2"/>
      <w:lvlText w:val="E.%1.%2"/>
      <w:lvlJc w:val="left"/>
      <w:pPr>
        <w:tabs>
          <w:tab w:val="num" w:pos="576"/>
        </w:tabs>
        <w:ind w:left="576" w:hanging="576"/>
      </w:pPr>
      <w:rPr>
        <w:rFonts w:hint="default"/>
      </w:rPr>
    </w:lvl>
    <w:lvl w:ilvl="2">
      <w:start w:val="1"/>
      <w:numFmt w:val="decimal"/>
      <w:pStyle w:val="ExecSummHead3"/>
      <w:lvlText w:val="%1.%2.%3"/>
      <w:lvlJc w:val="left"/>
      <w:pPr>
        <w:tabs>
          <w:tab w:val="num" w:pos="720"/>
        </w:tabs>
        <w:ind w:left="720" w:hanging="720"/>
      </w:pPr>
      <w:rPr>
        <w:rFonts w:hint="default"/>
      </w:rPr>
    </w:lvl>
    <w:lvl w:ilvl="3">
      <w:start w:val="1"/>
      <w:numFmt w:val="decimal"/>
      <w:pStyle w:val="ExecSummHead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2D82A2F"/>
    <w:multiLevelType w:val="hybridMultilevel"/>
    <w:tmpl w:val="D93C8F72"/>
    <w:lvl w:ilvl="0" w:tplc="6F7431E4">
      <w:start w:val="1"/>
      <w:numFmt w:val="bullet"/>
      <w:lvlText w:val=""/>
      <w:lvlJc w:val="left"/>
      <w:pPr>
        <w:ind w:left="360" w:hanging="360"/>
      </w:pPr>
      <w:rPr>
        <w:rFonts w:ascii="Wingdings 2" w:hAnsi="Wingdings 2" w:hint="default"/>
        <w:color w:val="E36C0A" w:themeColor="accent6" w:themeShade="BF"/>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6EB6DFD"/>
    <w:multiLevelType w:val="hybridMultilevel"/>
    <w:tmpl w:val="90F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11074E"/>
    <w:multiLevelType w:val="hybridMultilevel"/>
    <w:tmpl w:val="D64228A6"/>
    <w:lvl w:ilvl="0" w:tplc="CFEC181E">
      <w:start w:val="1"/>
      <w:numFmt w:val="bullet"/>
      <w:lvlText w:val=""/>
      <w:lvlJc w:val="left"/>
      <w:pPr>
        <w:ind w:left="360" w:hanging="360"/>
      </w:pPr>
      <w:rPr>
        <w:rFonts w:ascii="Wingdings 2" w:hAnsi="Wingdings 2" w:hint="default"/>
        <w:color w:val="548DD4" w:themeColor="text2" w:themeTint="9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0A435D2"/>
    <w:multiLevelType w:val="hybridMultilevel"/>
    <w:tmpl w:val="6F3825EA"/>
    <w:lvl w:ilvl="0" w:tplc="EE524476">
      <w:start w:val="67"/>
      <w:numFmt w:val="bullet"/>
      <w:pStyle w:val="AppendixHeading3"/>
      <w:lvlText w:val="-"/>
      <w:lvlJc w:val="left"/>
      <w:pPr>
        <w:ind w:left="360" w:hanging="360"/>
      </w:pPr>
      <w:rPr>
        <w:rFonts w:ascii="Calibri" w:eastAsia="Times New Roman" w:hAnsi="Calibri" w:cs="Times New Roman" w:hint="default"/>
        <w:b w:val="0"/>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2E06460"/>
    <w:multiLevelType w:val="hybridMultilevel"/>
    <w:tmpl w:val="542A2E92"/>
    <w:lvl w:ilvl="0" w:tplc="5528470E">
      <w:start w:val="1"/>
      <w:numFmt w:val="bullet"/>
      <w:lvlText w:val=""/>
      <w:lvlJc w:val="left"/>
      <w:pPr>
        <w:ind w:left="357" w:hanging="360"/>
      </w:pPr>
      <w:rPr>
        <w:rFonts w:ascii="Wingdings 2" w:hAnsi="Wingdings 2" w:hint="default"/>
        <w:color w:val="76923C" w:themeColor="accent3" w:themeShade="BF"/>
        <w:sz w:val="24"/>
        <w:szCs w:val="24"/>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8">
    <w:nsid w:val="69D02016"/>
    <w:multiLevelType w:val="hybridMultilevel"/>
    <w:tmpl w:val="F9EC5BD4"/>
    <w:lvl w:ilvl="0" w:tplc="61BA9E5E">
      <w:start w:val="1"/>
      <w:numFmt w:val="decimal"/>
      <w:pStyle w:val="NumberedParagraphs"/>
      <w:lvlText w:val="%1."/>
      <w:lvlJc w:val="left"/>
      <w:pPr>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E4259E"/>
    <w:multiLevelType w:val="hybridMultilevel"/>
    <w:tmpl w:val="8FFAD5D0"/>
    <w:lvl w:ilvl="0" w:tplc="08090001">
      <w:start w:val="1"/>
      <w:numFmt w:val="bullet"/>
      <w:lvlText w:val=""/>
      <w:lvlJc w:val="left"/>
      <w:pPr>
        <w:ind w:left="720" w:hanging="360"/>
      </w:pPr>
      <w:rPr>
        <w:rFonts w:ascii="Symbol" w:hAnsi="Symbo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46F1241"/>
    <w:multiLevelType w:val="hybridMultilevel"/>
    <w:tmpl w:val="B1906720"/>
    <w:lvl w:ilvl="0" w:tplc="969C553E">
      <w:start w:val="1"/>
      <w:numFmt w:val="bullet"/>
      <w:lvlText w:val=""/>
      <w:lvlJc w:val="left"/>
      <w:pPr>
        <w:ind w:left="357" w:hanging="360"/>
      </w:pPr>
      <w:rPr>
        <w:rFonts w:ascii="Wingdings 2" w:hAnsi="Wingdings 2" w:hint="default"/>
        <w:color w:val="FFC000"/>
        <w:sz w:val="24"/>
        <w:szCs w:val="24"/>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abstractNumId w:val="12"/>
  </w:num>
  <w:num w:numId="2">
    <w:abstractNumId w:val="11"/>
  </w:num>
  <w:num w:numId="3">
    <w:abstractNumId w:val="5"/>
  </w:num>
  <w:num w:numId="4">
    <w:abstractNumId w:val="18"/>
  </w:num>
  <w:num w:numId="5">
    <w:abstractNumId w:val="2"/>
  </w:num>
  <w:num w:numId="6">
    <w:abstractNumId w:val="6"/>
  </w:num>
  <w:num w:numId="7">
    <w:abstractNumId w:val="0"/>
  </w:num>
  <w:num w:numId="8">
    <w:abstractNumId w:val="3"/>
  </w:num>
  <w:num w:numId="9">
    <w:abstractNumId w:val="10"/>
  </w:num>
  <w:num w:numId="10">
    <w:abstractNumId w:val="4"/>
  </w:num>
  <w:num w:numId="11">
    <w:abstractNumId w:val="16"/>
  </w:num>
  <w:num w:numId="12">
    <w:abstractNumId w:val="1"/>
  </w:num>
  <w:num w:numId="13">
    <w:abstractNumId w:val="19"/>
  </w:num>
  <w:num w:numId="14">
    <w:abstractNumId w:val="14"/>
  </w:num>
  <w:num w:numId="15">
    <w:abstractNumId w:val="8"/>
  </w:num>
  <w:num w:numId="16">
    <w:abstractNumId w:val="13"/>
  </w:num>
  <w:num w:numId="17">
    <w:abstractNumId w:val="15"/>
  </w:num>
  <w:num w:numId="18">
    <w:abstractNumId w:val="7"/>
  </w:num>
  <w:num w:numId="19">
    <w:abstractNumId w:val="9"/>
  </w:num>
  <w:num w:numId="20">
    <w:abstractNumId w:val="17"/>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56A9BF378A441F788A4A2983528D8A4"/>
    <w:docVar w:name="LW_CROSSREFERENCE" w:val="&lt;UNUSED&gt;"/>
    <w:docVar w:name="LW_DocType" w:val="NORMAL"/>
    <w:docVar w:name="LW_EMISSION" w:val="27.2.2017"/>
    <w:docVar w:name="LW_EMISSION_ISODATE" w:val="2017-02-27"/>
    <w:docVar w:name="LW_EMISSION_LOCATION" w:val="BRX"/>
    <w:docVar w:name="LW_EMISSION_PREFIX" w:val="Brussels, "/>
    <w:docVar w:name="LW_EMISSION_SUFFIX" w:val=" "/>
    <w:docVar w:name="LW_ID_DOCTYPE_NONLW" w:val="CP-008"/>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88"/>
    <w:docVar w:name="LW_REF.INTERNE" w:val="&lt;UNUSED&gt;"/>
    <w:docVar w:name="LW_SOUS.TITRE.OBJ.CP" w:val="&lt;UNUSED&gt;"/>
    <w:docVar w:name="LW_SUPERTITRE" w:val="&lt;UNUSED&gt;"/>
    <w:docVar w:name="LW_TITRE.OBJ.CP" w:val="on the implementation of EU waste legislation for the period 2010-2012_x000b__x000b_Implementation of Directive 2008/98/EC on waste, Directive 86/278/EEC on sewage sludge, Directive 1999/31/EC on the landfill of waste, Directive 94/62/EC on packaging and packaging waste, Directive 2002/96/EC on waste electrical and electronic equipment (WEEE), and Directive 2006/66/EC on batteries and accumulators"/>
    <w:docVar w:name="LW_TYPE.DOC.CP" w:val="REPORT FROM THE COMMISSION TO THE EUROPEAN PARLIAMENT,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5"/>
      </w:numPr>
      <w:spacing w:before="600" w:after="240" w:line="240" w:lineRule="auto"/>
      <w:jc w:val="both"/>
      <w:outlineLvl w:val="0"/>
    </w:pPr>
    <w:rPr>
      <w:rFonts w:ascii="Times New Roman" w:eastAsia="Times New Roman" w:hAnsi="Times New Roman" w:cs="Times New Roman"/>
      <w:b/>
      <w:bCs/>
      <w:caps/>
      <w:noProof/>
      <w:sz w:val="24"/>
      <w:szCs w:val="24"/>
      <w:lang w:eastAsia="en-GB"/>
    </w:rPr>
  </w:style>
  <w:style w:type="paragraph" w:styleId="Heading2">
    <w:name w:val="heading 2"/>
    <w:basedOn w:val="Normal"/>
    <w:next w:val="Normal"/>
    <w:link w:val="Heading2Char"/>
    <w:qFormat/>
    <w:pPr>
      <w:keepNext/>
      <w:numPr>
        <w:ilvl w:val="1"/>
        <w:numId w:val="5"/>
      </w:numPr>
      <w:spacing w:before="240" w:after="120" w:line="240" w:lineRule="auto"/>
      <w:jc w:val="both"/>
      <w:outlineLvl w:val="1"/>
    </w:pPr>
    <w:rPr>
      <w:rFonts w:ascii="Times New Roman" w:eastAsia="Times New Roman" w:hAnsi="Times New Roman" w:cs="Times New Roman"/>
      <w:b/>
      <w:bCs/>
      <w:iCs/>
      <w:sz w:val="24"/>
      <w:szCs w:val="24"/>
      <w:lang w:eastAsia="en-GB"/>
    </w:rPr>
  </w:style>
  <w:style w:type="paragraph" w:styleId="Heading3">
    <w:name w:val="heading 3"/>
    <w:basedOn w:val="Normal"/>
    <w:next w:val="Normal"/>
    <w:link w:val="Heading3Char"/>
    <w:qFormat/>
    <w:pPr>
      <w:keepNext/>
      <w:numPr>
        <w:ilvl w:val="2"/>
        <w:numId w:val="5"/>
      </w:numPr>
      <w:tabs>
        <w:tab w:val="left" w:pos="1134"/>
      </w:tabs>
      <w:spacing w:before="240" w:after="120" w:line="240" w:lineRule="auto"/>
      <w:outlineLvl w:val="2"/>
    </w:pPr>
    <w:rPr>
      <w:rFonts w:ascii="Arial" w:eastAsia="Times New Roman" w:hAnsi="Arial" w:cs="Arial"/>
      <w:b/>
      <w:bCs/>
      <w:color w:val="00A79D"/>
      <w:sz w:val="26"/>
      <w:szCs w:val="26"/>
      <w:lang w:eastAsia="en-GB"/>
    </w:rPr>
  </w:style>
  <w:style w:type="paragraph" w:styleId="Heading4">
    <w:name w:val="heading 4"/>
    <w:basedOn w:val="Normal"/>
    <w:next w:val="Normal"/>
    <w:link w:val="Heading4Char"/>
    <w:autoRedefine/>
    <w:qFormat/>
    <w:pPr>
      <w:keepNext/>
      <w:numPr>
        <w:ilvl w:val="3"/>
        <w:numId w:val="5"/>
      </w:numPr>
      <w:tabs>
        <w:tab w:val="left" w:pos="1134"/>
      </w:tabs>
      <w:spacing w:before="240" w:after="120" w:line="240" w:lineRule="auto"/>
      <w:outlineLvl w:val="3"/>
    </w:pPr>
    <w:rPr>
      <w:rFonts w:ascii="Arial" w:eastAsia="Times New Roman" w:hAnsi="Arial" w:cs="Arial"/>
      <w:b/>
      <w:bCs/>
      <w:noProof/>
      <w:color w:val="00A79D"/>
      <w:sz w:val="24"/>
      <w:szCs w:val="28"/>
      <w:lang w:eastAsia="en-GB"/>
    </w:rPr>
  </w:style>
  <w:style w:type="paragraph" w:styleId="Heading5">
    <w:name w:val="heading 5"/>
    <w:basedOn w:val="Normal"/>
    <w:next w:val="Normal"/>
    <w:link w:val="Heading5Char"/>
    <w:autoRedefine/>
    <w:qFormat/>
    <w:pPr>
      <w:keepNext/>
      <w:spacing w:before="120" w:after="120" w:line="240" w:lineRule="auto"/>
      <w:outlineLvl w:val="4"/>
    </w:pPr>
    <w:rPr>
      <w:rFonts w:ascii="Arial" w:eastAsia="Times New Roman" w:hAnsi="Arial" w:cs="Arial"/>
      <w:b/>
      <w:color w:val="00A79D"/>
      <w:lang w:eastAsia="en-GB"/>
    </w:rPr>
  </w:style>
  <w:style w:type="paragraph" w:styleId="Heading6">
    <w:name w:val="heading 6"/>
    <w:basedOn w:val="Normal"/>
    <w:next w:val="Normal"/>
    <w:link w:val="Heading6Char"/>
    <w:autoRedefine/>
    <w:qFormat/>
    <w:pPr>
      <w:numPr>
        <w:ilvl w:val="5"/>
        <w:numId w:val="5"/>
      </w:numPr>
      <w:spacing w:before="240" w:after="60" w:line="240" w:lineRule="auto"/>
      <w:outlineLvl w:val="5"/>
    </w:pPr>
    <w:rPr>
      <w:rFonts w:ascii="Calibri" w:eastAsia="Times New Roman" w:hAnsi="Calibri" w:cs="Arial"/>
      <w:b/>
      <w:bCs/>
      <w:sz w:val="24"/>
      <w:lang w:eastAsia="en-GB"/>
    </w:rPr>
  </w:style>
  <w:style w:type="paragraph" w:styleId="Heading7">
    <w:name w:val="heading 7"/>
    <w:basedOn w:val="Normal"/>
    <w:next w:val="Normal"/>
    <w:link w:val="Heading7Char"/>
    <w:autoRedefine/>
    <w:qFormat/>
    <w:pPr>
      <w:numPr>
        <w:ilvl w:val="6"/>
        <w:numId w:val="5"/>
      </w:numPr>
      <w:spacing w:before="240" w:after="60" w:line="240" w:lineRule="auto"/>
      <w:outlineLvl w:val="6"/>
    </w:pPr>
    <w:rPr>
      <w:rFonts w:ascii="Calibri" w:eastAsia="Times New Roman" w:hAnsi="Calibri" w:cs="Arial"/>
      <w:sz w:val="24"/>
      <w:szCs w:val="24"/>
      <w:lang w:eastAsia="en-GB"/>
    </w:rPr>
  </w:style>
  <w:style w:type="paragraph" w:styleId="Heading8">
    <w:name w:val="heading 8"/>
    <w:basedOn w:val="Normal"/>
    <w:next w:val="Normal"/>
    <w:link w:val="Heading8Char"/>
    <w:autoRedefine/>
    <w:qFormat/>
    <w:pPr>
      <w:numPr>
        <w:ilvl w:val="7"/>
        <w:numId w:val="5"/>
      </w:numPr>
      <w:spacing w:before="240" w:after="60" w:line="240" w:lineRule="auto"/>
      <w:outlineLvl w:val="7"/>
    </w:pPr>
    <w:rPr>
      <w:rFonts w:ascii="Calibri" w:eastAsia="Times New Roman" w:hAnsi="Calibri" w:cs="Arial"/>
      <w:i/>
      <w:iCs/>
      <w:sz w:val="24"/>
      <w:szCs w:val="24"/>
      <w:lang w:eastAsia="en-GB"/>
    </w:rPr>
  </w:style>
  <w:style w:type="paragraph" w:styleId="Heading9">
    <w:name w:val="heading 9"/>
    <w:basedOn w:val="Normal"/>
    <w:next w:val="Normal"/>
    <w:link w:val="Heading9Char"/>
    <w:autoRedefine/>
    <w:qFormat/>
    <w:pPr>
      <w:numPr>
        <w:ilvl w:val="8"/>
        <w:numId w:val="5"/>
      </w:numPr>
      <w:spacing w:before="240" w:after="60" w:line="240" w:lineRule="auto"/>
      <w:outlineLvl w:val="8"/>
    </w:pPr>
    <w:rPr>
      <w:rFonts w:ascii="Calibri" w:eastAsia="Times New Roman" w:hAnsi="Calibri" w:cs="Arial"/>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caps/>
      <w:noProof/>
      <w:sz w:val="24"/>
      <w:szCs w:val="24"/>
      <w:lang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4"/>
      <w:lang w:eastAsia="en-GB"/>
    </w:rPr>
  </w:style>
  <w:style w:type="character" w:customStyle="1" w:styleId="Heading3Char">
    <w:name w:val="Heading 3 Char"/>
    <w:basedOn w:val="DefaultParagraphFont"/>
    <w:link w:val="Heading3"/>
    <w:rPr>
      <w:rFonts w:ascii="Arial" w:eastAsia="Times New Roman" w:hAnsi="Arial" w:cs="Arial"/>
      <w:b/>
      <w:bCs/>
      <w:color w:val="00A79D"/>
      <w:sz w:val="26"/>
      <w:szCs w:val="26"/>
      <w:lang w:eastAsia="en-GB"/>
    </w:rPr>
  </w:style>
  <w:style w:type="character" w:customStyle="1" w:styleId="Heading4Char">
    <w:name w:val="Heading 4 Char"/>
    <w:basedOn w:val="DefaultParagraphFont"/>
    <w:link w:val="Heading4"/>
    <w:rPr>
      <w:rFonts w:ascii="Arial" w:eastAsia="Times New Roman" w:hAnsi="Arial" w:cs="Arial"/>
      <w:b/>
      <w:bCs/>
      <w:noProof/>
      <w:color w:val="00A79D"/>
      <w:sz w:val="24"/>
      <w:szCs w:val="28"/>
      <w:lang w:eastAsia="en-GB"/>
    </w:rPr>
  </w:style>
  <w:style w:type="character" w:customStyle="1" w:styleId="Heading5Char">
    <w:name w:val="Heading 5 Char"/>
    <w:basedOn w:val="DefaultParagraphFont"/>
    <w:link w:val="Heading5"/>
    <w:rPr>
      <w:rFonts w:ascii="Arial" w:eastAsia="Times New Roman" w:hAnsi="Arial" w:cs="Arial"/>
      <w:b/>
      <w:color w:val="00A79D"/>
      <w:lang w:eastAsia="en-GB"/>
    </w:rPr>
  </w:style>
  <w:style w:type="character" w:customStyle="1" w:styleId="Heading6Char">
    <w:name w:val="Heading 6 Char"/>
    <w:basedOn w:val="DefaultParagraphFont"/>
    <w:link w:val="Heading6"/>
    <w:rPr>
      <w:rFonts w:ascii="Calibri" w:eastAsia="Times New Roman" w:hAnsi="Calibri" w:cs="Arial"/>
      <w:b/>
      <w:bCs/>
      <w:sz w:val="24"/>
      <w:lang w:eastAsia="en-GB"/>
    </w:rPr>
  </w:style>
  <w:style w:type="character" w:customStyle="1" w:styleId="Heading7Char">
    <w:name w:val="Heading 7 Char"/>
    <w:basedOn w:val="DefaultParagraphFont"/>
    <w:link w:val="Heading7"/>
    <w:rPr>
      <w:rFonts w:ascii="Calibri" w:eastAsia="Times New Roman" w:hAnsi="Calibri" w:cs="Arial"/>
      <w:sz w:val="24"/>
      <w:szCs w:val="24"/>
      <w:lang w:eastAsia="en-GB"/>
    </w:rPr>
  </w:style>
  <w:style w:type="character" w:customStyle="1" w:styleId="Heading8Char">
    <w:name w:val="Heading 8 Char"/>
    <w:basedOn w:val="DefaultParagraphFont"/>
    <w:link w:val="Heading8"/>
    <w:rPr>
      <w:rFonts w:ascii="Calibri" w:eastAsia="Times New Roman" w:hAnsi="Calibri" w:cs="Arial"/>
      <w:i/>
      <w:iCs/>
      <w:sz w:val="24"/>
      <w:szCs w:val="24"/>
      <w:lang w:eastAsia="en-GB"/>
    </w:rPr>
  </w:style>
  <w:style w:type="character" w:customStyle="1" w:styleId="Heading9Char">
    <w:name w:val="Heading 9 Char"/>
    <w:basedOn w:val="DefaultParagraphFont"/>
    <w:link w:val="Heading9"/>
    <w:rPr>
      <w:rFonts w:ascii="Calibri" w:eastAsia="Times New Roman" w:hAnsi="Calibri" w:cs="Arial"/>
      <w:sz w:val="24"/>
      <w:lang w:eastAsia="en-GB"/>
    </w:rPr>
  </w:style>
  <w:style w:type="numbering" w:customStyle="1" w:styleId="NoList1">
    <w:name w:val="No List1"/>
    <w:next w:val="NoList"/>
    <w:uiPriority w:val="99"/>
    <w:semiHidden/>
    <w:unhideWhenUsed/>
  </w:style>
  <w:style w:type="character" w:styleId="PageNumber">
    <w:name w:val="page number"/>
    <w:rPr>
      <w:rFonts w:ascii="Franklin Gothic Book" w:hAnsi="Franklin Gothic Book"/>
      <w:color w:val="808000"/>
    </w:rPr>
  </w:style>
  <w:style w:type="character" w:styleId="FollowedHyperlink">
    <w:name w:val="FollowedHyperlink"/>
    <w:rPr>
      <w:rFonts w:ascii="Franklin Gothic Book" w:hAnsi="Franklin Gothic Book"/>
      <w:color w:val="800080"/>
      <w:u w:val="single"/>
    </w:rPr>
  </w:style>
  <w:style w:type="paragraph" w:customStyle="1" w:styleId="ExecSummHead1">
    <w:name w:val="Exec Summ Head 1"/>
    <w:basedOn w:val="Heading1"/>
    <w:next w:val="Normal"/>
    <w:qFormat/>
    <w:pPr>
      <w:numPr>
        <w:numId w:val="1"/>
      </w:numPr>
      <w:tabs>
        <w:tab w:val="clear" w:pos="432"/>
      </w:tabs>
      <w:ind w:left="1134" w:hanging="1134"/>
    </w:pPr>
    <w:rPr>
      <w:sz w:val="36"/>
      <w:szCs w:val="36"/>
    </w:rPr>
  </w:style>
  <w:style w:type="paragraph" w:styleId="Caption">
    <w:name w:val="caption"/>
    <w:basedOn w:val="Normal"/>
    <w:next w:val="Normal"/>
    <w:link w:val="CaptionChar"/>
    <w:qFormat/>
    <w:pPr>
      <w:keepNext/>
      <w:spacing w:before="120" w:after="120" w:line="240" w:lineRule="auto"/>
    </w:pPr>
    <w:rPr>
      <w:rFonts w:ascii="Arial" w:eastAsia="Times New Roman" w:hAnsi="Arial" w:cs="Arial"/>
      <w:b/>
      <w:bCs/>
      <w:color w:val="00A79D"/>
      <w:sz w:val="24"/>
      <w:szCs w:val="20"/>
      <w:lang w:eastAsia="en-GB"/>
    </w:rPr>
  </w:style>
  <w:style w:type="paragraph" w:styleId="FootnoteText">
    <w:name w:val="footnote text"/>
    <w:basedOn w:val="Normal"/>
    <w:link w:val="FootnoteTextChar"/>
    <w:autoRedefine/>
    <w:qFormat/>
    <w:pPr>
      <w:spacing w:after="120" w:line="240" w:lineRule="auto"/>
      <w:ind w:right="44"/>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en-GB"/>
    </w:rPr>
  </w:style>
  <w:style w:type="character" w:styleId="FootnoteReference">
    <w:name w:val="footnote reference"/>
    <w:aliases w:val="SUPERS,EN Footnote Reference,Footnote reference number,Footnote symbol,note TESI,-E Fußnotenzeichen,number,16 Point,Superscript 6 Point,Footnote text,Footnote Reference Superscript,stylish,BVI fnr,Footnote call,(Footnote Reference),ft"/>
    <w:qFormat/>
    <w:rPr>
      <w:vertAlign w:val="superscript"/>
    </w:rPr>
  </w:style>
  <w:style w:type="paragraph" w:styleId="EndnoteText">
    <w:name w:val="endnote text"/>
    <w:basedOn w:val="Normal"/>
    <w:link w:val="EndnoteTextChar"/>
    <w:semiHidden/>
    <w:pPr>
      <w:keepNext/>
      <w:spacing w:before="120" w:after="120" w:line="240" w:lineRule="auto"/>
    </w:pPr>
    <w:rPr>
      <w:rFonts w:ascii="Calibri" w:eastAsia="Times New Roman" w:hAnsi="Calibri" w:cs="Arial"/>
      <w:color w:val="808000"/>
      <w:sz w:val="24"/>
      <w:szCs w:val="20"/>
      <w:lang w:eastAsia="en-GB"/>
    </w:rPr>
  </w:style>
  <w:style w:type="character" w:customStyle="1" w:styleId="EndnoteTextChar">
    <w:name w:val="Endnote Text Char"/>
    <w:basedOn w:val="DefaultParagraphFont"/>
    <w:link w:val="EndnoteText"/>
    <w:semiHidden/>
    <w:rPr>
      <w:rFonts w:ascii="Calibri" w:eastAsia="Times New Roman" w:hAnsi="Calibri" w:cs="Arial"/>
      <w:color w:val="808000"/>
      <w:sz w:val="24"/>
      <w:szCs w:val="20"/>
      <w:lang w:eastAsia="en-GB"/>
    </w:rPr>
  </w:style>
  <w:style w:type="character" w:styleId="EndnoteReference">
    <w:name w:val="endnote reference"/>
    <w:semiHidden/>
    <w:rPr>
      <w:vertAlign w:val="superscript"/>
    </w:rPr>
  </w:style>
  <w:style w:type="paragraph" w:customStyle="1" w:styleId="SectionHeading">
    <w:name w:val="Section Heading"/>
    <w:basedOn w:val="Normal"/>
    <w:next w:val="Normal"/>
    <w:autoRedefine/>
    <w:pPr>
      <w:spacing w:before="5400" w:after="120" w:line="240" w:lineRule="auto"/>
    </w:pPr>
    <w:rPr>
      <w:rFonts w:ascii="Calibri" w:eastAsia="Times New Roman" w:hAnsi="Calibri" w:cs="Arial"/>
      <w:color w:val="808000"/>
      <w:sz w:val="40"/>
      <w:szCs w:val="24"/>
      <w:lang w:eastAsia="en-GB"/>
    </w:rPr>
  </w:style>
  <w:style w:type="paragraph" w:styleId="TOC1">
    <w:name w:val="toc 1"/>
    <w:basedOn w:val="Normal"/>
    <w:next w:val="Normal"/>
    <w:autoRedefine/>
    <w:uiPriority w:val="39"/>
    <w:qFormat/>
    <w:pPr>
      <w:spacing w:before="120" w:after="120" w:line="240" w:lineRule="auto"/>
    </w:pPr>
    <w:rPr>
      <w:rFonts w:eastAsia="Times New Roman" w:cs="Arial"/>
      <w:b/>
      <w:bCs/>
      <w:caps/>
      <w:sz w:val="20"/>
      <w:szCs w:val="20"/>
      <w:lang w:eastAsia="en-GB"/>
    </w:rPr>
  </w:style>
  <w:style w:type="paragraph" w:styleId="TOC2">
    <w:name w:val="toc 2"/>
    <w:basedOn w:val="Normal"/>
    <w:next w:val="Normal"/>
    <w:uiPriority w:val="39"/>
    <w:qFormat/>
    <w:pPr>
      <w:spacing w:after="0" w:line="240" w:lineRule="auto"/>
      <w:ind w:left="240"/>
    </w:pPr>
    <w:rPr>
      <w:rFonts w:eastAsia="Times New Roman" w:cs="Arial"/>
      <w:smallCaps/>
      <w:sz w:val="20"/>
      <w:szCs w:val="20"/>
      <w:lang w:eastAsia="en-GB"/>
    </w:rPr>
  </w:style>
  <w:style w:type="paragraph" w:styleId="TOC3">
    <w:name w:val="toc 3"/>
    <w:basedOn w:val="Normal"/>
    <w:next w:val="Normal"/>
    <w:uiPriority w:val="39"/>
    <w:qFormat/>
    <w:pPr>
      <w:spacing w:after="0" w:line="240" w:lineRule="auto"/>
      <w:ind w:left="480"/>
    </w:pPr>
    <w:rPr>
      <w:rFonts w:eastAsia="Times New Roman" w:cs="Arial"/>
      <w:i/>
      <w:iCs/>
      <w:sz w:val="20"/>
      <w:szCs w:val="20"/>
      <w:lang w:eastAsia="en-GB"/>
    </w:rPr>
  </w:style>
  <w:style w:type="paragraph" w:styleId="TOC4">
    <w:name w:val="toc 4"/>
    <w:basedOn w:val="EXECSUMM"/>
    <w:next w:val="Normal"/>
    <w:autoRedefine/>
    <w:uiPriority w:val="39"/>
    <w:pPr>
      <w:pBdr>
        <w:bottom w:val="none" w:sz="0" w:space="0" w:color="auto"/>
      </w:pBdr>
      <w:spacing w:before="0" w:after="0" w:line="240" w:lineRule="auto"/>
      <w:ind w:left="720"/>
      <w:jc w:val="left"/>
    </w:pPr>
    <w:rPr>
      <w:rFonts w:asciiTheme="minorHAnsi" w:hAnsiTheme="minorHAnsi"/>
      <w:b w:val="0"/>
      <w:bCs w:val="0"/>
      <w:sz w:val="18"/>
      <w:szCs w:val="18"/>
    </w:rPr>
  </w:style>
  <w:style w:type="paragraph" w:styleId="TOC5">
    <w:name w:val="toc 5"/>
    <w:basedOn w:val="Normal"/>
    <w:next w:val="Normal"/>
    <w:autoRedefine/>
    <w:semiHidden/>
    <w:pPr>
      <w:spacing w:after="0" w:line="240" w:lineRule="auto"/>
      <w:ind w:left="960"/>
    </w:pPr>
    <w:rPr>
      <w:rFonts w:eastAsia="Times New Roman" w:cs="Arial"/>
      <w:sz w:val="18"/>
      <w:szCs w:val="18"/>
      <w:lang w:eastAsia="en-GB"/>
    </w:rPr>
  </w:style>
  <w:style w:type="paragraph" w:styleId="TOC6">
    <w:name w:val="toc 6"/>
    <w:basedOn w:val="Normal"/>
    <w:next w:val="Normal"/>
    <w:autoRedefine/>
    <w:semiHidden/>
    <w:pPr>
      <w:spacing w:after="0" w:line="240" w:lineRule="auto"/>
      <w:ind w:left="1200"/>
    </w:pPr>
    <w:rPr>
      <w:rFonts w:eastAsia="Times New Roman" w:cs="Arial"/>
      <w:sz w:val="18"/>
      <w:szCs w:val="18"/>
      <w:lang w:eastAsia="en-GB"/>
    </w:rPr>
  </w:style>
  <w:style w:type="paragraph" w:styleId="TOC7">
    <w:name w:val="toc 7"/>
    <w:basedOn w:val="Normal"/>
    <w:next w:val="Normal"/>
    <w:autoRedefine/>
    <w:semiHidden/>
    <w:pPr>
      <w:spacing w:after="0" w:line="240" w:lineRule="auto"/>
      <w:ind w:left="1440"/>
    </w:pPr>
    <w:rPr>
      <w:rFonts w:eastAsia="Times New Roman" w:cs="Arial"/>
      <w:sz w:val="18"/>
      <w:szCs w:val="18"/>
      <w:lang w:eastAsia="en-GB"/>
    </w:rPr>
  </w:style>
  <w:style w:type="paragraph" w:styleId="TOC8">
    <w:name w:val="toc 8"/>
    <w:basedOn w:val="Normal"/>
    <w:next w:val="Normal"/>
    <w:autoRedefine/>
    <w:semiHidden/>
    <w:pPr>
      <w:spacing w:after="0" w:line="240" w:lineRule="auto"/>
      <w:ind w:left="1680"/>
    </w:pPr>
    <w:rPr>
      <w:rFonts w:eastAsia="Times New Roman" w:cs="Arial"/>
      <w:sz w:val="18"/>
      <w:szCs w:val="18"/>
      <w:lang w:eastAsia="en-GB"/>
    </w:rPr>
  </w:style>
  <w:style w:type="paragraph" w:styleId="TOC9">
    <w:name w:val="toc 9"/>
    <w:basedOn w:val="Normal"/>
    <w:next w:val="Normal"/>
    <w:autoRedefine/>
    <w:semiHidden/>
    <w:pPr>
      <w:spacing w:after="0" w:line="240" w:lineRule="auto"/>
      <w:ind w:left="1920"/>
    </w:pPr>
    <w:rPr>
      <w:rFonts w:eastAsia="Times New Roman" w:cs="Arial"/>
      <w:sz w:val="18"/>
      <w:szCs w:val="18"/>
      <w:lang w:eastAsia="en-GB"/>
    </w:rPr>
  </w:style>
  <w:style w:type="character" w:styleId="Hyperlink">
    <w:name w:val="Hyperlink"/>
    <w:uiPriority w:val="99"/>
    <w:rPr>
      <w:rFonts w:ascii="Calibri" w:hAnsi="Calibri"/>
      <w:color w:val="0000FF"/>
      <w:u w:val="single"/>
    </w:rPr>
  </w:style>
  <w:style w:type="paragraph" w:customStyle="1" w:styleId="IntroHeading">
    <w:name w:val="Intro Heading"/>
    <w:basedOn w:val="Heading1"/>
    <w:next w:val="Normal"/>
    <w:autoRedefine/>
    <w:pPr>
      <w:numPr>
        <w:numId w:val="0"/>
      </w:numPr>
      <w:spacing w:before="120"/>
    </w:pPr>
  </w:style>
  <w:style w:type="paragraph" w:styleId="TableofFigures">
    <w:name w:val="table of figures"/>
    <w:basedOn w:val="Normal"/>
    <w:next w:val="Normal"/>
    <w:uiPriority w:val="99"/>
    <w:pPr>
      <w:spacing w:before="120" w:after="120" w:line="240" w:lineRule="auto"/>
      <w:ind w:left="400" w:hanging="400"/>
    </w:pPr>
    <w:rPr>
      <w:rFonts w:ascii="Calibri" w:eastAsia="Times New Roman" w:hAnsi="Calibri" w:cs="Arial"/>
      <w:sz w:val="24"/>
      <w:szCs w:val="24"/>
      <w:lang w:eastAsia="en-GB"/>
    </w:rPr>
  </w:style>
  <w:style w:type="table" w:customStyle="1" w:styleId="EunomiaTable-Text">
    <w:name w:val="Eunomia Table - Text"/>
    <w:basedOn w:val="TableNormal"/>
    <w:uiPriority w:val="99"/>
    <w:pPr>
      <w:spacing w:after="0" w:line="240" w:lineRule="auto"/>
    </w:pPr>
    <w:rPr>
      <w:rFonts w:ascii="Calibri" w:eastAsia="Times New Roman" w:hAnsi="Calibri" w:cs="Times New Roman"/>
      <w:sz w:val="24"/>
      <w:szCs w:val="20"/>
      <w:lang w:eastAsia="en-GB"/>
    </w:rPr>
    <w:tblPr>
      <w:tblStyleRowBandSize w:val="1"/>
      <w:tblInd w:w="0" w:type="dxa"/>
      <w:tblBorders>
        <w:insideV w:val="single" w:sz="4" w:space="0" w:color="00A79D"/>
      </w:tblBorders>
      <w:tblCellMar>
        <w:top w:w="0" w:type="dxa"/>
        <w:left w:w="108" w:type="dxa"/>
        <w:bottom w:w="0" w:type="dxa"/>
        <w:right w:w="108" w:type="dxa"/>
      </w:tblCellMar>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paragraph" w:customStyle="1" w:styleId="DocumentTitle">
    <w:name w:val="Document Title"/>
    <w:basedOn w:val="Normal"/>
    <w:link w:val="DocumentTitleChar"/>
    <w:autoRedefine/>
    <w:pPr>
      <w:spacing w:before="120" w:after="120" w:line="240" w:lineRule="auto"/>
    </w:pPr>
    <w:rPr>
      <w:rFonts w:ascii="Arial" w:eastAsia="Times New Roman" w:hAnsi="Arial" w:cs="Arial"/>
      <w:b/>
      <w:color w:val="FFFFFF"/>
      <w:sz w:val="56"/>
      <w:szCs w:val="56"/>
      <w:lang w:eastAsia="en-GB"/>
    </w:rPr>
  </w:style>
  <w:style w:type="paragraph" w:customStyle="1" w:styleId="Documentrecipient">
    <w:name w:val="Document recipient"/>
    <w:basedOn w:val="IntroHeading"/>
    <w:autoRedefine/>
  </w:style>
  <w:style w:type="paragraph" w:customStyle="1" w:styleId="preparedby">
    <w:name w:val="prepared by"/>
    <w:basedOn w:val="IntroHeading"/>
    <w:autoRedefine/>
    <w:rPr>
      <w:sz w:val="32"/>
    </w:rPr>
  </w:style>
  <w:style w:type="paragraph" w:customStyle="1" w:styleId="ExecSummHead2">
    <w:name w:val="Exec Summ Head 2"/>
    <w:basedOn w:val="Heading2"/>
    <w:next w:val="Normal"/>
    <w:link w:val="ExecSummHead2Char"/>
    <w:qFormat/>
    <w:pPr>
      <w:numPr>
        <w:numId w:val="1"/>
      </w:numPr>
      <w:tabs>
        <w:tab w:val="clear" w:pos="576"/>
      </w:tabs>
      <w:ind w:left="1134" w:hanging="1134"/>
    </w:pPr>
  </w:style>
  <w:style w:type="paragraph" w:customStyle="1" w:styleId="Reference">
    <w:name w:val="Reference"/>
    <w:basedOn w:val="Normal"/>
    <w:autoRedefine/>
    <w:pPr>
      <w:spacing w:before="120" w:after="120" w:line="240" w:lineRule="auto"/>
    </w:pPr>
    <w:rPr>
      <w:rFonts w:ascii="Calibri" w:eastAsia="Times New Roman" w:hAnsi="Calibri" w:cs="Arial"/>
      <w:sz w:val="24"/>
      <w:szCs w:val="24"/>
      <w:lang w:eastAsia="en-GB"/>
    </w:rPr>
  </w:style>
  <w:style w:type="paragraph" w:customStyle="1" w:styleId="AppendixHeading1">
    <w:name w:val="Appendix Heading1"/>
    <w:basedOn w:val="Heading1"/>
    <w:next w:val="Normal"/>
    <w:qFormat/>
    <w:pPr>
      <w:numPr>
        <w:numId w:val="0"/>
      </w:numPr>
      <w:ind w:left="1440" w:right="-1749" w:hanging="1440"/>
    </w:pPr>
  </w:style>
  <w:style w:type="numbering" w:customStyle="1" w:styleId="StyleBulleted">
    <w:name w:val="Style Bulleted"/>
    <w:basedOn w:val="NoList"/>
    <w:pPr>
      <w:numPr>
        <w:numId w:val="2"/>
      </w:numPr>
    </w:pPr>
  </w:style>
  <w:style w:type="paragraph" w:customStyle="1" w:styleId="AppendixHeading3">
    <w:name w:val="Appendix Heading3"/>
    <w:basedOn w:val="AppendixHeading1"/>
    <w:next w:val="Normal"/>
    <w:qFormat/>
    <w:pPr>
      <w:numPr>
        <w:numId w:val="11"/>
      </w:numPr>
    </w:pPr>
    <w:rPr>
      <w:caps w:val="0"/>
    </w:rPr>
  </w:style>
  <w:style w:type="paragraph" w:customStyle="1" w:styleId="AppendixHeading2">
    <w:name w:val="Appendix Heading2"/>
    <w:basedOn w:val="AppendixHeading1"/>
    <w:next w:val="Normal"/>
    <w:qFormat/>
    <w:pPr>
      <w:ind w:left="1200" w:hanging="1200"/>
    </w:pPr>
    <w:rPr>
      <w:caps w:val="0"/>
      <w:smallCaps/>
    </w:rPr>
  </w:style>
  <w:style w:type="numbering" w:customStyle="1" w:styleId="StyleNumbered">
    <w:name w:val="Style Numbered"/>
    <w:basedOn w:val="StyleBulleted"/>
    <w:pPr>
      <w:numPr>
        <w:numId w:val="3"/>
      </w:numPr>
    </w:pPr>
  </w:style>
  <w:style w:type="paragraph" w:customStyle="1" w:styleId="NumberedParagraphs">
    <w:name w:val="Numbered Paragraphs"/>
    <w:basedOn w:val="Normal"/>
    <w:next w:val="Normal"/>
    <w:pPr>
      <w:numPr>
        <w:numId w:val="4"/>
      </w:numPr>
      <w:tabs>
        <w:tab w:val="left" w:pos="397"/>
      </w:tabs>
      <w:spacing w:before="120" w:after="120" w:line="240" w:lineRule="auto"/>
    </w:pPr>
    <w:rPr>
      <w:rFonts w:ascii="Calibri" w:eastAsia="Times New Roman" w:hAnsi="Calibri" w:cs="Arial"/>
      <w:sz w:val="24"/>
      <w:szCs w:val="24"/>
      <w:lang w:eastAsia="en-GB"/>
    </w:rPr>
  </w:style>
  <w:style w:type="paragraph" w:customStyle="1" w:styleId="reference0">
    <w:name w:val="reference"/>
    <w:basedOn w:val="Normal"/>
    <w:pPr>
      <w:spacing w:before="120" w:after="120" w:line="240" w:lineRule="auto"/>
    </w:pPr>
    <w:rPr>
      <w:rFonts w:ascii="Calibri" w:eastAsia="Times New Roman" w:hAnsi="Calibri" w:cs="Arial"/>
      <w:sz w:val="20"/>
      <w:szCs w:val="20"/>
      <w:lang w:val="en-US" w:bidi="th-TH"/>
    </w:rPr>
  </w:style>
  <w:style w:type="paragraph" w:customStyle="1" w:styleId="EXECSUMM">
    <w:name w:val="EXEC SUMM"/>
    <w:basedOn w:val="StyleArial20ptBoldAccent3TopSinglesolidlineAccent"/>
    <w:next w:val="Normal"/>
    <w:link w:val="EXECSUMMChar"/>
    <w:qFormat/>
    <w:pPr>
      <w:spacing w:before="480"/>
    </w:pPr>
  </w:style>
  <w:style w:type="paragraph" w:customStyle="1" w:styleId="CaptionNotes">
    <w:name w:val="Caption Notes"/>
    <w:basedOn w:val="Normal"/>
    <w:next w:val="Normal"/>
    <w:link w:val="CaptionNotesCharChar"/>
    <w:qFormat/>
    <w:pPr>
      <w:spacing w:before="60" w:after="240" w:line="240" w:lineRule="auto"/>
    </w:pPr>
    <w:rPr>
      <w:rFonts w:ascii="Calibri" w:eastAsia="Times New Roman" w:hAnsi="Calibri" w:cs="Arial"/>
      <w:i/>
      <w:iCs/>
      <w:sz w:val="20"/>
      <w:szCs w:val="20"/>
      <w:lang w:eastAsia="en-GB"/>
    </w:rPr>
  </w:style>
  <w:style w:type="character" w:customStyle="1" w:styleId="CaptionNotesCharChar">
    <w:name w:val="Caption Notes Char Char"/>
    <w:link w:val="CaptionNotes"/>
    <w:rPr>
      <w:rFonts w:ascii="Calibri" w:eastAsia="Times New Roman" w:hAnsi="Calibri" w:cs="Arial"/>
      <w:i/>
      <w:iCs/>
      <w:sz w:val="20"/>
      <w:szCs w:val="20"/>
      <w:lang w:eastAsia="en-GB"/>
    </w:rPr>
  </w:style>
  <w:style w:type="table" w:styleId="TableWeb1">
    <w:name w:val="Table Web 1"/>
    <w:basedOn w:val="TableNormal"/>
    <w:pPr>
      <w:spacing w:before="120" w:after="120" w:line="240" w:lineRule="auto"/>
    </w:pPr>
    <w:rPr>
      <w:rFonts w:ascii="Times New Roman" w:eastAsia="Times New Roman" w:hAnsi="Times New Roman" w:cs="Times New Roman"/>
      <w:sz w:val="20"/>
      <w:szCs w:val="20"/>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pPr>
      <w:keepLines/>
      <w:numPr>
        <w:numId w:val="0"/>
      </w:numPr>
      <w:spacing w:after="0" w:line="276" w:lineRule="auto"/>
      <w:outlineLvl w:val="9"/>
    </w:pPr>
    <w:rPr>
      <w:b w:val="0"/>
      <w:sz w:val="28"/>
      <w:szCs w:val="28"/>
      <w:lang w:val="en-US" w:eastAsia="ja-JP"/>
    </w:rPr>
  </w:style>
  <w:style w:type="paragraph" w:styleId="ListParagraph">
    <w:name w:val="List Paragraph"/>
    <w:aliases w:val="Style Bullet"/>
    <w:basedOn w:val="Normal"/>
    <w:link w:val="ListParagraphChar"/>
    <w:uiPriority w:val="34"/>
    <w:qFormat/>
    <w:pPr>
      <w:spacing w:before="120" w:after="120" w:line="240" w:lineRule="auto"/>
      <w:ind w:left="720"/>
      <w:contextualSpacing/>
    </w:pPr>
    <w:rPr>
      <w:rFonts w:ascii="Calibri" w:eastAsia="Times New Roman" w:hAnsi="Calibri" w:cs="Arial"/>
      <w:sz w:val="24"/>
      <w:szCs w:val="24"/>
      <w:lang w:eastAsia="en-GB"/>
    </w:rPr>
  </w:style>
  <w:style w:type="paragraph" w:styleId="NoSpacing">
    <w:name w:val="No Spacing"/>
    <w:uiPriority w:val="1"/>
    <w:pPr>
      <w:spacing w:after="0" w:line="240" w:lineRule="auto"/>
    </w:pPr>
    <w:rPr>
      <w:rFonts w:ascii="Franklin Gothic Book" w:eastAsia="Times New Roman" w:hAnsi="Franklin Gothic Book" w:cs="Times New Roman"/>
      <w:sz w:val="24"/>
      <w:szCs w:val="24"/>
      <w:lang w:eastAsia="en-GB"/>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pPr>
      <w:pBdr>
        <w:bottom w:val="thinThickLargeGap" w:sz="24" w:space="1" w:color="auto"/>
      </w:pBdr>
      <w:spacing w:before="120" w:after="120" w:line="300" w:lineRule="auto"/>
      <w:jc w:val="center"/>
    </w:pPr>
    <w:rPr>
      <w:rFonts w:ascii="Arial" w:eastAsia="Times New Roman" w:hAnsi="Arial" w:cs="Arial"/>
      <w:b/>
      <w:bCs/>
      <w:sz w:val="40"/>
      <w:szCs w:val="20"/>
      <w:lang w:eastAsia="en-GB"/>
    </w:rPr>
  </w:style>
  <w:style w:type="paragraph" w:customStyle="1" w:styleId="BoldNormalText">
    <w:name w:val="Bold Normal Text"/>
    <w:basedOn w:val="Normal"/>
    <w:link w:val="BoldNormalTextChar"/>
    <w:qFormat/>
    <w:pPr>
      <w:spacing w:before="120" w:after="120" w:line="240" w:lineRule="auto"/>
    </w:pPr>
    <w:rPr>
      <w:rFonts w:ascii="Calibri" w:eastAsia="Times New Roman" w:hAnsi="Calibri" w:cs="Arial"/>
      <w:b/>
      <w:sz w:val="24"/>
      <w:szCs w:val="24"/>
      <w:lang w:eastAsia="en-GB"/>
    </w:rPr>
  </w:style>
  <w:style w:type="paragraph" w:customStyle="1" w:styleId="Italicnormaltext">
    <w:name w:val="Italic normal text"/>
    <w:basedOn w:val="Normal"/>
    <w:link w:val="ItalicnormaltextChar"/>
    <w:qFormat/>
    <w:pPr>
      <w:spacing w:before="120" w:after="120" w:line="240" w:lineRule="auto"/>
    </w:pPr>
    <w:rPr>
      <w:rFonts w:ascii="Calibri" w:eastAsia="Times New Roman" w:hAnsi="Calibri" w:cs="Arial"/>
      <w:i/>
      <w:sz w:val="24"/>
      <w:szCs w:val="24"/>
      <w:lang w:eastAsia="en-GB"/>
    </w:rPr>
  </w:style>
  <w:style w:type="character" w:customStyle="1" w:styleId="BoldNormalTextChar">
    <w:name w:val="Bold Normal Text Char"/>
    <w:link w:val="BoldNormalText"/>
    <w:rPr>
      <w:rFonts w:ascii="Calibri" w:eastAsia="Times New Roman" w:hAnsi="Calibri" w:cs="Arial"/>
      <w:b/>
      <w:sz w:val="24"/>
      <w:szCs w:val="24"/>
      <w:lang w:eastAsia="en-GB"/>
    </w:rPr>
  </w:style>
  <w:style w:type="paragraph" w:customStyle="1" w:styleId="StyleNumbering">
    <w:name w:val="Style Numbering"/>
    <w:basedOn w:val="ListParagraph"/>
    <w:link w:val="StyleNumberingChar"/>
    <w:qFormat/>
    <w:pPr>
      <w:numPr>
        <w:numId w:val="6"/>
      </w:numPr>
    </w:pPr>
  </w:style>
  <w:style w:type="character" w:customStyle="1" w:styleId="ItalicnormaltextChar">
    <w:name w:val="Italic normal text Char"/>
    <w:link w:val="Italicnormaltext"/>
    <w:rPr>
      <w:rFonts w:ascii="Calibri" w:eastAsia="Times New Roman" w:hAnsi="Calibri" w:cs="Arial"/>
      <w:i/>
      <w:sz w:val="24"/>
      <w:szCs w:val="24"/>
      <w:lang w:eastAsia="en-GB"/>
    </w:rPr>
  </w:style>
  <w:style w:type="paragraph" w:styleId="ListBullet">
    <w:name w:val="List Bullet"/>
    <w:basedOn w:val="Normal"/>
    <w:qFormat/>
    <w:pPr>
      <w:numPr>
        <w:numId w:val="12"/>
      </w:numPr>
      <w:tabs>
        <w:tab w:val="clear" w:pos="360"/>
      </w:tabs>
      <w:spacing w:before="120" w:after="120" w:line="240" w:lineRule="auto"/>
      <w:ind w:left="1080"/>
      <w:contextualSpacing/>
    </w:pPr>
    <w:rPr>
      <w:rFonts w:ascii="Calibri" w:eastAsia="Times New Roman" w:hAnsi="Calibri" w:cs="Arial"/>
      <w:sz w:val="24"/>
      <w:szCs w:val="24"/>
      <w:lang w:eastAsia="en-GB"/>
    </w:rPr>
  </w:style>
  <w:style w:type="character" w:customStyle="1" w:styleId="ListParagraphChar">
    <w:name w:val="List Paragraph Char"/>
    <w:aliases w:val="Style Bullet Char"/>
    <w:link w:val="ListParagraph"/>
    <w:uiPriority w:val="34"/>
    <w:rPr>
      <w:rFonts w:ascii="Calibri" w:eastAsia="Times New Roman" w:hAnsi="Calibri" w:cs="Arial"/>
      <w:sz w:val="24"/>
      <w:szCs w:val="24"/>
      <w:lang w:eastAsia="en-GB"/>
    </w:rPr>
  </w:style>
  <w:style w:type="character" w:customStyle="1" w:styleId="StyleNumberingChar">
    <w:name w:val="Style Numbering Char"/>
    <w:link w:val="StyleNumbering"/>
    <w:rPr>
      <w:rFonts w:ascii="Calibri" w:eastAsia="Times New Roman" w:hAnsi="Calibri" w:cs="Arial"/>
      <w:sz w:val="24"/>
      <w:szCs w:val="24"/>
      <w:lang w:eastAsia="en-GB"/>
    </w:rPr>
  </w:style>
  <w:style w:type="paragraph" w:styleId="ListBullet2">
    <w:name w:val="List Bullet 2"/>
    <w:basedOn w:val="Normal"/>
    <w:pPr>
      <w:numPr>
        <w:numId w:val="7"/>
      </w:numPr>
      <w:spacing w:before="120" w:after="120" w:line="240" w:lineRule="auto"/>
      <w:contextualSpacing/>
    </w:pPr>
    <w:rPr>
      <w:rFonts w:ascii="Calibri" w:eastAsia="Times New Roman" w:hAnsi="Calibri" w:cs="Arial"/>
      <w:sz w:val="24"/>
      <w:szCs w:val="24"/>
      <w:lang w:eastAsia="en-GB"/>
    </w:rPr>
  </w:style>
  <w:style w:type="paragraph" w:styleId="List">
    <w:name w:val="List"/>
    <w:basedOn w:val="Normal"/>
    <w:pPr>
      <w:spacing w:before="120" w:after="120" w:line="240" w:lineRule="auto"/>
      <w:ind w:left="283" w:hanging="283"/>
      <w:contextualSpacing/>
    </w:pPr>
    <w:rPr>
      <w:rFonts w:ascii="Calibri" w:eastAsia="Times New Roman" w:hAnsi="Calibri" w:cs="Arial"/>
      <w:sz w:val="24"/>
      <w:szCs w:val="24"/>
      <w:lang w:eastAsia="en-GB"/>
    </w:rPr>
  </w:style>
  <w:style w:type="character" w:customStyle="1" w:styleId="StyleFootnoteReferenceArial">
    <w:name w:val="Style Footnote Reference + Arial"/>
    <w:rPr>
      <w:rFonts w:ascii="Calibri" w:hAnsi="Calibri"/>
      <w:sz w:val="20"/>
      <w:vertAlign w:val="superscript"/>
    </w:rPr>
  </w:style>
  <w:style w:type="paragraph" w:styleId="TOAHeading">
    <w:name w:val="toa heading"/>
    <w:basedOn w:val="Normal"/>
    <w:next w:val="Normal"/>
    <w:pPr>
      <w:spacing w:before="120" w:after="120" w:line="240" w:lineRule="auto"/>
    </w:pPr>
    <w:rPr>
      <w:rFonts w:ascii="Cambria" w:eastAsia="Times New Roman" w:hAnsi="Cambria" w:cs="Times New Roman"/>
      <w:b/>
      <w:bCs/>
      <w:sz w:val="24"/>
      <w:szCs w:val="24"/>
      <w:lang w:eastAsia="en-GB"/>
    </w:rPr>
  </w:style>
  <w:style w:type="table" w:customStyle="1" w:styleId="Eunomia-Totals">
    <w:name w:val="Eunomia - Totals"/>
    <w:basedOn w:val="Eunomia-NoTotals"/>
    <w:uiPriority w:val="99"/>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808080"/>
        </w:tcBorders>
        <w:shd w:val="clear" w:color="auto" w:fill="BFBFBF"/>
      </w:tcPr>
    </w:tblStylePr>
    <w:tblStylePr w:type="lastRow">
      <w:tblPr/>
      <w:tcPr>
        <w:tcBorders>
          <w:bottom w:val="single" w:sz="4" w:space="0" w:color="808080"/>
        </w:tcBorders>
        <w:shd w:val="clear" w:color="auto" w:fill="F2F2F2"/>
      </w:tcPr>
    </w:tblStylePr>
    <w:tblStylePr w:type="firstCol">
      <w:pPr>
        <w:jc w:val="left"/>
      </w:pPr>
      <w:rPr>
        <w:b/>
      </w:rPr>
      <w:tblPr/>
      <w:tcPr>
        <w:tcBorders>
          <w:left w:val="single" w:sz="4" w:space="0" w:color="808080"/>
        </w:tcBorders>
        <w:shd w:val="clear" w:color="auto" w:fill="F2F2F2"/>
      </w:tcPr>
    </w:tblStylePr>
    <w:tblStylePr w:type="lastCol">
      <w:tblPr/>
      <w:tcPr>
        <w:tcBorders>
          <w:right w:val="single" w:sz="4" w:space="0" w:color="808080"/>
        </w:tcBorders>
        <w:shd w:val="clear" w:color="auto" w:fill="F2F2F2"/>
      </w:tcPr>
    </w:tblStylePr>
  </w:style>
  <w:style w:type="paragraph" w:customStyle="1" w:styleId="WhiteArial12ptBold">
    <w:name w:val="White Arial 12pt Bold"/>
    <w:basedOn w:val="Normal"/>
    <w:link w:val="WhiteArial12ptBoldChar"/>
    <w:qFormat/>
    <w:pPr>
      <w:spacing w:before="120" w:after="120" w:line="240" w:lineRule="auto"/>
    </w:pPr>
    <w:rPr>
      <w:rFonts w:ascii="Arial" w:eastAsia="Times New Roman" w:hAnsi="Arial" w:cs="Arial"/>
      <w:b/>
      <w:color w:val="FFFFFF"/>
      <w:sz w:val="24"/>
      <w:szCs w:val="24"/>
      <w:lang w:eastAsia="en-GB"/>
    </w:rPr>
  </w:style>
  <w:style w:type="paragraph" w:customStyle="1" w:styleId="Authors">
    <w:name w:val="Authors"/>
    <w:basedOn w:val="Normal"/>
    <w:link w:val="AuthorsChar"/>
    <w:qFormat/>
    <w:pPr>
      <w:spacing w:before="120" w:after="120" w:line="240" w:lineRule="auto"/>
    </w:pPr>
    <w:rPr>
      <w:rFonts w:ascii="Arial" w:eastAsia="Times New Roman" w:hAnsi="Arial" w:cs="Arial"/>
      <w:b/>
      <w:color w:val="00A79D"/>
      <w:sz w:val="28"/>
      <w:szCs w:val="28"/>
      <w:lang w:eastAsia="en-GB"/>
    </w:rPr>
  </w:style>
  <w:style w:type="character" w:customStyle="1" w:styleId="WhiteArial12ptBoldChar">
    <w:name w:val="White Arial 12pt Bold Char"/>
    <w:link w:val="WhiteArial12ptBold"/>
    <w:rPr>
      <w:rFonts w:ascii="Arial" w:eastAsia="Times New Roman" w:hAnsi="Arial" w:cs="Arial"/>
      <w:b/>
      <w:color w:val="FFFFFF"/>
      <w:sz w:val="24"/>
      <w:szCs w:val="24"/>
      <w:lang w:eastAsia="en-GB"/>
    </w:rPr>
  </w:style>
  <w:style w:type="paragraph" w:customStyle="1" w:styleId="DocumentMainDate">
    <w:name w:val="Document Main Date"/>
    <w:basedOn w:val="Authors"/>
    <w:rPr>
      <w:bCs/>
      <w:sz w:val="24"/>
    </w:rPr>
  </w:style>
  <w:style w:type="character" w:customStyle="1" w:styleId="AuthorsChar">
    <w:name w:val="Authors Char"/>
    <w:link w:val="Authors"/>
    <w:rPr>
      <w:rFonts w:ascii="Arial" w:eastAsia="Times New Roman" w:hAnsi="Arial" w:cs="Arial"/>
      <w:b/>
      <w:color w:val="00A79D"/>
      <w:sz w:val="28"/>
      <w:szCs w:val="28"/>
      <w:lang w:eastAsia="en-GB"/>
    </w:rPr>
  </w:style>
  <w:style w:type="paragraph" w:customStyle="1" w:styleId="DocumentSubtitle">
    <w:name w:val="Document Subtitle"/>
    <w:basedOn w:val="Normal"/>
    <w:link w:val="DocumentSubtitleChar"/>
    <w:qFormat/>
    <w:pPr>
      <w:spacing w:before="120" w:after="120" w:line="240" w:lineRule="auto"/>
    </w:pPr>
    <w:rPr>
      <w:rFonts w:ascii="Arial" w:eastAsia="Times New Roman" w:hAnsi="Arial" w:cs="Arial"/>
      <w:color w:val="FFFFFF"/>
      <w:sz w:val="40"/>
      <w:szCs w:val="40"/>
      <w:lang w:eastAsia="en-GB"/>
    </w:rPr>
  </w:style>
  <w:style w:type="paragraph" w:customStyle="1" w:styleId="AppendixTitle">
    <w:name w:val="Appendix Title"/>
    <w:basedOn w:val="DocumentTitle"/>
    <w:link w:val="AppendixTitleChar"/>
    <w:qFormat/>
    <w:pPr>
      <w:spacing w:before="3600"/>
    </w:pPr>
    <w:rPr>
      <w:color w:val="00A79D"/>
    </w:rPr>
  </w:style>
  <w:style w:type="character" w:customStyle="1" w:styleId="DocumentSubtitleChar">
    <w:name w:val="Document Subtitle Char"/>
    <w:link w:val="DocumentSubtitle"/>
    <w:rPr>
      <w:rFonts w:ascii="Arial" w:eastAsia="Times New Roman" w:hAnsi="Arial" w:cs="Arial"/>
      <w:color w:val="FFFFFF"/>
      <w:sz w:val="40"/>
      <w:szCs w:val="40"/>
      <w:lang w:eastAsia="en-GB"/>
    </w:rPr>
  </w:style>
  <w:style w:type="paragraph" w:styleId="Quote">
    <w:name w:val="Quote"/>
    <w:basedOn w:val="Normal"/>
    <w:next w:val="Normal"/>
    <w:link w:val="QuoteChar"/>
    <w:uiPriority w:val="29"/>
    <w:qFormat/>
    <w:pPr>
      <w:spacing w:before="120" w:after="120" w:line="240" w:lineRule="auto"/>
      <w:ind w:left="720"/>
    </w:pPr>
    <w:rPr>
      <w:rFonts w:ascii="Calibri" w:eastAsia="Times New Roman" w:hAnsi="Calibri" w:cs="Arial"/>
      <w:i/>
      <w:sz w:val="24"/>
      <w:szCs w:val="24"/>
      <w:lang w:eastAsia="en-GB"/>
    </w:rPr>
  </w:style>
  <w:style w:type="character" w:customStyle="1" w:styleId="QuoteChar">
    <w:name w:val="Quote Char"/>
    <w:basedOn w:val="DefaultParagraphFont"/>
    <w:link w:val="Quote"/>
    <w:uiPriority w:val="29"/>
    <w:rPr>
      <w:rFonts w:ascii="Calibri" w:eastAsia="Times New Roman" w:hAnsi="Calibri" w:cs="Arial"/>
      <w:i/>
      <w:sz w:val="24"/>
      <w:szCs w:val="24"/>
      <w:lang w:eastAsia="en-GB"/>
    </w:rPr>
  </w:style>
  <w:style w:type="character" w:customStyle="1" w:styleId="DocumentTitleChar">
    <w:name w:val="Document Title Char"/>
    <w:link w:val="DocumentTitle"/>
    <w:rPr>
      <w:rFonts w:ascii="Arial" w:eastAsia="Times New Roman" w:hAnsi="Arial" w:cs="Arial"/>
      <w:b/>
      <w:color w:val="FFFFFF"/>
      <w:sz w:val="56"/>
      <w:szCs w:val="56"/>
      <w:lang w:eastAsia="en-GB"/>
    </w:rPr>
  </w:style>
  <w:style w:type="character" w:customStyle="1" w:styleId="AppendixTitleChar">
    <w:name w:val="Appendix Title Char"/>
    <w:link w:val="AppendixTitle"/>
    <w:rPr>
      <w:rFonts w:ascii="Arial" w:eastAsia="Times New Roman" w:hAnsi="Arial" w:cs="Arial"/>
      <w:b/>
      <w:color w:val="00A79D"/>
      <w:sz w:val="56"/>
      <w:szCs w:val="56"/>
      <w:lang w:eastAsia="en-GB"/>
    </w:rPr>
  </w:style>
  <w:style w:type="paragraph" w:customStyle="1" w:styleId="CONTENTS">
    <w:name w:val="CONTENTS"/>
    <w:basedOn w:val="EXECSUMM"/>
    <w:link w:val="CONTENTSChar"/>
    <w:qFormat/>
    <w:rPr>
      <w:sz w:val="36"/>
      <w:szCs w:val="36"/>
      <w:lang w:val="en-US" w:eastAsia="ja-JP"/>
    </w:rPr>
  </w:style>
  <w:style w:type="character" w:styleId="CommentReference">
    <w:name w:val="annotation reference"/>
    <w:rPr>
      <w:sz w:val="16"/>
      <w:szCs w:val="16"/>
    </w:rPr>
  </w:style>
  <w:style w:type="character" w:customStyle="1" w:styleId="StyleArial20ptBoldAccent3TopSinglesolidlineAccentChar">
    <w:name w:val="Style Arial 20 pt Bold Accent 3 Top: (Single solid line Accent... Char"/>
    <w:link w:val="StyleArial20ptBoldAccent3TopSinglesolidlineAccent"/>
    <w:rPr>
      <w:rFonts w:ascii="Arial" w:eastAsia="Times New Roman" w:hAnsi="Arial" w:cs="Arial"/>
      <w:b/>
      <w:bCs/>
      <w:sz w:val="40"/>
      <w:szCs w:val="20"/>
      <w:lang w:eastAsia="en-GB"/>
    </w:rPr>
  </w:style>
  <w:style w:type="character" w:customStyle="1" w:styleId="EXECSUMMChar">
    <w:name w:val="EXEC SUMM Char"/>
    <w:link w:val="EXECSUMM"/>
    <w:rPr>
      <w:rFonts w:ascii="Arial" w:eastAsia="Times New Roman" w:hAnsi="Arial" w:cs="Arial"/>
      <w:b/>
      <w:bCs/>
      <w:sz w:val="40"/>
      <w:szCs w:val="20"/>
      <w:lang w:eastAsia="en-GB"/>
    </w:rPr>
  </w:style>
  <w:style w:type="character" w:customStyle="1" w:styleId="CONTENTSChar">
    <w:name w:val="CONTENTS Char"/>
    <w:link w:val="CONTENTS"/>
    <w:rPr>
      <w:rFonts w:ascii="Arial" w:eastAsia="Times New Roman" w:hAnsi="Arial" w:cs="Arial"/>
      <w:b/>
      <w:bCs/>
      <w:sz w:val="36"/>
      <w:szCs w:val="36"/>
      <w:lang w:val="en-US" w:eastAsia="ja-JP"/>
    </w:rPr>
  </w:style>
  <w:style w:type="paragraph" w:styleId="CommentText">
    <w:name w:val="annotation text"/>
    <w:basedOn w:val="Normal"/>
    <w:link w:val="CommentTextChar"/>
    <w:pPr>
      <w:spacing w:before="120" w:after="120" w:line="240" w:lineRule="auto"/>
    </w:pPr>
    <w:rPr>
      <w:rFonts w:ascii="Calibri" w:eastAsia="Times New Roman" w:hAnsi="Calibri" w:cs="Arial"/>
      <w:sz w:val="20"/>
      <w:szCs w:val="20"/>
      <w:lang w:eastAsia="en-GB"/>
    </w:rPr>
  </w:style>
  <w:style w:type="character" w:customStyle="1" w:styleId="CommentTextChar">
    <w:name w:val="Comment Text Char"/>
    <w:basedOn w:val="DefaultParagraphFont"/>
    <w:link w:val="CommentText"/>
    <w:rPr>
      <w:rFonts w:ascii="Calibri" w:eastAsia="Times New Roman" w:hAnsi="Calibri" w:cs="Arial"/>
      <w:sz w:val="20"/>
      <w:szCs w:val="20"/>
      <w:lan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alibri" w:eastAsia="Times New Roman" w:hAnsi="Calibri" w:cs="Arial"/>
      <w:b/>
      <w:bCs/>
      <w:sz w:val="20"/>
      <w:szCs w:val="20"/>
      <w:lang w:eastAsia="en-GB"/>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lang w:eastAsia="en-GB"/>
    </w:rPr>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paragraph" w:customStyle="1" w:styleId="ExecSummHead3">
    <w:name w:val="Exec Summ Head 3"/>
    <w:basedOn w:val="ExecSummHead2"/>
    <w:link w:val="ExecSummHead3Char"/>
    <w:qFormat/>
    <w:pPr>
      <w:numPr>
        <w:ilvl w:val="2"/>
      </w:numPr>
    </w:pPr>
    <w:rPr>
      <w:sz w:val="26"/>
    </w:rPr>
  </w:style>
  <w:style w:type="paragraph" w:customStyle="1" w:styleId="ExecSummHead4">
    <w:name w:val="Exec Summ Head 4"/>
    <w:basedOn w:val="ExecSummHead3"/>
    <w:link w:val="ExecSummHead4Char"/>
    <w:qFormat/>
    <w:pPr>
      <w:numPr>
        <w:ilvl w:val="3"/>
      </w:numPr>
    </w:pPr>
    <w:rPr>
      <w:sz w:val="24"/>
    </w:rPr>
  </w:style>
  <w:style w:type="character" w:customStyle="1" w:styleId="ExecSummHead2Char">
    <w:name w:val="Exec Summ Head 2 Char"/>
    <w:link w:val="ExecSummHead2"/>
    <w:rPr>
      <w:rFonts w:ascii="Times New Roman" w:eastAsia="Times New Roman" w:hAnsi="Times New Roman" w:cs="Times New Roman"/>
      <w:b/>
      <w:bCs/>
      <w:iCs/>
      <w:sz w:val="24"/>
      <w:szCs w:val="24"/>
      <w:lang w:eastAsia="en-GB"/>
    </w:rPr>
  </w:style>
  <w:style w:type="character" w:customStyle="1" w:styleId="ExecSummHead3Char">
    <w:name w:val="Exec Summ Head 3 Char"/>
    <w:link w:val="ExecSummHead3"/>
    <w:rPr>
      <w:rFonts w:ascii="Times New Roman" w:eastAsia="Times New Roman" w:hAnsi="Times New Roman" w:cs="Times New Roman"/>
      <w:b/>
      <w:bCs/>
      <w:iCs/>
      <w:sz w:val="26"/>
      <w:szCs w:val="24"/>
      <w:lang w:eastAsia="en-GB"/>
    </w:rPr>
  </w:style>
  <w:style w:type="paragraph" w:customStyle="1" w:styleId="Normal-11pt">
    <w:name w:val="Normal - 11pt"/>
    <w:basedOn w:val="Normal"/>
    <w:link w:val="Normal-11ptChar"/>
    <w:qFormat/>
    <w:pPr>
      <w:spacing w:before="120" w:after="120" w:line="240" w:lineRule="auto"/>
    </w:pPr>
    <w:rPr>
      <w:rFonts w:ascii="Times New Roman" w:eastAsia="Times New Roman" w:hAnsi="Times New Roman" w:cs="Times New Roman"/>
      <w:sz w:val="24"/>
      <w:szCs w:val="24"/>
      <w:lang w:eastAsia="en-GB"/>
    </w:rPr>
  </w:style>
  <w:style w:type="character" w:customStyle="1" w:styleId="ExecSummHead4Char">
    <w:name w:val="Exec Summ Head 4 Char"/>
    <w:link w:val="ExecSummHead4"/>
    <w:rPr>
      <w:rFonts w:ascii="Times New Roman" w:eastAsia="Times New Roman" w:hAnsi="Times New Roman" w:cs="Times New Roman"/>
      <w:b/>
      <w:bCs/>
      <w:iCs/>
      <w:sz w:val="24"/>
      <w:szCs w:val="24"/>
      <w:lang w:eastAsia="en-GB"/>
    </w:rPr>
  </w:style>
  <w:style w:type="paragraph" w:customStyle="1" w:styleId="Normal-11pt-table">
    <w:name w:val="Normal - 11pt - table"/>
    <w:basedOn w:val="Normal"/>
    <w:link w:val="Normal-11pt-tableChar"/>
    <w:qFormat/>
    <w:pPr>
      <w:spacing w:before="60" w:after="60" w:line="240" w:lineRule="auto"/>
    </w:pPr>
    <w:rPr>
      <w:rFonts w:ascii="Calibri" w:eastAsia="Times New Roman" w:hAnsi="Calibri" w:cs="Arial"/>
      <w:lang w:eastAsia="en-GB"/>
    </w:rPr>
  </w:style>
  <w:style w:type="character" w:customStyle="1" w:styleId="Normal-11ptChar">
    <w:name w:val="Normal - 11pt Char"/>
    <w:link w:val="Normal-11pt"/>
    <w:rPr>
      <w:rFonts w:ascii="Times New Roman" w:eastAsia="Times New Roman" w:hAnsi="Times New Roman" w:cs="Times New Roman"/>
      <w:sz w:val="24"/>
      <w:szCs w:val="24"/>
      <w:lang w:eastAsia="en-GB"/>
    </w:rPr>
  </w:style>
  <w:style w:type="paragraph" w:customStyle="1" w:styleId="Normal-11pt-tableitalic">
    <w:name w:val="Normal - 11pt - table italic"/>
    <w:basedOn w:val="Normal"/>
    <w:link w:val="Normal-11pt-tableitalicChar"/>
    <w:qFormat/>
    <w:pPr>
      <w:spacing w:before="60" w:after="60" w:line="240" w:lineRule="auto"/>
    </w:pPr>
    <w:rPr>
      <w:rFonts w:ascii="Calibri" w:eastAsia="Times New Roman" w:hAnsi="Calibri" w:cs="Arial"/>
      <w:i/>
      <w:lang w:eastAsia="en-GB"/>
    </w:rPr>
  </w:style>
  <w:style w:type="character" w:customStyle="1" w:styleId="Normal-11pt-tableChar">
    <w:name w:val="Normal - 11pt - table Char"/>
    <w:link w:val="Normal-11pt-table"/>
    <w:rPr>
      <w:rFonts w:ascii="Calibri" w:eastAsia="Times New Roman" w:hAnsi="Calibri" w:cs="Arial"/>
      <w:lang w:eastAsia="en-GB"/>
    </w:rPr>
  </w:style>
  <w:style w:type="paragraph" w:customStyle="1" w:styleId="Normal-11pt-TableBold">
    <w:name w:val="Normal - 11pt - Table Bold"/>
    <w:basedOn w:val="Normal"/>
    <w:link w:val="Normal-11pt-TableBoldChar"/>
    <w:qFormat/>
    <w:pPr>
      <w:spacing w:before="60" w:after="60" w:line="240" w:lineRule="auto"/>
    </w:pPr>
    <w:rPr>
      <w:rFonts w:ascii="Calibri" w:eastAsia="Times New Roman" w:hAnsi="Calibri" w:cs="Arial"/>
      <w:b/>
      <w:lang w:eastAsia="en-GB"/>
    </w:rPr>
  </w:style>
  <w:style w:type="character" w:customStyle="1" w:styleId="Normal-11pt-tableitalicChar">
    <w:name w:val="Normal - 11pt - table italic Char"/>
    <w:link w:val="Normal-11pt-tableitalic"/>
    <w:rPr>
      <w:rFonts w:ascii="Calibri" w:eastAsia="Times New Roman" w:hAnsi="Calibri" w:cs="Arial"/>
      <w:i/>
      <w:lang w:eastAsia="en-GB"/>
    </w:rPr>
  </w:style>
  <w:style w:type="paragraph" w:customStyle="1" w:styleId="Normal-10pt-TableBold">
    <w:name w:val="Normal - 10pt - Table Bold"/>
    <w:basedOn w:val="Normal-11pt-TableBold"/>
    <w:link w:val="Normal-10pt-TableBoldChar"/>
    <w:qFormat/>
    <w:rPr>
      <w:sz w:val="20"/>
    </w:rPr>
  </w:style>
  <w:style w:type="character" w:customStyle="1" w:styleId="Normal-11pt-TableBoldChar">
    <w:name w:val="Normal - 11pt - Table Bold Char"/>
    <w:link w:val="Normal-11pt-TableBold"/>
    <w:rPr>
      <w:rFonts w:ascii="Calibri" w:eastAsia="Times New Roman" w:hAnsi="Calibri" w:cs="Arial"/>
      <w:b/>
      <w:lang w:eastAsia="en-GB"/>
    </w:rPr>
  </w:style>
  <w:style w:type="paragraph" w:customStyle="1" w:styleId="Normal-10pt-TableItalic">
    <w:name w:val="Normal - 10pt - Table Italic"/>
    <w:basedOn w:val="Normal-11pt-tableitalic"/>
    <w:link w:val="Normal-10pt-TableItalicChar"/>
    <w:qFormat/>
    <w:rPr>
      <w:sz w:val="20"/>
    </w:rPr>
  </w:style>
  <w:style w:type="character" w:customStyle="1" w:styleId="Normal-10pt-TableBoldChar">
    <w:name w:val="Normal - 10pt - Table Bold Char"/>
    <w:link w:val="Normal-10pt-TableBold"/>
    <w:rPr>
      <w:rFonts w:ascii="Calibri" w:eastAsia="Times New Roman" w:hAnsi="Calibri" w:cs="Arial"/>
      <w:b/>
      <w:sz w:val="20"/>
      <w:lang w:eastAsia="en-GB"/>
    </w:rPr>
  </w:style>
  <w:style w:type="paragraph" w:customStyle="1" w:styleId="Normal-10pt-Table">
    <w:name w:val="Normal - 10pt - Table"/>
    <w:basedOn w:val="Normal-11pt-table"/>
    <w:link w:val="Normal-10pt-TableChar"/>
    <w:qFormat/>
    <w:rPr>
      <w:sz w:val="20"/>
    </w:rPr>
  </w:style>
  <w:style w:type="character" w:customStyle="1" w:styleId="Normal-10pt-TableItalicChar">
    <w:name w:val="Normal - 10pt - Table Italic Char"/>
    <w:link w:val="Normal-10pt-TableItalic"/>
    <w:rPr>
      <w:rFonts w:ascii="Calibri" w:eastAsia="Times New Roman" w:hAnsi="Calibri" w:cs="Arial"/>
      <w:i/>
      <w:sz w:val="20"/>
      <w:lang w:eastAsia="en-GB"/>
    </w:rPr>
  </w:style>
  <w:style w:type="paragraph" w:customStyle="1" w:styleId="Normal-Table">
    <w:name w:val="Normal - Table"/>
    <w:basedOn w:val="Normal"/>
    <w:link w:val="Normal-TableChar"/>
    <w:qFormat/>
    <w:pPr>
      <w:spacing w:before="60" w:after="60" w:line="240" w:lineRule="auto"/>
    </w:pPr>
    <w:rPr>
      <w:rFonts w:ascii="Calibri" w:eastAsia="Times New Roman" w:hAnsi="Calibri" w:cs="Arial"/>
      <w:sz w:val="24"/>
      <w:szCs w:val="24"/>
      <w:lang w:eastAsia="en-GB"/>
    </w:rPr>
  </w:style>
  <w:style w:type="character" w:customStyle="1" w:styleId="Normal-10pt-TableChar">
    <w:name w:val="Normal - 10pt - Table Char"/>
    <w:link w:val="Normal-10pt-Table"/>
    <w:rPr>
      <w:rFonts w:ascii="Calibri" w:eastAsia="Times New Roman" w:hAnsi="Calibri" w:cs="Arial"/>
      <w:sz w:val="20"/>
      <w:lang w:eastAsia="en-GB"/>
    </w:rPr>
  </w:style>
  <w:style w:type="character" w:customStyle="1" w:styleId="Normal-TableChar">
    <w:name w:val="Normal - Table Char"/>
    <w:link w:val="Normal-Table"/>
    <w:rPr>
      <w:rFonts w:ascii="Calibri" w:eastAsia="Times New Roman" w:hAnsi="Calibri" w:cs="Arial"/>
      <w:sz w:val="24"/>
      <w:szCs w:val="24"/>
      <w:lang w:eastAsia="en-GB"/>
    </w:rPr>
  </w:style>
  <w:style w:type="numbering" w:customStyle="1" w:styleId="Style1">
    <w:name w:val="Style1"/>
    <w:uiPriority w:val="99"/>
    <w:pPr>
      <w:numPr>
        <w:numId w:val="8"/>
      </w:numPr>
    </w:pPr>
  </w:style>
  <w:style w:type="numbering" w:customStyle="1" w:styleId="StyleEunomiaBullets">
    <w:name w:val="Style Eunomia Bullets"/>
    <w:uiPriority w:val="99"/>
    <w:pPr>
      <w:numPr>
        <w:numId w:val="9"/>
      </w:numPr>
    </w:pPr>
  </w:style>
  <w:style w:type="numbering" w:customStyle="1" w:styleId="EunomiaStyleBullets">
    <w:name w:val="Eunomia Style Bullets"/>
    <w:uiPriority w:val="99"/>
    <w:pPr>
      <w:numPr>
        <w:numId w:val="10"/>
      </w:numPr>
    </w:p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val="es-ES"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customStyle="1" w:styleId="bodyat12">
    <w:name w:val="body_at_12"/>
    <w:basedOn w:val="DefaultParagraphFont"/>
  </w:style>
  <w:style w:type="character" w:customStyle="1" w:styleId="CaptionChar">
    <w:name w:val="Caption Char"/>
    <w:link w:val="Caption"/>
    <w:rPr>
      <w:rFonts w:ascii="Arial" w:eastAsia="Times New Roman" w:hAnsi="Arial" w:cs="Arial"/>
      <w:b/>
      <w:bCs/>
      <w:color w:val="00A79D"/>
      <w:sz w:val="24"/>
      <w:szCs w:val="20"/>
      <w:lang w:eastAsia="en-GB"/>
    </w:rPr>
  </w:style>
  <w:style w:type="paragraph" w:styleId="Revision">
    <w:name w:val="Revision"/>
    <w:hidden/>
    <w:uiPriority w:val="71"/>
    <w:pPr>
      <w:spacing w:after="0" w:line="240" w:lineRule="auto"/>
    </w:pPr>
    <w:rPr>
      <w:rFonts w:ascii="Calibri" w:eastAsia="Times New Roman" w:hAnsi="Calibri" w:cs="Arial"/>
      <w:sz w:val="24"/>
      <w:szCs w:val="24"/>
      <w:lang w:eastAsia="en-GB"/>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styleId="Emphasis">
    <w:name w:val="Emphasis"/>
    <w:basedOn w:val="DefaultParagraphFont"/>
    <w:uiPriority w:val="20"/>
    <w:qFormat/>
    <w:rPr>
      <w:i/>
      <w:iCs/>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5"/>
      </w:numPr>
      <w:spacing w:before="600" w:after="240" w:line="240" w:lineRule="auto"/>
      <w:jc w:val="both"/>
      <w:outlineLvl w:val="0"/>
    </w:pPr>
    <w:rPr>
      <w:rFonts w:ascii="Times New Roman" w:eastAsia="Times New Roman" w:hAnsi="Times New Roman" w:cs="Times New Roman"/>
      <w:b/>
      <w:bCs/>
      <w:caps/>
      <w:noProof/>
      <w:sz w:val="24"/>
      <w:szCs w:val="24"/>
      <w:lang w:eastAsia="en-GB"/>
    </w:rPr>
  </w:style>
  <w:style w:type="paragraph" w:styleId="Heading2">
    <w:name w:val="heading 2"/>
    <w:basedOn w:val="Normal"/>
    <w:next w:val="Normal"/>
    <w:link w:val="Heading2Char"/>
    <w:qFormat/>
    <w:pPr>
      <w:keepNext/>
      <w:numPr>
        <w:ilvl w:val="1"/>
        <w:numId w:val="5"/>
      </w:numPr>
      <w:spacing w:before="240" w:after="120" w:line="240" w:lineRule="auto"/>
      <w:jc w:val="both"/>
      <w:outlineLvl w:val="1"/>
    </w:pPr>
    <w:rPr>
      <w:rFonts w:ascii="Times New Roman" w:eastAsia="Times New Roman" w:hAnsi="Times New Roman" w:cs="Times New Roman"/>
      <w:b/>
      <w:bCs/>
      <w:iCs/>
      <w:sz w:val="24"/>
      <w:szCs w:val="24"/>
      <w:lang w:eastAsia="en-GB"/>
    </w:rPr>
  </w:style>
  <w:style w:type="paragraph" w:styleId="Heading3">
    <w:name w:val="heading 3"/>
    <w:basedOn w:val="Normal"/>
    <w:next w:val="Normal"/>
    <w:link w:val="Heading3Char"/>
    <w:qFormat/>
    <w:pPr>
      <w:keepNext/>
      <w:numPr>
        <w:ilvl w:val="2"/>
        <w:numId w:val="5"/>
      </w:numPr>
      <w:tabs>
        <w:tab w:val="left" w:pos="1134"/>
      </w:tabs>
      <w:spacing w:before="240" w:after="120" w:line="240" w:lineRule="auto"/>
      <w:outlineLvl w:val="2"/>
    </w:pPr>
    <w:rPr>
      <w:rFonts w:ascii="Arial" w:eastAsia="Times New Roman" w:hAnsi="Arial" w:cs="Arial"/>
      <w:b/>
      <w:bCs/>
      <w:color w:val="00A79D"/>
      <w:sz w:val="26"/>
      <w:szCs w:val="26"/>
      <w:lang w:eastAsia="en-GB"/>
    </w:rPr>
  </w:style>
  <w:style w:type="paragraph" w:styleId="Heading4">
    <w:name w:val="heading 4"/>
    <w:basedOn w:val="Normal"/>
    <w:next w:val="Normal"/>
    <w:link w:val="Heading4Char"/>
    <w:autoRedefine/>
    <w:qFormat/>
    <w:pPr>
      <w:keepNext/>
      <w:numPr>
        <w:ilvl w:val="3"/>
        <w:numId w:val="5"/>
      </w:numPr>
      <w:tabs>
        <w:tab w:val="left" w:pos="1134"/>
      </w:tabs>
      <w:spacing w:before="240" w:after="120" w:line="240" w:lineRule="auto"/>
      <w:outlineLvl w:val="3"/>
    </w:pPr>
    <w:rPr>
      <w:rFonts w:ascii="Arial" w:eastAsia="Times New Roman" w:hAnsi="Arial" w:cs="Arial"/>
      <w:b/>
      <w:bCs/>
      <w:noProof/>
      <w:color w:val="00A79D"/>
      <w:sz w:val="24"/>
      <w:szCs w:val="28"/>
      <w:lang w:eastAsia="en-GB"/>
    </w:rPr>
  </w:style>
  <w:style w:type="paragraph" w:styleId="Heading5">
    <w:name w:val="heading 5"/>
    <w:basedOn w:val="Normal"/>
    <w:next w:val="Normal"/>
    <w:link w:val="Heading5Char"/>
    <w:autoRedefine/>
    <w:qFormat/>
    <w:pPr>
      <w:keepNext/>
      <w:spacing w:before="120" w:after="120" w:line="240" w:lineRule="auto"/>
      <w:outlineLvl w:val="4"/>
    </w:pPr>
    <w:rPr>
      <w:rFonts w:ascii="Arial" w:eastAsia="Times New Roman" w:hAnsi="Arial" w:cs="Arial"/>
      <w:b/>
      <w:color w:val="00A79D"/>
      <w:lang w:eastAsia="en-GB"/>
    </w:rPr>
  </w:style>
  <w:style w:type="paragraph" w:styleId="Heading6">
    <w:name w:val="heading 6"/>
    <w:basedOn w:val="Normal"/>
    <w:next w:val="Normal"/>
    <w:link w:val="Heading6Char"/>
    <w:autoRedefine/>
    <w:qFormat/>
    <w:pPr>
      <w:numPr>
        <w:ilvl w:val="5"/>
        <w:numId w:val="5"/>
      </w:numPr>
      <w:spacing w:before="240" w:after="60" w:line="240" w:lineRule="auto"/>
      <w:outlineLvl w:val="5"/>
    </w:pPr>
    <w:rPr>
      <w:rFonts w:ascii="Calibri" w:eastAsia="Times New Roman" w:hAnsi="Calibri" w:cs="Arial"/>
      <w:b/>
      <w:bCs/>
      <w:sz w:val="24"/>
      <w:lang w:eastAsia="en-GB"/>
    </w:rPr>
  </w:style>
  <w:style w:type="paragraph" w:styleId="Heading7">
    <w:name w:val="heading 7"/>
    <w:basedOn w:val="Normal"/>
    <w:next w:val="Normal"/>
    <w:link w:val="Heading7Char"/>
    <w:autoRedefine/>
    <w:qFormat/>
    <w:pPr>
      <w:numPr>
        <w:ilvl w:val="6"/>
        <w:numId w:val="5"/>
      </w:numPr>
      <w:spacing w:before="240" w:after="60" w:line="240" w:lineRule="auto"/>
      <w:outlineLvl w:val="6"/>
    </w:pPr>
    <w:rPr>
      <w:rFonts w:ascii="Calibri" w:eastAsia="Times New Roman" w:hAnsi="Calibri" w:cs="Arial"/>
      <w:sz w:val="24"/>
      <w:szCs w:val="24"/>
      <w:lang w:eastAsia="en-GB"/>
    </w:rPr>
  </w:style>
  <w:style w:type="paragraph" w:styleId="Heading8">
    <w:name w:val="heading 8"/>
    <w:basedOn w:val="Normal"/>
    <w:next w:val="Normal"/>
    <w:link w:val="Heading8Char"/>
    <w:autoRedefine/>
    <w:qFormat/>
    <w:pPr>
      <w:numPr>
        <w:ilvl w:val="7"/>
        <w:numId w:val="5"/>
      </w:numPr>
      <w:spacing w:before="240" w:after="60" w:line="240" w:lineRule="auto"/>
      <w:outlineLvl w:val="7"/>
    </w:pPr>
    <w:rPr>
      <w:rFonts w:ascii="Calibri" w:eastAsia="Times New Roman" w:hAnsi="Calibri" w:cs="Arial"/>
      <w:i/>
      <w:iCs/>
      <w:sz w:val="24"/>
      <w:szCs w:val="24"/>
      <w:lang w:eastAsia="en-GB"/>
    </w:rPr>
  </w:style>
  <w:style w:type="paragraph" w:styleId="Heading9">
    <w:name w:val="heading 9"/>
    <w:basedOn w:val="Normal"/>
    <w:next w:val="Normal"/>
    <w:link w:val="Heading9Char"/>
    <w:autoRedefine/>
    <w:qFormat/>
    <w:pPr>
      <w:numPr>
        <w:ilvl w:val="8"/>
        <w:numId w:val="5"/>
      </w:numPr>
      <w:spacing w:before="240" w:after="60" w:line="240" w:lineRule="auto"/>
      <w:outlineLvl w:val="8"/>
    </w:pPr>
    <w:rPr>
      <w:rFonts w:ascii="Calibri" w:eastAsia="Times New Roman" w:hAnsi="Calibri" w:cs="Arial"/>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caps/>
      <w:noProof/>
      <w:sz w:val="24"/>
      <w:szCs w:val="24"/>
      <w:lang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4"/>
      <w:lang w:eastAsia="en-GB"/>
    </w:rPr>
  </w:style>
  <w:style w:type="character" w:customStyle="1" w:styleId="Heading3Char">
    <w:name w:val="Heading 3 Char"/>
    <w:basedOn w:val="DefaultParagraphFont"/>
    <w:link w:val="Heading3"/>
    <w:rPr>
      <w:rFonts w:ascii="Arial" w:eastAsia="Times New Roman" w:hAnsi="Arial" w:cs="Arial"/>
      <w:b/>
      <w:bCs/>
      <w:color w:val="00A79D"/>
      <w:sz w:val="26"/>
      <w:szCs w:val="26"/>
      <w:lang w:eastAsia="en-GB"/>
    </w:rPr>
  </w:style>
  <w:style w:type="character" w:customStyle="1" w:styleId="Heading4Char">
    <w:name w:val="Heading 4 Char"/>
    <w:basedOn w:val="DefaultParagraphFont"/>
    <w:link w:val="Heading4"/>
    <w:rPr>
      <w:rFonts w:ascii="Arial" w:eastAsia="Times New Roman" w:hAnsi="Arial" w:cs="Arial"/>
      <w:b/>
      <w:bCs/>
      <w:noProof/>
      <w:color w:val="00A79D"/>
      <w:sz w:val="24"/>
      <w:szCs w:val="28"/>
      <w:lang w:eastAsia="en-GB"/>
    </w:rPr>
  </w:style>
  <w:style w:type="character" w:customStyle="1" w:styleId="Heading5Char">
    <w:name w:val="Heading 5 Char"/>
    <w:basedOn w:val="DefaultParagraphFont"/>
    <w:link w:val="Heading5"/>
    <w:rPr>
      <w:rFonts w:ascii="Arial" w:eastAsia="Times New Roman" w:hAnsi="Arial" w:cs="Arial"/>
      <w:b/>
      <w:color w:val="00A79D"/>
      <w:lang w:eastAsia="en-GB"/>
    </w:rPr>
  </w:style>
  <w:style w:type="character" w:customStyle="1" w:styleId="Heading6Char">
    <w:name w:val="Heading 6 Char"/>
    <w:basedOn w:val="DefaultParagraphFont"/>
    <w:link w:val="Heading6"/>
    <w:rPr>
      <w:rFonts w:ascii="Calibri" w:eastAsia="Times New Roman" w:hAnsi="Calibri" w:cs="Arial"/>
      <w:b/>
      <w:bCs/>
      <w:sz w:val="24"/>
      <w:lang w:eastAsia="en-GB"/>
    </w:rPr>
  </w:style>
  <w:style w:type="character" w:customStyle="1" w:styleId="Heading7Char">
    <w:name w:val="Heading 7 Char"/>
    <w:basedOn w:val="DefaultParagraphFont"/>
    <w:link w:val="Heading7"/>
    <w:rPr>
      <w:rFonts w:ascii="Calibri" w:eastAsia="Times New Roman" w:hAnsi="Calibri" w:cs="Arial"/>
      <w:sz w:val="24"/>
      <w:szCs w:val="24"/>
      <w:lang w:eastAsia="en-GB"/>
    </w:rPr>
  </w:style>
  <w:style w:type="character" w:customStyle="1" w:styleId="Heading8Char">
    <w:name w:val="Heading 8 Char"/>
    <w:basedOn w:val="DefaultParagraphFont"/>
    <w:link w:val="Heading8"/>
    <w:rPr>
      <w:rFonts w:ascii="Calibri" w:eastAsia="Times New Roman" w:hAnsi="Calibri" w:cs="Arial"/>
      <w:i/>
      <w:iCs/>
      <w:sz w:val="24"/>
      <w:szCs w:val="24"/>
      <w:lang w:eastAsia="en-GB"/>
    </w:rPr>
  </w:style>
  <w:style w:type="character" w:customStyle="1" w:styleId="Heading9Char">
    <w:name w:val="Heading 9 Char"/>
    <w:basedOn w:val="DefaultParagraphFont"/>
    <w:link w:val="Heading9"/>
    <w:rPr>
      <w:rFonts w:ascii="Calibri" w:eastAsia="Times New Roman" w:hAnsi="Calibri" w:cs="Arial"/>
      <w:sz w:val="24"/>
      <w:lang w:eastAsia="en-GB"/>
    </w:rPr>
  </w:style>
  <w:style w:type="numbering" w:customStyle="1" w:styleId="NoList1">
    <w:name w:val="No List1"/>
    <w:next w:val="NoList"/>
    <w:uiPriority w:val="99"/>
    <w:semiHidden/>
    <w:unhideWhenUsed/>
  </w:style>
  <w:style w:type="character" w:styleId="PageNumber">
    <w:name w:val="page number"/>
    <w:rPr>
      <w:rFonts w:ascii="Franklin Gothic Book" w:hAnsi="Franklin Gothic Book"/>
      <w:color w:val="808000"/>
    </w:rPr>
  </w:style>
  <w:style w:type="character" w:styleId="FollowedHyperlink">
    <w:name w:val="FollowedHyperlink"/>
    <w:rPr>
      <w:rFonts w:ascii="Franklin Gothic Book" w:hAnsi="Franklin Gothic Book"/>
      <w:color w:val="800080"/>
      <w:u w:val="single"/>
    </w:rPr>
  </w:style>
  <w:style w:type="paragraph" w:customStyle="1" w:styleId="ExecSummHead1">
    <w:name w:val="Exec Summ Head 1"/>
    <w:basedOn w:val="Heading1"/>
    <w:next w:val="Normal"/>
    <w:qFormat/>
    <w:pPr>
      <w:numPr>
        <w:numId w:val="1"/>
      </w:numPr>
      <w:tabs>
        <w:tab w:val="clear" w:pos="432"/>
      </w:tabs>
      <w:ind w:left="1134" w:hanging="1134"/>
    </w:pPr>
    <w:rPr>
      <w:sz w:val="36"/>
      <w:szCs w:val="36"/>
    </w:rPr>
  </w:style>
  <w:style w:type="paragraph" w:styleId="Caption">
    <w:name w:val="caption"/>
    <w:basedOn w:val="Normal"/>
    <w:next w:val="Normal"/>
    <w:link w:val="CaptionChar"/>
    <w:qFormat/>
    <w:pPr>
      <w:keepNext/>
      <w:spacing w:before="120" w:after="120" w:line="240" w:lineRule="auto"/>
    </w:pPr>
    <w:rPr>
      <w:rFonts w:ascii="Arial" w:eastAsia="Times New Roman" w:hAnsi="Arial" w:cs="Arial"/>
      <w:b/>
      <w:bCs/>
      <w:color w:val="00A79D"/>
      <w:sz w:val="24"/>
      <w:szCs w:val="20"/>
      <w:lang w:eastAsia="en-GB"/>
    </w:rPr>
  </w:style>
  <w:style w:type="paragraph" w:styleId="FootnoteText">
    <w:name w:val="footnote text"/>
    <w:basedOn w:val="Normal"/>
    <w:link w:val="FootnoteTextChar"/>
    <w:autoRedefine/>
    <w:qFormat/>
    <w:pPr>
      <w:spacing w:after="120" w:line="240" w:lineRule="auto"/>
      <w:ind w:right="44"/>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en-GB"/>
    </w:rPr>
  </w:style>
  <w:style w:type="character" w:styleId="FootnoteReference">
    <w:name w:val="footnote reference"/>
    <w:aliases w:val="SUPERS,EN Footnote Reference,Footnote reference number,Footnote symbol,note TESI,-E Fußnotenzeichen,number,16 Point,Superscript 6 Point,Footnote text,Footnote Reference Superscript,stylish,BVI fnr,Footnote call,(Footnote Reference),ft"/>
    <w:qFormat/>
    <w:rPr>
      <w:vertAlign w:val="superscript"/>
    </w:rPr>
  </w:style>
  <w:style w:type="paragraph" w:styleId="EndnoteText">
    <w:name w:val="endnote text"/>
    <w:basedOn w:val="Normal"/>
    <w:link w:val="EndnoteTextChar"/>
    <w:semiHidden/>
    <w:pPr>
      <w:keepNext/>
      <w:spacing w:before="120" w:after="120" w:line="240" w:lineRule="auto"/>
    </w:pPr>
    <w:rPr>
      <w:rFonts w:ascii="Calibri" w:eastAsia="Times New Roman" w:hAnsi="Calibri" w:cs="Arial"/>
      <w:color w:val="808000"/>
      <w:sz w:val="24"/>
      <w:szCs w:val="20"/>
      <w:lang w:eastAsia="en-GB"/>
    </w:rPr>
  </w:style>
  <w:style w:type="character" w:customStyle="1" w:styleId="EndnoteTextChar">
    <w:name w:val="Endnote Text Char"/>
    <w:basedOn w:val="DefaultParagraphFont"/>
    <w:link w:val="EndnoteText"/>
    <w:semiHidden/>
    <w:rPr>
      <w:rFonts w:ascii="Calibri" w:eastAsia="Times New Roman" w:hAnsi="Calibri" w:cs="Arial"/>
      <w:color w:val="808000"/>
      <w:sz w:val="24"/>
      <w:szCs w:val="20"/>
      <w:lang w:eastAsia="en-GB"/>
    </w:rPr>
  </w:style>
  <w:style w:type="character" w:styleId="EndnoteReference">
    <w:name w:val="endnote reference"/>
    <w:semiHidden/>
    <w:rPr>
      <w:vertAlign w:val="superscript"/>
    </w:rPr>
  </w:style>
  <w:style w:type="paragraph" w:customStyle="1" w:styleId="SectionHeading">
    <w:name w:val="Section Heading"/>
    <w:basedOn w:val="Normal"/>
    <w:next w:val="Normal"/>
    <w:autoRedefine/>
    <w:pPr>
      <w:spacing w:before="5400" w:after="120" w:line="240" w:lineRule="auto"/>
    </w:pPr>
    <w:rPr>
      <w:rFonts w:ascii="Calibri" w:eastAsia="Times New Roman" w:hAnsi="Calibri" w:cs="Arial"/>
      <w:color w:val="808000"/>
      <w:sz w:val="40"/>
      <w:szCs w:val="24"/>
      <w:lang w:eastAsia="en-GB"/>
    </w:rPr>
  </w:style>
  <w:style w:type="paragraph" w:styleId="TOC1">
    <w:name w:val="toc 1"/>
    <w:basedOn w:val="Normal"/>
    <w:next w:val="Normal"/>
    <w:autoRedefine/>
    <w:uiPriority w:val="39"/>
    <w:qFormat/>
    <w:pPr>
      <w:spacing w:before="120" w:after="120" w:line="240" w:lineRule="auto"/>
    </w:pPr>
    <w:rPr>
      <w:rFonts w:eastAsia="Times New Roman" w:cs="Arial"/>
      <w:b/>
      <w:bCs/>
      <w:caps/>
      <w:sz w:val="20"/>
      <w:szCs w:val="20"/>
      <w:lang w:eastAsia="en-GB"/>
    </w:rPr>
  </w:style>
  <w:style w:type="paragraph" w:styleId="TOC2">
    <w:name w:val="toc 2"/>
    <w:basedOn w:val="Normal"/>
    <w:next w:val="Normal"/>
    <w:uiPriority w:val="39"/>
    <w:qFormat/>
    <w:pPr>
      <w:spacing w:after="0" w:line="240" w:lineRule="auto"/>
      <w:ind w:left="240"/>
    </w:pPr>
    <w:rPr>
      <w:rFonts w:eastAsia="Times New Roman" w:cs="Arial"/>
      <w:smallCaps/>
      <w:sz w:val="20"/>
      <w:szCs w:val="20"/>
      <w:lang w:eastAsia="en-GB"/>
    </w:rPr>
  </w:style>
  <w:style w:type="paragraph" w:styleId="TOC3">
    <w:name w:val="toc 3"/>
    <w:basedOn w:val="Normal"/>
    <w:next w:val="Normal"/>
    <w:uiPriority w:val="39"/>
    <w:qFormat/>
    <w:pPr>
      <w:spacing w:after="0" w:line="240" w:lineRule="auto"/>
      <w:ind w:left="480"/>
    </w:pPr>
    <w:rPr>
      <w:rFonts w:eastAsia="Times New Roman" w:cs="Arial"/>
      <w:i/>
      <w:iCs/>
      <w:sz w:val="20"/>
      <w:szCs w:val="20"/>
      <w:lang w:eastAsia="en-GB"/>
    </w:rPr>
  </w:style>
  <w:style w:type="paragraph" w:styleId="TOC4">
    <w:name w:val="toc 4"/>
    <w:basedOn w:val="EXECSUMM"/>
    <w:next w:val="Normal"/>
    <w:autoRedefine/>
    <w:uiPriority w:val="39"/>
    <w:pPr>
      <w:pBdr>
        <w:bottom w:val="none" w:sz="0" w:space="0" w:color="auto"/>
      </w:pBdr>
      <w:spacing w:before="0" w:after="0" w:line="240" w:lineRule="auto"/>
      <w:ind w:left="720"/>
      <w:jc w:val="left"/>
    </w:pPr>
    <w:rPr>
      <w:rFonts w:asciiTheme="minorHAnsi" w:hAnsiTheme="minorHAnsi"/>
      <w:b w:val="0"/>
      <w:bCs w:val="0"/>
      <w:sz w:val="18"/>
      <w:szCs w:val="18"/>
    </w:rPr>
  </w:style>
  <w:style w:type="paragraph" w:styleId="TOC5">
    <w:name w:val="toc 5"/>
    <w:basedOn w:val="Normal"/>
    <w:next w:val="Normal"/>
    <w:autoRedefine/>
    <w:semiHidden/>
    <w:pPr>
      <w:spacing w:after="0" w:line="240" w:lineRule="auto"/>
      <w:ind w:left="960"/>
    </w:pPr>
    <w:rPr>
      <w:rFonts w:eastAsia="Times New Roman" w:cs="Arial"/>
      <w:sz w:val="18"/>
      <w:szCs w:val="18"/>
      <w:lang w:eastAsia="en-GB"/>
    </w:rPr>
  </w:style>
  <w:style w:type="paragraph" w:styleId="TOC6">
    <w:name w:val="toc 6"/>
    <w:basedOn w:val="Normal"/>
    <w:next w:val="Normal"/>
    <w:autoRedefine/>
    <w:semiHidden/>
    <w:pPr>
      <w:spacing w:after="0" w:line="240" w:lineRule="auto"/>
      <w:ind w:left="1200"/>
    </w:pPr>
    <w:rPr>
      <w:rFonts w:eastAsia="Times New Roman" w:cs="Arial"/>
      <w:sz w:val="18"/>
      <w:szCs w:val="18"/>
      <w:lang w:eastAsia="en-GB"/>
    </w:rPr>
  </w:style>
  <w:style w:type="paragraph" w:styleId="TOC7">
    <w:name w:val="toc 7"/>
    <w:basedOn w:val="Normal"/>
    <w:next w:val="Normal"/>
    <w:autoRedefine/>
    <w:semiHidden/>
    <w:pPr>
      <w:spacing w:after="0" w:line="240" w:lineRule="auto"/>
      <w:ind w:left="1440"/>
    </w:pPr>
    <w:rPr>
      <w:rFonts w:eastAsia="Times New Roman" w:cs="Arial"/>
      <w:sz w:val="18"/>
      <w:szCs w:val="18"/>
      <w:lang w:eastAsia="en-GB"/>
    </w:rPr>
  </w:style>
  <w:style w:type="paragraph" w:styleId="TOC8">
    <w:name w:val="toc 8"/>
    <w:basedOn w:val="Normal"/>
    <w:next w:val="Normal"/>
    <w:autoRedefine/>
    <w:semiHidden/>
    <w:pPr>
      <w:spacing w:after="0" w:line="240" w:lineRule="auto"/>
      <w:ind w:left="1680"/>
    </w:pPr>
    <w:rPr>
      <w:rFonts w:eastAsia="Times New Roman" w:cs="Arial"/>
      <w:sz w:val="18"/>
      <w:szCs w:val="18"/>
      <w:lang w:eastAsia="en-GB"/>
    </w:rPr>
  </w:style>
  <w:style w:type="paragraph" w:styleId="TOC9">
    <w:name w:val="toc 9"/>
    <w:basedOn w:val="Normal"/>
    <w:next w:val="Normal"/>
    <w:autoRedefine/>
    <w:semiHidden/>
    <w:pPr>
      <w:spacing w:after="0" w:line="240" w:lineRule="auto"/>
      <w:ind w:left="1920"/>
    </w:pPr>
    <w:rPr>
      <w:rFonts w:eastAsia="Times New Roman" w:cs="Arial"/>
      <w:sz w:val="18"/>
      <w:szCs w:val="18"/>
      <w:lang w:eastAsia="en-GB"/>
    </w:rPr>
  </w:style>
  <w:style w:type="character" w:styleId="Hyperlink">
    <w:name w:val="Hyperlink"/>
    <w:uiPriority w:val="99"/>
    <w:rPr>
      <w:rFonts w:ascii="Calibri" w:hAnsi="Calibri"/>
      <w:color w:val="0000FF"/>
      <w:u w:val="single"/>
    </w:rPr>
  </w:style>
  <w:style w:type="paragraph" w:customStyle="1" w:styleId="IntroHeading">
    <w:name w:val="Intro Heading"/>
    <w:basedOn w:val="Heading1"/>
    <w:next w:val="Normal"/>
    <w:autoRedefine/>
    <w:pPr>
      <w:numPr>
        <w:numId w:val="0"/>
      </w:numPr>
      <w:spacing w:before="120"/>
    </w:pPr>
  </w:style>
  <w:style w:type="paragraph" w:styleId="TableofFigures">
    <w:name w:val="table of figures"/>
    <w:basedOn w:val="Normal"/>
    <w:next w:val="Normal"/>
    <w:uiPriority w:val="99"/>
    <w:pPr>
      <w:spacing w:before="120" w:after="120" w:line="240" w:lineRule="auto"/>
      <w:ind w:left="400" w:hanging="400"/>
    </w:pPr>
    <w:rPr>
      <w:rFonts w:ascii="Calibri" w:eastAsia="Times New Roman" w:hAnsi="Calibri" w:cs="Arial"/>
      <w:sz w:val="24"/>
      <w:szCs w:val="24"/>
      <w:lang w:eastAsia="en-GB"/>
    </w:rPr>
  </w:style>
  <w:style w:type="table" w:customStyle="1" w:styleId="EunomiaTable-Text">
    <w:name w:val="Eunomia Table - Text"/>
    <w:basedOn w:val="TableNormal"/>
    <w:uiPriority w:val="99"/>
    <w:pPr>
      <w:spacing w:after="0" w:line="240" w:lineRule="auto"/>
    </w:pPr>
    <w:rPr>
      <w:rFonts w:ascii="Calibri" w:eastAsia="Times New Roman" w:hAnsi="Calibri" w:cs="Times New Roman"/>
      <w:sz w:val="24"/>
      <w:szCs w:val="20"/>
      <w:lang w:eastAsia="en-GB"/>
    </w:rPr>
    <w:tblPr>
      <w:tblStyleRowBandSize w:val="1"/>
      <w:tblInd w:w="0" w:type="dxa"/>
      <w:tblBorders>
        <w:insideV w:val="single" w:sz="4" w:space="0" w:color="00A79D"/>
      </w:tblBorders>
      <w:tblCellMar>
        <w:top w:w="0" w:type="dxa"/>
        <w:left w:w="108" w:type="dxa"/>
        <w:bottom w:w="0" w:type="dxa"/>
        <w:right w:w="108" w:type="dxa"/>
      </w:tblCellMar>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paragraph" w:customStyle="1" w:styleId="DocumentTitle">
    <w:name w:val="Document Title"/>
    <w:basedOn w:val="Normal"/>
    <w:link w:val="DocumentTitleChar"/>
    <w:autoRedefine/>
    <w:pPr>
      <w:spacing w:before="120" w:after="120" w:line="240" w:lineRule="auto"/>
    </w:pPr>
    <w:rPr>
      <w:rFonts w:ascii="Arial" w:eastAsia="Times New Roman" w:hAnsi="Arial" w:cs="Arial"/>
      <w:b/>
      <w:color w:val="FFFFFF"/>
      <w:sz w:val="56"/>
      <w:szCs w:val="56"/>
      <w:lang w:eastAsia="en-GB"/>
    </w:rPr>
  </w:style>
  <w:style w:type="paragraph" w:customStyle="1" w:styleId="Documentrecipient">
    <w:name w:val="Document recipient"/>
    <w:basedOn w:val="IntroHeading"/>
    <w:autoRedefine/>
  </w:style>
  <w:style w:type="paragraph" w:customStyle="1" w:styleId="preparedby">
    <w:name w:val="prepared by"/>
    <w:basedOn w:val="IntroHeading"/>
    <w:autoRedefine/>
    <w:rPr>
      <w:sz w:val="32"/>
    </w:rPr>
  </w:style>
  <w:style w:type="paragraph" w:customStyle="1" w:styleId="ExecSummHead2">
    <w:name w:val="Exec Summ Head 2"/>
    <w:basedOn w:val="Heading2"/>
    <w:next w:val="Normal"/>
    <w:link w:val="ExecSummHead2Char"/>
    <w:qFormat/>
    <w:pPr>
      <w:numPr>
        <w:numId w:val="1"/>
      </w:numPr>
      <w:tabs>
        <w:tab w:val="clear" w:pos="576"/>
      </w:tabs>
      <w:ind w:left="1134" w:hanging="1134"/>
    </w:pPr>
  </w:style>
  <w:style w:type="paragraph" w:customStyle="1" w:styleId="Reference">
    <w:name w:val="Reference"/>
    <w:basedOn w:val="Normal"/>
    <w:autoRedefine/>
    <w:pPr>
      <w:spacing w:before="120" w:after="120" w:line="240" w:lineRule="auto"/>
    </w:pPr>
    <w:rPr>
      <w:rFonts w:ascii="Calibri" w:eastAsia="Times New Roman" w:hAnsi="Calibri" w:cs="Arial"/>
      <w:sz w:val="24"/>
      <w:szCs w:val="24"/>
      <w:lang w:eastAsia="en-GB"/>
    </w:rPr>
  </w:style>
  <w:style w:type="paragraph" w:customStyle="1" w:styleId="AppendixHeading1">
    <w:name w:val="Appendix Heading1"/>
    <w:basedOn w:val="Heading1"/>
    <w:next w:val="Normal"/>
    <w:qFormat/>
    <w:pPr>
      <w:numPr>
        <w:numId w:val="0"/>
      </w:numPr>
      <w:ind w:left="1440" w:right="-1749" w:hanging="1440"/>
    </w:pPr>
  </w:style>
  <w:style w:type="numbering" w:customStyle="1" w:styleId="StyleBulleted">
    <w:name w:val="Style Bulleted"/>
    <w:basedOn w:val="NoList"/>
    <w:pPr>
      <w:numPr>
        <w:numId w:val="2"/>
      </w:numPr>
    </w:pPr>
  </w:style>
  <w:style w:type="paragraph" w:customStyle="1" w:styleId="AppendixHeading3">
    <w:name w:val="Appendix Heading3"/>
    <w:basedOn w:val="AppendixHeading1"/>
    <w:next w:val="Normal"/>
    <w:qFormat/>
    <w:pPr>
      <w:numPr>
        <w:numId w:val="11"/>
      </w:numPr>
    </w:pPr>
    <w:rPr>
      <w:caps w:val="0"/>
    </w:rPr>
  </w:style>
  <w:style w:type="paragraph" w:customStyle="1" w:styleId="AppendixHeading2">
    <w:name w:val="Appendix Heading2"/>
    <w:basedOn w:val="AppendixHeading1"/>
    <w:next w:val="Normal"/>
    <w:qFormat/>
    <w:pPr>
      <w:ind w:left="1200" w:hanging="1200"/>
    </w:pPr>
    <w:rPr>
      <w:caps w:val="0"/>
      <w:smallCaps/>
    </w:rPr>
  </w:style>
  <w:style w:type="numbering" w:customStyle="1" w:styleId="StyleNumbered">
    <w:name w:val="Style Numbered"/>
    <w:basedOn w:val="StyleBulleted"/>
    <w:pPr>
      <w:numPr>
        <w:numId w:val="3"/>
      </w:numPr>
    </w:pPr>
  </w:style>
  <w:style w:type="paragraph" w:customStyle="1" w:styleId="NumberedParagraphs">
    <w:name w:val="Numbered Paragraphs"/>
    <w:basedOn w:val="Normal"/>
    <w:next w:val="Normal"/>
    <w:pPr>
      <w:numPr>
        <w:numId w:val="4"/>
      </w:numPr>
      <w:tabs>
        <w:tab w:val="left" w:pos="397"/>
      </w:tabs>
      <w:spacing w:before="120" w:after="120" w:line="240" w:lineRule="auto"/>
    </w:pPr>
    <w:rPr>
      <w:rFonts w:ascii="Calibri" w:eastAsia="Times New Roman" w:hAnsi="Calibri" w:cs="Arial"/>
      <w:sz w:val="24"/>
      <w:szCs w:val="24"/>
      <w:lang w:eastAsia="en-GB"/>
    </w:rPr>
  </w:style>
  <w:style w:type="paragraph" w:customStyle="1" w:styleId="reference0">
    <w:name w:val="reference"/>
    <w:basedOn w:val="Normal"/>
    <w:pPr>
      <w:spacing w:before="120" w:after="120" w:line="240" w:lineRule="auto"/>
    </w:pPr>
    <w:rPr>
      <w:rFonts w:ascii="Calibri" w:eastAsia="Times New Roman" w:hAnsi="Calibri" w:cs="Arial"/>
      <w:sz w:val="20"/>
      <w:szCs w:val="20"/>
      <w:lang w:val="en-US" w:bidi="th-TH"/>
    </w:rPr>
  </w:style>
  <w:style w:type="paragraph" w:customStyle="1" w:styleId="EXECSUMM">
    <w:name w:val="EXEC SUMM"/>
    <w:basedOn w:val="StyleArial20ptBoldAccent3TopSinglesolidlineAccent"/>
    <w:next w:val="Normal"/>
    <w:link w:val="EXECSUMMChar"/>
    <w:qFormat/>
    <w:pPr>
      <w:spacing w:before="480"/>
    </w:pPr>
  </w:style>
  <w:style w:type="paragraph" w:customStyle="1" w:styleId="CaptionNotes">
    <w:name w:val="Caption Notes"/>
    <w:basedOn w:val="Normal"/>
    <w:next w:val="Normal"/>
    <w:link w:val="CaptionNotesCharChar"/>
    <w:qFormat/>
    <w:pPr>
      <w:spacing w:before="60" w:after="240" w:line="240" w:lineRule="auto"/>
    </w:pPr>
    <w:rPr>
      <w:rFonts w:ascii="Calibri" w:eastAsia="Times New Roman" w:hAnsi="Calibri" w:cs="Arial"/>
      <w:i/>
      <w:iCs/>
      <w:sz w:val="20"/>
      <w:szCs w:val="20"/>
      <w:lang w:eastAsia="en-GB"/>
    </w:rPr>
  </w:style>
  <w:style w:type="character" w:customStyle="1" w:styleId="CaptionNotesCharChar">
    <w:name w:val="Caption Notes Char Char"/>
    <w:link w:val="CaptionNotes"/>
    <w:rPr>
      <w:rFonts w:ascii="Calibri" w:eastAsia="Times New Roman" w:hAnsi="Calibri" w:cs="Arial"/>
      <w:i/>
      <w:iCs/>
      <w:sz w:val="20"/>
      <w:szCs w:val="20"/>
      <w:lang w:eastAsia="en-GB"/>
    </w:rPr>
  </w:style>
  <w:style w:type="table" w:styleId="TableWeb1">
    <w:name w:val="Table Web 1"/>
    <w:basedOn w:val="TableNormal"/>
    <w:pPr>
      <w:spacing w:before="120" w:after="120" w:line="240" w:lineRule="auto"/>
    </w:pPr>
    <w:rPr>
      <w:rFonts w:ascii="Times New Roman" w:eastAsia="Times New Roman" w:hAnsi="Times New Roman" w:cs="Times New Roman"/>
      <w:sz w:val="20"/>
      <w:szCs w:val="20"/>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pPr>
      <w:keepLines/>
      <w:numPr>
        <w:numId w:val="0"/>
      </w:numPr>
      <w:spacing w:after="0" w:line="276" w:lineRule="auto"/>
      <w:outlineLvl w:val="9"/>
    </w:pPr>
    <w:rPr>
      <w:b w:val="0"/>
      <w:sz w:val="28"/>
      <w:szCs w:val="28"/>
      <w:lang w:val="en-US" w:eastAsia="ja-JP"/>
    </w:rPr>
  </w:style>
  <w:style w:type="paragraph" w:styleId="ListParagraph">
    <w:name w:val="List Paragraph"/>
    <w:aliases w:val="Style Bullet"/>
    <w:basedOn w:val="Normal"/>
    <w:link w:val="ListParagraphChar"/>
    <w:uiPriority w:val="34"/>
    <w:qFormat/>
    <w:pPr>
      <w:spacing w:before="120" w:after="120" w:line="240" w:lineRule="auto"/>
      <w:ind w:left="720"/>
      <w:contextualSpacing/>
    </w:pPr>
    <w:rPr>
      <w:rFonts w:ascii="Calibri" w:eastAsia="Times New Roman" w:hAnsi="Calibri" w:cs="Arial"/>
      <w:sz w:val="24"/>
      <w:szCs w:val="24"/>
      <w:lang w:eastAsia="en-GB"/>
    </w:rPr>
  </w:style>
  <w:style w:type="paragraph" w:styleId="NoSpacing">
    <w:name w:val="No Spacing"/>
    <w:uiPriority w:val="1"/>
    <w:pPr>
      <w:spacing w:after="0" w:line="240" w:lineRule="auto"/>
    </w:pPr>
    <w:rPr>
      <w:rFonts w:ascii="Franklin Gothic Book" w:eastAsia="Times New Roman" w:hAnsi="Franklin Gothic Book" w:cs="Times New Roman"/>
      <w:sz w:val="24"/>
      <w:szCs w:val="24"/>
      <w:lang w:eastAsia="en-GB"/>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pPr>
      <w:pBdr>
        <w:bottom w:val="thinThickLargeGap" w:sz="24" w:space="1" w:color="auto"/>
      </w:pBdr>
      <w:spacing w:before="120" w:after="120" w:line="300" w:lineRule="auto"/>
      <w:jc w:val="center"/>
    </w:pPr>
    <w:rPr>
      <w:rFonts w:ascii="Arial" w:eastAsia="Times New Roman" w:hAnsi="Arial" w:cs="Arial"/>
      <w:b/>
      <w:bCs/>
      <w:sz w:val="40"/>
      <w:szCs w:val="20"/>
      <w:lang w:eastAsia="en-GB"/>
    </w:rPr>
  </w:style>
  <w:style w:type="paragraph" w:customStyle="1" w:styleId="BoldNormalText">
    <w:name w:val="Bold Normal Text"/>
    <w:basedOn w:val="Normal"/>
    <w:link w:val="BoldNormalTextChar"/>
    <w:qFormat/>
    <w:pPr>
      <w:spacing w:before="120" w:after="120" w:line="240" w:lineRule="auto"/>
    </w:pPr>
    <w:rPr>
      <w:rFonts w:ascii="Calibri" w:eastAsia="Times New Roman" w:hAnsi="Calibri" w:cs="Arial"/>
      <w:b/>
      <w:sz w:val="24"/>
      <w:szCs w:val="24"/>
      <w:lang w:eastAsia="en-GB"/>
    </w:rPr>
  </w:style>
  <w:style w:type="paragraph" w:customStyle="1" w:styleId="Italicnormaltext">
    <w:name w:val="Italic normal text"/>
    <w:basedOn w:val="Normal"/>
    <w:link w:val="ItalicnormaltextChar"/>
    <w:qFormat/>
    <w:pPr>
      <w:spacing w:before="120" w:after="120" w:line="240" w:lineRule="auto"/>
    </w:pPr>
    <w:rPr>
      <w:rFonts w:ascii="Calibri" w:eastAsia="Times New Roman" w:hAnsi="Calibri" w:cs="Arial"/>
      <w:i/>
      <w:sz w:val="24"/>
      <w:szCs w:val="24"/>
      <w:lang w:eastAsia="en-GB"/>
    </w:rPr>
  </w:style>
  <w:style w:type="character" w:customStyle="1" w:styleId="BoldNormalTextChar">
    <w:name w:val="Bold Normal Text Char"/>
    <w:link w:val="BoldNormalText"/>
    <w:rPr>
      <w:rFonts w:ascii="Calibri" w:eastAsia="Times New Roman" w:hAnsi="Calibri" w:cs="Arial"/>
      <w:b/>
      <w:sz w:val="24"/>
      <w:szCs w:val="24"/>
      <w:lang w:eastAsia="en-GB"/>
    </w:rPr>
  </w:style>
  <w:style w:type="paragraph" w:customStyle="1" w:styleId="StyleNumbering">
    <w:name w:val="Style Numbering"/>
    <w:basedOn w:val="ListParagraph"/>
    <w:link w:val="StyleNumberingChar"/>
    <w:qFormat/>
    <w:pPr>
      <w:numPr>
        <w:numId w:val="6"/>
      </w:numPr>
    </w:pPr>
  </w:style>
  <w:style w:type="character" w:customStyle="1" w:styleId="ItalicnormaltextChar">
    <w:name w:val="Italic normal text Char"/>
    <w:link w:val="Italicnormaltext"/>
    <w:rPr>
      <w:rFonts w:ascii="Calibri" w:eastAsia="Times New Roman" w:hAnsi="Calibri" w:cs="Arial"/>
      <w:i/>
      <w:sz w:val="24"/>
      <w:szCs w:val="24"/>
      <w:lang w:eastAsia="en-GB"/>
    </w:rPr>
  </w:style>
  <w:style w:type="paragraph" w:styleId="ListBullet">
    <w:name w:val="List Bullet"/>
    <w:basedOn w:val="Normal"/>
    <w:qFormat/>
    <w:pPr>
      <w:numPr>
        <w:numId w:val="12"/>
      </w:numPr>
      <w:tabs>
        <w:tab w:val="clear" w:pos="360"/>
      </w:tabs>
      <w:spacing w:before="120" w:after="120" w:line="240" w:lineRule="auto"/>
      <w:ind w:left="1080"/>
      <w:contextualSpacing/>
    </w:pPr>
    <w:rPr>
      <w:rFonts w:ascii="Calibri" w:eastAsia="Times New Roman" w:hAnsi="Calibri" w:cs="Arial"/>
      <w:sz w:val="24"/>
      <w:szCs w:val="24"/>
      <w:lang w:eastAsia="en-GB"/>
    </w:rPr>
  </w:style>
  <w:style w:type="character" w:customStyle="1" w:styleId="ListParagraphChar">
    <w:name w:val="List Paragraph Char"/>
    <w:aliases w:val="Style Bullet Char"/>
    <w:link w:val="ListParagraph"/>
    <w:uiPriority w:val="34"/>
    <w:rPr>
      <w:rFonts w:ascii="Calibri" w:eastAsia="Times New Roman" w:hAnsi="Calibri" w:cs="Arial"/>
      <w:sz w:val="24"/>
      <w:szCs w:val="24"/>
      <w:lang w:eastAsia="en-GB"/>
    </w:rPr>
  </w:style>
  <w:style w:type="character" w:customStyle="1" w:styleId="StyleNumberingChar">
    <w:name w:val="Style Numbering Char"/>
    <w:link w:val="StyleNumbering"/>
    <w:rPr>
      <w:rFonts w:ascii="Calibri" w:eastAsia="Times New Roman" w:hAnsi="Calibri" w:cs="Arial"/>
      <w:sz w:val="24"/>
      <w:szCs w:val="24"/>
      <w:lang w:eastAsia="en-GB"/>
    </w:rPr>
  </w:style>
  <w:style w:type="paragraph" w:styleId="ListBullet2">
    <w:name w:val="List Bullet 2"/>
    <w:basedOn w:val="Normal"/>
    <w:pPr>
      <w:numPr>
        <w:numId w:val="7"/>
      </w:numPr>
      <w:spacing w:before="120" w:after="120" w:line="240" w:lineRule="auto"/>
      <w:contextualSpacing/>
    </w:pPr>
    <w:rPr>
      <w:rFonts w:ascii="Calibri" w:eastAsia="Times New Roman" w:hAnsi="Calibri" w:cs="Arial"/>
      <w:sz w:val="24"/>
      <w:szCs w:val="24"/>
      <w:lang w:eastAsia="en-GB"/>
    </w:rPr>
  </w:style>
  <w:style w:type="paragraph" w:styleId="List">
    <w:name w:val="List"/>
    <w:basedOn w:val="Normal"/>
    <w:pPr>
      <w:spacing w:before="120" w:after="120" w:line="240" w:lineRule="auto"/>
      <w:ind w:left="283" w:hanging="283"/>
      <w:contextualSpacing/>
    </w:pPr>
    <w:rPr>
      <w:rFonts w:ascii="Calibri" w:eastAsia="Times New Roman" w:hAnsi="Calibri" w:cs="Arial"/>
      <w:sz w:val="24"/>
      <w:szCs w:val="24"/>
      <w:lang w:eastAsia="en-GB"/>
    </w:rPr>
  </w:style>
  <w:style w:type="character" w:customStyle="1" w:styleId="StyleFootnoteReferenceArial">
    <w:name w:val="Style Footnote Reference + Arial"/>
    <w:rPr>
      <w:rFonts w:ascii="Calibri" w:hAnsi="Calibri"/>
      <w:sz w:val="20"/>
      <w:vertAlign w:val="superscript"/>
    </w:rPr>
  </w:style>
  <w:style w:type="paragraph" w:styleId="TOAHeading">
    <w:name w:val="toa heading"/>
    <w:basedOn w:val="Normal"/>
    <w:next w:val="Normal"/>
    <w:pPr>
      <w:spacing w:before="120" w:after="120" w:line="240" w:lineRule="auto"/>
    </w:pPr>
    <w:rPr>
      <w:rFonts w:ascii="Cambria" w:eastAsia="Times New Roman" w:hAnsi="Cambria" w:cs="Times New Roman"/>
      <w:b/>
      <w:bCs/>
      <w:sz w:val="24"/>
      <w:szCs w:val="24"/>
      <w:lang w:eastAsia="en-GB"/>
    </w:rPr>
  </w:style>
  <w:style w:type="table" w:customStyle="1" w:styleId="Eunomia-Totals">
    <w:name w:val="Eunomia - Totals"/>
    <w:basedOn w:val="Eunomia-NoTotals"/>
    <w:uiPriority w:val="99"/>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808080"/>
        </w:tcBorders>
        <w:shd w:val="clear" w:color="auto" w:fill="BFBFBF"/>
      </w:tcPr>
    </w:tblStylePr>
    <w:tblStylePr w:type="lastRow">
      <w:tblPr/>
      <w:tcPr>
        <w:tcBorders>
          <w:bottom w:val="single" w:sz="4" w:space="0" w:color="808080"/>
        </w:tcBorders>
        <w:shd w:val="clear" w:color="auto" w:fill="F2F2F2"/>
      </w:tcPr>
    </w:tblStylePr>
    <w:tblStylePr w:type="firstCol">
      <w:pPr>
        <w:jc w:val="left"/>
      </w:pPr>
      <w:rPr>
        <w:b/>
      </w:rPr>
      <w:tblPr/>
      <w:tcPr>
        <w:tcBorders>
          <w:left w:val="single" w:sz="4" w:space="0" w:color="808080"/>
        </w:tcBorders>
        <w:shd w:val="clear" w:color="auto" w:fill="F2F2F2"/>
      </w:tcPr>
    </w:tblStylePr>
    <w:tblStylePr w:type="lastCol">
      <w:tblPr/>
      <w:tcPr>
        <w:tcBorders>
          <w:right w:val="single" w:sz="4" w:space="0" w:color="808080"/>
        </w:tcBorders>
        <w:shd w:val="clear" w:color="auto" w:fill="F2F2F2"/>
      </w:tcPr>
    </w:tblStylePr>
  </w:style>
  <w:style w:type="paragraph" w:customStyle="1" w:styleId="WhiteArial12ptBold">
    <w:name w:val="White Arial 12pt Bold"/>
    <w:basedOn w:val="Normal"/>
    <w:link w:val="WhiteArial12ptBoldChar"/>
    <w:qFormat/>
    <w:pPr>
      <w:spacing w:before="120" w:after="120" w:line="240" w:lineRule="auto"/>
    </w:pPr>
    <w:rPr>
      <w:rFonts w:ascii="Arial" w:eastAsia="Times New Roman" w:hAnsi="Arial" w:cs="Arial"/>
      <w:b/>
      <w:color w:val="FFFFFF"/>
      <w:sz w:val="24"/>
      <w:szCs w:val="24"/>
      <w:lang w:eastAsia="en-GB"/>
    </w:rPr>
  </w:style>
  <w:style w:type="paragraph" w:customStyle="1" w:styleId="Authors">
    <w:name w:val="Authors"/>
    <w:basedOn w:val="Normal"/>
    <w:link w:val="AuthorsChar"/>
    <w:qFormat/>
    <w:pPr>
      <w:spacing w:before="120" w:after="120" w:line="240" w:lineRule="auto"/>
    </w:pPr>
    <w:rPr>
      <w:rFonts w:ascii="Arial" w:eastAsia="Times New Roman" w:hAnsi="Arial" w:cs="Arial"/>
      <w:b/>
      <w:color w:val="00A79D"/>
      <w:sz w:val="28"/>
      <w:szCs w:val="28"/>
      <w:lang w:eastAsia="en-GB"/>
    </w:rPr>
  </w:style>
  <w:style w:type="character" w:customStyle="1" w:styleId="WhiteArial12ptBoldChar">
    <w:name w:val="White Arial 12pt Bold Char"/>
    <w:link w:val="WhiteArial12ptBold"/>
    <w:rPr>
      <w:rFonts w:ascii="Arial" w:eastAsia="Times New Roman" w:hAnsi="Arial" w:cs="Arial"/>
      <w:b/>
      <w:color w:val="FFFFFF"/>
      <w:sz w:val="24"/>
      <w:szCs w:val="24"/>
      <w:lang w:eastAsia="en-GB"/>
    </w:rPr>
  </w:style>
  <w:style w:type="paragraph" w:customStyle="1" w:styleId="DocumentMainDate">
    <w:name w:val="Document Main Date"/>
    <w:basedOn w:val="Authors"/>
    <w:rPr>
      <w:bCs/>
      <w:sz w:val="24"/>
    </w:rPr>
  </w:style>
  <w:style w:type="character" w:customStyle="1" w:styleId="AuthorsChar">
    <w:name w:val="Authors Char"/>
    <w:link w:val="Authors"/>
    <w:rPr>
      <w:rFonts w:ascii="Arial" w:eastAsia="Times New Roman" w:hAnsi="Arial" w:cs="Arial"/>
      <w:b/>
      <w:color w:val="00A79D"/>
      <w:sz w:val="28"/>
      <w:szCs w:val="28"/>
      <w:lang w:eastAsia="en-GB"/>
    </w:rPr>
  </w:style>
  <w:style w:type="paragraph" w:customStyle="1" w:styleId="DocumentSubtitle">
    <w:name w:val="Document Subtitle"/>
    <w:basedOn w:val="Normal"/>
    <w:link w:val="DocumentSubtitleChar"/>
    <w:qFormat/>
    <w:pPr>
      <w:spacing w:before="120" w:after="120" w:line="240" w:lineRule="auto"/>
    </w:pPr>
    <w:rPr>
      <w:rFonts w:ascii="Arial" w:eastAsia="Times New Roman" w:hAnsi="Arial" w:cs="Arial"/>
      <w:color w:val="FFFFFF"/>
      <w:sz w:val="40"/>
      <w:szCs w:val="40"/>
      <w:lang w:eastAsia="en-GB"/>
    </w:rPr>
  </w:style>
  <w:style w:type="paragraph" w:customStyle="1" w:styleId="AppendixTitle">
    <w:name w:val="Appendix Title"/>
    <w:basedOn w:val="DocumentTitle"/>
    <w:link w:val="AppendixTitleChar"/>
    <w:qFormat/>
    <w:pPr>
      <w:spacing w:before="3600"/>
    </w:pPr>
    <w:rPr>
      <w:color w:val="00A79D"/>
    </w:rPr>
  </w:style>
  <w:style w:type="character" w:customStyle="1" w:styleId="DocumentSubtitleChar">
    <w:name w:val="Document Subtitle Char"/>
    <w:link w:val="DocumentSubtitle"/>
    <w:rPr>
      <w:rFonts w:ascii="Arial" w:eastAsia="Times New Roman" w:hAnsi="Arial" w:cs="Arial"/>
      <w:color w:val="FFFFFF"/>
      <w:sz w:val="40"/>
      <w:szCs w:val="40"/>
      <w:lang w:eastAsia="en-GB"/>
    </w:rPr>
  </w:style>
  <w:style w:type="paragraph" w:styleId="Quote">
    <w:name w:val="Quote"/>
    <w:basedOn w:val="Normal"/>
    <w:next w:val="Normal"/>
    <w:link w:val="QuoteChar"/>
    <w:uiPriority w:val="29"/>
    <w:qFormat/>
    <w:pPr>
      <w:spacing w:before="120" w:after="120" w:line="240" w:lineRule="auto"/>
      <w:ind w:left="720"/>
    </w:pPr>
    <w:rPr>
      <w:rFonts w:ascii="Calibri" w:eastAsia="Times New Roman" w:hAnsi="Calibri" w:cs="Arial"/>
      <w:i/>
      <w:sz w:val="24"/>
      <w:szCs w:val="24"/>
      <w:lang w:eastAsia="en-GB"/>
    </w:rPr>
  </w:style>
  <w:style w:type="character" w:customStyle="1" w:styleId="QuoteChar">
    <w:name w:val="Quote Char"/>
    <w:basedOn w:val="DefaultParagraphFont"/>
    <w:link w:val="Quote"/>
    <w:uiPriority w:val="29"/>
    <w:rPr>
      <w:rFonts w:ascii="Calibri" w:eastAsia="Times New Roman" w:hAnsi="Calibri" w:cs="Arial"/>
      <w:i/>
      <w:sz w:val="24"/>
      <w:szCs w:val="24"/>
      <w:lang w:eastAsia="en-GB"/>
    </w:rPr>
  </w:style>
  <w:style w:type="character" w:customStyle="1" w:styleId="DocumentTitleChar">
    <w:name w:val="Document Title Char"/>
    <w:link w:val="DocumentTitle"/>
    <w:rPr>
      <w:rFonts w:ascii="Arial" w:eastAsia="Times New Roman" w:hAnsi="Arial" w:cs="Arial"/>
      <w:b/>
      <w:color w:val="FFFFFF"/>
      <w:sz w:val="56"/>
      <w:szCs w:val="56"/>
      <w:lang w:eastAsia="en-GB"/>
    </w:rPr>
  </w:style>
  <w:style w:type="character" w:customStyle="1" w:styleId="AppendixTitleChar">
    <w:name w:val="Appendix Title Char"/>
    <w:link w:val="AppendixTitle"/>
    <w:rPr>
      <w:rFonts w:ascii="Arial" w:eastAsia="Times New Roman" w:hAnsi="Arial" w:cs="Arial"/>
      <w:b/>
      <w:color w:val="00A79D"/>
      <w:sz w:val="56"/>
      <w:szCs w:val="56"/>
      <w:lang w:eastAsia="en-GB"/>
    </w:rPr>
  </w:style>
  <w:style w:type="paragraph" w:customStyle="1" w:styleId="CONTENTS">
    <w:name w:val="CONTENTS"/>
    <w:basedOn w:val="EXECSUMM"/>
    <w:link w:val="CONTENTSChar"/>
    <w:qFormat/>
    <w:rPr>
      <w:sz w:val="36"/>
      <w:szCs w:val="36"/>
      <w:lang w:val="en-US" w:eastAsia="ja-JP"/>
    </w:rPr>
  </w:style>
  <w:style w:type="character" w:styleId="CommentReference">
    <w:name w:val="annotation reference"/>
    <w:rPr>
      <w:sz w:val="16"/>
      <w:szCs w:val="16"/>
    </w:rPr>
  </w:style>
  <w:style w:type="character" w:customStyle="1" w:styleId="StyleArial20ptBoldAccent3TopSinglesolidlineAccentChar">
    <w:name w:val="Style Arial 20 pt Bold Accent 3 Top: (Single solid line Accent... Char"/>
    <w:link w:val="StyleArial20ptBoldAccent3TopSinglesolidlineAccent"/>
    <w:rPr>
      <w:rFonts w:ascii="Arial" w:eastAsia="Times New Roman" w:hAnsi="Arial" w:cs="Arial"/>
      <w:b/>
      <w:bCs/>
      <w:sz w:val="40"/>
      <w:szCs w:val="20"/>
      <w:lang w:eastAsia="en-GB"/>
    </w:rPr>
  </w:style>
  <w:style w:type="character" w:customStyle="1" w:styleId="EXECSUMMChar">
    <w:name w:val="EXEC SUMM Char"/>
    <w:link w:val="EXECSUMM"/>
    <w:rPr>
      <w:rFonts w:ascii="Arial" w:eastAsia="Times New Roman" w:hAnsi="Arial" w:cs="Arial"/>
      <w:b/>
      <w:bCs/>
      <w:sz w:val="40"/>
      <w:szCs w:val="20"/>
      <w:lang w:eastAsia="en-GB"/>
    </w:rPr>
  </w:style>
  <w:style w:type="character" w:customStyle="1" w:styleId="CONTENTSChar">
    <w:name w:val="CONTENTS Char"/>
    <w:link w:val="CONTENTS"/>
    <w:rPr>
      <w:rFonts w:ascii="Arial" w:eastAsia="Times New Roman" w:hAnsi="Arial" w:cs="Arial"/>
      <w:b/>
      <w:bCs/>
      <w:sz w:val="36"/>
      <w:szCs w:val="36"/>
      <w:lang w:val="en-US" w:eastAsia="ja-JP"/>
    </w:rPr>
  </w:style>
  <w:style w:type="paragraph" w:styleId="CommentText">
    <w:name w:val="annotation text"/>
    <w:basedOn w:val="Normal"/>
    <w:link w:val="CommentTextChar"/>
    <w:pPr>
      <w:spacing w:before="120" w:after="120" w:line="240" w:lineRule="auto"/>
    </w:pPr>
    <w:rPr>
      <w:rFonts w:ascii="Calibri" w:eastAsia="Times New Roman" w:hAnsi="Calibri" w:cs="Arial"/>
      <w:sz w:val="20"/>
      <w:szCs w:val="20"/>
      <w:lang w:eastAsia="en-GB"/>
    </w:rPr>
  </w:style>
  <w:style w:type="character" w:customStyle="1" w:styleId="CommentTextChar">
    <w:name w:val="Comment Text Char"/>
    <w:basedOn w:val="DefaultParagraphFont"/>
    <w:link w:val="CommentText"/>
    <w:rPr>
      <w:rFonts w:ascii="Calibri" w:eastAsia="Times New Roman" w:hAnsi="Calibri" w:cs="Arial"/>
      <w:sz w:val="20"/>
      <w:szCs w:val="20"/>
      <w:lan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alibri" w:eastAsia="Times New Roman" w:hAnsi="Calibri" w:cs="Arial"/>
      <w:b/>
      <w:bCs/>
      <w:sz w:val="20"/>
      <w:szCs w:val="20"/>
      <w:lang w:eastAsia="en-GB"/>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lang w:eastAsia="en-GB"/>
    </w:rPr>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paragraph" w:customStyle="1" w:styleId="ExecSummHead3">
    <w:name w:val="Exec Summ Head 3"/>
    <w:basedOn w:val="ExecSummHead2"/>
    <w:link w:val="ExecSummHead3Char"/>
    <w:qFormat/>
    <w:pPr>
      <w:numPr>
        <w:ilvl w:val="2"/>
      </w:numPr>
    </w:pPr>
    <w:rPr>
      <w:sz w:val="26"/>
    </w:rPr>
  </w:style>
  <w:style w:type="paragraph" w:customStyle="1" w:styleId="ExecSummHead4">
    <w:name w:val="Exec Summ Head 4"/>
    <w:basedOn w:val="ExecSummHead3"/>
    <w:link w:val="ExecSummHead4Char"/>
    <w:qFormat/>
    <w:pPr>
      <w:numPr>
        <w:ilvl w:val="3"/>
      </w:numPr>
    </w:pPr>
    <w:rPr>
      <w:sz w:val="24"/>
    </w:rPr>
  </w:style>
  <w:style w:type="character" w:customStyle="1" w:styleId="ExecSummHead2Char">
    <w:name w:val="Exec Summ Head 2 Char"/>
    <w:link w:val="ExecSummHead2"/>
    <w:rPr>
      <w:rFonts w:ascii="Times New Roman" w:eastAsia="Times New Roman" w:hAnsi="Times New Roman" w:cs="Times New Roman"/>
      <w:b/>
      <w:bCs/>
      <w:iCs/>
      <w:sz w:val="24"/>
      <w:szCs w:val="24"/>
      <w:lang w:eastAsia="en-GB"/>
    </w:rPr>
  </w:style>
  <w:style w:type="character" w:customStyle="1" w:styleId="ExecSummHead3Char">
    <w:name w:val="Exec Summ Head 3 Char"/>
    <w:link w:val="ExecSummHead3"/>
    <w:rPr>
      <w:rFonts w:ascii="Times New Roman" w:eastAsia="Times New Roman" w:hAnsi="Times New Roman" w:cs="Times New Roman"/>
      <w:b/>
      <w:bCs/>
      <w:iCs/>
      <w:sz w:val="26"/>
      <w:szCs w:val="24"/>
      <w:lang w:eastAsia="en-GB"/>
    </w:rPr>
  </w:style>
  <w:style w:type="paragraph" w:customStyle="1" w:styleId="Normal-11pt">
    <w:name w:val="Normal - 11pt"/>
    <w:basedOn w:val="Normal"/>
    <w:link w:val="Normal-11ptChar"/>
    <w:qFormat/>
    <w:pPr>
      <w:spacing w:before="120" w:after="120" w:line="240" w:lineRule="auto"/>
    </w:pPr>
    <w:rPr>
      <w:rFonts w:ascii="Times New Roman" w:eastAsia="Times New Roman" w:hAnsi="Times New Roman" w:cs="Times New Roman"/>
      <w:sz w:val="24"/>
      <w:szCs w:val="24"/>
      <w:lang w:eastAsia="en-GB"/>
    </w:rPr>
  </w:style>
  <w:style w:type="character" w:customStyle="1" w:styleId="ExecSummHead4Char">
    <w:name w:val="Exec Summ Head 4 Char"/>
    <w:link w:val="ExecSummHead4"/>
    <w:rPr>
      <w:rFonts w:ascii="Times New Roman" w:eastAsia="Times New Roman" w:hAnsi="Times New Roman" w:cs="Times New Roman"/>
      <w:b/>
      <w:bCs/>
      <w:iCs/>
      <w:sz w:val="24"/>
      <w:szCs w:val="24"/>
      <w:lang w:eastAsia="en-GB"/>
    </w:rPr>
  </w:style>
  <w:style w:type="paragraph" w:customStyle="1" w:styleId="Normal-11pt-table">
    <w:name w:val="Normal - 11pt - table"/>
    <w:basedOn w:val="Normal"/>
    <w:link w:val="Normal-11pt-tableChar"/>
    <w:qFormat/>
    <w:pPr>
      <w:spacing w:before="60" w:after="60" w:line="240" w:lineRule="auto"/>
    </w:pPr>
    <w:rPr>
      <w:rFonts w:ascii="Calibri" w:eastAsia="Times New Roman" w:hAnsi="Calibri" w:cs="Arial"/>
      <w:lang w:eastAsia="en-GB"/>
    </w:rPr>
  </w:style>
  <w:style w:type="character" w:customStyle="1" w:styleId="Normal-11ptChar">
    <w:name w:val="Normal - 11pt Char"/>
    <w:link w:val="Normal-11pt"/>
    <w:rPr>
      <w:rFonts w:ascii="Times New Roman" w:eastAsia="Times New Roman" w:hAnsi="Times New Roman" w:cs="Times New Roman"/>
      <w:sz w:val="24"/>
      <w:szCs w:val="24"/>
      <w:lang w:eastAsia="en-GB"/>
    </w:rPr>
  </w:style>
  <w:style w:type="paragraph" w:customStyle="1" w:styleId="Normal-11pt-tableitalic">
    <w:name w:val="Normal - 11pt - table italic"/>
    <w:basedOn w:val="Normal"/>
    <w:link w:val="Normal-11pt-tableitalicChar"/>
    <w:qFormat/>
    <w:pPr>
      <w:spacing w:before="60" w:after="60" w:line="240" w:lineRule="auto"/>
    </w:pPr>
    <w:rPr>
      <w:rFonts w:ascii="Calibri" w:eastAsia="Times New Roman" w:hAnsi="Calibri" w:cs="Arial"/>
      <w:i/>
      <w:lang w:eastAsia="en-GB"/>
    </w:rPr>
  </w:style>
  <w:style w:type="character" w:customStyle="1" w:styleId="Normal-11pt-tableChar">
    <w:name w:val="Normal - 11pt - table Char"/>
    <w:link w:val="Normal-11pt-table"/>
    <w:rPr>
      <w:rFonts w:ascii="Calibri" w:eastAsia="Times New Roman" w:hAnsi="Calibri" w:cs="Arial"/>
      <w:lang w:eastAsia="en-GB"/>
    </w:rPr>
  </w:style>
  <w:style w:type="paragraph" w:customStyle="1" w:styleId="Normal-11pt-TableBold">
    <w:name w:val="Normal - 11pt - Table Bold"/>
    <w:basedOn w:val="Normal"/>
    <w:link w:val="Normal-11pt-TableBoldChar"/>
    <w:qFormat/>
    <w:pPr>
      <w:spacing w:before="60" w:after="60" w:line="240" w:lineRule="auto"/>
    </w:pPr>
    <w:rPr>
      <w:rFonts w:ascii="Calibri" w:eastAsia="Times New Roman" w:hAnsi="Calibri" w:cs="Arial"/>
      <w:b/>
      <w:lang w:eastAsia="en-GB"/>
    </w:rPr>
  </w:style>
  <w:style w:type="character" w:customStyle="1" w:styleId="Normal-11pt-tableitalicChar">
    <w:name w:val="Normal - 11pt - table italic Char"/>
    <w:link w:val="Normal-11pt-tableitalic"/>
    <w:rPr>
      <w:rFonts w:ascii="Calibri" w:eastAsia="Times New Roman" w:hAnsi="Calibri" w:cs="Arial"/>
      <w:i/>
      <w:lang w:eastAsia="en-GB"/>
    </w:rPr>
  </w:style>
  <w:style w:type="paragraph" w:customStyle="1" w:styleId="Normal-10pt-TableBold">
    <w:name w:val="Normal - 10pt - Table Bold"/>
    <w:basedOn w:val="Normal-11pt-TableBold"/>
    <w:link w:val="Normal-10pt-TableBoldChar"/>
    <w:qFormat/>
    <w:rPr>
      <w:sz w:val="20"/>
    </w:rPr>
  </w:style>
  <w:style w:type="character" w:customStyle="1" w:styleId="Normal-11pt-TableBoldChar">
    <w:name w:val="Normal - 11pt - Table Bold Char"/>
    <w:link w:val="Normal-11pt-TableBold"/>
    <w:rPr>
      <w:rFonts w:ascii="Calibri" w:eastAsia="Times New Roman" w:hAnsi="Calibri" w:cs="Arial"/>
      <w:b/>
      <w:lang w:eastAsia="en-GB"/>
    </w:rPr>
  </w:style>
  <w:style w:type="paragraph" w:customStyle="1" w:styleId="Normal-10pt-TableItalic">
    <w:name w:val="Normal - 10pt - Table Italic"/>
    <w:basedOn w:val="Normal-11pt-tableitalic"/>
    <w:link w:val="Normal-10pt-TableItalicChar"/>
    <w:qFormat/>
    <w:rPr>
      <w:sz w:val="20"/>
    </w:rPr>
  </w:style>
  <w:style w:type="character" w:customStyle="1" w:styleId="Normal-10pt-TableBoldChar">
    <w:name w:val="Normal - 10pt - Table Bold Char"/>
    <w:link w:val="Normal-10pt-TableBold"/>
    <w:rPr>
      <w:rFonts w:ascii="Calibri" w:eastAsia="Times New Roman" w:hAnsi="Calibri" w:cs="Arial"/>
      <w:b/>
      <w:sz w:val="20"/>
      <w:lang w:eastAsia="en-GB"/>
    </w:rPr>
  </w:style>
  <w:style w:type="paragraph" w:customStyle="1" w:styleId="Normal-10pt-Table">
    <w:name w:val="Normal - 10pt - Table"/>
    <w:basedOn w:val="Normal-11pt-table"/>
    <w:link w:val="Normal-10pt-TableChar"/>
    <w:qFormat/>
    <w:rPr>
      <w:sz w:val="20"/>
    </w:rPr>
  </w:style>
  <w:style w:type="character" w:customStyle="1" w:styleId="Normal-10pt-TableItalicChar">
    <w:name w:val="Normal - 10pt - Table Italic Char"/>
    <w:link w:val="Normal-10pt-TableItalic"/>
    <w:rPr>
      <w:rFonts w:ascii="Calibri" w:eastAsia="Times New Roman" w:hAnsi="Calibri" w:cs="Arial"/>
      <w:i/>
      <w:sz w:val="20"/>
      <w:lang w:eastAsia="en-GB"/>
    </w:rPr>
  </w:style>
  <w:style w:type="paragraph" w:customStyle="1" w:styleId="Normal-Table">
    <w:name w:val="Normal - Table"/>
    <w:basedOn w:val="Normal"/>
    <w:link w:val="Normal-TableChar"/>
    <w:qFormat/>
    <w:pPr>
      <w:spacing w:before="60" w:after="60" w:line="240" w:lineRule="auto"/>
    </w:pPr>
    <w:rPr>
      <w:rFonts w:ascii="Calibri" w:eastAsia="Times New Roman" w:hAnsi="Calibri" w:cs="Arial"/>
      <w:sz w:val="24"/>
      <w:szCs w:val="24"/>
      <w:lang w:eastAsia="en-GB"/>
    </w:rPr>
  </w:style>
  <w:style w:type="character" w:customStyle="1" w:styleId="Normal-10pt-TableChar">
    <w:name w:val="Normal - 10pt - Table Char"/>
    <w:link w:val="Normal-10pt-Table"/>
    <w:rPr>
      <w:rFonts w:ascii="Calibri" w:eastAsia="Times New Roman" w:hAnsi="Calibri" w:cs="Arial"/>
      <w:sz w:val="20"/>
      <w:lang w:eastAsia="en-GB"/>
    </w:rPr>
  </w:style>
  <w:style w:type="character" w:customStyle="1" w:styleId="Normal-TableChar">
    <w:name w:val="Normal - Table Char"/>
    <w:link w:val="Normal-Table"/>
    <w:rPr>
      <w:rFonts w:ascii="Calibri" w:eastAsia="Times New Roman" w:hAnsi="Calibri" w:cs="Arial"/>
      <w:sz w:val="24"/>
      <w:szCs w:val="24"/>
      <w:lang w:eastAsia="en-GB"/>
    </w:rPr>
  </w:style>
  <w:style w:type="numbering" w:customStyle="1" w:styleId="Style1">
    <w:name w:val="Style1"/>
    <w:uiPriority w:val="99"/>
    <w:pPr>
      <w:numPr>
        <w:numId w:val="8"/>
      </w:numPr>
    </w:pPr>
  </w:style>
  <w:style w:type="numbering" w:customStyle="1" w:styleId="StyleEunomiaBullets">
    <w:name w:val="Style Eunomia Bullets"/>
    <w:uiPriority w:val="99"/>
    <w:pPr>
      <w:numPr>
        <w:numId w:val="9"/>
      </w:numPr>
    </w:pPr>
  </w:style>
  <w:style w:type="numbering" w:customStyle="1" w:styleId="EunomiaStyleBullets">
    <w:name w:val="Eunomia Style Bullets"/>
    <w:uiPriority w:val="99"/>
    <w:pPr>
      <w:numPr>
        <w:numId w:val="10"/>
      </w:numPr>
    </w:p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val="es-ES"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customStyle="1" w:styleId="bodyat12">
    <w:name w:val="body_at_12"/>
    <w:basedOn w:val="DefaultParagraphFont"/>
  </w:style>
  <w:style w:type="character" w:customStyle="1" w:styleId="CaptionChar">
    <w:name w:val="Caption Char"/>
    <w:link w:val="Caption"/>
    <w:rPr>
      <w:rFonts w:ascii="Arial" w:eastAsia="Times New Roman" w:hAnsi="Arial" w:cs="Arial"/>
      <w:b/>
      <w:bCs/>
      <w:color w:val="00A79D"/>
      <w:sz w:val="24"/>
      <w:szCs w:val="20"/>
      <w:lang w:eastAsia="en-GB"/>
    </w:rPr>
  </w:style>
  <w:style w:type="paragraph" w:styleId="Revision">
    <w:name w:val="Revision"/>
    <w:hidden/>
    <w:uiPriority w:val="71"/>
    <w:pPr>
      <w:spacing w:after="0" w:line="240" w:lineRule="auto"/>
    </w:pPr>
    <w:rPr>
      <w:rFonts w:ascii="Calibri" w:eastAsia="Times New Roman" w:hAnsi="Calibri" w:cs="Arial"/>
      <w:sz w:val="24"/>
      <w:szCs w:val="24"/>
      <w:lang w:eastAsia="en-GB"/>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styleId="Emphasis">
    <w:name w:val="Emphasis"/>
    <w:basedOn w:val="DefaultParagraphFont"/>
    <w:uiPriority w:val="20"/>
    <w:qFormat/>
    <w:rPr>
      <w:i/>
      <w:iCs/>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vironment/waste/reporting/index.htm" TargetMode="External"/><Relationship Id="rId20" Type="http://schemas.openxmlformats.org/officeDocument/2006/relationships/chart" Target="charts/chart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8.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7.xm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chart" Target="charts/chart3.xm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6.xml"/><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waste/target_review.htm" TargetMode="External"/><Relationship Id="rId2" Type="http://schemas.openxmlformats.org/officeDocument/2006/relationships/hyperlink" Target="http://ec.europa.eu/environment/waste/framework/support_implementation_1st_phase.htm" TargetMode="External"/><Relationship Id="rId1" Type="http://schemas.openxmlformats.org/officeDocument/2006/relationships/hyperlink" Target="http://ec.europa.eu/eurostat/web/environment/waste/database" TargetMode="External"/><Relationship Id="rId4" Type="http://schemas.openxmlformats.org/officeDocument/2006/relationships/hyperlink" Target="http://ec.europa.eu/eurostat/web/environment/waste/databas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ulleme\AppData\Local\Microsoft\Windows\Temporary%20Internet%20Files\Content.IE5\EENZZ6IS\env_waspac.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net1.cec.eu.int\ENV\B\3\53.01%20GENERAL\4_IMPLEMENTATION%20OF%20LEGISLATION\4.1%20MS%20Implementation%20Reports\Report%202010-2012\COMMISSION%20REPORT\Reference%20for%20graphics%20-%20implementation%20report%202010-20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29237032621919E-2"/>
          <c:y val="3.3080137020206984E-2"/>
          <c:w val="0.91656554882830876"/>
          <c:h val="0.89227805595719067"/>
        </c:manualLayout>
      </c:layout>
      <c:barChart>
        <c:barDir val="col"/>
        <c:grouping val="clustered"/>
        <c:varyColors val="0"/>
        <c:ser>
          <c:idx val="0"/>
          <c:order val="0"/>
          <c:tx>
            <c:strRef>
              <c:f>Data!$B$3</c:f>
              <c:strCache>
                <c:ptCount val="1"/>
                <c:pt idx="0">
                  <c:v>2010</c:v>
                </c:pt>
              </c:strCache>
            </c:strRef>
          </c:tx>
          <c:spPr>
            <a:solidFill>
              <a:schemeClr val="tx2">
                <a:lumMod val="60000"/>
                <a:lumOff val="40000"/>
              </a:schemeClr>
            </a:solidFill>
            <a:ln>
              <a:solidFill>
                <a:schemeClr val="tx2">
                  <a:lumMod val="60000"/>
                  <a:lumOff val="40000"/>
                </a:schemeClr>
              </a:solidFill>
            </a:ln>
          </c:spPr>
          <c:invertIfNegative val="0"/>
          <c:cat>
            <c:strRef>
              <c:f>Data!$A$4:$A$31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Data!$B$4:$B$31</c:f>
              <c:numCache>
                <c:formatCode>#,##0</c:formatCode>
                <c:ptCount val="28"/>
                <c:pt idx="0">
                  <c:v>4701</c:v>
                </c:pt>
                <c:pt idx="1">
                  <c:v>4973</c:v>
                </c:pt>
                <c:pt idx="2">
                  <c:v>4094</c:v>
                </c:pt>
                <c:pt idx="3">
                  <c:v>571</c:v>
                </c:pt>
                <c:pt idx="4">
                  <c:v>3334</c:v>
                </c:pt>
                <c:pt idx="5">
                  <c:v>49237</c:v>
                </c:pt>
                <c:pt idx="6">
                  <c:v>3732</c:v>
                </c:pt>
                <c:pt idx="7">
                  <c:v>406</c:v>
                </c:pt>
                <c:pt idx="8">
                  <c:v>5917</c:v>
                </c:pt>
                <c:pt idx="9">
                  <c:v>23774</c:v>
                </c:pt>
                <c:pt idx="10">
                  <c:v>2519</c:v>
                </c:pt>
                <c:pt idx="11">
                  <c:v>34535</c:v>
                </c:pt>
                <c:pt idx="12">
                  <c:v>1630</c:v>
                </c:pt>
                <c:pt idx="13">
                  <c:v>4033</c:v>
                </c:pt>
                <c:pt idx="14">
                  <c:v>2846</c:v>
                </c:pt>
                <c:pt idx="15">
                  <c:v>32440</c:v>
                </c:pt>
                <c:pt idx="16">
                  <c:v>1253</c:v>
                </c:pt>
                <c:pt idx="17">
                  <c:v>344</c:v>
                </c:pt>
                <c:pt idx="18">
                  <c:v>680</c:v>
                </c:pt>
                <c:pt idx="19">
                  <c:v>249</c:v>
                </c:pt>
                <c:pt idx="20">
                  <c:v>9484</c:v>
                </c:pt>
                <c:pt idx="21">
                  <c:v>12032</c:v>
                </c:pt>
                <c:pt idx="22">
                  <c:v>5457</c:v>
                </c:pt>
                <c:pt idx="23">
                  <c:v>6343</c:v>
                </c:pt>
                <c:pt idx="24">
                  <c:v>4115</c:v>
                </c:pt>
                <c:pt idx="25">
                  <c:v>1004</c:v>
                </c:pt>
                <c:pt idx="26">
                  <c:v>1719</c:v>
                </c:pt>
                <c:pt idx="27">
                  <c:v>31955</c:v>
                </c:pt>
              </c:numCache>
            </c:numRef>
          </c:val>
        </c:ser>
        <c:ser>
          <c:idx val="1"/>
          <c:order val="1"/>
          <c:tx>
            <c:strRef>
              <c:f>Data!$C$3</c:f>
              <c:strCache>
                <c:ptCount val="1"/>
                <c:pt idx="0">
                  <c:v>2011</c:v>
                </c:pt>
              </c:strCache>
            </c:strRef>
          </c:tx>
          <c:spPr>
            <a:solidFill>
              <a:srgbClr val="FFC000"/>
            </a:solidFill>
            <a:ln>
              <a:solidFill>
                <a:srgbClr val="FFC000"/>
              </a:solidFill>
            </a:ln>
          </c:spPr>
          <c:invertIfNegative val="0"/>
          <c:cat>
            <c:strRef>
              <c:f>Data!$A$4:$A$31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Data!$C$4:$C$31</c:f>
              <c:numCache>
                <c:formatCode>#,##0</c:formatCode>
                <c:ptCount val="28"/>
                <c:pt idx="0">
                  <c:v>4807</c:v>
                </c:pt>
                <c:pt idx="1">
                  <c:v>5035</c:v>
                </c:pt>
                <c:pt idx="2">
                  <c:v>3732</c:v>
                </c:pt>
                <c:pt idx="3">
                  <c:v>572</c:v>
                </c:pt>
                <c:pt idx="4">
                  <c:v>3358</c:v>
                </c:pt>
                <c:pt idx="5">
                  <c:v>50237</c:v>
                </c:pt>
                <c:pt idx="6">
                  <c:v>4349</c:v>
                </c:pt>
                <c:pt idx="7">
                  <c:v>399</c:v>
                </c:pt>
                <c:pt idx="8">
                  <c:v>5586</c:v>
                </c:pt>
                <c:pt idx="9">
                  <c:v>22672</c:v>
                </c:pt>
                <c:pt idx="10">
                  <c:v>2719</c:v>
                </c:pt>
                <c:pt idx="11">
                  <c:v>35019</c:v>
                </c:pt>
                <c:pt idx="12">
                  <c:v>1645</c:v>
                </c:pt>
                <c:pt idx="13">
                  <c:v>3809</c:v>
                </c:pt>
                <c:pt idx="14">
                  <c:v>2823</c:v>
                </c:pt>
                <c:pt idx="15">
                  <c:v>31386</c:v>
                </c:pt>
                <c:pt idx="16">
                  <c:v>1339</c:v>
                </c:pt>
                <c:pt idx="17">
                  <c:v>345</c:v>
                </c:pt>
                <c:pt idx="18">
                  <c:v>721</c:v>
                </c:pt>
                <c:pt idx="19">
                  <c:v>245</c:v>
                </c:pt>
                <c:pt idx="20">
                  <c:v>9479</c:v>
                </c:pt>
                <c:pt idx="21">
                  <c:v>12129</c:v>
                </c:pt>
                <c:pt idx="22">
                  <c:v>5178</c:v>
                </c:pt>
                <c:pt idx="23">
                  <c:v>5216</c:v>
                </c:pt>
                <c:pt idx="24">
                  <c:v>4246</c:v>
                </c:pt>
                <c:pt idx="25">
                  <c:v>852</c:v>
                </c:pt>
                <c:pt idx="26">
                  <c:v>1679</c:v>
                </c:pt>
                <c:pt idx="27">
                  <c:v>31066</c:v>
                </c:pt>
              </c:numCache>
            </c:numRef>
          </c:val>
        </c:ser>
        <c:ser>
          <c:idx val="2"/>
          <c:order val="2"/>
          <c:tx>
            <c:strRef>
              <c:f>Data!$D$3</c:f>
              <c:strCache>
                <c:ptCount val="1"/>
                <c:pt idx="0">
                  <c:v>2012</c:v>
                </c:pt>
              </c:strCache>
            </c:strRef>
          </c:tx>
          <c:spPr>
            <a:solidFill>
              <a:schemeClr val="accent3">
                <a:lumMod val="75000"/>
              </a:schemeClr>
            </a:solidFill>
            <a:ln>
              <a:solidFill>
                <a:schemeClr val="accent3">
                  <a:lumMod val="75000"/>
                </a:schemeClr>
              </a:solidFill>
            </a:ln>
          </c:spPr>
          <c:invertIfNegative val="0"/>
          <c:cat>
            <c:strRef>
              <c:f>Data!$A$4:$A$31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Data!$D$4:$D$31</c:f>
              <c:numCache>
                <c:formatCode>#,##0</c:formatCode>
                <c:ptCount val="28"/>
                <c:pt idx="0">
                  <c:v>4883</c:v>
                </c:pt>
                <c:pt idx="1">
                  <c:v>4970</c:v>
                </c:pt>
                <c:pt idx="2">
                  <c:v>3364</c:v>
                </c:pt>
                <c:pt idx="3">
                  <c:v>568</c:v>
                </c:pt>
                <c:pt idx="4">
                  <c:v>3233</c:v>
                </c:pt>
                <c:pt idx="5">
                  <c:v>49759</c:v>
                </c:pt>
                <c:pt idx="6">
                  <c:v>4196</c:v>
                </c:pt>
                <c:pt idx="7">
                  <c:v>371</c:v>
                </c:pt>
                <c:pt idx="8">
                  <c:v>5585</c:v>
                </c:pt>
                <c:pt idx="9">
                  <c:v>21896</c:v>
                </c:pt>
                <c:pt idx="10">
                  <c:v>2738</c:v>
                </c:pt>
                <c:pt idx="11">
                  <c:v>35198</c:v>
                </c:pt>
                <c:pt idx="12">
                  <c:v>1670</c:v>
                </c:pt>
                <c:pt idx="13">
                  <c:v>3988</c:v>
                </c:pt>
                <c:pt idx="14">
                  <c:v>2693</c:v>
                </c:pt>
                <c:pt idx="15">
                  <c:v>29994</c:v>
                </c:pt>
                <c:pt idx="16">
                  <c:v>1330</c:v>
                </c:pt>
                <c:pt idx="17">
                  <c:v>346</c:v>
                </c:pt>
                <c:pt idx="18">
                  <c:v>613</c:v>
                </c:pt>
                <c:pt idx="19">
                  <c:v>247</c:v>
                </c:pt>
                <c:pt idx="20">
                  <c:v>9203</c:v>
                </c:pt>
                <c:pt idx="21">
                  <c:v>12084</c:v>
                </c:pt>
                <c:pt idx="22">
                  <c:v>4766</c:v>
                </c:pt>
                <c:pt idx="23">
                  <c:v>5044</c:v>
                </c:pt>
                <c:pt idx="24">
                  <c:v>4285</c:v>
                </c:pt>
                <c:pt idx="25">
                  <c:v>744</c:v>
                </c:pt>
                <c:pt idx="26">
                  <c:v>1657</c:v>
                </c:pt>
                <c:pt idx="27">
                  <c:v>30413</c:v>
                </c:pt>
              </c:numCache>
            </c:numRef>
          </c:val>
        </c:ser>
        <c:dLbls>
          <c:showLegendKey val="0"/>
          <c:showVal val="0"/>
          <c:showCatName val="0"/>
          <c:showSerName val="0"/>
          <c:showPercent val="0"/>
          <c:showBubbleSize val="0"/>
        </c:dLbls>
        <c:gapWidth val="150"/>
        <c:axId val="7761920"/>
        <c:axId val="7763456"/>
      </c:barChart>
      <c:catAx>
        <c:axId val="7761920"/>
        <c:scaling>
          <c:orientation val="minMax"/>
        </c:scaling>
        <c:delete val="0"/>
        <c:axPos val="b"/>
        <c:numFmt formatCode="General" sourceLinked="1"/>
        <c:majorTickMark val="out"/>
        <c:minorTickMark val="none"/>
        <c:tickLblPos val="nextTo"/>
        <c:crossAx val="7763456"/>
        <c:crosses val="autoZero"/>
        <c:auto val="1"/>
        <c:lblAlgn val="ctr"/>
        <c:lblOffset val="100"/>
        <c:noMultiLvlLbl val="0"/>
      </c:catAx>
      <c:valAx>
        <c:axId val="7763456"/>
        <c:scaling>
          <c:orientation val="minMax"/>
        </c:scaling>
        <c:delete val="0"/>
        <c:axPos val="l"/>
        <c:majorGridlines/>
        <c:numFmt formatCode="#,##0" sourceLinked="1"/>
        <c:majorTickMark val="out"/>
        <c:minorTickMark val="none"/>
        <c:tickLblPos val="nextTo"/>
        <c:crossAx val="7761920"/>
        <c:crosses val="autoZero"/>
        <c:crossBetween val="between"/>
      </c:valAx>
    </c:plotArea>
    <c:legend>
      <c:legendPos val="r"/>
      <c:layout>
        <c:manualLayout>
          <c:xMode val="edge"/>
          <c:yMode val="edge"/>
          <c:x val="0.25938113384362521"/>
          <c:y val="7.9517566328305353E-2"/>
          <c:w val="0.49095084871713218"/>
          <c:h val="9.6085760364291797E-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353136066478742E-2"/>
          <c:y val="3.3154216886167195E-2"/>
          <c:w val="0.92264686393352124"/>
          <c:h val="0.88839367276029391"/>
        </c:manualLayout>
      </c:layout>
      <c:barChart>
        <c:barDir val="col"/>
        <c:grouping val="clustered"/>
        <c:varyColors val="0"/>
        <c:ser>
          <c:idx val="0"/>
          <c:order val="0"/>
          <c:tx>
            <c:strRef>
              <c:f>Data!$B$292</c:f>
              <c:strCache>
                <c:ptCount val="1"/>
                <c:pt idx="0">
                  <c:v>Lead-acid</c:v>
                </c:pt>
              </c:strCache>
            </c:strRef>
          </c:tx>
          <c:spPr>
            <a:solidFill>
              <a:schemeClr val="tx2">
                <a:lumMod val="60000"/>
                <a:lumOff val="40000"/>
              </a:schemeClr>
            </a:solidFill>
            <a:ln>
              <a:solidFill>
                <a:schemeClr val="tx2">
                  <a:lumMod val="60000"/>
                  <a:lumOff val="40000"/>
                </a:schemeClr>
              </a:solidFill>
            </a:ln>
          </c:spPr>
          <c:invertIfNegative val="0"/>
          <c:cat>
            <c:strRef>
              <c:f>Data!$A$293:$A$320</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Data!$B$293:$B$320</c:f>
              <c:numCache>
                <c:formatCode>0.0</c:formatCode>
                <c:ptCount val="28"/>
                <c:pt idx="0">
                  <c:v>91</c:v>
                </c:pt>
                <c:pt idx="1">
                  <c:v>89</c:v>
                </c:pt>
                <c:pt idx="2">
                  <c:v>96.83</c:v>
                </c:pt>
                <c:pt idx="3">
                  <c:v>0</c:v>
                </c:pt>
                <c:pt idx="4">
                  <c:v>66.5</c:v>
                </c:pt>
                <c:pt idx="5">
                  <c:v>95</c:v>
                </c:pt>
                <c:pt idx="6">
                  <c:v>0</c:v>
                </c:pt>
                <c:pt idx="7">
                  <c:v>0</c:v>
                </c:pt>
                <c:pt idx="8">
                  <c:v>0</c:v>
                </c:pt>
                <c:pt idx="9">
                  <c:v>77</c:v>
                </c:pt>
                <c:pt idx="10">
                  <c:v>88.5</c:v>
                </c:pt>
                <c:pt idx="11">
                  <c:v>82</c:v>
                </c:pt>
                <c:pt idx="12">
                  <c:v>0</c:v>
                </c:pt>
                <c:pt idx="13">
                  <c:v>85</c:v>
                </c:pt>
                <c:pt idx="14">
                  <c:v>79</c:v>
                </c:pt>
                <c:pt idx="15">
                  <c:v>84</c:v>
                </c:pt>
                <c:pt idx="16">
                  <c:v>86.8</c:v>
                </c:pt>
                <c:pt idx="17">
                  <c:v>75.599999999999994</c:v>
                </c:pt>
                <c:pt idx="18">
                  <c:v>0</c:v>
                </c:pt>
                <c:pt idx="19">
                  <c:v>0</c:v>
                </c:pt>
                <c:pt idx="20">
                  <c:v>84</c:v>
                </c:pt>
                <c:pt idx="21">
                  <c:v>99.3</c:v>
                </c:pt>
                <c:pt idx="22">
                  <c:v>68.8</c:v>
                </c:pt>
                <c:pt idx="23">
                  <c:v>0</c:v>
                </c:pt>
                <c:pt idx="24">
                  <c:v>87</c:v>
                </c:pt>
                <c:pt idx="25">
                  <c:v>84</c:v>
                </c:pt>
                <c:pt idx="26">
                  <c:v>97</c:v>
                </c:pt>
                <c:pt idx="27">
                  <c:v>0</c:v>
                </c:pt>
              </c:numCache>
            </c:numRef>
          </c:val>
        </c:ser>
        <c:ser>
          <c:idx val="1"/>
          <c:order val="1"/>
          <c:tx>
            <c:strRef>
              <c:f>Data!$C$292</c:f>
              <c:strCache>
                <c:ptCount val="1"/>
                <c:pt idx="0">
                  <c:v>Nickel-cadmium</c:v>
                </c:pt>
              </c:strCache>
            </c:strRef>
          </c:tx>
          <c:spPr>
            <a:solidFill>
              <a:srgbClr val="FFC000"/>
            </a:solidFill>
            <a:ln>
              <a:solidFill>
                <a:srgbClr val="FFC000"/>
              </a:solidFill>
            </a:ln>
          </c:spPr>
          <c:invertIfNegative val="0"/>
          <c:cat>
            <c:strRef>
              <c:f>Data!$A$293:$A$320</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Data!$C$293:$C$320</c:f>
              <c:numCache>
                <c:formatCode>0.0</c:formatCode>
                <c:ptCount val="28"/>
                <c:pt idx="0">
                  <c:v>84</c:v>
                </c:pt>
                <c:pt idx="1">
                  <c:v>0</c:v>
                </c:pt>
                <c:pt idx="2">
                  <c:v>0</c:v>
                </c:pt>
                <c:pt idx="3">
                  <c:v>0</c:v>
                </c:pt>
                <c:pt idx="4">
                  <c:v>80.8</c:v>
                </c:pt>
                <c:pt idx="5">
                  <c:v>89</c:v>
                </c:pt>
                <c:pt idx="6">
                  <c:v>0</c:v>
                </c:pt>
                <c:pt idx="7">
                  <c:v>0</c:v>
                </c:pt>
                <c:pt idx="8">
                  <c:v>0</c:v>
                </c:pt>
                <c:pt idx="9">
                  <c:v>82.8</c:v>
                </c:pt>
                <c:pt idx="10">
                  <c:v>77.5</c:v>
                </c:pt>
                <c:pt idx="11">
                  <c:v>77</c:v>
                </c:pt>
                <c:pt idx="12">
                  <c:v>0</c:v>
                </c:pt>
                <c:pt idx="13">
                  <c:v>58</c:v>
                </c:pt>
                <c:pt idx="14">
                  <c:v>79</c:v>
                </c:pt>
                <c:pt idx="15">
                  <c:v>0</c:v>
                </c:pt>
                <c:pt idx="16">
                  <c:v>0</c:v>
                </c:pt>
                <c:pt idx="17">
                  <c:v>83.2</c:v>
                </c:pt>
                <c:pt idx="18">
                  <c:v>0</c:v>
                </c:pt>
                <c:pt idx="19">
                  <c:v>0</c:v>
                </c:pt>
                <c:pt idx="20">
                  <c:v>81</c:v>
                </c:pt>
                <c:pt idx="21">
                  <c:v>90.72</c:v>
                </c:pt>
                <c:pt idx="22">
                  <c:v>0</c:v>
                </c:pt>
                <c:pt idx="23">
                  <c:v>0</c:v>
                </c:pt>
                <c:pt idx="24">
                  <c:v>98</c:v>
                </c:pt>
                <c:pt idx="25">
                  <c:v>84</c:v>
                </c:pt>
                <c:pt idx="26">
                  <c:v>97</c:v>
                </c:pt>
                <c:pt idx="27">
                  <c:v>0</c:v>
                </c:pt>
              </c:numCache>
            </c:numRef>
          </c:val>
        </c:ser>
        <c:ser>
          <c:idx val="2"/>
          <c:order val="2"/>
          <c:tx>
            <c:strRef>
              <c:f>Data!$D$292</c:f>
              <c:strCache>
                <c:ptCount val="1"/>
                <c:pt idx="0">
                  <c:v>Other</c:v>
                </c:pt>
              </c:strCache>
            </c:strRef>
          </c:tx>
          <c:spPr>
            <a:solidFill>
              <a:schemeClr val="accent3">
                <a:lumMod val="75000"/>
              </a:schemeClr>
            </a:solidFill>
            <a:ln>
              <a:solidFill>
                <a:schemeClr val="accent3">
                  <a:lumMod val="75000"/>
                </a:schemeClr>
              </a:solidFill>
            </a:ln>
          </c:spPr>
          <c:invertIfNegative val="0"/>
          <c:cat>
            <c:strRef>
              <c:f>Data!$A$293:$A$320</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Data!$D$293:$D$320</c:f>
              <c:numCache>
                <c:formatCode>0.0</c:formatCode>
                <c:ptCount val="28"/>
                <c:pt idx="0">
                  <c:v>79</c:v>
                </c:pt>
                <c:pt idx="1">
                  <c:v>71</c:v>
                </c:pt>
                <c:pt idx="2">
                  <c:v>69</c:v>
                </c:pt>
                <c:pt idx="3">
                  <c:v>0</c:v>
                </c:pt>
                <c:pt idx="4">
                  <c:v>56.6</c:v>
                </c:pt>
                <c:pt idx="5">
                  <c:v>58</c:v>
                </c:pt>
                <c:pt idx="6">
                  <c:v>0</c:v>
                </c:pt>
                <c:pt idx="7">
                  <c:v>0</c:v>
                </c:pt>
                <c:pt idx="8">
                  <c:v>0</c:v>
                </c:pt>
                <c:pt idx="9">
                  <c:v>63.8</c:v>
                </c:pt>
                <c:pt idx="10">
                  <c:v>80</c:v>
                </c:pt>
                <c:pt idx="11">
                  <c:v>53</c:v>
                </c:pt>
                <c:pt idx="12">
                  <c:v>0</c:v>
                </c:pt>
                <c:pt idx="13">
                  <c:v>91</c:v>
                </c:pt>
                <c:pt idx="14">
                  <c:v>57</c:v>
                </c:pt>
                <c:pt idx="15">
                  <c:v>81</c:v>
                </c:pt>
                <c:pt idx="16">
                  <c:v>16</c:v>
                </c:pt>
                <c:pt idx="17">
                  <c:v>56.02</c:v>
                </c:pt>
                <c:pt idx="18">
                  <c:v>0</c:v>
                </c:pt>
                <c:pt idx="19">
                  <c:v>0</c:v>
                </c:pt>
                <c:pt idx="20">
                  <c:v>57</c:v>
                </c:pt>
                <c:pt idx="21">
                  <c:v>101.51</c:v>
                </c:pt>
                <c:pt idx="22">
                  <c:v>0</c:v>
                </c:pt>
                <c:pt idx="23">
                  <c:v>0</c:v>
                </c:pt>
                <c:pt idx="24">
                  <c:v>75</c:v>
                </c:pt>
                <c:pt idx="25">
                  <c:v>84</c:v>
                </c:pt>
                <c:pt idx="26">
                  <c:v>96.6</c:v>
                </c:pt>
                <c:pt idx="27">
                  <c:v>0</c:v>
                </c:pt>
              </c:numCache>
            </c:numRef>
          </c:val>
        </c:ser>
        <c:dLbls>
          <c:showLegendKey val="0"/>
          <c:showVal val="0"/>
          <c:showCatName val="0"/>
          <c:showSerName val="0"/>
          <c:showPercent val="0"/>
          <c:showBubbleSize val="0"/>
        </c:dLbls>
        <c:gapWidth val="150"/>
        <c:axId val="73715712"/>
        <c:axId val="73717248"/>
      </c:barChart>
      <c:catAx>
        <c:axId val="73715712"/>
        <c:scaling>
          <c:orientation val="minMax"/>
        </c:scaling>
        <c:delete val="0"/>
        <c:axPos val="b"/>
        <c:majorTickMark val="out"/>
        <c:minorTickMark val="none"/>
        <c:tickLblPos val="nextTo"/>
        <c:crossAx val="73717248"/>
        <c:crosses val="autoZero"/>
        <c:auto val="1"/>
        <c:lblAlgn val="ctr"/>
        <c:lblOffset val="100"/>
        <c:noMultiLvlLbl val="0"/>
      </c:catAx>
      <c:valAx>
        <c:axId val="73717248"/>
        <c:scaling>
          <c:orientation val="minMax"/>
        </c:scaling>
        <c:delete val="0"/>
        <c:axPos val="l"/>
        <c:majorGridlines/>
        <c:numFmt formatCode="General\%" sourceLinked="0"/>
        <c:majorTickMark val="out"/>
        <c:minorTickMark val="none"/>
        <c:tickLblPos val="nextTo"/>
        <c:crossAx val="73715712"/>
        <c:crosses val="autoZero"/>
        <c:crossBetween val="between"/>
      </c:valAx>
    </c:plotArea>
    <c:legend>
      <c:legendPos val="r"/>
      <c:layout>
        <c:manualLayout>
          <c:xMode val="edge"/>
          <c:yMode val="edge"/>
          <c:x val="0.12386287907059197"/>
          <c:y val="3.0797009014762372E-2"/>
          <c:w val="0.67147194298572277"/>
          <c:h val="0.1619969653740859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06182718364528E-2"/>
          <c:y val="0.19379036524544022"/>
          <c:w val="0.91795879371641464"/>
          <c:h val="0.74052174984976193"/>
        </c:manualLayout>
      </c:layout>
      <c:barChart>
        <c:barDir val="col"/>
        <c:grouping val="percentStacked"/>
        <c:varyColors val="0"/>
        <c:ser>
          <c:idx val="0"/>
          <c:order val="0"/>
          <c:tx>
            <c:strRef>
              <c:f>Data!$B$37</c:f>
              <c:strCache>
                <c:ptCount val="1"/>
                <c:pt idx="0">
                  <c:v>material recycling</c:v>
                </c:pt>
              </c:strCache>
            </c:strRef>
          </c:tx>
          <c:spPr>
            <a:solidFill>
              <a:schemeClr val="tx2">
                <a:lumMod val="60000"/>
                <a:lumOff val="40000"/>
              </a:schemeClr>
            </a:solidFill>
            <a:ln>
              <a:solidFill>
                <a:schemeClr val="tx2">
                  <a:lumMod val="60000"/>
                  <a:lumOff val="40000"/>
                </a:schemeClr>
              </a:solidFill>
            </a:ln>
          </c:spPr>
          <c:invertIfNegative val="0"/>
          <c:cat>
            <c:strRef>
              <c:f>Data!$A$38:$A$65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Data!$B$38:$B$65</c:f>
              <c:numCache>
                <c:formatCode>#,##0</c:formatCode>
                <c:ptCount val="28"/>
                <c:pt idx="0">
                  <c:v>1168</c:v>
                </c:pt>
                <c:pt idx="1">
                  <c:v>1736</c:v>
                </c:pt>
                <c:pt idx="2">
                  <c:v>749</c:v>
                </c:pt>
                <c:pt idx="3">
                  <c:v>70</c:v>
                </c:pt>
                <c:pt idx="4">
                  <c:v>665</c:v>
                </c:pt>
                <c:pt idx="5">
                  <c:v>23596</c:v>
                </c:pt>
                <c:pt idx="6">
                  <c:v>1081</c:v>
                </c:pt>
                <c:pt idx="7">
                  <c:v>52</c:v>
                </c:pt>
                <c:pt idx="8">
                  <c:v>869</c:v>
                </c:pt>
                <c:pt idx="9">
                  <c:v>4277</c:v>
                </c:pt>
                <c:pt idx="10">
                  <c:v>589</c:v>
                </c:pt>
                <c:pt idx="11">
                  <c:v>7217</c:v>
                </c:pt>
                <c:pt idx="12">
                  <c:v>220</c:v>
                </c:pt>
                <c:pt idx="13">
                  <c:v>832</c:v>
                </c:pt>
                <c:pt idx="14">
                  <c:v>829</c:v>
                </c:pt>
                <c:pt idx="15">
                  <c:v>7177</c:v>
                </c:pt>
                <c:pt idx="16">
                  <c:v>261</c:v>
                </c:pt>
                <c:pt idx="17">
                  <c:v>96</c:v>
                </c:pt>
                <c:pt idx="18">
                  <c:v>84</c:v>
                </c:pt>
                <c:pt idx="19">
                  <c:v>20</c:v>
                </c:pt>
                <c:pt idx="20">
                  <c:v>2196</c:v>
                </c:pt>
                <c:pt idx="21">
                  <c:v>1244</c:v>
                </c:pt>
                <c:pt idx="22">
                  <c:v>549</c:v>
                </c:pt>
                <c:pt idx="23">
                  <c:v>165</c:v>
                </c:pt>
                <c:pt idx="24">
                  <c:v>1403</c:v>
                </c:pt>
                <c:pt idx="25">
                  <c:v>270</c:v>
                </c:pt>
                <c:pt idx="26">
                  <c:v>140</c:v>
                </c:pt>
                <c:pt idx="27">
                  <c:v>8173</c:v>
                </c:pt>
              </c:numCache>
            </c:numRef>
          </c:val>
        </c:ser>
        <c:ser>
          <c:idx val="1"/>
          <c:order val="1"/>
          <c:tx>
            <c:strRef>
              <c:f>Data!$C$37</c:f>
              <c:strCache>
                <c:ptCount val="1"/>
                <c:pt idx="0">
                  <c:v>composting and digestion</c:v>
                </c:pt>
              </c:strCache>
            </c:strRef>
          </c:tx>
          <c:spPr>
            <a:solidFill>
              <a:srgbClr val="FFC000"/>
            </a:solidFill>
            <a:ln>
              <a:solidFill>
                <a:srgbClr val="FFC000"/>
              </a:solidFill>
            </a:ln>
          </c:spPr>
          <c:invertIfNegative val="0"/>
          <c:cat>
            <c:strRef>
              <c:f>Data!$A$38:$A$65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Data!$C$38:$C$65</c:f>
              <c:numCache>
                <c:formatCode>#,##0</c:formatCode>
                <c:ptCount val="28"/>
                <c:pt idx="0">
                  <c:v>1650</c:v>
                </c:pt>
                <c:pt idx="1">
                  <c:v>1033</c:v>
                </c:pt>
                <c:pt idx="2">
                  <c:v>92</c:v>
                </c:pt>
                <c:pt idx="3">
                  <c:v>7</c:v>
                </c:pt>
                <c:pt idx="4">
                  <c:v>85</c:v>
                </c:pt>
                <c:pt idx="5">
                  <c:v>8864</c:v>
                </c:pt>
                <c:pt idx="6">
                  <c:v>639</c:v>
                </c:pt>
                <c:pt idx="7">
                  <c:v>19</c:v>
                </c:pt>
                <c:pt idx="8">
                  <c:v>209</c:v>
                </c:pt>
                <c:pt idx="9">
                  <c:v>2245</c:v>
                </c:pt>
                <c:pt idx="10">
                  <c:v>323</c:v>
                </c:pt>
                <c:pt idx="11">
                  <c:v>5720</c:v>
                </c:pt>
                <c:pt idx="12">
                  <c:v>26</c:v>
                </c:pt>
                <c:pt idx="13">
                  <c:v>183</c:v>
                </c:pt>
                <c:pt idx="14">
                  <c:v>156</c:v>
                </c:pt>
                <c:pt idx="15">
                  <c:v>4339</c:v>
                </c:pt>
                <c:pt idx="16">
                  <c:v>51</c:v>
                </c:pt>
                <c:pt idx="17">
                  <c:v>68</c:v>
                </c:pt>
                <c:pt idx="18">
                  <c:v>13</c:v>
                </c:pt>
                <c:pt idx="19">
                  <c:v>10</c:v>
                </c:pt>
                <c:pt idx="20">
                  <c:v>2353</c:v>
                </c:pt>
                <c:pt idx="21">
                  <c:v>1128</c:v>
                </c:pt>
                <c:pt idx="22">
                  <c:v>694</c:v>
                </c:pt>
                <c:pt idx="23">
                  <c:v>580</c:v>
                </c:pt>
                <c:pt idx="24">
                  <c:v>621</c:v>
                </c:pt>
                <c:pt idx="25">
                  <c:v>42</c:v>
                </c:pt>
                <c:pt idx="26">
                  <c:v>81</c:v>
                </c:pt>
                <c:pt idx="27">
                  <c:v>4788</c:v>
                </c:pt>
              </c:numCache>
            </c:numRef>
          </c:val>
        </c:ser>
        <c:ser>
          <c:idx val="2"/>
          <c:order val="2"/>
          <c:tx>
            <c:strRef>
              <c:f>Data!$D$37</c:f>
              <c:strCache>
                <c:ptCount val="1"/>
                <c:pt idx="0">
                  <c:v>total incineration (with energy recovery)</c:v>
                </c:pt>
              </c:strCache>
            </c:strRef>
          </c:tx>
          <c:spPr>
            <a:solidFill>
              <a:schemeClr val="accent3">
                <a:lumMod val="75000"/>
              </a:schemeClr>
            </a:solidFill>
            <a:ln>
              <a:solidFill>
                <a:schemeClr val="accent3">
                  <a:lumMod val="75000"/>
                </a:schemeClr>
              </a:solidFill>
            </a:ln>
          </c:spPr>
          <c:invertIfNegative val="0"/>
          <c:cat>
            <c:strRef>
              <c:f>Data!$A$38:$A$65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Data!$D$38:$D$65</c:f>
              <c:numCache>
                <c:formatCode>#,##0</c:formatCode>
                <c:ptCount val="28"/>
                <c:pt idx="0">
                  <c:v>1693</c:v>
                </c:pt>
                <c:pt idx="1">
                  <c:v>2108</c:v>
                </c:pt>
                <c:pt idx="2">
                  <c:v>0</c:v>
                </c:pt>
                <c:pt idx="3">
                  <c:v>0</c:v>
                </c:pt>
                <c:pt idx="4">
                  <c:v>654</c:v>
                </c:pt>
                <c:pt idx="5">
                  <c:v>17192</c:v>
                </c:pt>
                <c:pt idx="6">
                  <c:v>2387</c:v>
                </c:pt>
                <c:pt idx="7">
                  <c:v>47</c:v>
                </c:pt>
                <c:pt idx="8">
                  <c:v>0</c:v>
                </c:pt>
                <c:pt idx="9">
                  <c:v>2112</c:v>
                </c:pt>
                <c:pt idx="10">
                  <c:v>925</c:v>
                </c:pt>
                <c:pt idx="11">
                  <c:v>12141</c:v>
                </c:pt>
                <c:pt idx="12">
                  <c:v>2</c:v>
                </c:pt>
                <c:pt idx="13">
                  <c:v>364</c:v>
                </c:pt>
                <c:pt idx="14">
                  <c:v>427</c:v>
                </c:pt>
                <c:pt idx="15">
                  <c:v>5529</c:v>
                </c:pt>
                <c:pt idx="16">
                  <c:v>0</c:v>
                </c:pt>
                <c:pt idx="17">
                  <c:v>121</c:v>
                </c:pt>
                <c:pt idx="18">
                  <c:v>0</c:v>
                </c:pt>
                <c:pt idx="19">
                  <c:v>1</c:v>
                </c:pt>
                <c:pt idx="20">
                  <c:v>4515</c:v>
                </c:pt>
                <c:pt idx="21">
                  <c:v>51</c:v>
                </c:pt>
                <c:pt idx="22">
                  <c:v>930</c:v>
                </c:pt>
                <c:pt idx="23">
                  <c:v>89</c:v>
                </c:pt>
                <c:pt idx="24">
                  <c:v>2233</c:v>
                </c:pt>
                <c:pt idx="25">
                  <c:v>10</c:v>
                </c:pt>
                <c:pt idx="26">
                  <c:v>168</c:v>
                </c:pt>
                <c:pt idx="27">
                  <c:v>5698</c:v>
                </c:pt>
              </c:numCache>
            </c:numRef>
          </c:val>
        </c:ser>
        <c:ser>
          <c:idx val="3"/>
          <c:order val="3"/>
          <c:tx>
            <c:strRef>
              <c:f>Data!$E$37</c:f>
              <c:strCache>
                <c:ptCount val="1"/>
                <c:pt idx="0">
                  <c:v>landfill/disposal</c:v>
                </c:pt>
              </c:strCache>
            </c:strRef>
          </c:tx>
          <c:spPr>
            <a:solidFill>
              <a:schemeClr val="accent6">
                <a:lumMod val="75000"/>
              </a:schemeClr>
            </a:solidFill>
            <a:ln>
              <a:solidFill>
                <a:schemeClr val="accent6">
                  <a:lumMod val="75000"/>
                </a:schemeClr>
              </a:solidFill>
            </a:ln>
          </c:spPr>
          <c:invertIfNegative val="0"/>
          <c:cat>
            <c:strRef>
              <c:f>Data!$A$38:$A$65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Data!$E$38:$E$65</c:f>
              <c:numCache>
                <c:formatCode>#,##0</c:formatCode>
                <c:ptCount val="28"/>
                <c:pt idx="0">
                  <c:v>207</c:v>
                </c:pt>
                <c:pt idx="1">
                  <c:v>51</c:v>
                </c:pt>
                <c:pt idx="2">
                  <c:v>2323</c:v>
                </c:pt>
                <c:pt idx="3">
                  <c:v>451</c:v>
                </c:pt>
                <c:pt idx="4">
                  <c:v>1828</c:v>
                </c:pt>
                <c:pt idx="5">
                  <c:v>107</c:v>
                </c:pt>
                <c:pt idx="6">
                  <c:v>89</c:v>
                </c:pt>
                <c:pt idx="7">
                  <c:v>129</c:v>
                </c:pt>
                <c:pt idx="8">
                  <c:v>4507</c:v>
                </c:pt>
                <c:pt idx="9">
                  <c:v>13263</c:v>
                </c:pt>
                <c:pt idx="10">
                  <c:v>901</c:v>
                </c:pt>
                <c:pt idx="11">
                  <c:v>9120</c:v>
                </c:pt>
                <c:pt idx="12">
                  <c:v>1380</c:v>
                </c:pt>
                <c:pt idx="13">
                  <c:v>2609</c:v>
                </c:pt>
                <c:pt idx="14">
                  <c:v>1028</c:v>
                </c:pt>
                <c:pt idx="15">
                  <c:v>11720</c:v>
                </c:pt>
                <c:pt idx="16">
                  <c:v>971</c:v>
                </c:pt>
                <c:pt idx="17">
                  <c:v>61</c:v>
                </c:pt>
                <c:pt idx="18">
                  <c:v>516</c:v>
                </c:pt>
                <c:pt idx="19">
                  <c:v>203</c:v>
                </c:pt>
                <c:pt idx="20">
                  <c:v>138</c:v>
                </c:pt>
                <c:pt idx="21">
                  <c:v>7158</c:v>
                </c:pt>
                <c:pt idx="22">
                  <c:v>2593</c:v>
                </c:pt>
                <c:pt idx="23">
                  <c:v>3427</c:v>
                </c:pt>
                <c:pt idx="24">
                  <c:v>27</c:v>
                </c:pt>
                <c:pt idx="25">
                  <c:v>316</c:v>
                </c:pt>
                <c:pt idx="26">
                  <c:v>1211</c:v>
                </c:pt>
                <c:pt idx="27">
                  <c:v>11277</c:v>
                </c:pt>
              </c:numCache>
            </c:numRef>
          </c:val>
        </c:ser>
        <c:dLbls>
          <c:showLegendKey val="0"/>
          <c:showVal val="0"/>
          <c:showCatName val="0"/>
          <c:showSerName val="0"/>
          <c:showPercent val="0"/>
          <c:showBubbleSize val="0"/>
        </c:dLbls>
        <c:gapWidth val="150"/>
        <c:overlap val="100"/>
        <c:axId val="69410816"/>
        <c:axId val="69412352"/>
      </c:barChart>
      <c:catAx>
        <c:axId val="69410816"/>
        <c:scaling>
          <c:orientation val="minMax"/>
        </c:scaling>
        <c:delete val="0"/>
        <c:axPos val="b"/>
        <c:numFmt formatCode="General" sourceLinked="1"/>
        <c:majorTickMark val="out"/>
        <c:minorTickMark val="none"/>
        <c:tickLblPos val="nextTo"/>
        <c:crossAx val="69412352"/>
        <c:crosses val="autoZero"/>
        <c:auto val="1"/>
        <c:lblAlgn val="ctr"/>
        <c:lblOffset val="100"/>
        <c:noMultiLvlLbl val="0"/>
      </c:catAx>
      <c:valAx>
        <c:axId val="69412352"/>
        <c:scaling>
          <c:orientation val="minMax"/>
        </c:scaling>
        <c:delete val="0"/>
        <c:axPos val="l"/>
        <c:majorGridlines/>
        <c:numFmt formatCode="0%" sourceLinked="1"/>
        <c:majorTickMark val="out"/>
        <c:minorTickMark val="none"/>
        <c:tickLblPos val="nextTo"/>
        <c:crossAx val="69410816"/>
        <c:crosses val="autoZero"/>
        <c:crossBetween val="between"/>
      </c:valAx>
    </c:plotArea>
    <c:legend>
      <c:legendPos val="r"/>
      <c:layout>
        <c:manualLayout>
          <c:xMode val="edge"/>
          <c:yMode val="edge"/>
          <c:x val="1.6305325851005026E-2"/>
          <c:y val="2.5720078597975902E-2"/>
          <c:w val="0.96948220384585815"/>
          <c:h val="0.1537392333000628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083235013209578E-2"/>
          <c:y val="3.0808237175488438E-2"/>
          <c:w val="0.92773173342645143"/>
          <c:h val="0.89967625590400901"/>
        </c:manualLayout>
      </c:layout>
      <c:barChart>
        <c:barDir val="col"/>
        <c:grouping val="clustered"/>
        <c:varyColors val="0"/>
        <c:ser>
          <c:idx val="0"/>
          <c:order val="0"/>
          <c:tx>
            <c:strRef>
              <c:f>Data!$B$70</c:f>
              <c:strCache>
                <c:ptCount val="1"/>
                <c:pt idx="0">
                  <c:v>2010</c:v>
                </c:pt>
              </c:strCache>
            </c:strRef>
          </c:tx>
          <c:invertIfNegative val="0"/>
          <c:cat>
            <c:strRef>
              <c:f>Data!$A$71:$A$98</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Data!$B$71:$B$98</c:f>
              <c:numCache>
                <c:formatCode>0.00%</c:formatCode>
                <c:ptCount val="28"/>
                <c:pt idx="0">
                  <c:v>0.78800000000000003</c:v>
                </c:pt>
                <c:pt idx="1">
                  <c:v>0.58199999999999996</c:v>
                </c:pt>
                <c:pt idx="2" formatCode="0%">
                  <c:v>0.28999999999999998</c:v>
                </c:pt>
                <c:pt idx="3">
                  <c:v>0.20300000000000001</c:v>
                </c:pt>
                <c:pt idx="4">
                  <c:v>0.379</c:v>
                </c:pt>
                <c:pt idx="5" formatCode="0%">
                  <c:v>0.63</c:v>
                </c:pt>
                <c:pt idx="6" formatCode="General">
                  <c:v>0</c:v>
                </c:pt>
                <c:pt idx="7" formatCode="General">
                  <c:v>0</c:v>
                </c:pt>
                <c:pt idx="8" formatCode="General">
                  <c:v>0</c:v>
                </c:pt>
                <c:pt idx="9" formatCode="0%">
                  <c:v>0.28999999999999998</c:v>
                </c:pt>
                <c:pt idx="10" formatCode="0%">
                  <c:v>0.33</c:v>
                </c:pt>
                <c:pt idx="11" formatCode="General">
                  <c:v>0</c:v>
                </c:pt>
                <c:pt idx="12" formatCode="General">
                  <c:v>0</c:v>
                </c:pt>
                <c:pt idx="13">
                  <c:v>0.34200000000000003</c:v>
                </c:pt>
                <c:pt idx="14" formatCode="0%">
                  <c:v>0.53</c:v>
                </c:pt>
                <c:pt idx="15" formatCode="0%">
                  <c:v>0.37</c:v>
                </c:pt>
                <c:pt idx="16" formatCode="0%">
                  <c:v>0.37</c:v>
                </c:pt>
                <c:pt idx="17">
                  <c:v>0.50600000000000001</c:v>
                </c:pt>
                <c:pt idx="18">
                  <c:v>0.16200000000000001</c:v>
                </c:pt>
                <c:pt idx="19" formatCode="General">
                  <c:v>0</c:v>
                </c:pt>
                <c:pt idx="20" formatCode="0%">
                  <c:v>0.48</c:v>
                </c:pt>
                <c:pt idx="21" formatCode="General">
                  <c:v>0</c:v>
                </c:pt>
                <c:pt idx="22" formatCode="0%">
                  <c:v>0.15</c:v>
                </c:pt>
                <c:pt idx="23" formatCode="General">
                  <c:v>0</c:v>
                </c:pt>
                <c:pt idx="24" formatCode="0%">
                  <c:v>0.62</c:v>
                </c:pt>
                <c:pt idx="25">
                  <c:v>0.221</c:v>
                </c:pt>
                <c:pt idx="26">
                  <c:v>0.09</c:v>
                </c:pt>
                <c:pt idx="27" formatCode="0%">
                  <c:v>0.4</c:v>
                </c:pt>
              </c:numCache>
            </c:numRef>
          </c:val>
        </c:ser>
        <c:ser>
          <c:idx val="1"/>
          <c:order val="1"/>
          <c:tx>
            <c:strRef>
              <c:f>Data!$C$70</c:f>
              <c:strCache>
                <c:ptCount val="1"/>
                <c:pt idx="0">
                  <c:v>2011</c:v>
                </c:pt>
              </c:strCache>
            </c:strRef>
          </c:tx>
          <c:spPr>
            <a:solidFill>
              <a:srgbClr val="FFC000"/>
            </a:solidFill>
          </c:spPr>
          <c:invertIfNegative val="0"/>
          <c:cat>
            <c:strRef>
              <c:f>Data!$A$71:$A$98</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Data!$C$71:$C$98</c:f>
              <c:numCache>
                <c:formatCode>0.00%</c:formatCode>
                <c:ptCount val="28"/>
                <c:pt idx="0" formatCode="General">
                  <c:v>0</c:v>
                </c:pt>
                <c:pt idx="1">
                  <c:v>0.58499999999999996</c:v>
                </c:pt>
                <c:pt idx="2" formatCode="0%">
                  <c:v>0.32</c:v>
                </c:pt>
                <c:pt idx="3">
                  <c:v>0.224</c:v>
                </c:pt>
                <c:pt idx="4">
                  <c:v>0.496</c:v>
                </c:pt>
                <c:pt idx="5" formatCode="0%">
                  <c:v>0.63</c:v>
                </c:pt>
                <c:pt idx="6" formatCode="General">
                  <c:v>0</c:v>
                </c:pt>
                <c:pt idx="7" formatCode="0%">
                  <c:v>0.27</c:v>
                </c:pt>
                <c:pt idx="8" formatCode="General">
                  <c:v>0</c:v>
                </c:pt>
                <c:pt idx="9" formatCode="0%">
                  <c:v>0.27</c:v>
                </c:pt>
                <c:pt idx="10" formatCode="0%">
                  <c:v>0.35</c:v>
                </c:pt>
                <c:pt idx="11" formatCode="0%">
                  <c:v>0.59</c:v>
                </c:pt>
                <c:pt idx="12" formatCode="0%">
                  <c:v>0.15</c:v>
                </c:pt>
                <c:pt idx="13">
                  <c:v>0.39800000000000002</c:v>
                </c:pt>
                <c:pt idx="14" formatCode="0%">
                  <c:v>0.45</c:v>
                </c:pt>
                <c:pt idx="15" formatCode="0%">
                  <c:v>0.39</c:v>
                </c:pt>
                <c:pt idx="16" formatCode="0%">
                  <c:v>0.43</c:v>
                </c:pt>
                <c:pt idx="17">
                  <c:v>0.498</c:v>
                </c:pt>
                <c:pt idx="18">
                  <c:v>0.17799999999999999</c:v>
                </c:pt>
                <c:pt idx="19" formatCode="0%">
                  <c:v>0.23</c:v>
                </c:pt>
                <c:pt idx="20" formatCode="0%">
                  <c:v>0.48</c:v>
                </c:pt>
                <c:pt idx="21" formatCode="General">
                  <c:v>0</c:v>
                </c:pt>
                <c:pt idx="22" formatCode="0%">
                  <c:v>0.19</c:v>
                </c:pt>
                <c:pt idx="23" formatCode="General">
                  <c:v>0</c:v>
                </c:pt>
                <c:pt idx="24" formatCode="General">
                  <c:v>0</c:v>
                </c:pt>
                <c:pt idx="25">
                  <c:v>0.34100000000000003</c:v>
                </c:pt>
                <c:pt idx="26">
                  <c:v>0.1338</c:v>
                </c:pt>
                <c:pt idx="27" formatCode="0%">
                  <c:v>0.43</c:v>
                </c:pt>
              </c:numCache>
            </c:numRef>
          </c:val>
        </c:ser>
        <c:ser>
          <c:idx val="2"/>
          <c:order val="2"/>
          <c:tx>
            <c:strRef>
              <c:f>Data!$D$70</c:f>
              <c:strCache>
                <c:ptCount val="1"/>
                <c:pt idx="0">
                  <c:v>2012</c:v>
                </c:pt>
              </c:strCache>
            </c:strRef>
          </c:tx>
          <c:invertIfNegative val="0"/>
          <c:cat>
            <c:strRef>
              <c:f>Data!$A$71:$A$98</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Data!$D$71:$D$98</c:f>
              <c:numCache>
                <c:formatCode>0.00%</c:formatCode>
                <c:ptCount val="28"/>
                <c:pt idx="0">
                  <c:v>0.78800000000000003</c:v>
                </c:pt>
                <c:pt idx="1">
                  <c:v>0.57399999999999995</c:v>
                </c:pt>
                <c:pt idx="2" formatCode="General">
                  <c:v>0</c:v>
                </c:pt>
                <c:pt idx="3" formatCode="General">
                  <c:v>0</c:v>
                </c:pt>
                <c:pt idx="4">
                  <c:v>0.45500000000000002</c:v>
                </c:pt>
                <c:pt idx="5" formatCode="General">
                  <c:v>0</c:v>
                </c:pt>
                <c:pt idx="6">
                  <c:v>0.53300000000000003</c:v>
                </c:pt>
                <c:pt idx="7" formatCode="0%">
                  <c:v>0.27</c:v>
                </c:pt>
                <c:pt idx="8" formatCode="General">
                  <c:v>0</c:v>
                </c:pt>
                <c:pt idx="9" formatCode="General">
                  <c:v>0</c:v>
                </c:pt>
                <c:pt idx="10" formatCode="0%">
                  <c:v>0.33</c:v>
                </c:pt>
                <c:pt idx="11" formatCode="General">
                  <c:v>0</c:v>
                </c:pt>
                <c:pt idx="12" formatCode="General">
                  <c:v>0</c:v>
                </c:pt>
                <c:pt idx="13" formatCode="General">
                  <c:v>0</c:v>
                </c:pt>
                <c:pt idx="14" formatCode="0%">
                  <c:v>0.45</c:v>
                </c:pt>
                <c:pt idx="15" formatCode="0%">
                  <c:v>0.41</c:v>
                </c:pt>
                <c:pt idx="16" formatCode="0%">
                  <c:v>0.42</c:v>
                </c:pt>
                <c:pt idx="17" formatCode="General">
                  <c:v>0</c:v>
                </c:pt>
                <c:pt idx="18">
                  <c:v>0.184</c:v>
                </c:pt>
                <c:pt idx="19" formatCode="0%">
                  <c:v>0.24</c:v>
                </c:pt>
                <c:pt idx="20" formatCode="0%">
                  <c:v>0.48</c:v>
                </c:pt>
                <c:pt idx="21" formatCode="0%">
                  <c:v>0.18</c:v>
                </c:pt>
                <c:pt idx="22" formatCode="0%">
                  <c:v>0.22</c:v>
                </c:pt>
                <c:pt idx="23" formatCode="General">
                  <c:v>0</c:v>
                </c:pt>
                <c:pt idx="24" formatCode="General">
                  <c:v>0</c:v>
                </c:pt>
                <c:pt idx="25" formatCode="General">
                  <c:v>0</c:v>
                </c:pt>
                <c:pt idx="26" formatCode="0%">
                  <c:v>0.13</c:v>
                </c:pt>
                <c:pt idx="27" formatCode="0%">
                  <c:v>0.43</c:v>
                </c:pt>
              </c:numCache>
            </c:numRef>
          </c:val>
        </c:ser>
        <c:dLbls>
          <c:showLegendKey val="0"/>
          <c:showVal val="0"/>
          <c:showCatName val="0"/>
          <c:showSerName val="0"/>
          <c:showPercent val="0"/>
          <c:showBubbleSize val="0"/>
        </c:dLbls>
        <c:gapWidth val="150"/>
        <c:axId val="69437696"/>
        <c:axId val="69443584"/>
      </c:barChart>
      <c:lineChart>
        <c:grouping val="stacked"/>
        <c:varyColors val="0"/>
        <c:ser>
          <c:idx val="3"/>
          <c:order val="3"/>
          <c:tx>
            <c:strRef>
              <c:f>Data!$E$70</c:f>
              <c:strCache>
                <c:ptCount val="1"/>
                <c:pt idx="0">
                  <c:v>2020 target set by WFD Article 11(2)(a)</c:v>
                </c:pt>
              </c:strCache>
            </c:strRef>
          </c:tx>
          <c:spPr>
            <a:ln>
              <a:solidFill>
                <a:schemeClr val="tx1"/>
              </a:solidFill>
            </a:ln>
          </c:spPr>
          <c:marker>
            <c:symbol val="none"/>
          </c:marker>
          <c:cat>
            <c:strRef>
              <c:f>Data!$A$71:$A$98</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Data!$E$71:$E$98</c:f>
              <c:numCache>
                <c:formatCode>0%</c:formatCode>
                <c:ptCount val="28"/>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pt idx="20">
                  <c:v>0.5</c:v>
                </c:pt>
                <c:pt idx="21">
                  <c:v>0.5</c:v>
                </c:pt>
                <c:pt idx="22">
                  <c:v>0.5</c:v>
                </c:pt>
                <c:pt idx="23">
                  <c:v>0.5</c:v>
                </c:pt>
                <c:pt idx="24">
                  <c:v>0.5</c:v>
                </c:pt>
                <c:pt idx="25">
                  <c:v>0.5</c:v>
                </c:pt>
                <c:pt idx="26">
                  <c:v>0.5</c:v>
                </c:pt>
                <c:pt idx="27">
                  <c:v>0.5</c:v>
                </c:pt>
              </c:numCache>
            </c:numRef>
          </c:val>
          <c:smooth val="0"/>
        </c:ser>
        <c:dLbls>
          <c:showLegendKey val="0"/>
          <c:showVal val="0"/>
          <c:showCatName val="0"/>
          <c:showSerName val="0"/>
          <c:showPercent val="0"/>
          <c:showBubbleSize val="0"/>
        </c:dLbls>
        <c:marker val="1"/>
        <c:smooth val="0"/>
        <c:axId val="69437696"/>
        <c:axId val="69443584"/>
      </c:lineChart>
      <c:catAx>
        <c:axId val="69437696"/>
        <c:scaling>
          <c:orientation val="minMax"/>
        </c:scaling>
        <c:delete val="0"/>
        <c:axPos val="b"/>
        <c:majorTickMark val="out"/>
        <c:minorTickMark val="none"/>
        <c:tickLblPos val="nextTo"/>
        <c:crossAx val="69443584"/>
        <c:crosses val="autoZero"/>
        <c:auto val="1"/>
        <c:lblAlgn val="ctr"/>
        <c:lblOffset val="100"/>
        <c:noMultiLvlLbl val="0"/>
      </c:catAx>
      <c:valAx>
        <c:axId val="69443584"/>
        <c:scaling>
          <c:orientation val="minMax"/>
        </c:scaling>
        <c:delete val="0"/>
        <c:axPos val="l"/>
        <c:majorGridlines/>
        <c:numFmt formatCode="0%" sourceLinked="0"/>
        <c:majorTickMark val="out"/>
        <c:minorTickMark val="none"/>
        <c:tickLblPos val="nextTo"/>
        <c:crossAx val="69437696"/>
        <c:crosses val="autoZero"/>
        <c:crossBetween val="between"/>
      </c:valAx>
    </c:plotArea>
    <c:legend>
      <c:legendPos val="r"/>
      <c:layout>
        <c:manualLayout>
          <c:xMode val="edge"/>
          <c:yMode val="edge"/>
          <c:x val="0.12408721552744467"/>
          <c:y val="0.11737008980273775"/>
          <c:w val="0.85106814298170919"/>
          <c:h val="0.1078028390069171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700024090813729E-2"/>
          <c:y val="3.3154216886167195E-2"/>
          <c:w val="0.90150780151796317"/>
          <c:h val="0.89203682276124618"/>
        </c:manualLayout>
      </c:layout>
      <c:barChart>
        <c:barDir val="col"/>
        <c:grouping val="clustered"/>
        <c:varyColors val="0"/>
        <c:ser>
          <c:idx val="0"/>
          <c:order val="0"/>
          <c:tx>
            <c:strRef>
              <c:f>Data!$B$106</c:f>
              <c:strCache>
                <c:ptCount val="1"/>
                <c:pt idx="0">
                  <c:v>2010</c:v>
                </c:pt>
              </c:strCache>
            </c:strRef>
          </c:tx>
          <c:invertIfNegative val="0"/>
          <c:dPt>
            <c:idx val="9"/>
            <c:invertIfNegative val="0"/>
            <c:bubble3D val="0"/>
            <c:spPr>
              <a:solidFill>
                <a:schemeClr val="tx2">
                  <a:lumMod val="60000"/>
                  <a:lumOff val="40000"/>
                </a:schemeClr>
              </a:solidFill>
              <a:ln>
                <a:solidFill>
                  <a:schemeClr val="tx2">
                    <a:lumMod val="60000"/>
                    <a:lumOff val="40000"/>
                  </a:schemeClr>
                </a:solidFill>
              </a:ln>
            </c:spPr>
          </c:dPt>
          <c:cat>
            <c:strRef>
              <c:f>Data!$A$107:$A$134</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Data!$B$107:$B$134</c:f>
              <c:numCache>
                <c:formatCode>0.00%</c:formatCode>
                <c:ptCount val="28"/>
                <c:pt idx="0" formatCode="0%">
                  <c:v>0.93</c:v>
                </c:pt>
                <c:pt idx="1">
                  <c:v>0.96399999999999997</c:v>
                </c:pt>
                <c:pt idx="2" formatCode="0%">
                  <c:v>0.21</c:v>
                </c:pt>
                <c:pt idx="3" formatCode="General">
                  <c:v>0</c:v>
                </c:pt>
                <c:pt idx="4">
                  <c:v>0.82499999999999996</c:v>
                </c:pt>
                <c:pt idx="5" formatCode="0%">
                  <c:v>0.95</c:v>
                </c:pt>
                <c:pt idx="6" formatCode="General">
                  <c:v>0</c:v>
                </c:pt>
                <c:pt idx="7" formatCode="General">
                  <c:v>0</c:v>
                </c:pt>
                <c:pt idx="8" formatCode="General">
                  <c:v>0</c:v>
                </c:pt>
                <c:pt idx="9" formatCode="0%">
                  <c:v>0.66</c:v>
                </c:pt>
                <c:pt idx="10" formatCode="0%">
                  <c:v>0.33</c:v>
                </c:pt>
                <c:pt idx="11" formatCode="General">
                  <c:v>0</c:v>
                </c:pt>
                <c:pt idx="12" formatCode="General">
                  <c:v>0</c:v>
                </c:pt>
                <c:pt idx="13">
                  <c:v>0.56000000000000005</c:v>
                </c:pt>
                <c:pt idx="14" formatCode="0%">
                  <c:v>0.98</c:v>
                </c:pt>
                <c:pt idx="15">
                  <c:v>0.69</c:v>
                </c:pt>
                <c:pt idx="16" formatCode="0%">
                  <c:v>0.59</c:v>
                </c:pt>
                <c:pt idx="17">
                  <c:v>0.90800000000000003</c:v>
                </c:pt>
                <c:pt idx="18" formatCode="0%">
                  <c:v>0.9</c:v>
                </c:pt>
                <c:pt idx="19" formatCode="General">
                  <c:v>0</c:v>
                </c:pt>
                <c:pt idx="20" formatCode="0%">
                  <c:v>0.94</c:v>
                </c:pt>
                <c:pt idx="21" formatCode="0%">
                  <c:v>0.69</c:v>
                </c:pt>
                <c:pt idx="22" formatCode="0%">
                  <c:v>0.33</c:v>
                </c:pt>
                <c:pt idx="23" formatCode="General">
                  <c:v>0</c:v>
                </c:pt>
                <c:pt idx="24" formatCode="0%">
                  <c:v>0.6</c:v>
                </c:pt>
                <c:pt idx="25">
                  <c:v>0.78700000000000003</c:v>
                </c:pt>
                <c:pt idx="26">
                  <c:v>0.45429999999999998</c:v>
                </c:pt>
                <c:pt idx="27">
                  <c:v>0.92700000000000005</c:v>
                </c:pt>
              </c:numCache>
            </c:numRef>
          </c:val>
        </c:ser>
        <c:ser>
          <c:idx val="1"/>
          <c:order val="1"/>
          <c:tx>
            <c:strRef>
              <c:f>Data!$C$106</c:f>
              <c:strCache>
                <c:ptCount val="1"/>
                <c:pt idx="0">
                  <c:v>2011</c:v>
                </c:pt>
              </c:strCache>
            </c:strRef>
          </c:tx>
          <c:spPr>
            <a:solidFill>
              <a:srgbClr val="FFC000"/>
            </a:solidFill>
            <a:ln>
              <a:solidFill>
                <a:srgbClr val="FFC000"/>
              </a:solidFill>
            </a:ln>
          </c:spPr>
          <c:invertIfNegative val="0"/>
          <c:cat>
            <c:strRef>
              <c:f>Data!$A$107:$A$134</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Data!$C$107:$C$134</c:f>
              <c:numCache>
                <c:formatCode>0.00%</c:formatCode>
                <c:ptCount val="28"/>
                <c:pt idx="0" formatCode="General">
                  <c:v>0</c:v>
                </c:pt>
                <c:pt idx="1">
                  <c:v>0.96399999999999997</c:v>
                </c:pt>
                <c:pt idx="2" formatCode="0%">
                  <c:v>0.23</c:v>
                </c:pt>
                <c:pt idx="3" formatCode="General">
                  <c:v>0</c:v>
                </c:pt>
                <c:pt idx="4" formatCode="0%">
                  <c:v>0.79500000000000004</c:v>
                </c:pt>
                <c:pt idx="5" formatCode="0%">
                  <c:v>0.94</c:v>
                </c:pt>
                <c:pt idx="6" formatCode="General">
                  <c:v>0</c:v>
                </c:pt>
                <c:pt idx="7" formatCode="0%">
                  <c:v>0.72</c:v>
                </c:pt>
                <c:pt idx="8" formatCode="General">
                  <c:v>0</c:v>
                </c:pt>
                <c:pt idx="9" formatCode="0%">
                  <c:v>0.44</c:v>
                </c:pt>
                <c:pt idx="10" formatCode="0%">
                  <c:v>0.33</c:v>
                </c:pt>
                <c:pt idx="11" formatCode="General">
                  <c:v>0</c:v>
                </c:pt>
                <c:pt idx="12" formatCode="0%">
                  <c:v>0.65</c:v>
                </c:pt>
                <c:pt idx="13">
                  <c:v>0.55000000000000004</c:v>
                </c:pt>
                <c:pt idx="14" formatCode="0%">
                  <c:v>0.97</c:v>
                </c:pt>
                <c:pt idx="15" formatCode="0%">
                  <c:v>0.74</c:v>
                </c:pt>
                <c:pt idx="16" formatCode="0%">
                  <c:v>0.65</c:v>
                </c:pt>
                <c:pt idx="17">
                  <c:v>0.873</c:v>
                </c:pt>
                <c:pt idx="18">
                  <c:v>0.63400000000000001</c:v>
                </c:pt>
                <c:pt idx="19" formatCode="0%">
                  <c:v>0.25</c:v>
                </c:pt>
                <c:pt idx="20" formatCode="0%">
                  <c:v>0.94</c:v>
                </c:pt>
                <c:pt idx="21" formatCode="0%">
                  <c:v>0.9</c:v>
                </c:pt>
                <c:pt idx="22" formatCode="General">
                  <c:v>0</c:v>
                </c:pt>
                <c:pt idx="23" formatCode="General">
                  <c:v>0</c:v>
                </c:pt>
                <c:pt idx="24" formatCode="General">
                  <c:v>0</c:v>
                </c:pt>
                <c:pt idx="25" formatCode="General">
                  <c:v>0</c:v>
                </c:pt>
                <c:pt idx="26">
                  <c:v>0.2394</c:v>
                </c:pt>
                <c:pt idx="27">
                  <c:v>0.92500000000000004</c:v>
                </c:pt>
              </c:numCache>
            </c:numRef>
          </c:val>
        </c:ser>
        <c:ser>
          <c:idx val="2"/>
          <c:order val="2"/>
          <c:tx>
            <c:strRef>
              <c:f>Data!$D$106</c:f>
              <c:strCache>
                <c:ptCount val="1"/>
                <c:pt idx="0">
                  <c:v>2012</c:v>
                </c:pt>
              </c:strCache>
            </c:strRef>
          </c:tx>
          <c:spPr>
            <a:solidFill>
              <a:schemeClr val="accent3">
                <a:lumMod val="75000"/>
              </a:schemeClr>
            </a:solidFill>
            <a:ln>
              <a:solidFill>
                <a:schemeClr val="accent3">
                  <a:lumMod val="75000"/>
                </a:schemeClr>
              </a:solidFill>
            </a:ln>
          </c:spPr>
          <c:invertIfNegative val="0"/>
          <c:cat>
            <c:strRef>
              <c:f>Data!$A$107:$A$134</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Data!$D$107:$D$134</c:f>
              <c:numCache>
                <c:formatCode>0.00%</c:formatCode>
                <c:ptCount val="28"/>
                <c:pt idx="0">
                  <c:v>0.91500000000000004</c:v>
                </c:pt>
                <c:pt idx="1">
                  <c:v>0.96399999999999997</c:v>
                </c:pt>
                <c:pt idx="2" formatCode="General">
                  <c:v>0</c:v>
                </c:pt>
                <c:pt idx="3" formatCode="General">
                  <c:v>0</c:v>
                </c:pt>
                <c:pt idx="4">
                  <c:v>0.81</c:v>
                </c:pt>
                <c:pt idx="5" formatCode="General">
                  <c:v>0</c:v>
                </c:pt>
                <c:pt idx="6" formatCode="0%">
                  <c:v>0.88</c:v>
                </c:pt>
                <c:pt idx="7" formatCode="0%">
                  <c:v>0.71</c:v>
                </c:pt>
                <c:pt idx="8" formatCode="General">
                  <c:v>0</c:v>
                </c:pt>
                <c:pt idx="9" formatCode="General">
                  <c:v>0</c:v>
                </c:pt>
                <c:pt idx="10" formatCode="General">
                  <c:v>0</c:v>
                </c:pt>
                <c:pt idx="11" formatCode="General">
                  <c:v>0</c:v>
                </c:pt>
                <c:pt idx="12" formatCode="General">
                  <c:v>0</c:v>
                </c:pt>
                <c:pt idx="13" formatCode="General">
                  <c:v>0</c:v>
                </c:pt>
                <c:pt idx="14" formatCode="General">
                  <c:v>0</c:v>
                </c:pt>
                <c:pt idx="15" formatCode="General">
                  <c:v>0</c:v>
                </c:pt>
                <c:pt idx="16" formatCode="0%">
                  <c:v>0.61</c:v>
                </c:pt>
                <c:pt idx="17" formatCode="General">
                  <c:v>0</c:v>
                </c:pt>
                <c:pt idx="18">
                  <c:v>0.94699999999999995</c:v>
                </c:pt>
                <c:pt idx="19" formatCode="0%">
                  <c:v>0.42</c:v>
                </c:pt>
                <c:pt idx="20" formatCode="0%">
                  <c:v>0.94</c:v>
                </c:pt>
                <c:pt idx="21" formatCode="0%">
                  <c:v>0.73</c:v>
                </c:pt>
                <c:pt idx="22" formatCode="General">
                  <c:v>0</c:v>
                </c:pt>
                <c:pt idx="23" formatCode="General">
                  <c:v>0</c:v>
                </c:pt>
                <c:pt idx="24" formatCode="General">
                  <c:v>0</c:v>
                </c:pt>
                <c:pt idx="25" formatCode="General">
                  <c:v>0</c:v>
                </c:pt>
                <c:pt idx="26">
                  <c:v>0.52500000000000002</c:v>
                </c:pt>
                <c:pt idx="27">
                  <c:v>0.92500000000000004</c:v>
                </c:pt>
              </c:numCache>
            </c:numRef>
          </c:val>
        </c:ser>
        <c:dLbls>
          <c:showLegendKey val="0"/>
          <c:showVal val="0"/>
          <c:showCatName val="0"/>
          <c:showSerName val="0"/>
          <c:showPercent val="0"/>
          <c:showBubbleSize val="0"/>
        </c:dLbls>
        <c:gapWidth val="150"/>
        <c:axId val="69736704"/>
        <c:axId val="69746688"/>
      </c:barChart>
      <c:lineChart>
        <c:grouping val="stacked"/>
        <c:varyColors val="0"/>
        <c:ser>
          <c:idx val="3"/>
          <c:order val="3"/>
          <c:tx>
            <c:strRef>
              <c:f>Data!$E$106</c:f>
              <c:strCache>
                <c:ptCount val="1"/>
                <c:pt idx="0">
                  <c:v>2020 target set by WFD Article 11(2)(b)</c:v>
                </c:pt>
              </c:strCache>
            </c:strRef>
          </c:tx>
          <c:spPr>
            <a:ln>
              <a:solidFill>
                <a:schemeClr val="tx1"/>
              </a:solidFill>
            </a:ln>
          </c:spPr>
          <c:marker>
            <c:symbol val="none"/>
          </c:marker>
          <c:cat>
            <c:strRef>
              <c:f>Data!$A$107:$A$134</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Data!$E$107:$E$134</c:f>
              <c:numCache>
                <c:formatCode>0%</c:formatCode>
                <c:ptCount val="28"/>
                <c:pt idx="0">
                  <c:v>0.7</c:v>
                </c:pt>
                <c:pt idx="1">
                  <c:v>0.7</c:v>
                </c:pt>
                <c:pt idx="2">
                  <c:v>0.7</c:v>
                </c:pt>
                <c:pt idx="3">
                  <c:v>0.7</c:v>
                </c:pt>
                <c:pt idx="4">
                  <c:v>0.7</c:v>
                </c:pt>
                <c:pt idx="5">
                  <c:v>0.7</c:v>
                </c:pt>
                <c:pt idx="6">
                  <c:v>0.7</c:v>
                </c:pt>
                <c:pt idx="7">
                  <c:v>0.7</c:v>
                </c:pt>
                <c:pt idx="8">
                  <c:v>0.7</c:v>
                </c:pt>
                <c:pt idx="9">
                  <c:v>0.7</c:v>
                </c:pt>
                <c:pt idx="10">
                  <c:v>0.7</c:v>
                </c:pt>
                <c:pt idx="11">
                  <c:v>0.7</c:v>
                </c:pt>
                <c:pt idx="12">
                  <c:v>0.7</c:v>
                </c:pt>
                <c:pt idx="13">
                  <c:v>0.7</c:v>
                </c:pt>
                <c:pt idx="14">
                  <c:v>0.7</c:v>
                </c:pt>
                <c:pt idx="15">
                  <c:v>0.7</c:v>
                </c:pt>
                <c:pt idx="16">
                  <c:v>0.7</c:v>
                </c:pt>
                <c:pt idx="17">
                  <c:v>0.7</c:v>
                </c:pt>
                <c:pt idx="18">
                  <c:v>0.7</c:v>
                </c:pt>
                <c:pt idx="19">
                  <c:v>0.7</c:v>
                </c:pt>
                <c:pt idx="20">
                  <c:v>0.7</c:v>
                </c:pt>
                <c:pt idx="21">
                  <c:v>0.7</c:v>
                </c:pt>
                <c:pt idx="22">
                  <c:v>0.7</c:v>
                </c:pt>
                <c:pt idx="23">
                  <c:v>0.7</c:v>
                </c:pt>
                <c:pt idx="24">
                  <c:v>0.7</c:v>
                </c:pt>
                <c:pt idx="25">
                  <c:v>0.7</c:v>
                </c:pt>
                <c:pt idx="26">
                  <c:v>0.7</c:v>
                </c:pt>
                <c:pt idx="27">
                  <c:v>0.7</c:v>
                </c:pt>
              </c:numCache>
            </c:numRef>
          </c:val>
          <c:smooth val="0"/>
        </c:ser>
        <c:dLbls>
          <c:showLegendKey val="0"/>
          <c:showVal val="0"/>
          <c:showCatName val="0"/>
          <c:showSerName val="0"/>
          <c:showPercent val="0"/>
          <c:showBubbleSize val="0"/>
        </c:dLbls>
        <c:marker val="1"/>
        <c:smooth val="0"/>
        <c:axId val="69736704"/>
        <c:axId val="69746688"/>
      </c:lineChart>
      <c:catAx>
        <c:axId val="69736704"/>
        <c:scaling>
          <c:orientation val="minMax"/>
        </c:scaling>
        <c:delete val="0"/>
        <c:axPos val="b"/>
        <c:majorTickMark val="out"/>
        <c:minorTickMark val="none"/>
        <c:tickLblPos val="nextTo"/>
        <c:crossAx val="69746688"/>
        <c:crosses val="autoZero"/>
        <c:auto val="1"/>
        <c:lblAlgn val="ctr"/>
        <c:lblOffset val="100"/>
        <c:noMultiLvlLbl val="0"/>
      </c:catAx>
      <c:valAx>
        <c:axId val="69746688"/>
        <c:scaling>
          <c:orientation val="minMax"/>
        </c:scaling>
        <c:delete val="0"/>
        <c:axPos val="l"/>
        <c:majorGridlines/>
        <c:numFmt formatCode="0%" sourceLinked="1"/>
        <c:majorTickMark val="out"/>
        <c:minorTickMark val="none"/>
        <c:tickLblPos val="nextTo"/>
        <c:crossAx val="69736704"/>
        <c:crosses val="autoZero"/>
        <c:crossBetween val="between"/>
      </c:valAx>
    </c:plotArea>
    <c:legend>
      <c:legendPos val="r"/>
      <c:layout>
        <c:manualLayout>
          <c:xMode val="edge"/>
          <c:yMode val="edge"/>
          <c:x val="5.9344292621658537E-2"/>
          <c:y val="3.0673093947607193E-2"/>
          <c:w val="0.92161775517166178"/>
          <c:h val="0.1519420971724165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51640419947506"/>
          <c:y val="5.1400554097404488E-2"/>
          <c:w val="0.81177077865266845"/>
          <c:h val="0.8326195683872849"/>
        </c:manualLayout>
      </c:layout>
      <c:barChart>
        <c:barDir val="col"/>
        <c:grouping val="clustered"/>
        <c:varyColors val="0"/>
        <c:ser>
          <c:idx val="0"/>
          <c:order val="0"/>
          <c:tx>
            <c:strRef>
              <c:f>Data!$B$50</c:f>
              <c:strCache>
                <c:ptCount val="1"/>
                <c:pt idx="0">
                  <c:v>2010</c:v>
                </c:pt>
              </c:strCache>
            </c:strRef>
          </c:tx>
          <c:spPr>
            <a:solidFill>
              <a:schemeClr val="tx2">
                <a:lumMod val="60000"/>
                <a:lumOff val="40000"/>
              </a:schemeClr>
            </a:solidFill>
          </c:spPr>
          <c:invertIfNegative val="0"/>
          <c:cat>
            <c:strRef>
              <c:f>Data!$A$51:$A$78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Data!$B$51:$B$78</c:f>
              <c:numCache>
                <c:formatCode>#,##0</c:formatCode>
                <c:ptCount val="28"/>
                <c:pt idx="0">
                  <c:v>1685954</c:v>
                </c:pt>
                <c:pt idx="1">
                  <c:v>321197</c:v>
                </c:pt>
                <c:pt idx="2">
                  <c:v>922726</c:v>
                </c:pt>
                <c:pt idx="3">
                  <c:v>693950</c:v>
                </c:pt>
                <c:pt idx="4">
                  <c:v>16002600</c:v>
                </c:pt>
                <c:pt idx="5">
                  <c:v>157907</c:v>
                </c:pt>
                <c:pt idx="6">
                  <c:v>863714</c:v>
                </c:pt>
                <c:pt idx="7">
                  <c:v>927400</c:v>
                </c:pt>
                <c:pt idx="8">
                  <c:v>7389590</c:v>
                </c:pt>
                <c:pt idx="9">
                  <c:v>12515928</c:v>
                </c:pt>
                <c:pt idx="10" formatCode="General">
                  <c:v>0</c:v>
                </c:pt>
                <c:pt idx="11">
                  <c:v>11411000</c:v>
                </c:pt>
                <c:pt idx="12">
                  <c:v>79528</c:v>
                </c:pt>
                <c:pt idx="13">
                  <c:v>213905</c:v>
                </c:pt>
                <c:pt idx="14">
                  <c:v>272478</c:v>
                </c:pt>
                <c:pt idx="15">
                  <c:v>102489</c:v>
                </c:pt>
                <c:pt idx="16">
                  <c:v>880773</c:v>
                </c:pt>
                <c:pt idx="17">
                  <c:v>45747</c:v>
                </c:pt>
                <c:pt idx="18">
                  <c:v>2724000</c:v>
                </c:pt>
                <c:pt idx="19">
                  <c:v>1230852</c:v>
                </c:pt>
                <c:pt idx="20">
                  <c:v>4292969</c:v>
                </c:pt>
                <c:pt idx="21">
                  <c:v>1664296</c:v>
                </c:pt>
                <c:pt idx="22">
                  <c:v>974940</c:v>
                </c:pt>
                <c:pt idx="23">
                  <c:v>203763</c:v>
                </c:pt>
                <c:pt idx="24">
                  <c:v>436342</c:v>
                </c:pt>
                <c:pt idx="25">
                  <c:v>708241</c:v>
                </c:pt>
                <c:pt idx="26">
                  <c:v>990876</c:v>
                </c:pt>
                <c:pt idx="27">
                  <c:v>10824820</c:v>
                </c:pt>
              </c:numCache>
            </c:numRef>
          </c:val>
        </c:ser>
        <c:ser>
          <c:idx val="1"/>
          <c:order val="1"/>
          <c:tx>
            <c:strRef>
              <c:f>Data!$C$50</c:f>
              <c:strCache>
                <c:ptCount val="1"/>
                <c:pt idx="0">
                  <c:v>2011</c:v>
                </c:pt>
              </c:strCache>
            </c:strRef>
          </c:tx>
          <c:spPr>
            <a:solidFill>
              <a:srgbClr val="FFC000"/>
            </a:solidFill>
          </c:spPr>
          <c:invertIfNegative val="0"/>
          <c:cat>
            <c:strRef>
              <c:f>Data!$A$51:$A$78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Data!$C$51:$C$78</c:f>
              <c:numCache>
                <c:formatCode>#,##0</c:formatCode>
                <c:ptCount val="28"/>
                <c:pt idx="0">
                  <c:v>1702505</c:v>
                </c:pt>
                <c:pt idx="1">
                  <c:v>314639</c:v>
                </c:pt>
                <c:pt idx="2">
                  <c:v>945316</c:v>
                </c:pt>
                <c:pt idx="3">
                  <c:v>883096</c:v>
                </c:pt>
                <c:pt idx="4">
                  <c:v>16486200</c:v>
                </c:pt>
                <c:pt idx="5">
                  <c:v>193029</c:v>
                </c:pt>
                <c:pt idx="6">
                  <c:v>863596</c:v>
                </c:pt>
                <c:pt idx="7">
                  <c:v>870420</c:v>
                </c:pt>
                <c:pt idx="8">
                  <c:v>7146841</c:v>
                </c:pt>
                <c:pt idx="9">
                  <c:v>12810715</c:v>
                </c:pt>
                <c:pt idx="10" formatCode="General">
                  <c:v>0</c:v>
                </c:pt>
                <c:pt idx="11">
                  <c:v>11637700</c:v>
                </c:pt>
                <c:pt idx="12">
                  <c:v>75554</c:v>
                </c:pt>
                <c:pt idx="13">
                  <c:v>216089</c:v>
                </c:pt>
                <c:pt idx="14">
                  <c:v>292348</c:v>
                </c:pt>
                <c:pt idx="15">
                  <c:v>104679</c:v>
                </c:pt>
                <c:pt idx="16">
                  <c:v>838449</c:v>
                </c:pt>
                <c:pt idx="17">
                  <c:v>53253</c:v>
                </c:pt>
                <c:pt idx="18">
                  <c:v>2748000</c:v>
                </c:pt>
                <c:pt idx="19">
                  <c:v>1232059</c:v>
                </c:pt>
                <c:pt idx="20">
                  <c:v>4611056</c:v>
                </c:pt>
                <c:pt idx="21">
                  <c:v>1565838</c:v>
                </c:pt>
                <c:pt idx="22">
                  <c:v>992510</c:v>
                </c:pt>
                <c:pt idx="23">
                  <c:v>207396</c:v>
                </c:pt>
                <c:pt idx="24">
                  <c:v>443673</c:v>
                </c:pt>
                <c:pt idx="25">
                  <c:v>709643</c:v>
                </c:pt>
                <c:pt idx="26">
                  <c:v>1031198</c:v>
                </c:pt>
                <c:pt idx="27">
                  <c:v>10929657</c:v>
                </c:pt>
              </c:numCache>
            </c:numRef>
          </c:val>
        </c:ser>
        <c:ser>
          <c:idx val="2"/>
          <c:order val="2"/>
          <c:tx>
            <c:strRef>
              <c:f>Data!$D$50</c:f>
              <c:strCache>
                <c:ptCount val="1"/>
                <c:pt idx="0">
                  <c:v>2012</c:v>
                </c:pt>
              </c:strCache>
            </c:strRef>
          </c:tx>
          <c:spPr>
            <a:solidFill>
              <a:schemeClr val="accent3">
                <a:lumMod val="75000"/>
              </a:schemeClr>
            </a:solidFill>
          </c:spPr>
          <c:invertIfNegative val="0"/>
          <c:cat>
            <c:strRef>
              <c:f>Data!$A$51:$A$78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Data!$D$51:$D$78</c:f>
              <c:numCache>
                <c:formatCode>#,##0</c:formatCode>
                <c:ptCount val="28"/>
                <c:pt idx="0">
                  <c:v>1715569</c:v>
                </c:pt>
                <c:pt idx="1">
                  <c:v>328797</c:v>
                </c:pt>
                <c:pt idx="2">
                  <c:v>962346</c:v>
                </c:pt>
                <c:pt idx="3">
                  <c:v>894913</c:v>
                </c:pt>
                <c:pt idx="4">
                  <c:v>16586600</c:v>
                </c:pt>
                <c:pt idx="5">
                  <c:v>197286</c:v>
                </c:pt>
                <c:pt idx="6">
                  <c:v>809501</c:v>
                </c:pt>
                <c:pt idx="7">
                  <c:v>773370</c:v>
                </c:pt>
                <c:pt idx="8">
                  <c:v>6722712</c:v>
                </c:pt>
                <c:pt idx="9">
                  <c:v>12256790</c:v>
                </c:pt>
                <c:pt idx="10">
                  <c:v>198606</c:v>
                </c:pt>
                <c:pt idx="11">
                  <c:v>11345342</c:v>
                </c:pt>
                <c:pt idx="12">
                  <c:v>74945</c:v>
                </c:pt>
                <c:pt idx="13">
                  <c:v>213877</c:v>
                </c:pt>
                <c:pt idx="14">
                  <c:v>302137</c:v>
                </c:pt>
                <c:pt idx="15">
                  <c:v>107607</c:v>
                </c:pt>
                <c:pt idx="16">
                  <c:v>1012824</c:v>
                </c:pt>
                <c:pt idx="17">
                  <c:v>52553</c:v>
                </c:pt>
                <c:pt idx="18">
                  <c:v>2749000</c:v>
                </c:pt>
                <c:pt idx="19">
                  <c:v>1253574</c:v>
                </c:pt>
                <c:pt idx="20">
                  <c:v>4669892</c:v>
                </c:pt>
                <c:pt idx="21">
                  <c:v>1528181</c:v>
                </c:pt>
                <c:pt idx="22">
                  <c:v>1059557</c:v>
                </c:pt>
                <c:pt idx="23">
                  <c:v>202021</c:v>
                </c:pt>
                <c:pt idx="24">
                  <c:v>448323</c:v>
                </c:pt>
                <c:pt idx="25">
                  <c:v>715744</c:v>
                </c:pt>
                <c:pt idx="26">
                  <c:v>1058283</c:v>
                </c:pt>
                <c:pt idx="27">
                  <c:v>10655339</c:v>
                </c:pt>
              </c:numCache>
            </c:numRef>
          </c:val>
        </c:ser>
        <c:dLbls>
          <c:showLegendKey val="0"/>
          <c:showVal val="0"/>
          <c:showCatName val="0"/>
          <c:showSerName val="0"/>
          <c:showPercent val="0"/>
          <c:showBubbleSize val="0"/>
        </c:dLbls>
        <c:gapWidth val="150"/>
        <c:axId val="69776896"/>
        <c:axId val="69778432"/>
      </c:barChart>
      <c:catAx>
        <c:axId val="69776896"/>
        <c:scaling>
          <c:orientation val="minMax"/>
        </c:scaling>
        <c:delete val="0"/>
        <c:axPos val="b"/>
        <c:majorTickMark val="out"/>
        <c:minorTickMark val="none"/>
        <c:tickLblPos val="nextTo"/>
        <c:crossAx val="69778432"/>
        <c:crosses val="autoZero"/>
        <c:auto val="1"/>
        <c:lblAlgn val="ctr"/>
        <c:lblOffset val="100"/>
        <c:noMultiLvlLbl val="0"/>
      </c:catAx>
      <c:valAx>
        <c:axId val="69778432"/>
        <c:scaling>
          <c:orientation val="minMax"/>
        </c:scaling>
        <c:delete val="0"/>
        <c:axPos val="l"/>
        <c:majorGridlines/>
        <c:numFmt formatCode="#,##0" sourceLinked="1"/>
        <c:majorTickMark val="out"/>
        <c:minorTickMark val="none"/>
        <c:tickLblPos val="nextTo"/>
        <c:crossAx val="69776896"/>
        <c:crosses val="autoZero"/>
        <c:crossBetween val="between"/>
      </c:valAx>
    </c:plotArea>
    <c:legend>
      <c:legendPos val="r"/>
      <c:layout>
        <c:manualLayout>
          <c:xMode val="edge"/>
          <c:yMode val="edge"/>
          <c:x val="0.6264783878546728"/>
          <c:y val="5.0107512444013923E-2"/>
          <c:w val="0.37045627680686255"/>
          <c:h val="0.11051720656933799"/>
        </c:manualLayout>
      </c:layout>
      <c:overlay val="0"/>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29854389220458E-2"/>
          <c:y val="3.106685139062949E-2"/>
          <c:w val="0.94665650233211307"/>
          <c:h val="0.87299280140587632"/>
        </c:manualLayout>
      </c:layout>
      <c:barChart>
        <c:barDir val="col"/>
        <c:grouping val="clustered"/>
        <c:varyColors val="0"/>
        <c:ser>
          <c:idx val="0"/>
          <c:order val="0"/>
          <c:tx>
            <c:strRef>
              <c:f>Data!$B$145</c:f>
              <c:strCache>
                <c:ptCount val="1"/>
                <c:pt idx="0">
                  <c:v>2010</c:v>
                </c:pt>
              </c:strCache>
            </c:strRef>
          </c:tx>
          <c:spPr>
            <a:solidFill>
              <a:schemeClr val="tx2">
                <a:lumMod val="60000"/>
                <a:lumOff val="40000"/>
              </a:schemeClr>
            </a:solidFill>
          </c:spPr>
          <c:invertIfNegative val="0"/>
          <c:cat>
            <c:strRef>
              <c:f>Data!$A$146:$A$176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Data!$B$146:$B$176</c:f>
              <c:numCache>
                <c:formatCode>General</c:formatCode>
                <c:ptCount val="31"/>
                <c:pt idx="0" formatCode="0.0">
                  <c:v>0</c:v>
                </c:pt>
                <c:pt idx="2" formatCode="0.0">
                  <c:v>92.2</c:v>
                </c:pt>
                <c:pt idx="3" formatCode="0.0">
                  <c:v>95.5</c:v>
                </c:pt>
                <c:pt idx="4" formatCode="0.0">
                  <c:v>50.1</c:v>
                </c:pt>
                <c:pt idx="5" formatCode="0.0">
                  <c:v>77.900000000000006</c:v>
                </c:pt>
                <c:pt idx="6" formatCode="0.0">
                  <c:v>95.7</c:v>
                </c:pt>
                <c:pt idx="7" formatCode="0.0">
                  <c:v>108.1</c:v>
                </c:pt>
                <c:pt idx="8" formatCode="0.0">
                  <c:v>61.6</c:v>
                </c:pt>
                <c:pt idx="9" formatCode="0.0">
                  <c:v>58.8</c:v>
                </c:pt>
                <c:pt idx="10" formatCode="0.0">
                  <c:v>70</c:v>
                </c:pt>
                <c:pt idx="11" formatCode="0.0">
                  <c:v>85</c:v>
                </c:pt>
                <c:pt idx="12" formatCode="0.0">
                  <c:v>70.3</c:v>
                </c:pt>
                <c:pt idx="13" formatCode="0.0">
                  <c:v>0</c:v>
                </c:pt>
                <c:pt idx="14" formatCode="0.0">
                  <c:v>62.3</c:v>
                </c:pt>
                <c:pt idx="15" formatCode="0.0">
                  <c:v>73.7</c:v>
                </c:pt>
                <c:pt idx="16" formatCode="0.0">
                  <c:v>74.7</c:v>
                </c:pt>
                <c:pt idx="17" formatCode="0.0">
                  <c:v>60.9</c:v>
                </c:pt>
                <c:pt idx="18" formatCode="0.0">
                  <c:v>90.3</c:v>
                </c:pt>
                <c:pt idx="19" formatCode="0.0">
                  <c:v>96.8</c:v>
                </c:pt>
                <c:pt idx="20" formatCode="0.0">
                  <c:v>61.3</c:v>
                </c:pt>
                <c:pt idx="21" formatCode="0.0">
                  <c:v>97.6</c:v>
                </c:pt>
                <c:pt idx="22" formatCode="0.0">
                  <c:v>65.8</c:v>
                </c:pt>
                <c:pt idx="23" formatCode="0.0">
                  <c:v>47.5</c:v>
                </c:pt>
                <c:pt idx="24" formatCode="0.0">
                  <c:v>67.3</c:v>
                </c:pt>
                <c:pt idx="26" formatCode="0.0">
                  <c:v>62</c:v>
                </c:pt>
                <c:pt idx="27" formatCode="0.0">
                  <c:v>52.7</c:v>
                </c:pt>
                <c:pt idx="28" formatCode="0.0">
                  <c:v>29.2</c:v>
                </c:pt>
                <c:pt idx="29" formatCode="0.0">
                  <c:v>53.7</c:v>
                </c:pt>
                <c:pt idx="30" formatCode="0.0">
                  <c:v>48.3</c:v>
                </c:pt>
              </c:numCache>
            </c:numRef>
          </c:val>
        </c:ser>
        <c:ser>
          <c:idx val="1"/>
          <c:order val="1"/>
          <c:tx>
            <c:strRef>
              <c:f>Data!$C$145</c:f>
              <c:strCache>
                <c:ptCount val="1"/>
                <c:pt idx="0">
                  <c:v>2011</c:v>
                </c:pt>
              </c:strCache>
            </c:strRef>
          </c:tx>
          <c:spPr>
            <a:solidFill>
              <a:srgbClr val="FFC000"/>
            </a:solidFill>
          </c:spPr>
          <c:invertIfNegative val="0"/>
          <c:cat>
            <c:strRef>
              <c:f>Data!$A$146:$A$176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Data!$C$146:$C$176</c:f>
              <c:numCache>
                <c:formatCode>General</c:formatCode>
                <c:ptCount val="31"/>
                <c:pt idx="0" formatCode="0.0">
                  <c:v>0</c:v>
                </c:pt>
                <c:pt idx="2" formatCode="0.0">
                  <c:v>93.7</c:v>
                </c:pt>
                <c:pt idx="3" formatCode="0.0">
                  <c:v>96.9</c:v>
                </c:pt>
                <c:pt idx="4" formatCode="0.0">
                  <c:v>52</c:v>
                </c:pt>
                <c:pt idx="5" formatCode="0.0">
                  <c:v>75.2</c:v>
                </c:pt>
                <c:pt idx="6" formatCode="0.0">
                  <c:v>97.4</c:v>
                </c:pt>
                <c:pt idx="7" formatCode="0.0">
                  <c:v>90.5</c:v>
                </c:pt>
                <c:pt idx="8" formatCode="0.0">
                  <c:v>67</c:v>
                </c:pt>
                <c:pt idx="9" formatCode="0.0">
                  <c:v>62.1</c:v>
                </c:pt>
                <c:pt idx="10" formatCode="0.0">
                  <c:v>72.099999999999994</c:v>
                </c:pt>
                <c:pt idx="11" formatCode="0.0">
                  <c:v>89.6</c:v>
                </c:pt>
                <c:pt idx="12" formatCode="0.0">
                  <c:v>71.2</c:v>
                </c:pt>
                <c:pt idx="13" formatCode="0.0">
                  <c:v>0</c:v>
                </c:pt>
                <c:pt idx="14" formatCode="0.0">
                  <c:v>62.9</c:v>
                </c:pt>
                <c:pt idx="15" formatCode="0.0">
                  <c:v>79</c:v>
                </c:pt>
                <c:pt idx="16" formatCode="0.0">
                  <c:v>74</c:v>
                </c:pt>
                <c:pt idx="17" formatCode="0.0">
                  <c:v>62.9</c:v>
                </c:pt>
                <c:pt idx="18" formatCode="0.0">
                  <c:v>92.5</c:v>
                </c:pt>
                <c:pt idx="19" formatCode="0.0">
                  <c:v>95.2</c:v>
                </c:pt>
                <c:pt idx="20" formatCode="0.0">
                  <c:v>62.9</c:v>
                </c:pt>
                <c:pt idx="21" formatCode="0.0">
                  <c:v>100.8</c:v>
                </c:pt>
                <c:pt idx="22" formatCode="0.0">
                  <c:v>70.5</c:v>
                </c:pt>
                <c:pt idx="23" formatCode="0.0">
                  <c:v>65</c:v>
                </c:pt>
                <c:pt idx="24" formatCode="0.0">
                  <c:v>67.099999999999994</c:v>
                </c:pt>
                <c:pt idx="26" formatCode="0.0">
                  <c:v>65.599999999999994</c:v>
                </c:pt>
                <c:pt idx="27" formatCode="0.0">
                  <c:v>53.7</c:v>
                </c:pt>
                <c:pt idx="28" formatCode="0.0">
                  <c:v>44.7</c:v>
                </c:pt>
                <c:pt idx="29" formatCode="0.0">
                  <c:v>55.9</c:v>
                </c:pt>
                <c:pt idx="30" formatCode="0.0">
                  <c:v>54.4</c:v>
                </c:pt>
              </c:numCache>
            </c:numRef>
          </c:val>
        </c:ser>
        <c:ser>
          <c:idx val="2"/>
          <c:order val="2"/>
          <c:tx>
            <c:strRef>
              <c:f>Data!$D$145</c:f>
              <c:strCache>
                <c:ptCount val="1"/>
                <c:pt idx="0">
                  <c:v>2012</c:v>
                </c:pt>
              </c:strCache>
            </c:strRef>
          </c:tx>
          <c:spPr>
            <a:solidFill>
              <a:schemeClr val="accent3">
                <a:lumMod val="75000"/>
              </a:schemeClr>
            </a:solidFill>
            <a:ln>
              <a:noFill/>
            </a:ln>
          </c:spPr>
          <c:invertIfNegative val="0"/>
          <c:cat>
            <c:strRef>
              <c:f>Data!$A$146:$A$176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Data!$D$146:$D$176</c:f>
              <c:numCache>
                <c:formatCode>General</c:formatCode>
                <c:ptCount val="31"/>
                <c:pt idx="0" formatCode="0.0">
                  <c:v>78.7</c:v>
                </c:pt>
                <c:pt idx="2" formatCode="0.0">
                  <c:v>94</c:v>
                </c:pt>
                <c:pt idx="3" formatCode="0.0">
                  <c:v>97</c:v>
                </c:pt>
                <c:pt idx="4" formatCode="0.0">
                  <c:v>55.7</c:v>
                </c:pt>
                <c:pt idx="5" formatCode="0.0">
                  <c:v>73.599999999999994</c:v>
                </c:pt>
                <c:pt idx="6" formatCode="0.0">
                  <c:v>96.8</c:v>
                </c:pt>
                <c:pt idx="7" formatCode="0.0">
                  <c:v>89</c:v>
                </c:pt>
                <c:pt idx="8" formatCode="0.0">
                  <c:v>67.8</c:v>
                </c:pt>
                <c:pt idx="9" formatCode="0.0">
                  <c:v>58.6</c:v>
                </c:pt>
                <c:pt idx="10" formatCode="0.0">
                  <c:v>72.5</c:v>
                </c:pt>
                <c:pt idx="11" formatCode="0.0">
                  <c:v>93.3</c:v>
                </c:pt>
                <c:pt idx="12" formatCode="0.0">
                  <c:v>74.7</c:v>
                </c:pt>
                <c:pt idx="13" formatCode="0.0">
                  <c:v>59.7</c:v>
                </c:pt>
                <c:pt idx="14" formatCode="0.0">
                  <c:v>60.1</c:v>
                </c:pt>
                <c:pt idx="15" formatCode="0.0">
                  <c:v>86.6</c:v>
                </c:pt>
                <c:pt idx="16" formatCode="0.0">
                  <c:v>76.3</c:v>
                </c:pt>
                <c:pt idx="17" formatCode="0.0">
                  <c:v>62.5</c:v>
                </c:pt>
                <c:pt idx="18" formatCode="0.0">
                  <c:v>93</c:v>
                </c:pt>
                <c:pt idx="19" formatCode="0.0">
                  <c:v>92.7</c:v>
                </c:pt>
                <c:pt idx="20" formatCode="0.0">
                  <c:v>59.9</c:v>
                </c:pt>
                <c:pt idx="21" formatCode="0.0">
                  <c:v>98</c:v>
                </c:pt>
                <c:pt idx="22" formatCode="0.0">
                  <c:v>78</c:v>
                </c:pt>
                <c:pt idx="23" formatCode="0.0">
                  <c:v>70</c:v>
                </c:pt>
                <c:pt idx="24" formatCode="0.0">
                  <c:v>69.099999999999994</c:v>
                </c:pt>
                <c:pt idx="26" formatCode="0.0">
                  <c:v>67.5</c:v>
                </c:pt>
                <c:pt idx="27" formatCode="0.0">
                  <c:v>54.6</c:v>
                </c:pt>
                <c:pt idx="28" formatCode="0.0">
                  <c:v>47.5</c:v>
                </c:pt>
                <c:pt idx="29" formatCode="0.0">
                  <c:v>57.1</c:v>
                </c:pt>
                <c:pt idx="30" formatCode="0.0">
                  <c:v>57.4</c:v>
                </c:pt>
              </c:numCache>
            </c:numRef>
          </c:val>
        </c:ser>
        <c:dLbls>
          <c:showLegendKey val="0"/>
          <c:showVal val="0"/>
          <c:showCatName val="0"/>
          <c:showSerName val="0"/>
          <c:showPercent val="0"/>
          <c:showBubbleSize val="0"/>
        </c:dLbls>
        <c:gapWidth val="150"/>
        <c:axId val="72972928"/>
        <c:axId val="72978816"/>
      </c:barChart>
      <c:lineChart>
        <c:grouping val="standard"/>
        <c:varyColors val="0"/>
        <c:ser>
          <c:idx val="3"/>
          <c:order val="3"/>
          <c:tx>
            <c:strRef>
              <c:f>Data!$E$145</c:f>
              <c:strCache>
                <c:ptCount val="1"/>
                <c:pt idx="0">
                  <c:v>2008 target: 60%</c:v>
                </c:pt>
              </c:strCache>
            </c:strRef>
          </c:tx>
          <c:spPr>
            <a:ln>
              <a:solidFill>
                <a:schemeClr val="tx1"/>
              </a:solidFill>
            </a:ln>
          </c:spPr>
          <c:marker>
            <c:symbol val="none"/>
          </c:marker>
          <c:cat>
            <c:strRef>
              <c:f>Data!$A$146:$A$176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Data!$E$146:$E$176</c:f>
              <c:numCache>
                <c:formatCode>General</c:formatCode>
                <c:ptCount val="31"/>
                <c:pt idx="2" formatCode="0.0">
                  <c:v>60</c:v>
                </c:pt>
                <c:pt idx="3" formatCode="0.0">
                  <c:v>60</c:v>
                </c:pt>
                <c:pt idx="4" formatCode="0.0">
                  <c:v>60</c:v>
                </c:pt>
                <c:pt idx="5" formatCode="0.0">
                  <c:v>60</c:v>
                </c:pt>
                <c:pt idx="6" formatCode="0.0">
                  <c:v>60</c:v>
                </c:pt>
                <c:pt idx="7" formatCode="0.0">
                  <c:v>60</c:v>
                </c:pt>
                <c:pt idx="8" formatCode="0.0">
                  <c:v>60</c:v>
                </c:pt>
                <c:pt idx="9" formatCode="0.0">
                  <c:v>60</c:v>
                </c:pt>
                <c:pt idx="10" formatCode="0.0">
                  <c:v>60</c:v>
                </c:pt>
                <c:pt idx="11" formatCode="0.0">
                  <c:v>60</c:v>
                </c:pt>
                <c:pt idx="12" formatCode="0.0">
                  <c:v>60</c:v>
                </c:pt>
                <c:pt idx="13" formatCode="0.0">
                  <c:v>60</c:v>
                </c:pt>
                <c:pt idx="14" formatCode="0.0">
                  <c:v>60</c:v>
                </c:pt>
                <c:pt idx="15" formatCode="0.0">
                  <c:v>60</c:v>
                </c:pt>
                <c:pt idx="16" formatCode="0.0">
                  <c:v>60</c:v>
                </c:pt>
                <c:pt idx="17" formatCode="0.0">
                  <c:v>60</c:v>
                </c:pt>
                <c:pt idx="18" formatCode="0.0">
                  <c:v>60</c:v>
                </c:pt>
                <c:pt idx="19" formatCode="0.0">
                  <c:v>60</c:v>
                </c:pt>
                <c:pt idx="20" formatCode="0.0">
                  <c:v>60</c:v>
                </c:pt>
                <c:pt idx="21" formatCode="0.0">
                  <c:v>60</c:v>
                </c:pt>
                <c:pt idx="22" formatCode="0.0">
                  <c:v>60</c:v>
                </c:pt>
                <c:pt idx="23" formatCode="0.0">
                  <c:v>60</c:v>
                </c:pt>
                <c:pt idx="24" formatCode="0.0">
                  <c:v>60</c:v>
                </c:pt>
              </c:numCache>
            </c:numRef>
          </c:val>
          <c:smooth val="0"/>
        </c:ser>
        <c:ser>
          <c:idx val="4"/>
          <c:order val="4"/>
          <c:tx>
            <c:strRef>
              <c:f>Data!$F$145</c:f>
              <c:strCache>
                <c:ptCount val="1"/>
                <c:pt idx="0">
                  <c:v>2001 target: 50%</c:v>
                </c:pt>
              </c:strCache>
            </c:strRef>
          </c:tx>
          <c:spPr>
            <a:ln>
              <a:solidFill>
                <a:srgbClr val="FF0000"/>
              </a:solidFill>
            </a:ln>
          </c:spPr>
          <c:marker>
            <c:symbol val="none"/>
          </c:marker>
          <c:cat>
            <c:strRef>
              <c:f>Data!$A$146:$A$176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Data!$F$146:$F$176</c:f>
              <c:numCache>
                <c:formatCode>General</c:formatCode>
                <c:ptCount val="31"/>
                <c:pt idx="26" formatCode="0.0">
                  <c:v>50</c:v>
                </c:pt>
                <c:pt idx="27" formatCode="0.0">
                  <c:v>50</c:v>
                </c:pt>
                <c:pt idx="28" formatCode="0.0">
                  <c:v>50</c:v>
                </c:pt>
                <c:pt idx="29" formatCode="0.0">
                  <c:v>50</c:v>
                </c:pt>
                <c:pt idx="30" formatCode="0.0">
                  <c:v>50</c:v>
                </c:pt>
              </c:numCache>
            </c:numRef>
          </c:val>
          <c:smooth val="0"/>
        </c:ser>
        <c:dLbls>
          <c:showLegendKey val="0"/>
          <c:showVal val="0"/>
          <c:showCatName val="0"/>
          <c:showSerName val="0"/>
          <c:showPercent val="0"/>
          <c:showBubbleSize val="0"/>
        </c:dLbls>
        <c:marker val="1"/>
        <c:smooth val="0"/>
        <c:axId val="72972928"/>
        <c:axId val="72978816"/>
      </c:lineChart>
      <c:catAx>
        <c:axId val="72972928"/>
        <c:scaling>
          <c:orientation val="minMax"/>
        </c:scaling>
        <c:delete val="0"/>
        <c:axPos val="b"/>
        <c:numFmt formatCode="General" sourceLinked="1"/>
        <c:majorTickMark val="out"/>
        <c:minorTickMark val="none"/>
        <c:tickLblPos val="nextTo"/>
        <c:crossAx val="72978816"/>
        <c:crosses val="autoZero"/>
        <c:auto val="1"/>
        <c:lblAlgn val="ctr"/>
        <c:lblOffset val="100"/>
        <c:noMultiLvlLbl val="0"/>
      </c:catAx>
      <c:valAx>
        <c:axId val="72978816"/>
        <c:scaling>
          <c:orientation val="minMax"/>
        </c:scaling>
        <c:delete val="0"/>
        <c:axPos val="l"/>
        <c:majorGridlines/>
        <c:numFmt formatCode="General\%" sourceLinked="0"/>
        <c:majorTickMark val="out"/>
        <c:minorTickMark val="none"/>
        <c:tickLblPos val="nextTo"/>
        <c:crossAx val="72972928"/>
        <c:crosses val="autoZero"/>
        <c:crossBetween val="between"/>
      </c:valAx>
    </c:plotArea>
    <c:legend>
      <c:legendPos val="r"/>
      <c:layout>
        <c:manualLayout>
          <c:xMode val="edge"/>
          <c:yMode val="edge"/>
          <c:x val="4.3023094916482721E-2"/>
          <c:y val="2.0931093290758009E-2"/>
          <c:w val="0.93999172697555067"/>
          <c:h val="0.10189460188444185"/>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267708747089108E-2"/>
          <c:y val="3.6778528321543068E-2"/>
          <c:w val="0.94790111918502773"/>
          <c:h val="0.84964237953181332"/>
        </c:manualLayout>
      </c:layout>
      <c:barChart>
        <c:barDir val="col"/>
        <c:grouping val="clustered"/>
        <c:varyColors val="0"/>
        <c:ser>
          <c:idx val="0"/>
          <c:order val="0"/>
          <c:tx>
            <c:strRef>
              <c:f>Data!$B$185</c:f>
              <c:strCache>
                <c:ptCount val="1"/>
                <c:pt idx="0">
                  <c:v>2010</c:v>
                </c:pt>
              </c:strCache>
            </c:strRef>
          </c:tx>
          <c:spPr>
            <a:solidFill>
              <a:schemeClr val="tx2">
                <a:lumMod val="60000"/>
                <a:lumOff val="40000"/>
              </a:schemeClr>
            </a:solidFill>
            <a:ln>
              <a:solidFill>
                <a:schemeClr val="tx2">
                  <a:lumMod val="60000"/>
                  <a:lumOff val="40000"/>
                </a:schemeClr>
              </a:solidFill>
            </a:ln>
          </c:spPr>
          <c:invertIfNegative val="0"/>
          <c:cat>
            <c:strRef>
              <c:f>Data!$A$186:$A$216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Data!$B$186:$B$216</c:f>
              <c:numCache>
                <c:formatCode>General</c:formatCode>
                <c:ptCount val="31"/>
                <c:pt idx="0" formatCode="0.0">
                  <c:v>0</c:v>
                </c:pt>
                <c:pt idx="2" formatCode="0.0">
                  <c:v>66.599999999999994</c:v>
                </c:pt>
                <c:pt idx="3" formatCode="0.0">
                  <c:v>79.8</c:v>
                </c:pt>
                <c:pt idx="4" formatCode="0.0">
                  <c:v>50</c:v>
                </c:pt>
                <c:pt idx="5" formatCode="0.0">
                  <c:v>70</c:v>
                </c:pt>
                <c:pt idx="6" formatCode="0.0">
                  <c:v>72.7</c:v>
                </c:pt>
                <c:pt idx="7" formatCode="0.0">
                  <c:v>84</c:v>
                </c:pt>
                <c:pt idx="8" formatCode="0.0">
                  <c:v>56.1</c:v>
                </c:pt>
                <c:pt idx="9" formatCode="0.0">
                  <c:v>58.7</c:v>
                </c:pt>
                <c:pt idx="10" formatCode="0.0">
                  <c:v>61.9</c:v>
                </c:pt>
                <c:pt idx="11" formatCode="0.0">
                  <c:v>55.4</c:v>
                </c:pt>
                <c:pt idx="12" formatCode="0.0">
                  <c:v>61.1</c:v>
                </c:pt>
                <c:pt idx="13" formatCode="0.0">
                  <c:v>0</c:v>
                </c:pt>
                <c:pt idx="14" formatCode="0.0">
                  <c:v>58.7</c:v>
                </c:pt>
                <c:pt idx="15" formatCode="0.0">
                  <c:v>66.2</c:v>
                </c:pt>
                <c:pt idx="16" formatCode="0.0">
                  <c:v>64.400000000000006</c:v>
                </c:pt>
                <c:pt idx="17" formatCode="0.0">
                  <c:v>60.4</c:v>
                </c:pt>
                <c:pt idx="18" formatCode="0.0">
                  <c:v>66</c:v>
                </c:pt>
                <c:pt idx="19" formatCode="0.0">
                  <c:v>73.900000000000006</c:v>
                </c:pt>
                <c:pt idx="20" formatCode="0.0">
                  <c:v>55.5</c:v>
                </c:pt>
                <c:pt idx="21" formatCode="0.0">
                  <c:v>69.2</c:v>
                </c:pt>
                <c:pt idx="22" formatCode="0.0">
                  <c:v>61</c:v>
                </c:pt>
                <c:pt idx="23" formatCode="0.0">
                  <c:v>45.7</c:v>
                </c:pt>
                <c:pt idx="24" formatCode="0.0">
                  <c:v>60.7</c:v>
                </c:pt>
                <c:pt idx="26" formatCode="0.0">
                  <c:v>61.6</c:v>
                </c:pt>
                <c:pt idx="27" formatCode="0.0">
                  <c:v>48.9</c:v>
                </c:pt>
                <c:pt idx="28" formatCode="0.0">
                  <c:v>28.5</c:v>
                </c:pt>
                <c:pt idx="29" formatCode="0.0">
                  <c:v>38.9</c:v>
                </c:pt>
                <c:pt idx="30" formatCode="0.0">
                  <c:v>43.4</c:v>
                </c:pt>
              </c:numCache>
            </c:numRef>
          </c:val>
        </c:ser>
        <c:ser>
          <c:idx val="1"/>
          <c:order val="1"/>
          <c:tx>
            <c:strRef>
              <c:f>Data!$C$185</c:f>
              <c:strCache>
                <c:ptCount val="1"/>
                <c:pt idx="0">
                  <c:v>2011</c:v>
                </c:pt>
              </c:strCache>
            </c:strRef>
          </c:tx>
          <c:spPr>
            <a:solidFill>
              <a:srgbClr val="FFC000"/>
            </a:solidFill>
            <a:ln>
              <a:solidFill>
                <a:srgbClr val="FFC000"/>
              </a:solidFill>
            </a:ln>
          </c:spPr>
          <c:invertIfNegative val="0"/>
          <c:cat>
            <c:strRef>
              <c:f>Data!$A$186:$A$216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Data!$C$186:$C$216</c:f>
              <c:numCache>
                <c:formatCode>General</c:formatCode>
                <c:ptCount val="31"/>
                <c:pt idx="0" formatCode="0.0">
                  <c:v>0</c:v>
                </c:pt>
                <c:pt idx="2" formatCode="0.0">
                  <c:v>65.8</c:v>
                </c:pt>
                <c:pt idx="3" formatCode="0.0">
                  <c:v>80.2</c:v>
                </c:pt>
                <c:pt idx="4" formatCode="0.0">
                  <c:v>52</c:v>
                </c:pt>
                <c:pt idx="5" formatCode="0.0">
                  <c:v>69.7</c:v>
                </c:pt>
                <c:pt idx="6" formatCode="0.0">
                  <c:v>71.8</c:v>
                </c:pt>
                <c:pt idx="7" formatCode="0.0">
                  <c:v>54.3</c:v>
                </c:pt>
                <c:pt idx="8" formatCode="0.0">
                  <c:v>62.9</c:v>
                </c:pt>
                <c:pt idx="9" formatCode="0.0">
                  <c:v>62.1</c:v>
                </c:pt>
                <c:pt idx="10" formatCode="0.0">
                  <c:v>63.9</c:v>
                </c:pt>
                <c:pt idx="11" formatCode="0.0">
                  <c:v>58.7</c:v>
                </c:pt>
                <c:pt idx="12" formatCode="0.0">
                  <c:v>61.3</c:v>
                </c:pt>
                <c:pt idx="13" formatCode="0.0">
                  <c:v>0</c:v>
                </c:pt>
                <c:pt idx="14" formatCode="0.0">
                  <c:v>59.3</c:v>
                </c:pt>
                <c:pt idx="15" formatCode="0.0">
                  <c:v>70.900000000000006</c:v>
                </c:pt>
                <c:pt idx="16" formatCode="0.0">
                  <c:v>64.5</c:v>
                </c:pt>
                <c:pt idx="17" formatCode="0.0">
                  <c:v>62.2</c:v>
                </c:pt>
                <c:pt idx="18" formatCode="0.0">
                  <c:v>66</c:v>
                </c:pt>
                <c:pt idx="19" formatCode="0.0">
                  <c:v>71.900000000000006</c:v>
                </c:pt>
                <c:pt idx="20" formatCode="0.0">
                  <c:v>58.4</c:v>
                </c:pt>
                <c:pt idx="21" formatCode="0.0">
                  <c:v>71.5</c:v>
                </c:pt>
                <c:pt idx="22" formatCode="0.0">
                  <c:v>63.6</c:v>
                </c:pt>
                <c:pt idx="23" formatCode="0.0">
                  <c:v>62.4</c:v>
                </c:pt>
                <c:pt idx="24" formatCode="0.0">
                  <c:v>60.8</c:v>
                </c:pt>
                <c:pt idx="26" formatCode="0.0">
                  <c:v>65.099999999999994</c:v>
                </c:pt>
                <c:pt idx="27" formatCode="0.0">
                  <c:v>50.9</c:v>
                </c:pt>
                <c:pt idx="28" formatCode="0.0">
                  <c:v>42.3</c:v>
                </c:pt>
                <c:pt idx="29" formatCode="0.0">
                  <c:v>41.2</c:v>
                </c:pt>
                <c:pt idx="30" formatCode="0.0">
                  <c:v>50</c:v>
                </c:pt>
              </c:numCache>
            </c:numRef>
          </c:val>
        </c:ser>
        <c:ser>
          <c:idx val="2"/>
          <c:order val="2"/>
          <c:tx>
            <c:strRef>
              <c:f>Data!$D$185</c:f>
              <c:strCache>
                <c:ptCount val="1"/>
                <c:pt idx="0">
                  <c:v>2012</c:v>
                </c:pt>
              </c:strCache>
            </c:strRef>
          </c:tx>
          <c:invertIfNegative val="0"/>
          <c:dPt>
            <c:idx val="26"/>
            <c:invertIfNegative val="0"/>
            <c:bubble3D val="0"/>
            <c:spPr>
              <a:solidFill>
                <a:schemeClr val="accent3">
                  <a:lumMod val="75000"/>
                </a:schemeClr>
              </a:solidFill>
              <a:ln>
                <a:solidFill>
                  <a:schemeClr val="accent3">
                    <a:lumMod val="75000"/>
                  </a:schemeClr>
                </a:solidFill>
              </a:ln>
            </c:spPr>
          </c:dPt>
          <c:cat>
            <c:strRef>
              <c:f>Data!$A$186:$A$216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Data!$D$186:$D$216</c:f>
              <c:numCache>
                <c:formatCode>General</c:formatCode>
                <c:ptCount val="31"/>
                <c:pt idx="0" formatCode="0.0">
                  <c:v>64.7</c:v>
                </c:pt>
                <c:pt idx="2" formatCode="0.0">
                  <c:v>65.900000000000006</c:v>
                </c:pt>
                <c:pt idx="3" formatCode="0.0">
                  <c:v>80.3</c:v>
                </c:pt>
                <c:pt idx="4" formatCode="0.0">
                  <c:v>55.3</c:v>
                </c:pt>
                <c:pt idx="5" formatCode="0.0">
                  <c:v>69.900000000000006</c:v>
                </c:pt>
                <c:pt idx="6" formatCode="0.0">
                  <c:v>71.3</c:v>
                </c:pt>
                <c:pt idx="7" formatCode="0.0">
                  <c:v>61.6</c:v>
                </c:pt>
                <c:pt idx="8" formatCode="0.0">
                  <c:v>61.3</c:v>
                </c:pt>
                <c:pt idx="9" formatCode="0.0">
                  <c:v>58.6</c:v>
                </c:pt>
                <c:pt idx="10" formatCode="0.0">
                  <c:v>65.5</c:v>
                </c:pt>
                <c:pt idx="11" formatCode="0.0">
                  <c:v>59.3</c:v>
                </c:pt>
                <c:pt idx="12" formatCode="0.0">
                  <c:v>64.900000000000006</c:v>
                </c:pt>
                <c:pt idx="13" formatCode="0.0">
                  <c:v>59.7</c:v>
                </c:pt>
                <c:pt idx="14" formatCode="0.0">
                  <c:v>48.5</c:v>
                </c:pt>
                <c:pt idx="15" formatCode="0.0">
                  <c:v>74</c:v>
                </c:pt>
                <c:pt idx="16" formatCode="0.0">
                  <c:v>66.599999999999994</c:v>
                </c:pt>
                <c:pt idx="17" formatCode="0.0">
                  <c:v>62.2</c:v>
                </c:pt>
                <c:pt idx="18" formatCode="0.0">
                  <c:v>62.5</c:v>
                </c:pt>
                <c:pt idx="19" formatCode="0.0">
                  <c:v>69.3</c:v>
                </c:pt>
                <c:pt idx="20" formatCode="0.0">
                  <c:v>56.9</c:v>
                </c:pt>
                <c:pt idx="21" formatCode="0.0">
                  <c:v>69.599999999999994</c:v>
                </c:pt>
                <c:pt idx="22" formatCode="0.0">
                  <c:v>66.900000000000006</c:v>
                </c:pt>
                <c:pt idx="23" formatCode="0.0">
                  <c:v>68.099999999999994</c:v>
                </c:pt>
                <c:pt idx="24" formatCode="0.0">
                  <c:v>61.4</c:v>
                </c:pt>
                <c:pt idx="26" formatCode="0.0">
                  <c:v>66.5</c:v>
                </c:pt>
                <c:pt idx="27" formatCode="0.0">
                  <c:v>51.1</c:v>
                </c:pt>
                <c:pt idx="28" formatCode="0.0">
                  <c:v>46.6</c:v>
                </c:pt>
                <c:pt idx="29" formatCode="0.0">
                  <c:v>41.4</c:v>
                </c:pt>
                <c:pt idx="30" formatCode="0.0">
                  <c:v>56.8</c:v>
                </c:pt>
              </c:numCache>
            </c:numRef>
          </c:val>
        </c:ser>
        <c:dLbls>
          <c:showLegendKey val="0"/>
          <c:showVal val="0"/>
          <c:showCatName val="0"/>
          <c:showSerName val="0"/>
          <c:showPercent val="0"/>
          <c:showBubbleSize val="0"/>
        </c:dLbls>
        <c:gapWidth val="150"/>
        <c:axId val="73076736"/>
        <c:axId val="73078272"/>
      </c:barChart>
      <c:lineChart>
        <c:grouping val="standard"/>
        <c:varyColors val="0"/>
        <c:ser>
          <c:idx val="3"/>
          <c:order val="3"/>
          <c:tx>
            <c:strRef>
              <c:f>Data!$E$185</c:f>
              <c:strCache>
                <c:ptCount val="1"/>
                <c:pt idx="0">
                  <c:v>2008 target: 55%</c:v>
                </c:pt>
              </c:strCache>
            </c:strRef>
          </c:tx>
          <c:spPr>
            <a:ln>
              <a:solidFill>
                <a:schemeClr val="tx1"/>
              </a:solidFill>
            </a:ln>
          </c:spPr>
          <c:marker>
            <c:symbol val="none"/>
          </c:marker>
          <c:cat>
            <c:strRef>
              <c:f>Data!$A$186:$A$216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Data!$E$186:$E$216</c:f>
              <c:numCache>
                <c:formatCode>General</c:formatCode>
                <c:ptCount val="31"/>
                <c:pt idx="2" formatCode="0.0">
                  <c:v>55</c:v>
                </c:pt>
                <c:pt idx="3" formatCode="0.0">
                  <c:v>55</c:v>
                </c:pt>
                <c:pt idx="4" formatCode="0.0">
                  <c:v>55</c:v>
                </c:pt>
                <c:pt idx="5" formatCode="0.0">
                  <c:v>55</c:v>
                </c:pt>
                <c:pt idx="6" formatCode="0.0">
                  <c:v>55</c:v>
                </c:pt>
                <c:pt idx="7" formatCode="0.0">
                  <c:v>55</c:v>
                </c:pt>
                <c:pt idx="8" formatCode="0.0">
                  <c:v>55</c:v>
                </c:pt>
                <c:pt idx="9" formatCode="0.0">
                  <c:v>55</c:v>
                </c:pt>
                <c:pt idx="10" formatCode="0.0">
                  <c:v>55</c:v>
                </c:pt>
                <c:pt idx="11" formatCode="0.0">
                  <c:v>55</c:v>
                </c:pt>
                <c:pt idx="12" formatCode="0.0">
                  <c:v>55</c:v>
                </c:pt>
                <c:pt idx="13" formatCode="0.0">
                  <c:v>55</c:v>
                </c:pt>
                <c:pt idx="14" formatCode="0.0">
                  <c:v>55</c:v>
                </c:pt>
                <c:pt idx="15" formatCode="0.0">
                  <c:v>55</c:v>
                </c:pt>
                <c:pt idx="16" formatCode="0.0">
                  <c:v>55</c:v>
                </c:pt>
                <c:pt idx="17" formatCode="0.0">
                  <c:v>55</c:v>
                </c:pt>
                <c:pt idx="18" formatCode="0.0">
                  <c:v>55</c:v>
                </c:pt>
                <c:pt idx="19" formatCode="0.0">
                  <c:v>55</c:v>
                </c:pt>
                <c:pt idx="20" formatCode="0.0">
                  <c:v>55</c:v>
                </c:pt>
                <c:pt idx="21" formatCode="0.0">
                  <c:v>55</c:v>
                </c:pt>
                <c:pt idx="22" formatCode="0.0">
                  <c:v>55</c:v>
                </c:pt>
                <c:pt idx="23" formatCode="0.0">
                  <c:v>55</c:v>
                </c:pt>
                <c:pt idx="24" formatCode="0.0">
                  <c:v>55</c:v>
                </c:pt>
              </c:numCache>
            </c:numRef>
          </c:val>
          <c:smooth val="0"/>
        </c:ser>
        <c:ser>
          <c:idx val="4"/>
          <c:order val="4"/>
          <c:tx>
            <c:strRef>
              <c:f>Data!$F$185</c:f>
              <c:strCache>
                <c:ptCount val="1"/>
                <c:pt idx="0">
                  <c:v>2001 target: 25%</c:v>
                </c:pt>
              </c:strCache>
            </c:strRef>
          </c:tx>
          <c:spPr>
            <a:ln>
              <a:solidFill>
                <a:srgbClr val="FF0000"/>
              </a:solidFill>
            </a:ln>
          </c:spPr>
          <c:marker>
            <c:symbol val="none"/>
          </c:marker>
          <c:cat>
            <c:strRef>
              <c:f>Data!$A$186:$A$216</c:f>
              <c:strCache>
                <c:ptCount val="31"/>
                <c:pt idx="0">
                  <c:v>EU28</c:v>
                </c:pt>
                <c:pt idx="2">
                  <c:v>AT</c:v>
                </c:pt>
                <c:pt idx="3">
                  <c:v>BE</c:v>
                </c:pt>
                <c:pt idx="4">
                  <c:v>CY</c:v>
                </c:pt>
                <c:pt idx="5">
                  <c:v>CZ</c:v>
                </c:pt>
                <c:pt idx="6">
                  <c:v>DE</c:v>
                </c:pt>
                <c:pt idx="7">
                  <c:v>DK</c:v>
                </c:pt>
                <c:pt idx="8">
                  <c:v>EE</c:v>
                </c:pt>
                <c:pt idx="9">
                  <c:v>EL</c:v>
                </c:pt>
                <c:pt idx="10">
                  <c:v>ES</c:v>
                </c:pt>
                <c:pt idx="11">
                  <c:v>FI</c:v>
                </c:pt>
                <c:pt idx="12">
                  <c:v>FR</c:v>
                </c:pt>
                <c:pt idx="13">
                  <c:v>HR</c:v>
                </c:pt>
                <c:pt idx="14">
                  <c:v>HU</c:v>
                </c:pt>
                <c:pt idx="15">
                  <c:v>IE</c:v>
                </c:pt>
                <c:pt idx="16">
                  <c:v>IT</c:v>
                </c:pt>
                <c:pt idx="17">
                  <c:v>LT</c:v>
                </c:pt>
                <c:pt idx="18">
                  <c:v>LU</c:v>
                </c:pt>
                <c:pt idx="19">
                  <c:v>NL</c:v>
                </c:pt>
                <c:pt idx="20">
                  <c:v>PT</c:v>
                </c:pt>
                <c:pt idx="21">
                  <c:v>SE</c:v>
                </c:pt>
                <c:pt idx="22">
                  <c:v>SI</c:v>
                </c:pt>
                <c:pt idx="23">
                  <c:v>SK</c:v>
                </c:pt>
                <c:pt idx="24">
                  <c:v>UK</c:v>
                </c:pt>
                <c:pt idx="26">
                  <c:v>BG</c:v>
                </c:pt>
                <c:pt idx="27">
                  <c:v>LV</c:v>
                </c:pt>
                <c:pt idx="28">
                  <c:v>MT</c:v>
                </c:pt>
                <c:pt idx="29">
                  <c:v>PL</c:v>
                </c:pt>
                <c:pt idx="30">
                  <c:v>RO</c:v>
                </c:pt>
              </c:strCache>
            </c:strRef>
          </c:cat>
          <c:val>
            <c:numRef>
              <c:f>Data!$F$186:$F$216</c:f>
              <c:numCache>
                <c:formatCode>General</c:formatCode>
                <c:ptCount val="31"/>
                <c:pt idx="26" formatCode="0.0">
                  <c:v>25</c:v>
                </c:pt>
                <c:pt idx="27" formatCode="0.0">
                  <c:v>25</c:v>
                </c:pt>
                <c:pt idx="28" formatCode="0.0">
                  <c:v>25</c:v>
                </c:pt>
                <c:pt idx="29" formatCode="0.0">
                  <c:v>25</c:v>
                </c:pt>
                <c:pt idx="30" formatCode="0.0">
                  <c:v>25</c:v>
                </c:pt>
              </c:numCache>
            </c:numRef>
          </c:val>
          <c:smooth val="0"/>
        </c:ser>
        <c:dLbls>
          <c:showLegendKey val="0"/>
          <c:showVal val="0"/>
          <c:showCatName val="0"/>
          <c:showSerName val="0"/>
          <c:showPercent val="0"/>
          <c:showBubbleSize val="0"/>
        </c:dLbls>
        <c:marker val="1"/>
        <c:smooth val="0"/>
        <c:axId val="73076736"/>
        <c:axId val="73078272"/>
      </c:lineChart>
      <c:catAx>
        <c:axId val="73076736"/>
        <c:scaling>
          <c:orientation val="minMax"/>
        </c:scaling>
        <c:delete val="0"/>
        <c:axPos val="b"/>
        <c:numFmt formatCode="General" sourceLinked="1"/>
        <c:majorTickMark val="out"/>
        <c:minorTickMark val="none"/>
        <c:tickLblPos val="nextTo"/>
        <c:crossAx val="73078272"/>
        <c:crosses val="autoZero"/>
        <c:auto val="1"/>
        <c:lblAlgn val="ctr"/>
        <c:lblOffset val="100"/>
        <c:noMultiLvlLbl val="0"/>
      </c:catAx>
      <c:valAx>
        <c:axId val="73078272"/>
        <c:scaling>
          <c:orientation val="minMax"/>
        </c:scaling>
        <c:delete val="0"/>
        <c:axPos val="l"/>
        <c:majorGridlines/>
        <c:numFmt formatCode="General\%" sourceLinked="0"/>
        <c:majorTickMark val="out"/>
        <c:minorTickMark val="none"/>
        <c:tickLblPos val="nextTo"/>
        <c:crossAx val="73076736"/>
        <c:crosses val="autoZero"/>
        <c:crossBetween val="between"/>
      </c:valAx>
    </c:plotArea>
    <c:legend>
      <c:legendPos val="r"/>
      <c:layout>
        <c:manualLayout>
          <c:xMode val="edge"/>
          <c:yMode val="edge"/>
          <c:x val="5.257028288130651E-2"/>
          <c:y val="2.4190126919066625E-3"/>
          <c:w val="0.9474297171186935"/>
          <c:h val="0.14202399357614548"/>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65378722940499E-2"/>
          <c:y val="3.4831434306005868E-2"/>
          <c:w val="0.92007100072724524"/>
          <c:h val="0.88657514281303074"/>
        </c:manualLayout>
      </c:layout>
      <c:barChart>
        <c:barDir val="col"/>
        <c:grouping val="clustered"/>
        <c:varyColors val="0"/>
        <c:ser>
          <c:idx val="0"/>
          <c:order val="0"/>
          <c:tx>
            <c:strRef>
              <c:f>Data!$B$224</c:f>
              <c:strCache>
                <c:ptCount val="1"/>
                <c:pt idx="0">
                  <c:v>2010</c:v>
                </c:pt>
              </c:strCache>
            </c:strRef>
          </c:tx>
          <c:spPr>
            <a:solidFill>
              <a:schemeClr val="tx2">
                <a:lumMod val="60000"/>
                <a:lumOff val="40000"/>
              </a:schemeClr>
            </a:solidFill>
          </c:spPr>
          <c:invertIfNegative val="0"/>
          <c:cat>
            <c:strRef>
              <c:f>Data!$A$225:$A$252</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Data!$B$225:$B$252</c:f>
              <c:numCache>
                <c:formatCode>0.0</c:formatCode>
                <c:ptCount val="28"/>
                <c:pt idx="0">
                  <c:v>8.7219999999999995</c:v>
                </c:pt>
                <c:pt idx="1">
                  <c:v>9.3409999999999993</c:v>
                </c:pt>
                <c:pt idx="2">
                  <c:v>6.0449999999999999</c:v>
                </c:pt>
                <c:pt idx="3">
                  <c:v>3.109</c:v>
                </c:pt>
                <c:pt idx="4">
                  <c:v>4.976</c:v>
                </c:pt>
                <c:pt idx="5">
                  <c:v>8.8360000000000003</c:v>
                </c:pt>
                <c:pt idx="6">
                  <c:v>14.803000000000001</c:v>
                </c:pt>
                <c:pt idx="7">
                  <c:v>4.1859999999999999</c:v>
                </c:pt>
                <c:pt idx="8">
                  <c:v>4.0060000000000002</c:v>
                </c:pt>
                <c:pt idx="9">
                  <c:v>3.1890000000000001</c:v>
                </c:pt>
                <c:pt idx="10">
                  <c:v>9.109</c:v>
                </c:pt>
                <c:pt idx="11">
                  <c:v>6.4329999999999998</c:v>
                </c:pt>
                <c:pt idx="12">
                  <c:v>0</c:v>
                </c:pt>
                <c:pt idx="13">
                  <c:v>3.8650000000000002</c:v>
                </c:pt>
                <c:pt idx="14">
                  <c:v>8.06</c:v>
                </c:pt>
                <c:pt idx="15">
                  <c:v>4.2789999999999999</c:v>
                </c:pt>
                <c:pt idx="16">
                  <c:v>2.85</c:v>
                </c:pt>
                <c:pt idx="17">
                  <c:v>9.3640000000000008</c:v>
                </c:pt>
                <c:pt idx="18">
                  <c:v>1.988</c:v>
                </c:pt>
                <c:pt idx="19">
                  <c:v>3.363</c:v>
                </c:pt>
                <c:pt idx="20">
                  <c:v>7.2839999999999998</c:v>
                </c:pt>
                <c:pt idx="21">
                  <c:v>2.8010000000000002</c:v>
                </c:pt>
                <c:pt idx="22">
                  <c:v>4.4119999999999999</c:v>
                </c:pt>
                <c:pt idx="23">
                  <c:v>1.1479999999999999</c:v>
                </c:pt>
                <c:pt idx="24">
                  <c:v>15.877000000000001</c:v>
                </c:pt>
                <c:pt idx="25">
                  <c:v>4.03</c:v>
                </c:pt>
                <c:pt idx="26">
                  <c:v>3.9620000000000002</c:v>
                </c:pt>
                <c:pt idx="27">
                  <c:v>7.3789999999999996</c:v>
                </c:pt>
              </c:numCache>
            </c:numRef>
          </c:val>
        </c:ser>
        <c:ser>
          <c:idx val="1"/>
          <c:order val="1"/>
          <c:tx>
            <c:strRef>
              <c:f>Data!$C$224</c:f>
              <c:strCache>
                <c:ptCount val="1"/>
                <c:pt idx="0">
                  <c:v>2011</c:v>
                </c:pt>
              </c:strCache>
            </c:strRef>
          </c:tx>
          <c:spPr>
            <a:solidFill>
              <a:srgbClr val="FFC000"/>
            </a:solidFill>
          </c:spPr>
          <c:invertIfNegative val="0"/>
          <c:cat>
            <c:strRef>
              <c:f>Data!$A$225:$A$252</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Data!$C$225:$C$252</c:f>
              <c:numCache>
                <c:formatCode>0.0</c:formatCode>
                <c:ptCount val="28"/>
                <c:pt idx="0">
                  <c:v>8.91</c:v>
                </c:pt>
                <c:pt idx="1">
                  <c:v>9.9909999999999997</c:v>
                </c:pt>
                <c:pt idx="2">
                  <c:v>5.2770000000000001</c:v>
                </c:pt>
                <c:pt idx="3">
                  <c:v>3.1320000000000001</c:v>
                </c:pt>
                <c:pt idx="4">
                  <c:v>5.2229999999999999</c:v>
                </c:pt>
                <c:pt idx="5">
                  <c:v>8.0640000000000001</c:v>
                </c:pt>
                <c:pt idx="6">
                  <c:v>15</c:v>
                </c:pt>
                <c:pt idx="7">
                  <c:v>4.93</c:v>
                </c:pt>
                <c:pt idx="8">
                  <c:v>3.589</c:v>
                </c:pt>
                <c:pt idx="9">
                  <c:v>3.0870000000000002</c:v>
                </c:pt>
                <c:pt idx="10">
                  <c:v>9.23</c:v>
                </c:pt>
                <c:pt idx="11">
                  <c:v>6.8769999999999998</c:v>
                </c:pt>
                <c:pt idx="12">
                  <c:v>2.2650000000000001</c:v>
                </c:pt>
                <c:pt idx="13">
                  <c:v>3.4689999999999999</c:v>
                </c:pt>
                <c:pt idx="14">
                  <c:v>7.556</c:v>
                </c:pt>
                <c:pt idx="15">
                  <c:v>4.1989999999999998</c:v>
                </c:pt>
                <c:pt idx="16">
                  <c:v>3.7789999999999999</c:v>
                </c:pt>
                <c:pt idx="17">
                  <c:v>9.5559999999999992</c:v>
                </c:pt>
                <c:pt idx="18">
                  <c:v>1.8879999999999999</c:v>
                </c:pt>
                <c:pt idx="19">
                  <c:v>3.1829999999999998</c:v>
                </c:pt>
                <c:pt idx="20">
                  <c:v>7.4450000000000003</c:v>
                </c:pt>
                <c:pt idx="21">
                  <c:v>3.5640000000000001</c:v>
                </c:pt>
                <c:pt idx="22">
                  <c:v>5.5309999999999997</c:v>
                </c:pt>
                <c:pt idx="23">
                  <c:v>0.95499999999999996</c:v>
                </c:pt>
                <c:pt idx="24">
                  <c:v>17.652999999999999</c:v>
                </c:pt>
                <c:pt idx="25">
                  <c:v>4.375</c:v>
                </c:pt>
                <c:pt idx="26">
                  <c:v>4.2480000000000002</c:v>
                </c:pt>
                <c:pt idx="27">
                  <c:v>7.8860000000000001</c:v>
                </c:pt>
              </c:numCache>
            </c:numRef>
          </c:val>
        </c:ser>
        <c:ser>
          <c:idx val="2"/>
          <c:order val="2"/>
          <c:tx>
            <c:strRef>
              <c:f>Data!$D$224</c:f>
              <c:strCache>
                <c:ptCount val="1"/>
                <c:pt idx="0">
                  <c:v>2012</c:v>
                </c:pt>
              </c:strCache>
            </c:strRef>
          </c:tx>
          <c:spPr>
            <a:solidFill>
              <a:schemeClr val="accent3">
                <a:lumMod val="75000"/>
              </a:schemeClr>
            </a:solidFill>
          </c:spPr>
          <c:invertIfNegative val="0"/>
          <c:cat>
            <c:strRef>
              <c:f>Data!$A$225:$A$252</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Data!$D$225:$D$252</c:f>
              <c:numCache>
                <c:formatCode>0.0</c:formatCode>
                <c:ptCount val="28"/>
                <c:pt idx="0">
                  <c:v>9.0879999999999992</c:v>
                </c:pt>
                <c:pt idx="1">
                  <c:v>10.06</c:v>
                </c:pt>
                <c:pt idx="2">
                  <c:v>5.1580000000000004</c:v>
                </c:pt>
                <c:pt idx="3">
                  <c:v>2.819</c:v>
                </c:pt>
                <c:pt idx="4">
                  <c:v>4.9450000000000003</c:v>
                </c:pt>
                <c:pt idx="5">
                  <c:v>7.7229999999999999</c:v>
                </c:pt>
                <c:pt idx="6">
                  <c:v>13.436</c:v>
                </c:pt>
                <c:pt idx="7">
                  <c:v>4.0640000000000001</c:v>
                </c:pt>
                <c:pt idx="8">
                  <c:v>3.25</c:v>
                </c:pt>
                <c:pt idx="9">
                  <c:v>3.1269999999999998</c:v>
                </c:pt>
                <c:pt idx="10">
                  <c:v>9.2460000000000004</c:v>
                </c:pt>
                <c:pt idx="11">
                  <c:v>6.9180000000000001</c:v>
                </c:pt>
                <c:pt idx="12">
                  <c:v>2.2690000000000001</c:v>
                </c:pt>
                <c:pt idx="13">
                  <c:v>4.2830000000000004</c:v>
                </c:pt>
                <c:pt idx="14">
                  <c:v>7.5309999999999997</c:v>
                </c:pt>
                <c:pt idx="15">
                  <c:v>3.69</c:v>
                </c:pt>
                <c:pt idx="16">
                  <c:v>4.4770000000000003</c:v>
                </c:pt>
                <c:pt idx="17">
                  <c:v>9.3789999999999996</c:v>
                </c:pt>
                <c:pt idx="18">
                  <c:v>1.885</c:v>
                </c:pt>
                <c:pt idx="19">
                  <c:v>2.8540000000000001</c:v>
                </c:pt>
                <c:pt idx="20">
                  <c:v>6.9740000000000002</c:v>
                </c:pt>
                <c:pt idx="21">
                  <c:v>4.3460000000000001</c:v>
                </c:pt>
                <c:pt idx="22">
                  <c:v>4.0609999999999999</c:v>
                </c:pt>
                <c:pt idx="23">
                  <c:v>1.036</c:v>
                </c:pt>
                <c:pt idx="24">
                  <c:v>16.579999999999998</c:v>
                </c:pt>
                <c:pt idx="25">
                  <c:v>4.298</c:v>
                </c:pt>
                <c:pt idx="26">
                  <c:v>3.9860000000000002</c:v>
                </c:pt>
                <c:pt idx="27">
                  <c:v>7.673</c:v>
                </c:pt>
              </c:numCache>
            </c:numRef>
          </c:val>
        </c:ser>
        <c:dLbls>
          <c:showLegendKey val="0"/>
          <c:showVal val="0"/>
          <c:showCatName val="0"/>
          <c:showSerName val="0"/>
          <c:showPercent val="0"/>
          <c:showBubbleSize val="0"/>
        </c:dLbls>
        <c:gapWidth val="150"/>
        <c:axId val="73108864"/>
        <c:axId val="73131136"/>
      </c:barChart>
      <c:lineChart>
        <c:grouping val="stacked"/>
        <c:varyColors val="0"/>
        <c:ser>
          <c:idx val="3"/>
          <c:order val="3"/>
          <c:tx>
            <c:strRef>
              <c:f>Data!$E$224</c:f>
              <c:strCache>
                <c:ptCount val="1"/>
                <c:pt idx="0">
                  <c:v>target: 4 kg / household</c:v>
                </c:pt>
              </c:strCache>
            </c:strRef>
          </c:tx>
          <c:spPr>
            <a:ln>
              <a:solidFill>
                <a:schemeClr val="tx1"/>
              </a:solidFill>
            </a:ln>
          </c:spPr>
          <c:marker>
            <c:symbol val="none"/>
          </c:marker>
          <c:cat>
            <c:strRef>
              <c:f>Data!$A$225:$A$252</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Data!$E$225:$E$252</c:f>
              <c:numCache>
                <c:formatCode>0.0</c:formatCode>
                <c:ptCount val="28"/>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numCache>
            </c:numRef>
          </c:val>
          <c:smooth val="0"/>
        </c:ser>
        <c:dLbls>
          <c:showLegendKey val="0"/>
          <c:showVal val="0"/>
          <c:showCatName val="0"/>
          <c:showSerName val="0"/>
          <c:showPercent val="0"/>
          <c:showBubbleSize val="0"/>
        </c:dLbls>
        <c:marker val="1"/>
        <c:smooth val="0"/>
        <c:axId val="73108864"/>
        <c:axId val="73131136"/>
      </c:lineChart>
      <c:catAx>
        <c:axId val="73108864"/>
        <c:scaling>
          <c:orientation val="minMax"/>
        </c:scaling>
        <c:delete val="0"/>
        <c:axPos val="b"/>
        <c:numFmt formatCode="General" sourceLinked="1"/>
        <c:majorTickMark val="out"/>
        <c:minorTickMark val="none"/>
        <c:tickLblPos val="nextTo"/>
        <c:crossAx val="73131136"/>
        <c:crosses val="autoZero"/>
        <c:auto val="1"/>
        <c:lblAlgn val="ctr"/>
        <c:lblOffset val="100"/>
        <c:noMultiLvlLbl val="0"/>
      </c:catAx>
      <c:valAx>
        <c:axId val="73131136"/>
        <c:scaling>
          <c:orientation val="minMax"/>
        </c:scaling>
        <c:delete val="0"/>
        <c:axPos val="l"/>
        <c:majorGridlines/>
        <c:numFmt formatCode="#,##0" sourceLinked="0"/>
        <c:majorTickMark val="out"/>
        <c:minorTickMark val="none"/>
        <c:tickLblPos val="nextTo"/>
        <c:crossAx val="73108864"/>
        <c:crosses val="autoZero"/>
        <c:crossBetween val="between"/>
      </c:valAx>
    </c:plotArea>
    <c:legend>
      <c:legendPos val="r"/>
      <c:layout>
        <c:manualLayout>
          <c:xMode val="edge"/>
          <c:yMode val="edge"/>
          <c:x val="0.1168817851256965"/>
          <c:y val="3.8303084454868672E-2"/>
          <c:w val="0.78902278806108683"/>
          <c:h val="0.11398174518965272"/>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004688006610627E-2"/>
          <c:y val="3.7811896794830192E-2"/>
          <c:w val="0.91909499359602709"/>
          <c:h val="0.876869584058945"/>
        </c:manualLayout>
      </c:layout>
      <c:barChart>
        <c:barDir val="col"/>
        <c:grouping val="clustered"/>
        <c:varyColors val="0"/>
        <c:ser>
          <c:idx val="0"/>
          <c:order val="0"/>
          <c:tx>
            <c:strRef>
              <c:f>Data!$B$257</c:f>
              <c:strCache>
                <c:ptCount val="1"/>
                <c:pt idx="0">
                  <c:v>2010</c:v>
                </c:pt>
              </c:strCache>
            </c:strRef>
          </c:tx>
          <c:spPr>
            <a:ln>
              <a:solidFill>
                <a:schemeClr val="tx2">
                  <a:lumMod val="60000"/>
                  <a:lumOff val="40000"/>
                </a:schemeClr>
              </a:solidFill>
            </a:ln>
          </c:spPr>
          <c:invertIfNegative val="0"/>
          <c:cat>
            <c:strRef>
              <c:f>Data!$A$258:$A$285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Data!$B$258:$B$285</c:f>
              <c:numCache>
                <c:formatCode>General</c:formatCode>
                <c:ptCount val="28"/>
                <c:pt idx="0">
                  <c:v>0</c:v>
                </c:pt>
                <c:pt idx="1">
                  <c:v>0</c:v>
                </c:pt>
                <c:pt idx="2">
                  <c:v>0</c:v>
                </c:pt>
                <c:pt idx="3">
                  <c:v>0</c:v>
                </c:pt>
                <c:pt idx="4">
                  <c:v>0</c:v>
                </c:pt>
                <c:pt idx="5" formatCode="0.00%">
                  <c:v>0.85880000000000001</c:v>
                </c:pt>
                <c:pt idx="6">
                  <c:v>0</c:v>
                </c:pt>
                <c:pt idx="7">
                  <c:v>0</c:v>
                </c:pt>
                <c:pt idx="8">
                  <c:v>0</c:v>
                </c:pt>
                <c:pt idx="9">
                  <c:v>0</c:v>
                </c:pt>
                <c:pt idx="10">
                  <c:v>0</c:v>
                </c:pt>
                <c:pt idx="11" formatCode="0.00%">
                  <c:v>0.34399999999999997</c:v>
                </c:pt>
                <c:pt idx="12">
                  <c:v>0</c:v>
                </c:pt>
                <c:pt idx="13">
                  <c:v>0</c:v>
                </c:pt>
                <c:pt idx="14" formatCode="0%">
                  <c:v>0.14000000000000001</c:v>
                </c:pt>
                <c:pt idx="15">
                  <c:v>0</c:v>
                </c:pt>
                <c:pt idx="16">
                  <c:v>0</c:v>
                </c:pt>
                <c:pt idx="17">
                  <c:v>0</c:v>
                </c:pt>
                <c:pt idx="18">
                  <c:v>0</c:v>
                </c:pt>
                <c:pt idx="19">
                  <c:v>0</c:v>
                </c:pt>
                <c:pt idx="20">
                  <c:v>0</c:v>
                </c:pt>
                <c:pt idx="21" formatCode="0%">
                  <c:v>0.18</c:v>
                </c:pt>
                <c:pt idx="22">
                  <c:v>0</c:v>
                </c:pt>
                <c:pt idx="23">
                  <c:v>0</c:v>
                </c:pt>
                <c:pt idx="24" formatCode="0%">
                  <c:v>1.0900000000000001</c:v>
                </c:pt>
                <c:pt idx="25">
                  <c:v>0</c:v>
                </c:pt>
                <c:pt idx="26">
                  <c:v>0</c:v>
                </c:pt>
                <c:pt idx="27">
                  <c:v>0</c:v>
                </c:pt>
              </c:numCache>
            </c:numRef>
          </c:val>
        </c:ser>
        <c:ser>
          <c:idx val="1"/>
          <c:order val="1"/>
          <c:tx>
            <c:strRef>
              <c:f>Data!$C$257</c:f>
              <c:strCache>
                <c:ptCount val="1"/>
                <c:pt idx="0">
                  <c:v>2011</c:v>
                </c:pt>
              </c:strCache>
            </c:strRef>
          </c:tx>
          <c:spPr>
            <a:solidFill>
              <a:srgbClr val="FFC000"/>
            </a:solidFill>
            <a:ln>
              <a:solidFill>
                <a:srgbClr val="FFC000"/>
              </a:solidFill>
            </a:ln>
          </c:spPr>
          <c:invertIfNegative val="0"/>
          <c:cat>
            <c:strRef>
              <c:f>Data!$A$258:$A$285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Data!$C$258:$C$285</c:f>
              <c:numCache>
                <c:formatCode>0.00%</c:formatCode>
                <c:ptCount val="28"/>
                <c:pt idx="0">
                  <c:v>0.495</c:v>
                </c:pt>
                <c:pt idx="1">
                  <c:v>0.52100000000000002</c:v>
                </c:pt>
                <c:pt idx="2">
                  <c:v>0.1467</c:v>
                </c:pt>
                <c:pt idx="3" formatCode="General">
                  <c:v>0</c:v>
                </c:pt>
                <c:pt idx="4">
                  <c:v>0.75700000000000001</c:v>
                </c:pt>
                <c:pt idx="5">
                  <c:v>0.80549999999999999</c:v>
                </c:pt>
                <c:pt idx="6" formatCode="General">
                  <c:v>0</c:v>
                </c:pt>
                <c:pt idx="7" formatCode="0%">
                  <c:v>4.0599999999999996</c:v>
                </c:pt>
                <c:pt idx="8" formatCode="0%">
                  <c:v>0.59</c:v>
                </c:pt>
                <c:pt idx="9">
                  <c:v>0.29849999999999999</c:v>
                </c:pt>
                <c:pt idx="10" formatCode="0%">
                  <c:v>0.68</c:v>
                </c:pt>
                <c:pt idx="11">
                  <c:v>0.36199999999999999</c:v>
                </c:pt>
                <c:pt idx="12" formatCode="General">
                  <c:v>0</c:v>
                </c:pt>
                <c:pt idx="13">
                  <c:v>0.249</c:v>
                </c:pt>
                <c:pt idx="14" formatCode="0%">
                  <c:v>0.28999999999999998</c:v>
                </c:pt>
                <c:pt idx="15">
                  <c:v>0.255</c:v>
                </c:pt>
                <c:pt idx="16">
                  <c:v>0.28094999999999998</c:v>
                </c:pt>
                <c:pt idx="17">
                  <c:v>0.71599999999999997</c:v>
                </c:pt>
                <c:pt idx="18" formatCode="0%">
                  <c:v>0.3</c:v>
                </c:pt>
                <c:pt idx="19">
                  <c:v>0.1792</c:v>
                </c:pt>
                <c:pt idx="20" formatCode="0%">
                  <c:v>0.42</c:v>
                </c:pt>
                <c:pt idx="21">
                  <c:v>0.34200000000000003</c:v>
                </c:pt>
                <c:pt idx="22">
                  <c:v>0.21460000000000001</c:v>
                </c:pt>
                <c:pt idx="23" formatCode="0%">
                  <c:v>0.11</c:v>
                </c:pt>
                <c:pt idx="24" formatCode="0%">
                  <c:v>1.72</c:v>
                </c:pt>
                <c:pt idx="25" formatCode="0%">
                  <c:v>0.28999999999999998</c:v>
                </c:pt>
                <c:pt idx="26" formatCode="0%">
                  <c:v>0.44</c:v>
                </c:pt>
                <c:pt idx="27">
                  <c:v>0.186</c:v>
                </c:pt>
              </c:numCache>
            </c:numRef>
          </c:val>
        </c:ser>
        <c:ser>
          <c:idx val="2"/>
          <c:order val="2"/>
          <c:tx>
            <c:strRef>
              <c:f>Data!$D$257</c:f>
              <c:strCache>
                <c:ptCount val="1"/>
                <c:pt idx="0">
                  <c:v>2012</c:v>
                </c:pt>
              </c:strCache>
            </c:strRef>
          </c:tx>
          <c:spPr>
            <a:solidFill>
              <a:schemeClr val="accent3">
                <a:lumMod val="75000"/>
              </a:schemeClr>
            </a:solidFill>
            <a:ln>
              <a:solidFill>
                <a:schemeClr val="accent3">
                  <a:lumMod val="75000"/>
                </a:schemeClr>
              </a:solidFill>
            </a:ln>
          </c:spPr>
          <c:invertIfNegative val="0"/>
          <c:cat>
            <c:strRef>
              <c:f>Data!$A$258:$A$285</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Data!$D$258:$D$285</c:f>
              <c:numCache>
                <c:formatCode>0.00%</c:formatCode>
                <c:ptCount val="28"/>
                <c:pt idx="0" formatCode="General">
                  <c:v>0</c:v>
                </c:pt>
                <c:pt idx="1">
                  <c:v>0.52300000000000002</c:v>
                </c:pt>
                <c:pt idx="2" formatCode="General">
                  <c:v>0</c:v>
                </c:pt>
                <c:pt idx="3">
                  <c:v>0.13300000000000001</c:v>
                </c:pt>
                <c:pt idx="4">
                  <c:v>0.67700000000000005</c:v>
                </c:pt>
                <c:pt idx="5">
                  <c:v>0.8528</c:v>
                </c:pt>
                <c:pt idx="6" formatCode="General">
                  <c:v>0</c:v>
                </c:pt>
                <c:pt idx="7">
                  <c:v>1.7763</c:v>
                </c:pt>
                <c:pt idx="8" formatCode="General">
                  <c:v>0</c:v>
                </c:pt>
                <c:pt idx="9">
                  <c:v>0.34079999999999999</c:v>
                </c:pt>
                <c:pt idx="10" formatCode="General">
                  <c:v>0</c:v>
                </c:pt>
                <c:pt idx="11">
                  <c:v>0.35399999999999998</c:v>
                </c:pt>
                <c:pt idx="12" formatCode="General">
                  <c:v>0</c:v>
                </c:pt>
                <c:pt idx="13">
                  <c:v>0.28100000000000003</c:v>
                </c:pt>
                <c:pt idx="14" formatCode="0%">
                  <c:v>0.28000000000000003</c:v>
                </c:pt>
                <c:pt idx="15">
                  <c:v>0.27100000000000002</c:v>
                </c:pt>
                <c:pt idx="16" formatCode="General">
                  <c:v>0</c:v>
                </c:pt>
                <c:pt idx="17">
                  <c:v>0.72799999999999998</c:v>
                </c:pt>
                <c:pt idx="18" formatCode="0%">
                  <c:v>0.25</c:v>
                </c:pt>
                <c:pt idx="19">
                  <c:v>0.2039</c:v>
                </c:pt>
                <c:pt idx="20" formatCode="General">
                  <c:v>0</c:v>
                </c:pt>
                <c:pt idx="21">
                  <c:v>0.3886</c:v>
                </c:pt>
                <c:pt idx="22" formatCode="General">
                  <c:v>0</c:v>
                </c:pt>
                <c:pt idx="23" formatCode="General">
                  <c:v>0</c:v>
                </c:pt>
                <c:pt idx="24" formatCode="0%">
                  <c:v>2.3199999999999998</c:v>
                </c:pt>
                <c:pt idx="25" formatCode="0%">
                  <c:v>0.33</c:v>
                </c:pt>
                <c:pt idx="26" formatCode="0%">
                  <c:v>0.6</c:v>
                </c:pt>
                <c:pt idx="27" formatCode="General">
                  <c:v>0</c:v>
                </c:pt>
              </c:numCache>
            </c:numRef>
          </c:val>
        </c:ser>
        <c:dLbls>
          <c:showLegendKey val="0"/>
          <c:showVal val="0"/>
          <c:showCatName val="0"/>
          <c:showSerName val="0"/>
          <c:showPercent val="0"/>
          <c:showBubbleSize val="0"/>
        </c:dLbls>
        <c:gapWidth val="150"/>
        <c:axId val="73672192"/>
        <c:axId val="73673728"/>
      </c:barChart>
      <c:catAx>
        <c:axId val="73672192"/>
        <c:scaling>
          <c:orientation val="minMax"/>
        </c:scaling>
        <c:delete val="0"/>
        <c:axPos val="b"/>
        <c:majorTickMark val="out"/>
        <c:minorTickMark val="none"/>
        <c:tickLblPos val="nextTo"/>
        <c:crossAx val="73673728"/>
        <c:crosses val="autoZero"/>
        <c:auto val="1"/>
        <c:lblAlgn val="ctr"/>
        <c:lblOffset val="100"/>
        <c:noMultiLvlLbl val="0"/>
      </c:catAx>
      <c:valAx>
        <c:axId val="73673728"/>
        <c:scaling>
          <c:orientation val="minMax"/>
        </c:scaling>
        <c:delete val="0"/>
        <c:axPos val="l"/>
        <c:majorGridlines/>
        <c:numFmt formatCode="0%" sourceLinked="0"/>
        <c:majorTickMark val="out"/>
        <c:minorTickMark val="none"/>
        <c:tickLblPos val="nextTo"/>
        <c:crossAx val="73672192"/>
        <c:crosses val="autoZero"/>
        <c:crossBetween val="between"/>
      </c:valAx>
    </c:plotArea>
    <c:legend>
      <c:legendPos val="r"/>
      <c:layout>
        <c:manualLayout>
          <c:xMode val="edge"/>
          <c:yMode val="edge"/>
          <c:x val="0.33732560233748382"/>
          <c:y val="0.13563444068671557"/>
          <c:w val="0.55566301280206709"/>
          <c:h val="0.1166410747222205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2915A-B1AC-47AC-9D19-D22E364D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4456</Words>
  <Characters>21660</Characters>
  <Application>Microsoft Office Word</Application>
  <DocSecurity>0</DocSecurity>
  <Lines>1353</Lines>
  <Paragraphs>1135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dcterms:created xsi:type="dcterms:W3CDTF">2017-02-08T15:48:00Z</dcterms:created>
  <dcterms:modified xsi:type="dcterms:W3CDTF">2017-02-16T07:47:00Z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