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A784D1B43DC4ADF85A87BA282129D98" style="width:450.8pt;height:430.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before="360" w:after="0" w:line="240" w:lineRule="auto"/>
        <w:jc w:val="center"/>
        <w:rPr>
          <w:rFonts w:ascii="Times New Roman" w:hAnsi="Times New Roman" w:cs="Times New Roman"/>
          <w:b/>
          <w:noProof/>
          <w:sz w:val="24"/>
        </w:rPr>
      </w:pPr>
      <w:bookmarkStart w:id="1" w:name="_GoBack"/>
      <w:bookmarkEnd w:id="1"/>
      <w:r>
        <w:rPr>
          <w:rFonts w:ascii="Times New Roman" w:hAnsi="Times New Roman"/>
          <w:b/>
          <w:noProof/>
          <w:sz w:val="24"/>
        </w:rPr>
        <w:lastRenderedPageBreak/>
        <w:t>RAPPORT DE LA COMMISSION AU PARLEMENT EUROPÉEN, AU CONSEIL, AU COMITÉ ÉCONOMIQUE ET SOCIAL EUROPÉEN ET AU COMITÉ DES RÉGIONS</w:t>
      </w:r>
    </w:p>
    <w:p>
      <w:pPr>
        <w:spacing w:before="360" w:after="0" w:line="240" w:lineRule="auto"/>
        <w:jc w:val="center"/>
        <w:rPr>
          <w:rFonts w:ascii="Times New Roman" w:hAnsi="Times New Roman" w:cs="Times New Roman"/>
          <w:b/>
          <w:noProof/>
          <w:sz w:val="24"/>
        </w:rPr>
      </w:pPr>
    </w:p>
    <w:p>
      <w:pPr>
        <w:spacing w:before="360" w:after="0" w:line="240" w:lineRule="auto"/>
        <w:jc w:val="center"/>
        <w:rPr>
          <w:rFonts w:ascii="Times New Roman" w:hAnsi="Times New Roman" w:cs="Times New Roman"/>
          <w:b/>
          <w:noProof/>
          <w:sz w:val="24"/>
        </w:rPr>
      </w:pPr>
    </w:p>
    <w:p>
      <w:pPr>
        <w:spacing w:before="360" w:after="360" w:line="240" w:lineRule="auto"/>
        <w:jc w:val="center"/>
        <w:rPr>
          <w:rFonts w:ascii="Times New Roman" w:hAnsi="Times New Roman" w:cs="Times New Roman"/>
          <w:b/>
          <w:noProof/>
          <w:sz w:val="24"/>
        </w:rPr>
      </w:pPr>
      <w:r>
        <w:rPr>
          <w:rFonts w:ascii="Times New Roman" w:hAnsi="Times New Roman"/>
          <w:b/>
          <w:noProof/>
          <w:sz w:val="24"/>
        </w:rPr>
        <w:t>concernant la mise en œuvre de la législation de l’Union européenne en matière de déchets au cours de la période 2010-2012</w:t>
      </w:r>
    </w:p>
    <w:p>
      <w:pPr>
        <w:spacing w:before="360" w:after="360" w:line="240" w:lineRule="auto"/>
        <w:jc w:val="center"/>
        <w:rPr>
          <w:rFonts w:ascii="Times New Roman" w:hAnsi="Times New Roman" w:cs="Times New Roman"/>
          <w:b/>
          <w:noProof/>
          <w:sz w:val="24"/>
        </w:rPr>
      </w:pPr>
    </w:p>
    <w:p>
      <w:pPr>
        <w:pStyle w:val="Heading1"/>
      </w:pPr>
      <w:r>
        <w:t>INTRODUCTION</w:t>
      </w:r>
    </w:p>
    <w:p>
      <w:pPr>
        <w:keepNext/>
        <w:spacing w:before="600" w:after="240" w:line="240" w:lineRule="auto"/>
        <w:jc w:val="both"/>
        <w:outlineLvl w:val="0"/>
        <w:rPr>
          <w:rFonts w:ascii="Times New Roman" w:eastAsia="Times New Roman" w:hAnsi="Times New Roman" w:cs="Times New Roman"/>
          <w:noProof/>
          <w:sz w:val="24"/>
          <w:szCs w:val="24"/>
        </w:rPr>
      </w:pPr>
      <w:r>
        <w:rPr>
          <w:rFonts w:ascii="Times New Roman" w:hAnsi="Times New Roman"/>
          <w:noProof/>
          <w:sz w:val="24"/>
        </w:rPr>
        <w:t>Le présent rapport fournit des informations sur la mise en œuvre au cours de la période 2010-2012 des directives en matière de déchets énumérées ci-après:</w:t>
      </w:r>
    </w:p>
    <w:p>
      <w:pPr>
        <w:numPr>
          <w:ilvl w:val="0"/>
          <w:numId w:val="14"/>
        </w:numPr>
        <w:spacing w:before="120" w:after="12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la directive 2008/98/CE du Parlement européen et du Conseil du 19 novembre 2008 relative aux déchets et abrogeant certaines directives (directive-cadre relative aux déchets);</w:t>
      </w:r>
    </w:p>
    <w:p>
      <w:pPr>
        <w:numPr>
          <w:ilvl w:val="0"/>
          <w:numId w:val="14"/>
        </w:numPr>
        <w:spacing w:before="120" w:after="12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la directive 86/278/CEE du Conseil du 12 juin 1986 relative à la protection de l'environnement et notamment des sols, lors de l'utilisation des boues d'épuration en agriculture (directive relative aux boues d'épuration);</w:t>
      </w:r>
    </w:p>
    <w:p>
      <w:pPr>
        <w:numPr>
          <w:ilvl w:val="0"/>
          <w:numId w:val="14"/>
        </w:numPr>
        <w:spacing w:before="120" w:after="12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la directive 1999/31/CE du Conseil du 26 avril 1999 concernant la mise en décharge des déchets (directive concernant la mise en décharge);</w:t>
      </w:r>
    </w:p>
    <w:p>
      <w:pPr>
        <w:numPr>
          <w:ilvl w:val="0"/>
          <w:numId w:val="14"/>
        </w:numPr>
        <w:spacing w:before="120" w:after="12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la directive 94/62/CE du Parlement européen et du Conseil, du 20 décembre 1994, relative aux emballages et aux déchets d'emballages (directive relative aux emballages et aux déchets d'emballage);</w:t>
      </w:r>
    </w:p>
    <w:p>
      <w:pPr>
        <w:numPr>
          <w:ilvl w:val="0"/>
          <w:numId w:val="14"/>
        </w:numPr>
        <w:spacing w:before="120" w:after="12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la directive 2002/96/CE du Parlement européen et du Conseil du 27 janvier 2003 relative aux déchets d'équipements électriques et électroniques (directive DEEE);</w:t>
      </w:r>
    </w:p>
    <w:p>
      <w:pPr>
        <w:numPr>
          <w:ilvl w:val="0"/>
          <w:numId w:val="14"/>
        </w:numPr>
        <w:spacing w:before="120" w:after="24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la directive 2006/66/CE du Parlement européen et du Conseil du 6 septembre 2006 relative aux piles et accumulateurs ainsi qu'aux déchets de piles et d'accumulateurs et abrogeant la directive 91/157/CEE (Texte présentant de l'intérêt pour l'EEE) (directive relative aux piles).</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Le rapport s’appuie sur les informations fournies par les États membres dans leurs réponses aux questionnaires relatifs à la mise en œuvre. Dans les cas où les États membres n’ont pas fourni les informations demandées, le rapport s’appuie sur d’autres sources d’information disponibles, telles que les rapports de l’Agence européenne pour l’environnement, les informations provenant des sites internet des États membres et les réponses données pour les périodes de référence précédentes. Des informations détaillées sur la mise en œuvre des directives particulières peuvent être consultées à l’adresse suivante: </w:t>
      </w:r>
      <w:hyperlink r:id="rId16">
        <w:r>
          <w:rPr>
            <w:rFonts w:ascii="Times New Roman" w:hAnsi="Times New Roman"/>
            <w:noProof/>
            <w:color w:val="0000FF"/>
            <w:sz w:val="24"/>
            <w:u w:val="single"/>
          </w:rPr>
          <w:t>http://ec.europa.eu/environment/waste/reporting/index.htm</w:t>
        </w:r>
      </w:hyperlink>
      <w:r>
        <w:rPr>
          <w:rFonts w:ascii="Times New Roman" w:hAnsi="Times New Roman"/>
          <w:noProof/>
          <w:sz w:val="24"/>
        </w:rPr>
        <w:t>.</w:t>
      </w:r>
    </w:p>
    <w:p>
      <w:pPr>
        <w:pStyle w:val="Heading1"/>
      </w:pPr>
      <w:bookmarkStart w:id="2" w:name="_Ref416944161"/>
      <w:bookmarkStart w:id="3" w:name="_Ref416944165"/>
      <w:bookmarkStart w:id="4" w:name="_Toc425752515"/>
      <w:bookmarkStart w:id="5" w:name="_Toc442198287"/>
      <w:bookmarkStart w:id="6" w:name="_Toc447205565"/>
      <w:bookmarkStart w:id="7" w:name="_Toc459816923"/>
      <w:r>
        <w:t>Respect des délais et qualité des rapports</w:t>
      </w:r>
      <w:bookmarkEnd w:id="2"/>
      <w:bookmarkEnd w:id="3"/>
      <w:bookmarkEnd w:id="4"/>
      <w:bookmarkEnd w:id="5"/>
      <w:bookmarkEnd w:id="6"/>
      <w:bookmarkEnd w:id="7"/>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Sur les 27 États membres soumis à l’obligation de rapport</w:t>
      </w:r>
      <w:r>
        <w:rPr>
          <w:rFonts w:ascii="Times New Roman" w:hAnsi="Times New Roman"/>
          <w:noProof/>
          <w:sz w:val="20"/>
          <w:vertAlign w:val="superscript"/>
        </w:rPr>
        <w:footnoteReference w:id="1"/>
      </w:r>
      <w:r>
        <w:rPr>
          <w:rFonts w:ascii="Times New Roman" w:hAnsi="Times New Roman"/>
          <w:noProof/>
          <w:sz w:val="24"/>
        </w:rPr>
        <w:t>, la plupart d’entre eux ont répondu aux questionnaires relatifs à la mise en œuvre pour les directives couvertes par le présent rapport. Les États membres pourraient s’acquitter de manière plus satisfaisante de leurs obligations en matière de rapports, en rendant les rapports en temps et en heure, en répondant à toutes les questions et en fournissant des informations complètes. L’annexe 1 donne un aperçu des rapports fournis.</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 qualité et la précision des rapports et des informations fournies étaient très variables. À de nombreuses reprises, les réponses se sont révélées vagues et peu claires. Par exemple, il était fréquent que les réponses fassent uniquement référence à la législation nationale ou aux réponses fournies au cours de périodes de référence antérieures sans fournir de plus amples informations sur la mise en œuvre des directives sur le terrain, même lorsque cela était expressément demandé.</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Lorsqu’il était demandé de fournir des données statistiques et des données sur le respect des objectifs fixés par les directives, la plupart des États membres ont fait référence aux rapports annuels présentés à Eurostat</w:t>
      </w:r>
      <w:r>
        <w:rPr>
          <w:rFonts w:ascii="Times New Roman" w:hAnsi="Times New Roman"/>
          <w:noProof/>
          <w:sz w:val="20"/>
          <w:vertAlign w:val="superscript"/>
        </w:rPr>
        <w:footnoteReference w:id="2"/>
      </w:r>
      <w:r>
        <w:rPr>
          <w:rFonts w:ascii="Times New Roman" w:hAnsi="Times New Roman"/>
          <w:noProof/>
          <w:sz w:val="24"/>
        </w:rPr>
        <w:t>.</w:t>
      </w:r>
    </w:p>
    <w:p>
      <w:pPr>
        <w:pStyle w:val="Heading1"/>
      </w:pPr>
      <w:bookmarkStart w:id="8" w:name="_Toc425752516"/>
      <w:bookmarkStart w:id="9" w:name="_Toc442198288"/>
      <w:bookmarkStart w:id="10" w:name="_Toc447205566"/>
      <w:bookmarkStart w:id="11" w:name="_Toc459816924"/>
      <w:r>
        <w:t>Directive 2008/98/CE relative aux déchets</w:t>
      </w:r>
      <w:bookmarkEnd w:id="8"/>
      <w:bookmarkEnd w:id="9"/>
      <w:bookmarkEnd w:id="10"/>
      <w:bookmarkEnd w:id="11"/>
    </w:p>
    <w:p>
      <w:pP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Les États membres étaient tenus de transposer la nouvelle directive-cadre relative aux déchets pour le 12 décembre 2010 au plus tard. Au moment de la transmission des informations, tous les États membres avaient transposé la directive ou étaient en train de le faire.</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Par rapport à la période de référence précédente, la production de déchets municipaux par habitant est plus faible, la mise en décharge des déchets municipaux a diminué et le recyclage et l’incinération avec valorisation énergétique ont augmenté. À la fin de 2012, au moins la moitié des États membres avaient atteint ou dépassé l’objectif de 2020 visant à préparer en vue du réemploi et à recycler 50 % des déchets ménagers et assimilés ou étaient en bonne voie pour l’atteindre. Sept États membres ont indiqué qu’ils avaient déjà atteint ou dépassé cet objectif en 2012. Sept autres États membres ont signalé qu’ils avaient préparé en vue du réemploi et recyclé plus de 40 % des déchets ménagers et assimilés.</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Un certain nombre d’États membres ont communiqué des données sur les taux de valorisation des déchets de construction et de démolition pour 2010-2012. Quatorze États membres ont indiqué qu’ils avaient déjà atteint ou dépassé l’objectif fixé en matière de valorisation de 70 % des déchets de construction et de démolition.</w:t>
      </w:r>
    </w:p>
    <w:p>
      <w:pPr>
        <w:spacing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sz w:val="24"/>
        </w:rPr>
        <w:t xml:space="preserve">La plupart des États membres ont publié des programmes de prévention des déchets. Huit États membres étaient encore en train de mettre à jour leurs plans de gestion des déchets en conformité avec les exigences de la directive-cadre relative aux déchets. Les États membres ont intégré les principes de responsabilité élargie du producteur, d’autosuffisance et de proximité, et de pollueur-payeur, ainsi que les </w:t>
      </w:r>
      <w:r>
        <w:rPr>
          <w:rFonts w:ascii="Times New Roman" w:hAnsi="Times New Roman"/>
          <w:noProof/>
          <w:color w:val="000000" w:themeColor="text1"/>
          <w:sz w:val="24"/>
        </w:rPr>
        <w:t>exigences RTEE</w:t>
      </w:r>
      <w:r>
        <w:rPr>
          <w:rFonts w:ascii="Times New Roman" w:hAnsi="Times New Roman"/>
          <w:noProof/>
          <w:color w:val="000000" w:themeColor="text1"/>
          <w:sz w:val="24"/>
          <w:vertAlign w:val="superscript"/>
        </w:rPr>
        <w:footnoteReference w:id="3"/>
      </w:r>
      <w:r>
        <w:rPr>
          <w:rFonts w:ascii="Times New Roman" w:hAnsi="Times New Roman"/>
          <w:noProof/>
          <w:color w:val="000000" w:themeColor="text1"/>
          <w:sz w:val="24"/>
        </w:rPr>
        <w:t xml:space="preserve"> dans la législation et les politiques nationales.</w:t>
      </w:r>
    </w:p>
    <w:p>
      <w:pP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Il existe d’importantes lacunes dans l’application de la législation de l’UE en matière de déchets à la gestion des déchets dans un certain nombre d’États membres qui ont encore largement recours à la mise en décharge des déchets municipaux. La Commission a élaboré des orientations ciblées concernant la mise en œuvre de mesures spécifiques et l’utilisation des fonds européens pour aider ces États membres à améliorer la gestion de leurs déchets</w:t>
      </w:r>
      <w:r>
        <w:rPr>
          <w:rFonts w:ascii="Times New Roman" w:hAnsi="Times New Roman"/>
          <w:noProof/>
          <w:sz w:val="24"/>
          <w:vertAlign w:val="superscript"/>
        </w:rPr>
        <w:footnoteReference w:id="4"/>
      </w:r>
      <w:r>
        <w:rPr>
          <w:rFonts w:ascii="Times New Roman" w:hAnsi="Times New Roman"/>
          <w:noProof/>
          <w:sz w:val="24"/>
        </w:rPr>
        <w:t>.</w:t>
      </w:r>
    </w:p>
    <w:p>
      <w:pPr>
        <w:pStyle w:val="Heading1"/>
      </w:pPr>
      <w:bookmarkStart w:id="12" w:name="_Toc425752520"/>
      <w:bookmarkStart w:id="13" w:name="_Toc442198289"/>
      <w:bookmarkStart w:id="14" w:name="_Toc447205567"/>
      <w:bookmarkStart w:id="15" w:name="_Toc459816925"/>
      <w:r>
        <w:t>Directive 86/278/CEE relative aux boues d’épuration</w:t>
      </w:r>
      <w:bookmarkEnd w:id="12"/>
      <w:bookmarkEnd w:id="13"/>
      <w:bookmarkEnd w:id="14"/>
      <w:bookmarkEnd w:id="15"/>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 directive relative aux boues d’épuration est entrée en vigueur il y a près de trois décennies et sa mise en œuvre continue à ne pas poser de problème. Peu de choses ont changé depuis la dernière période de référence.</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Au cours de la période couverte par le rapport, les États membres n’ont pas tous utilisé des boues d’épuration à des fins agricoles. Dans certains États membres, l’utilisation agricole des boues d’épuration est rare voire inexistante. Un État membre a indiqué qu’il avait commencé à utiliser des boues d’épuration à des fins agricoles.</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Tous les États membres ont mis en place une infrastructure de traitement des boues et fait le point sur les méthodes pour traiter les boues d’épuration avant qu’elles ne soient appliquées sur les sols.</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En ce qui concerne l’exigence selon laquelle les États membres doivent décider de la fréquence des analyses des sols sur lesquels les boues sont utilisées, les performances varient grandement d’un pays à l’autre. Certains États membres ont fixé les échéances auxquelles les sols devraient être analysés après la première application des boues. D’autres États membres ont établi des fréquences pouvant aller jusqu’à 10 voire 20 ans. D’autres n’ont pas fixé de fréquences, exigeant que des analyses des sols ne soient réalisées que si l’on s’attend à ce que les valeurs limites soient dépassées.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Les données que les États membres ont fournies concernant les boues produites et utilisées en agriculture confirment que cet usage reste l’un des principaux. Malgré une production de boues réduite de 2 % au cours de la période 2010-2012 par rapport à la période 2007-2009, les États membres ont indiqué que la quantité de boues utilisée en agriculture était quasiment identique à celle utilisée lors de la période précédente.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Cela équivaut à environ 45 % de la quantité de boues produites.</w:t>
      </w:r>
    </w:p>
    <w:p>
      <w:pPr>
        <w:pStyle w:val="Heading1"/>
      </w:pPr>
      <w:bookmarkStart w:id="16" w:name="_Toc425752518"/>
      <w:bookmarkStart w:id="17" w:name="_Toc442198290"/>
      <w:bookmarkStart w:id="18" w:name="_Toc447205568"/>
      <w:bookmarkStart w:id="19" w:name="_Toc459816926"/>
      <w:r>
        <w:t>Directive 1999/31/CE concernant la mise en décharge des déchets</w:t>
      </w:r>
      <w:bookmarkEnd w:id="16"/>
      <w:bookmarkEnd w:id="17"/>
      <w:bookmarkEnd w:id="18"/>
      <w:bookmarkEnd w:id="19"/>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 directive concernant la mise en décharge est en vigueur depuis longtemps et il y a eu peu de changements depuis la dernière période de référence.</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Les États membres ont pris des mesures en vue de réduire au minimum ou d’éliminer les déchets mis en décharge. La mise en décharge des déchets municipaux dans l’UE-27 a diminué pour passer d’un total de 96,055 millions de tonnes/193 kg par habitant en 2009 à un total de 78,036 millions de tonnes/152 kg par habitant en 2012. Le taux moyen de mise en décharge pour la totalité des déchets produits a diminué, passant à 32 % en 2012. Certains États membres ont signalé des taux de mise en décharge pour les déchets municipaux en dessous de 5 % en 2012. Dans un certain nombre d’États membres, toutefois, la mise en décharge reste la principale opération de traitement des déchets municipaux, avec des taux de mise en décharge atteignant plus de 80 % de la quantité totale de déchets produits. Ces États membres ont beaucoup à faire pour réduire la mise en décharge des déchets.</w:t>
      </w:r>
    </w:p>
    <w:p>
      <w:pPr>
        <w:spacing w:after="120" w:line="240" w:lineRule="auto"/>
        <w:jc w:val="both"/>
        <w:rPr>
          <w:rFonts w:ascii="Times New Roman" w:eastAsia="Times New Roman" w:hAnsi="Times New Roman" w:cs="Times New Roman"/>
          <w:noProof/>
          <w:sz w:val="24"/>
          <w:szCs w:val="24"/>
          <w:vertAlign w:val="superscript"/>
        </w:rPr>
      </w:pPr>
      <w:r>
        <w:rPr>
          <w:rFonts w:ascii="Times New Roman" w:hAnsi="Times New Roman"/>
          <w:noProof/>
          <w:sz w:val="24"/>
        </w:rPr>
        <w:t>La plupart des États membres ont signalé une réduction d’année en année de la mise en décharge des déchets municipaux biodégradables et d’autres déchets biodégradables. L’exhaustivité des données fournies est toutefois variable.</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Les États membres ont pris des mesures pour assurer la collecte, le traitement et l’utilisation des gaz de décharge et réduire les nuisances et les dangers.</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Ils ont également transposé l’exigence relative aux critères d’admission des déchets dans leur droit national, y compris les exigences techniques telles que la surveillance des lixiviats, des eaux de surface, des eaux souterraines et des émissions gazeuses. Les données relatives à l’application pratique de ces exigences par les exploitants des décharges n’ont toutefois pas toujours été fournies.</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Quinze États membres ont déclaré que toutes leurs décharges pour déchets dangereux satisfaisaient aux exigences de la directive et sept ont signalé qu’ils comptaient encore des décharges non conformes. Onze États membres ont déclaré que toutes leurs décharges pour déchets non dangereux étaient conformes à la directive et dix États membres ont signalé qu’ils comptaient encore des décharges non conformes. Dix États membres ont déclaré que toutes leurs décharges pour déchets inertes étaient conformes à la directive et huit États membres ont signalé qu’ils comptaient encore de telles décharges non conformes.</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 nombre de décharges non conformes en exploitation pour l’ensemble des flux de déchets (dangereux, non dangereux et inertes) reste un sujet de préoccupation dans certains États membres. C’était également le cas au cours de la période de référence précédente. Il reste encore beaucoup à faire pour remédier à ce problème.</w:t>
      </w:r>
    </w:p>
    <w:p>
      <w:pPr>
        <w:pStyle w:val="Heading1"/>
      </w:pPr>
      <w:bookmarkStart w:id="20" w:name="_Toc425752519"/>
      <w:bookmarkStart w:id="21" w:name="_Toc442198291"/>
      <w:bookmarkStart w:id="22" w:name="_Toc447205569"/>
      <w:bookmarkStart w:id="23" w:name="_Toc459816927"/>
      <w:r>
        <w:t>Directive 94/62/CE relative aux emballages et aux déchets d’emballages</w:t>
      </w:r>
      <w:bookmarkEnd w:id="20"/>
      <w:bookmarkEnd w:id="21"/>
      <w:bookmarkEnd w:id="22"/>
      <w:bookmarkEnd w:id="23"/>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 directive relative aux emballages et aux déchets d’emballages est en vigueur depuis plus de 20 ans et il y a eu peu de changements depuis la dernière période de référence.</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Les États membres ont engagé des actions visant à prévenir la production de déchets d’emballages au moyen de diverses mesures. Celles-ci incluent notamment les plans en matière de prévention, les régimes de responsabilité du producteur, les mesures fiscales, les systèmes de tarification en fonction du volume des déchets, les marchés publics écologiques, les campagnes d'information et de sensibilisation, l’écoconception ainsi que les plans d’action pour les secteurs clés. Entre 2010 et 2012, la quantité et la composition des emballages et des déchets d’emballages déclarées sont restées stables, avec une quantité déclarée de déchets d’emballages produits dans l’UE-27 en augmentation de 0,16 % au cours de cette période.</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 plupart des États membres ont pris toute une série de mesures pour encourager la réutilisation. Celles-ci comprennent notamment les systèmes de consigne et de reprise pour des types d’emballages spécifiques, les mesures fiscales, l’obligation de proposer des produits dans des emballages réutilisables, la promotion de la réutilisation dans les plans de déchets et en tant que mesures de prévention des déchets, et les mesures d’information et de sensibilisation. Certains États membres ont instauré, ou prévoient d’instaurer, de nouveaux systèmes de consigne/remboursement.</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 grande majorité des États membres a atteint les objectifs de valorisation et de recyclage globaux des déchets d’emballages ainsi que les objectifs de recyclage par matériau.</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D’une façon générale, les performances des États membres se sont légèrement améliorées en matière de valorisation (de 76,3 % en 2010 à 78,5 % en 2012) et de recyclage (de 63,3 % en 2010 à 64,6 % en 2012).</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 plupart des États membres obligent les producteurs à collecter les déchets d’emballages aux fins de la valorisation et du recyclage. Les producteurs d’emballages remplissent leurs obligations en créant leurs propres systèmes de reprise ou en participant à un régime qui assure la reprise, la collecte, la réutilisation, le recyclage ou d’autres types de valorisation des déchets d’emballages. Certains États membres ont réalisé des progrès en développant les régimes de gestion collectifs des déchets d’emballages existants ou en mettant en place des programmes de reprise complémentaires et en augmentant le nombre de systèmes de conformité collectifs pour les déchets d’emballage.</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 plupart des États membres ont signalé l’existence de normes nationales pour les niveaux maximaux de concentration en métaux lourds présents dans les emballages. Sur la base de la décision 2009/292/CE de la Commission du 24 mars 2009, une dérogation par rapport aux niveaux de concentration en métaux lourds fixés dans la directive relative aux emballages et aux déchets d’emballages a été établie pour les caisses et les palettes en plastique. Malgré l’obligation de faire rapport sur le fonctionnement du système prévu par ladite décision et sur les progrès accomplis dans l’élimination progressive des caisses et des palettes en plastique présentant une trop grande concentration en métaux lourds, aucun État membre n’a fourni d’informations à ce sujet.</w:t>
      </w:r>
    </w:p>
    <w:p>
      <w:pPr>
        <w:pStyle w:val="Heading1"/>
      </w:pPr>
      <w:bookmarkStart w:id="24" w:name="_Toc416945226"/>
      <w:bookmarkStart w:id="25" w:name="_Toc416945285"/>
      <w:bookmarkStart w:id="26" w:name="_Toc416945228"/>
      <w:bookmarkStart w:id="27" w:name="_Toc416945287"/>
      <w:bookmarkStart w:id="28" w:name="_Toc425752517"/>
      <w:bookmarkStart w:id="29" w:name="_Toc442198292"/>
      <w:bookmarkStart w:id="30" w:name="_Toc447205570"/>
      <w:bookmarkStart w:id="31" w:name="_Toc459816928"/>
      <w:bookmarkEnd w:id="24"/>
      <w:bookmarkEnd w:id="25"/>
      <w:bookmarkEnd w:id="26"/>
      <w:bookmarkEnd w:id="27"/>
      <w:r>
        <w:t>Directive 2002/96/CE relative aux déchets d'équipements électriques et électroniques (DEEE)</w:t>
      </w:r>
      <w:bookmarkEnd w:id="28"/>
      <w:bookmarkEnd w:id="29"/>
      <w:bookmarkEnd w:id="30"/>
      <w:bookmarkEnd w:id="31"/>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L’exercice actuel couvre l’ancienne directive DEEE. Celle-ci a depuis été remplacée par la directive 2012/19/UE.</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Tous les États membres ont mis en place des systèmes de collecte et introduit des dispositions concernant le traitement respectueux de l’environnement des DEEE et des mesures garantissant le financement par les producteurs de la collecte, du traitement, de la valorisation et de l’élimination non polluante des DEEE provenant des ménages. Ils ont également instauré des mesures visant à garantir que les producteurs fournissent aux consommateurs et aux installations de traitement des DEEE les informations pertinentes.</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Une plus grande quantité de DEEE a été collectée, réutilisée/recyclée et valorisée entre 2010 et 2012 qu’au cours de la période de référence précédente.</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 quantité de DEEE collectés auprès des ménages dans l’UE-27 a augmenté, passant de 2,97 millions de tonnes à la fin de 2009 à 3,02 millions de tonnes à la fin de 2012. Au cours de cette période, 17 États membres ont atteint l’objectif de collecte de 4 kilogrammes par habitant de DEEE provenant des ménages.</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 plupart des États membres ont atteint les objectifs spécifiques par catégorie de la directive relatifs à la réutilisation/au recyclage et à la valorisation, avec des taux qui s’améliorent tout au long de la période de référence. Les taux les plus élevés qui ont été notifiés se rapportent au matériel grand public et aux petits appareils ménagers. En ce qui concerne le matériel grand public, 26 États membres ont atteint l’objectif de réutilisation/recyclage de 65 % et l’objectif de valorisation de 75 %. Ces États membres ont également atteint l’objectif de réutilisation/recyclage de 50 % et l’objectif de valorisation de 70 % pour les appareils ménagers. Le nombre d’États membres ayant atteint ces objectifs était légèrement supérieur à celui de la période de référence précédente, même si la liste des États membres est différente pour chaque catégorie de DEEE. Le nombre d’États membres ayant atteint les objectifs spécifiques par catégorie relatifs à la réutilisation et au recyclage a légèrement baissé uniquement pour quelques catégories de DEEE</w:t>
      </w:r>
      <w:r>
        <w:rPr>
          <w:rFonts w:ascii="Times New Roman" w:hAnsi="Times New Roman"/>
          <w:noProof/>
          <w:sz w:val="24"/>
          <w:vertAlign w:val="superscript"/>
        </w:rPr>
        <w:footnoteReference w:id="5"/>
      </w:r>
      <w:r>
        <w:rPr>
          <w:rFonts w:ascii="Times New Roman" w:hAnsi="Times New Roman"/>
          <w:noProof/>
          <w:sz w:val="24"/>
        </w:rPr>
        <w:t>.</w:t>
      </w:r>
    </w:p>
    <w:p>
      <w:pPr>
        <w:pStyle w:val="Heading1"/>
      </w:pPr>
      <w:bookmarkStart w:id="32" w:name="_Toc416945238"/>
      <w:bookmarkStart w:id="33" w:name="_Toc416945297"/>
      <w:bookmarkStart w:id="34" w:name="_Toc416945239"/>
      <w:bookmarkStart w:id="35" w:name="_Toc416945298"/>
      <w:bookmarkStart w:id="36" w:name="_Toc425752521"/>
      <w:bookmarkStart w:id="37" w:name="_Toc442198293"/>
      <w:bookmarkStart w:id="38" w:name="_Toc447205571"/>
      <w:bookmarkStart w:id="39" w:name="_Toc459816929"/>
      <w:bookmarkEnd w:id="32"/>
      <w:bookmarkEnd w:id="33"/>
      <w:bookmarkEnd w:id="34"/>
      <w:bookmarkEnd w:id="35"/>
      <w:r>
        <w:t>Directive 2006/66/CE relative aux piles et accumulateurs</w:t>
      </w:r>
      <w:bookmarkEnd w:id="36"/>
      <w:bookmarkEnd w:id="37"/>
      <w:bookmarkEnd w:id="38"/>
      <w:bookmarkEnd w:id="39"/>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C’est la première fois que les États membres étaient tenus de faire rapport à la Commission sur la directive relative aux piles. Il n’est donc pas possible de comparer avec la période de référence précédente.</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Tous les États membres ont transposé les exigences de la directive relative aux piles dans leur droit interne.</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 plupart des États membres ont mis en place des systèmes de collecte pour les piles et accumulateurs au cours de la période de référence et quelques États membres ont déclaré qu’ils travaillaient encore à rendre ces systèmes pleinement opérationnels. Les États membres ont mis en place des mesures pour le traitement et le recyclage des déchets de piles et d’accumulateurs.</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Les États membres ont indiqué qu’ils avaient instauré une série de mesures pour empêcher que les déchets de piles et d’accumulateurs soient mis en décharge, comme les systèmes d’autorisation et les listes des types de déchets ne pouvant être mis en décharge. Onze États membres ont déclaré avoir mis en place des mesures allant au-delà des obligations de la directive. Celles-ci incluent notamment la réduction au minimum de l’élimination des déchets de piles et d’accumulateurs industriels et automobiles en tant que déchets municipaux non triés, les campagnes de sensibilisation dans les écoles et les communautés et la mise à disposition de points de collecte pour la reprise gratuite.</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 26 septembre 2012, 20 États membres avaient atteint l’objectif minimal de collecte de 25 %.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Quatre États membres ont signalé qu’ils avaient atteint 100 % en matière de recyclage et huit États membres ont notifié des taux compris entre 50 % et 99 %.</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Dix-neuf États membres ont atteint et/ou dépassé les taux de rendement de recyclage des déchets de piles et d’accumulateurs plomb-acide, des déchets de piles et d’accumulateurs nickel-cadmium et des autres déchets de piles et d’accumulateurs. Deux États membres ont atteint et/ou dépassé les taux pour les déchets de piles et d’accumulateurs plomb-acide et les autres déchets de piles et d’accumulateurs et deux États membres les ont atteints et/ou dépassés pour les déchets de piles et d’accumulateurs plomb-acide uniquement.</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Deux États membres ont exporté des déchets de piles et d’accumulateurs vers des pays tiers. Un certain nombre d’États membres les ont exportés vers d’autres États membres, ce dont le questionnaire relatif à la mise en œuvre ne rend pas clairement compte. Les États membres sans installation de traitement ou de recyclage ont exporté la totalité des piles et accumulateurs collectés. Toutefois, un certain nombre d’États membres disposant d’installations de traitement ont également indiqué qu’ils avaient exporté leurs déchets de piles et d’accumulateurs en vue de les traiter ailleurs dans l’UE.</w:t>
      </w:r>
    </w:p>
    <w:p>
      <w:pPr>
        <w:pStyle w:val="Heading1"/>
      </w:pPr>
      <w:bookmarkStart w:id="40" w:name="_Toc425752522"/>
      <w:bookmarkStart w:id="41" w:name="_Toc442198294"/>
      <w:bookmarkStart w:id="42" w:name="_Toc447205572"/>
      <w:bookmarkStart w:id="43" w:name="_Toc459816930"/>
      <w:r>
        <w:t>Conclusions</w:t>
      </w:r>
      <w:bookmarkEnd w:id="40"/>
      <w:bookmarkEnd w:id="41"/>
      <w:bookmarkEnd w:id="42"/>
      <w:bookmarkEnd w:id="43"/>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Les États membres n’ont pas tous rempli l’obligation établie dans les directives de rendre compte à la Commission de leur mise en œuvre tous les trois ans. Certains n’ont pas répondu au questionnaire de mise en œuvre 2010-2012.</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Si les réponses étaient parfois détaillées et complètes, il est également arrivé qu’elles se limitent à faire référence à la législation nationale. La plupart des États membres ont répondu à la question de savoir si les mesures avaient été transposées en droit national, mais n’ont fait aucune observation sur le fait que les actions avaient été efficaces ou non ou avaient conduit à des améliorations dans la pratique. Certaines réponses étaient aussi parfois incohérentes. Dans certains cas, des données étaient manquantes. Dans d’autres cas, les réponses fournies ne permettaient pas de procéder à une comparaison entre les États membres ou entre les performances d’un État membre au cours de la période de référence précédente et celles de la période actuelle.</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Dans de nombreux cas, les réponses n’ont pas fourni d’informations suffisantes pour permettre une évaluation de l’état de la mise en œuvre effective des directives. Par exemple, un grand nombre de réponses se contentent de renvoyer à la législation nationale ou de reproduire des parties de textes législatifs, sans fournir d’autres informations sur la mise en œuvre ou en se référant uniquement aux réponses aux questionnaires relatifs à la mise en œuvre pour les périodes de référence précédentes, sans fournir les informations demandées ou des informations sur l’évolution de la situation au fil du temps.</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En conclusion, les rapports de mise en œuvre triennaux établis par les États membres ne se sont pas révélés efficaces pour vérifier le respect des directives, leur mise en œuvre et leurs effets. L’établissement des rapports nécessite également des ressources importantes et pourrait créer une charge administrative inutile.</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Les informations les plus objectives et les plus précises pour l’évaluation des performances en matière de gestion des déchets dans l’ensemble des États membres sont constituées par les données qu’ils sont tenus de fournir chaque année sur les déchets produits, la collecte des déchets, le recyclage et la valorisation des déchets, la mise en décharge, ainsi que la production de boues d’épuration et l’utilisation de ces dernières. Ils devraient par conséquent consentir davantage d’efforts pour améliorer la qualité, la fiabilité et la comparabilité de ces données. Pour ce faire, ils pourraient comparer différentes méthodes de communication des informations et introduire un rapport de contrôle de la qualité des données, de sorte que, lorsqu’ils rendent compte du respect des objectifs fixés par la législation, les États membres utilisent la méthode la plus récente et la plus harmonisée.</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Ces conclusions ont été abordées dans la récente révision de la politique et de la législation en matière de déchets</w:t>
      </w:r>
      <w:r>
        <w:rPr>
          <w:rFonts w:ascii="Times New Roman" w:hAnsi="Times New Roman"/>
          <w:noProof/>
          <w:sz w:val="24"/>
          <w:vertAlign w:val="superscript"/>
        </w:rPr>
        <w:footnoteReference w:id="6"/>
      </w:r>
      <w:r>
        <w:rPr>
          <w:rFonts w:ascii="Times New Roman" w:hAnsi="Times New Roman"/>
          <w:noProof/>
          <w:sz w:val="24"/>
        </w:rPr>
        <w:t>. Dans cette révision, la Commission a proposé d’abroger les dispositions obligeant les États membres à produire des rapports de mise en œuvre triennaux et de fonder le contrôle de conformité exclusivement sur des données statistiques de qualité que les États membres doivent fournir à la Commission une fois par an.</w:t>
      </w:r>
    </w:p>
    <w:p>
      <w:pPr>
        <w:spacing w:after="120" w:line="240" w:lineRule="auto"/>
        <w:jc w:val="both"/>
        <w:rPr>
          <w:rFonts w:ascii="Times New Roman" w:eastAsia="Times New Roman" w:hAnsi="Times New Roman" w:cs="Times New Roman"/>
          <w:noProof/>
          <w:sz w:val="24"/>
          <w:szCs w:val="24"/>
        </w:rPr>
      </w:pPr>
      <w:r>
        <w:rPr>
          <w:noProof/>
        </w:rPr>
        <w:br w:type="page"/>
      </w:r>
    </w:p>
    <w:p>
      <w:pPr>
        <w:keepNext/>
        <w:spacing w:before="600" w:after="240" w:line="240" w:lineRule="auto"/>
        <w:ind w:left="1200" w:right="-948" w:hanging="1200"/>
        <w:jc w:val="both"/>
        <w:outlineLvl w:val="0"/>
        <w:rPr>
          <w:rFonts w:ascii="Times New Roman" w:eastAsia="Times New Roman" w:hAnsi="Times New Roman" w:cs="Times New Roman"/>
          <w:b/>
          <w:bCs/>
          <w:smallCaps/>
          <w:noProof/>
          <w:sz w:val="24"/>
          <w:szCs w:val="24"/>
        </w:rPr>
      </w:pPr>
      <w:bookmarkStart w:id="44" w:name="_Toc442198299"/>
      <w:bookmarkStart w:id="45" w:name="_Toc447205576"/>
      <w:r>
        <w:rPr>
          <w:rFonts w:ascii="Times New Roman" w:hAnsi="Times New Roman"/>
          <w:b/>
          <w:smallCaps/>
          <w:noProof/>
          <w:sz w:val="24"/>
        </w:rPr>
        <w:t>Annexe 1:</w:t>
      </w:r>
      <w:bookmarkStart w:id="46" w:name="_Toc425752528"/>
      <w:r>
        <w:rPr>
          <w:noProof/>
        </w:rPr>
        <w:tab/>
      </w:r>
      <w:r>
        <w:rPr>
          <w:rFonts w:ascii="Times New Roman" w:hAnsi="Times New Roman"/>
          <w:b/>
          <w:smallCaps/>
          <w:noProof/>
          <w:sz w:val="24"/>
        </w:rPr>
        <w:t>Réponses des États membres aux questionnaires relatifs à la mise en œuvre</w:t>
      </w:r>
      <w:bookmarkEnd w:id="44"/>
      <w:bookmarkEnd w:id="46"/>
      <w:r>
        <w:rPr>
          <w:rFonts w:ascii="Times New Roman" w:hAnsi="Times New Roman"/>
          <w:b/>
          <w:smallCaps/>
          <w:noProof/>
          <w:sz w:val="24"/>
        </w:rPr>
        <w:t xml:space="preserve"> reçues par la Commission</w:t>
      </w:r>
      <w:bookmarkEnd w:id="45"/>
      <w:r>
        <w:rPr>
          <w:rFonts w:ascii="Times New Roman" w:hAnsi="Times New Roman"/>
          <w:b/>
          <w:smallCaps/>
          <w:noProof/>
          <w:sz w:val="24"/>
        </w:rPr>
        <w:t xml:space="preserve"> avant la fin 2014</w:t>
      </w:r>
    </w:p>
    <w:tbl>
      <w:tblPr>
        <w:tblW w:w="97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604"/>
        <w:gridCol w:w="1357"/>
        <w:gridCol w:w="1357"/>
        <w:gridCol w:w="1357"/>
        <w:gridCol w:w="1357"/>
        <w:gridCol w:w="1357"/>
        <w:gridCol w:w="1358"/>
      </w:tblGrid>
      <w:tr>
        <w:trPr>
          <w:cantSplit/>
          <w:tblHeader/>
        </w:trPr>
        <w:tc>
          <w:tcPr>
            <w:tcW w:w="1604" w:type="dxa"/>
            <w:shd w:val="clear" w:color="auto" w:fill="BFBFBF"/>
            <w:vAlign w:val="center"/>
          </w:tcPr>
          <w:p>
            <w:pPr>
              <w:spacing w:after="0" w:line="240" w:lineRule="auto"/>
              <w:jc w:val="center"/>
              <w:rPr>
                <w:rFonts w:ascii="Times New Roman" w:eastAsia="Times New Roman" w:hAnsi="Times New Roman" w:cs="Times New Roman"/>
                <w:b/>
                <w:noProof/>
              </w:rPr>
            </w:pPr>
            <w:r>
              <w:rPr>
                <w:rFonts w:ascii="Times New Roman" w:hAnsi="Times New Roman"/>
                <w:b/>
                <w:noProof/>
              </w:rPr>
              <w:t>États membres</w:t>
            </w:r>
          </w:p>
        </w:tc>
        <w:tc>
          <w:tcPr>
            <w:tcW w:w="1357" w:type="dxa"/>
            <w:shd w:val="clear" w:color="auto" w:fill="BFBFBF"/>
            <w:vAlign w:val="center"/>
          </w:tcPr>
          <w:p>
            <w:pPr>
              <w:spacing w:after="0" w:line="240" w:lineRule="auto"/>
              <w:jc w:val="center"/>
              <w:rPr>
                <w:rFonts w:ascii="Times New Roman" w:eastAsia="Times New Roman" w:hAnsi="Times New Roman" w:cs="Times New Roman"/>
                <w:b/>
                <w:noProof/>
              </w:rPr>
            </w:pPr>
            <w:r>
              <w:rPr>
                <w:rFonts w:ascii="Times New Roman" w:hAnsi="Times New Roman"/>
                <w:b/>
                <w:noProof/>
              </w:rPr>
              <w:t>Directive-cadre relative aux déchets</w:t>
            </w:r>
            <w:r>
              <w:rPr>
                <w:rFonts w:ascii="Times New Roman" w:eastAsia="Times New Roman" w:hAnsi="Times New Roman" w:cs="Times New Roman"/>
                <w:b/>
                <w:bCs/>
                <w:noProof/>
              </w:rPr>
              <w:br/>
            </w:r>
            <w:r>
              <w:rPr>
                <w:rFonts w:ascii="Times New Roman" w:hAnsi="Times New Roman"/>
                <w:b/>
                <w:noProof/>
              </w:rPr>
              <w:t>2008/98/CE</w:t>
            </w:r>
          </w:p>
        </w:tc>
        <w:tc>
          <w:tcPr>
            <w:tcW w:w="1357" w:type="dxa"/>
            <w:shd w:val="clear" w:color="auto" w:fill="BFBFBF"/>
            <w:vAlign w:val="center"/>
          </w:tcPr>
          <w:p>
            <w:pPr>
              <w:spacing w:after="0" w:line="240" w:lineRule="auto"/>
              <w:jc w:val="center"/>
              <w:rPr>
                <w:rFonts w:ascii="Times New Roman" w:eastAsia="Times New Roman" w:hAnsi="Times New Roman" w:cs="Times New Roman"/>
                <w:b/>
                <w:noProof/>
              </w:rPr>
            </w:pPr>
            <w:r>
              <w:rPr>
                <w:rFonts w:ascii="Times New Roman" w:hAnsi="Times New Roman"/>
                <w:b/>
                <w:noProof/>
              </w:rPr>
              <w:t xml:space="preserve">Directive DEEE </w:t>
            </w:r>
            <w:r>
              <w:rPr>
                <w:rFonts w:ascii="Times New Roman" w:eastAsia="Times New Roman" w:hAnsi="Times New Roman" w:cs="Times New Roman"/>
                <w:b/>
                <w:bCs/>
                <w:noProof/>
              </w:rPr>
              <w:br/>
            </w:r>
            <w:r>
              <w:rPr>
                <w:rFonts w:ascii="Times New Roman" w:hAnsi="Times New Roman"/>
                <w:b/>
                <w:noProof/>
              </w:rPr>
              <w:t>2002/96/CE</w:t>
            </w:r>
          </w:p>
        </w:tc>
        <w:tc>
          <w:tcPr>
            <w:tcW w:w="1357" w:type="dxa"/>
            <w:shd w:val="clear" w:color="auto" w:fill="BFBFBF"/>
            <w:vAlign w:val="center"/>
          </w:tcPr>
          <w:p>
            <w:pPr>
              <w:spacing w:after="0" w:line="240" w:lineRule="auto"/>
              <w:jc w:val="center"/>
              <w:rPr>
                <w:rFonts w:ascii="Times New Roman" w:eastAsia="Times New Roman" w:hAnsi="Times New Roman" w:cs="Times New Roman"/>
                <w:b/>
                <w:noProof/>
              </w:rPr>
            </w:pPr>
            <w:r>
              <w:rPr>
                <w:rFonts w:ascii="Times New Roman" w:hAnsi="Times New Roman"/>
                <w:b/>
                <w:noProof/>
              </w:rPr>
              <w:t xml:space="preserve">Directive concernant la mise en décharge </w:t>
            </w:r>
            <w:r>
              <w:rPr>
                <w:rFonts w:ascii="Times New Roman" w:eastAsia="Times New Roman" w:hAnsi="Times New Roman" w:cs="Times New Roman"/>
                <w:b/>
                <w:bCs/>
                <w:noProof/>
              </w:rPr>
              <w:br/>
            </w:r>
            <w:r>
              <w:rPr>
                <w:rFonts w:ascii="Times New Roman" w:hAnsi="Times New Roman"/>
                <w:b/>
                <w:noProof/>
              </w:rPr>
              <w:t>1999/31/CE</w:t>
            </w:r>
          </w:p>
        </w:tc>
        <w:tc>
          <w:tcPr>
            <w:tcW w:w="1357" w:type="dxa"/>
            <w:shd w:val="clear" w:color="auto" w:fill="BFBFBF"/>
            <w:vAlign w:val="center"/>
          </w:tcPr>
          <w:p>
            <w:pPr>
              <w:spacing w:after="0" w:line="240" w:lineRule="auto"/>
              <w:jc w:val="center"/>
              <w:rPr>
                <w:rFonts w:ascii="Times New Roman" w:eastAsia="Times New Roman" w:hAnsi="Times New Roman" w:cs="Times New Roman"/>
                <w:b/>
                <w:noProof/>
              </w:rPr>
            </w:pPr>
            <w:r>
              <w:rPr>
                <w:rFonts w:ascii="Times New Roman" w:hAnsi="Times New Roman"/>
                <w:b/>
                <w:noProof/>
              </w:rPr>
              <w:t>Directive relative aux emballages et déchets d’em-</w:t>
            </w:r>
            <w:r>
              <w:rPr>
                <w:rFonts w:ascii="Times New Roman" w:hAnsi="Times New Roman"/>
                <w:b/>
                <w:noProof/>
              </w:rPr>
              <w:br/>
              <w:t xml:space="preserve">ballages </w:t>
            </w:r>
            <w:r>
              <w:rPr>
                <w:rFonts w:ascii="Times New Roman" w:eastAsia="Times New Roman" w:hAnsi="Times New Roman" w:cs="Times New Roman"/>
                <w:b/>
                <w:bCs/>
                <w:noProof/>
              </w:rPr>
              <w:br/>
            </w:r>
            <w:r>
              <w:rPr>
                <w:rFonts w:ascii="Times New Roman" w:hAnsi="Times New Roman"/>
                <w:b/>
                <w:noProof/>
              </w:rPr>
              <w:t>94/62/CE</w:t>
            </w:r>
          </w:p>
        </w:tc>
        <w:tc>
          <w:tcPr>
            <w:tcW w:w="1357" w:type="dxa"/>
            <w:shd w:val="clear" w:color="auto" w:fill="BFBFBF"/>
            <w:vAlign w:val="center"/>
          </w:tcPr>
          <w:p>
            <w:pPr>
              <w:spacing w:after="0" w:line="240" w:lineRule="auto"/>
              <w:jc w:val="center"/>
              <w:rPr>
                <w:rFonts w:ascii="Times New Roman" w:eastAsia="Times New Roman" w:hAnsi="Times New Roman" w:cs="Times New Roman"/>
                <w:b/>
                <w:noProof/>
              </w:rPr>
            </w:pPr>
            <w:r>
              <w:rPr>
                <w:rFonts w:ascii="Times New Roman" w:hAnsi="Times New Roman"/>
                <w:b/>
                <w:noProof/>
              </w:rPr>
              <w:t xml:space="preserve">Directive relative aux boues d’épuration </w:t>
            </w:r>
            <w:r>
              <w:rPr>
                <w:rFonts w:ascii="Times New Roman" w:eastAsia="Times New Roman" w:hAnsi="Times New Roman" w:cs="Times New Roman"/>
                <w:b/>
                <w:bCs/>
                <w:noProof/>
              </w:rPr>
              <w:br/>
            </w:r>
            <w:r>
              <w:rPr>
                <w:rFonts w:ascii="Times New Roman" w:hAnsi="Times New Roman"/>
                <w:b/>
                <w:noProof/>
              </w:rPr>
              <w:t>86/278/CEE</w:t>
            </w:r>
          </w:p>
        </w:tc>
        <w:tc>
          <w:tcPr>
            <w:tcW w:w="1358" w:type="dxa"/>
            <w:shd w:val="clear" w:color="auto" w:fill="BFBFBF"/>
            <w:vAlign w:val="center"/>
          </w:tcPr>
          <w:p>
            <w:pPr>
              <w:spacing w:after="0" w:line="240" w:lineRule="auto"/>
              <w:jc w:val="center"/>
              <w:rPr>
                <w:rFonts w:ascii="Times New Roman" w:eastAsia="Times New Roman" w:hAnsi="Times New Roman" w:cs="Times New Roman"/>
                <w:b/>
                <w:noProof/>
              </w:rPr>
            </w:pPr>
            <w:r>
              <w:rPr>
                <w:rFonts w:ascii="Times New Roman" w:hAnsi="Times New Roman"/>
                <w:b/>
                <w:noProof/>
              </w:rPr>
              <w:t xml:space="preserve">Directive relative aux piles </w:t>
            </w:r>
            <w:r>
              <w:rPr>
                <w:rFonts w:ascii="Times New Roman" w:eastAsia="Times New Roman" w:hAnsi="Times New Roman" w:cs="Times New Roman"/>
                <w:b/>
                <w:bCs/>
                <w:noProof/>
              </w:rPr>
              <w:br/>
            </w:r>
            <w:r>
              <w:rPr>
                <w:rFonts w:ascii="Times New Roman" w:hAnsi="Times New Roman"/>
                <w:b/>
                <w:noProof/>
              </w:rPr>
              <w:t>2006/66/CE</w:t>
            </w:r>
          </w:p>
        </w:tc>
      </w:tr>
      <w:tr>
        <w:trPr>
          <w:cantSplit/>
        </w:trPr>
        <w:tc>
          <w:tcPr>
            <w:tcW w:w="1604" w:type="dxa"/>
            <w:shd w:val="clear" w:color="auto" w:fill="F2F2F2"/>
            <w:vAlign w:val="center"/>
          </w:tcPr>
          <w:p>
            <w:pPr>
              <w:spacing w:before="60" w:after="60" w:line="240" w:lineRule="auto"/>
              <w:rPr>
                <w:rFonts w:ascii="Times New Roman" w:eastAsia="Times New Roman" w:hAnsi="Times New Roman" w:cs="Times New Roman"/>
                <w:b/>
                <w:noProof/>
              </w:rPr>
            </w:pPr>
            <w:r>
              <w:rPr>
                <w:rFonts w:ascii="Times New Roman" w:hAnsi="Times New Roman"/>
                <w:b/>
                <w:noProof/>
              </w:rPr>
              <w:t>Allemagne</w:t>
            </w:r>
          </w:p>
        </w:tc>
        <w:tc>
          <w:tcPr>
            <w:tcW w:w="1357" w:type="dxa"/>
            <w:shd w:val="clear" w:color="auto" w:fill="C6D9F1" w:themeFill="text2" w:themeFillTint="33"/>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8"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r>
      <w:tr>
        <w:trPr>
          <w:cantSplit/>
        </w:trPr>
        <w:tc>
          <w:tcPr>
            <w:tcW w:w="1604" w:type="dxa"/>
            <w:shd w:val="clear" w:color="auto" w:fill="F2F2F2"/>
            <w:vAlign w:val="center"/>
          </w:tcPr>
          <w:p>
            <w:pPr>
              <w:spacing w:before="60" w:after="60" w:line="240" w:lineRule="auto"/>
              <w:rPr>
                <w:rFonts w:ascii="Times New Roman" w:eastAsia="Times New Roman" w:hAnsi="Times New Roman" w:cs="Times New Roman"/>
                <w:b/>
                <w:noProof/>
              </w:rPr>
            </w:pPr>
            <w:r>
              <w:rPr>
                <w:rFonts w:ascii="Times New Roman" w:hAnsi="Times New Roman"/>
                <w:b/>
                <w:noProof/>
              </w:rPr>
              <w:t>Autriche</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8"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r>
      <w:tr>
        <w:trPr>
          <w:cantSplit/>
        </w:trPr>
        <w:tc>
          <w:tcPr>
            <w:tcW w:w="1604" w:type="dxa"/>
            <w:shd w:val="clear" w:color="auto" w:fill="F2F2F2"/>
            <w:vAlign w:val="center"/>
          </w:tcPr>
          <w:p>
            <w:pPr>
              <w:spacing w:before="60" w:after="60" w:line="240" w:lineRule="auto"/>
              <w:rPr>
                <w:rFonts w:ascii="Times New Roman" w:eastAsia="Times New Roman" w:hAnsi="Times New Roman" w:cs="Times New Roman"/>
                <w:b/>
                <w:noProof/>
              </w:rPr>
            </w:pPr>
            <w:r>
              <w:rPr>
                <w:rFonts w:ascii="Times New Roman" w:hAnsi="Times New Roman"/>
                <w:b/>
                <w:noProof/>
              </w:rPr>
              <w:t>Belgique</w:t>
            </w:r>
          </w:p>
        </w:tc>
        <w:tc>
          <w:tcPr>
            <w:tcW w:w="1357" w:type="dxa"/>
            <w:shd w:val="clear" w:color="auto" w:fill="FF0000"/>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r>
              <w:rPr>
                <w:rFonts w:ascii="Times New Roman" w:hAnsi="Times New Roman"/>
                <w:noProof/>
                <w:vertAlign w:val="superscript"/>
              </w:rPr>
              <w:footnoteReference w:id="7"/>
            </w:r>
          </w:p>
        </w:tc>
        <w:tc>
          <w:tcPr>
            <w:tcW w:w="1357" w:type="dxa"/>
            <w:shd w:val="clear" w:color="auto" w:fill="C6D9F1" w:themeFill="text2" w:themeFillTint="33"/>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8"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r>
      <w:tr>
        <w:trPr>
          <w:cantSplit/>
        </w:trPr>
        <w:tc>
          <w:tcPr>
            <w:tcW w:w="1604" w:type="dxa"/>
            <w:shd w:val="clear" w:color="auto" w:fill="F2F2F2"/>
            <w:vAlign w:val="center"/>
          </w:tcPr>
          <w:p>
            <w:pPr>
              <w:spacing w:before="60" w:after="60" w:line="240" w:lineRule="auto"/>
              <w:rPr>
                <w:rFonts w:ascii="Times New Roman" w:eastAsia="Times New Roman" w:hAnsi="Times New Roman" w:cs="Times New Roman"/>
                <w:b/>
                <w:noProof/>
              </w:rPr>
            </w:pPr>
            <w:r>
              <w:rPr>
                <w:rFonts w:ascii="Times New Roman" w:hAnsi="Times New Roman"/>
                <w:b/>
                <w:noProof/>
              </w:rPr>
              <w:t>Bulgarie</w:t>
            </w:r>
          </w:p>
        </w:tc>
        <w:tc>
          <w:tcPr>
            <w:tcW w:w="1357" w:type="dxa"/>
            <w:shd w:val="clear" w:color="auto" w:fill="C6D9F1" w:themeFill="text2" w:themeFillTint="33"/>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8"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r>
      <w:tr>
        <w:trPr>
          <w:cantSplit/>
        </w:trPr>
        <w:tc>
          <w:tcPr>
            <w:tcW w:w="1604" w:type="dxa"/>
            <w:shd w:val="clear" w:color="auto" w:fill="F2F2F2"/>
            <w:vAlign w:val="center"/>
          </w:tcPr>
          <w:p>
            <w:pPr>
              <w:spacing w:before="60" w:after="60" w:line="240" w:lineRule="auto"/>
              <w:rPr>
                <w:rFonts w:ascii="Times New Roman" w:eastAsia="Times New Roman" w:hAnsi="Times New Roman" w:cs="Times New Roman"/>
                <w:b/>
                <w:noProof/>
              </w:rPr>
            </w:pPr>
            <w:r>
              <w:rPr>
                <w:rFonts w:ascii="Times New Roman" w:hAnsi="Times New Roman"/>
                <w:b/>
                <w:noProof/>
              </w:rPr>
              <w:t>Chypre</w:t>
            </w:r>
          </w:p>
        </w:tc>
        <w:tc>
          <w:tcPr>
            <w:tcW w:w="1357" w:type="dxa"/>
            <w:shd w:val="clear" w:color="auto" w:fill="C6D9F1" w:themeFill="text2" w:themeFillTint="33"/>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F0000"/>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8"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r>
      <w:tr>
        <w:trPr>
          <w:cantSplit/>
        </w:trPr>
        <w:tc>
          <w:tcPr>
            <w:tcW w:w="1604" w:type="dxa"/>
            <w:shd w:val="clear" w:color="auto" w:fill="F2F2F2"/>
            <w:vAlign w:val="center"/>
          </w:tcPr>
          <w:p>
            <w:pPr>
              <w:spacing w:before="60" w:after="60" w:line="240" w:lineRule="auto"/>
              <w:rPr>
                <w:rFonts w:ascii="Times New Roman" w:eastAsia="Times New Roman" w:hAnsi="Times New Roman" w:cs="Times New Roman"/>
                <w:b/>
                <w:noProof/>
              </w:rPr>
            </w:pPr>
            <w:r>
              <w:rPr>
                <w:rFonts w:ascii="Times New Roman" w:hAnsi="Times New Roman"/>
                <w:b/>
                <w:noProof/>
              </w:rPr>
              <w:t>Croatie</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r>
              <w:rPr>
                <w:rFonts w:ascii="Times New Roman" w:eastAsia="Times New Roman" w:hAnsi="Times New Roman" w:cs="Times New Roman"/>
                <w:noProof/>
              </w:rPr>
              <w:br/>
            </w:r>
            <w:r>
              <w:rPr>
                <w:rFonts w:ascii="Times New Roman" w:hAnsi="Times New Roman"/>
                <w:noProof/>
              </w:rPr>
              <w:t>non requis</w:t>
            </w:r>
          </w:p>
        </w:tc>
        <w:tc>
          <w:tcPr>
            <w:tcW w:w="1357" w:type="dxa"/>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non requis</w:t>
            </w:r>
          </w:p>
        </w:tc>
        <w:tc>
          <w:tcPr>
            <w:tcW w:w="1357" w:type="dxa"/>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non requis</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r>
              <w:rPr>
                <w:rFonts w:ascii="Times New Roman" w:eastAsia="Times New Roman" w:hAnsi="Times New Roman" w:cs="Times New Roman"/>
                <w:noProof/>
              </w:rPr>
              <w:br/>
            </w:r>
            <w:r>
              <w:rPr>
                <w:rFonts w:ascii="Times New Roman" w:hAnsi="Times New Roman"/>
                <w:noProof/>
              </w:rPr>
              <w:t>non requis</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r>
              <w:rPr>
                <w:rFonts w:ascii="Times New Roman" w:eastAsia="Times New Roman" w:hAnsi="Times New Roman" w:cs="Times New Roman"/>
                <w:noProof/>
              </w:rPr>
              <w:br/>
            </w:r>
            <w:r>
              <w:rPr>
                <w:rFonts w:ascii="Times New Roman" w:hAnsi="Times New Roman"/>
                <w:noProof/>
              </w:rPr>
              <w:t>non requis</w:t>
            </w:r>
          </w:p>
        </w:tc>
        <w:tc>
          <w:tcPr>
            <w:tcW w:w="1358" w:type="dxa"/>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non requis</w:t>
            </w:r>
          </w:p>
        </w:tc>
      </w:tr>
      <w:tr>
        <w:trPr>
          <w:cantSplit/>
        </w:trPr>
        <w:tc>
          <w:tcPr>
            <w:tcW w:w="1604" w:type="dxa"/>
            <w:shd w:val="clear" w:color="auto" w:fill="F2F2F2"/>
            <w:vAlign w:val="center"/>
          </w:tcPr>
          <w:p>
            <w:pPr>
              <w:spacing w:before="60" w:after="60" w:line="240" w:lineRule="auto"/>
              <w:rPr>
                <w:rFonts w:ascii="Times New Roman" w:eastAsia="Times New Roman" w:hAnsi="Times New Roman" w:cs="Times New Roman"/>
                <w:b/>
                <w:noProof/>
              </w:rPr>
            </w:pPr>
            <w:r>
              <w:rPr>
                <w:rFonts w:ascii="Times New Roman" w:hAnsi="Times New Roman"/>
                <w:b/>
                <w:noProof/>
              </w:rPr>
              <w:t>Danemark</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F0000"/>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F0000"/>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F0000"/>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8" w:type="dxa"/>
            <w:shd w:val="clear" w:color="auto" w:fill="FF0000"/>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r>
      <w:tr>
        <w:trPr>
          <w:cantSplit/>
        </w:trPr>
        <w:tc>
          <w:tcPr>
            <w:tcW w:w="1604" w:type="dxa"/>
            <w:shd w:val="clear" w:color="auto" w:fill="F2F2F2"/>
            <w:vAlign w:val="center"/>
          </w:tcPr>
          <w:p>
            <w:pPr>
              <w:spacing w:before="60" w:after="60" w:line="240" w:lineRule="auto"/>
              <w:rPr>
                <w:rFonts w:ascii="Times New Roman" w:eastAsia="Times New Roman" w:hAnsi="Times New Roman" w:cs="Times New Roman"/>
                <w:b/>
                <w:noProof/>
              </w:rPr>
            </w:pPr>
            <w:r>
              <w:rPr>
                <w:rFonts w:ascii="Times New Roman" w:hAnsi="Times New Roman"/>
                <w:b/>
                <w:noProof/>
              </w:rPr>
              <w:t>Espagne</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C6D9F1" w:themeFill="text2" w:themeFillTint="33"/>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C6D9F1" w:themeFill="text2" w:themeFillTint="33"/>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8"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r>
      <w:tr>
        <w:trPr>
          <w:cantSplit/>
        </w:trPr>
        <w:tc>
          <w:tcPr>
            <w:tcW w:w="1604" w:type="dxa"/>
            <w:shd w:val="clear" w:color="auto" w:fill="F2F2F2"/>
            <w:vAlign w:val="center"/>
          </w:tcPr>
          <w:p>
            <w:pPr>
              <w:spacing w:before="60" w:after="60" w:line="240" w:lineRule="auto"/>
              <w:rPr>
                <w:rFonts w:ascii="Times New Roman" w:eastAsia="Times New Roman" w:hAnsi="Times New Roman" w:cs="Times New Roman"/>
                <w:b/>
                <w:noProof/>
              </w:rPr>
            </w:pPr>
            <w:r>
              <w:rPr>
                <w:rFonts w:ascii="Times New Roman" w:hAnsi="Times New Roman"/>
                <w:b/>
                <w:noProof/>
              </w:rPr>
              <w:t>Estonie</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C6D9F1" w:themeFill="text2" w:themeFillTint="33"/>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8"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r>
      <w:tr>
        <w:trPr>
          <w:cantSplit/>
        </w:trPr>
        <w:tc>
          <w:tcPr>
            <w:tcW w:w="1604" w:type="dxa"/>
            <w:shd w:val="clear" w:color="auto" w:fill="F2F2F2"/>
            <w:vAlign w:val="center"/>
          </w:tcPr>
          <w:p>
            <w:pPr>
              <w:spacing w:before="60" w:after="60" w:line="240" w:lineRule="auto"/>
              <w:rPr>
                <w:rFonts w:ascii="Times New Roman" w:eastAsia="Times New Roman" w:hAnsi="Times New Roman" w:cs="Times New Roman"/>
                <w:b/>
                <w:noProof/>
              </w:rPr>
            </w:pPr>
            <w:r>
              <w:rPr>
                <w:rFonts w:ascii="Times New Roman" w:hAnsi="Times New Roman"/>
                <w:b/>
                <w:noProof/>
              </w:rPr>
              <w:t>Finlande</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8"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r>
      <w:tr>
        <w:trPr>
          <w:cantSplit/>
        </w:trPr>
        <w:tc>
          <w:tcPr>
            <w:tcW w:w="1604" w:type="dxa"/>
            <w:shd w:val="clear" w:color="auto" w:fill="F2F2F2"/>
            <w:vAlign w:val="center"/>
          </w:tcPr>
          <w:p>
            <w:pPr>
              <w:spacing w:before="60" w:after="60" w:line="240" w:lineRule="auto"/>
              <w:rPr>
                <w:rFonts w:ascii="Times New Roman" w:eastAsia="Times New Roman" w:hAnsi="Times New Roman" w:cs="Times New Roman"/>
                <w:b/>
                <w:noProof/>
              </w:rPr>
            </w:pPr>
            <w:r>
              <w:rPr>
                <w:rFonts w:ascii="Times New Roman" w:hAnsi="Times New Roman"/>
                <w:b/>
                <w:noProof/>
              </w:rPr>
              <w:t>France</w:t>
            </w:r>
          </w:p>
        </w:tc>
        <w:tc>
          <w:tcPr>
            <w:tcW w:w="1357" w:type="dxa"/>
            <w:shd w:val="clear" w:color="auto" w:fill="FF0000"/>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F0000"/>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C6D9F1" w:themeFill="text2" w:themeFillTint="33"/>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F0000"/>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8"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r>
      <w:tr>
        <w:trPr>
          <w:cantSplit/>
        </w:trPr>
        <w:tc>
          <w:tcPr>
            <w:tcW w:w="1604" w:type="dxa"/>
            <w:shd w:val="clear" w:color="auto" w:fill="F2F2F2"/>
            <w:vAlign w:val="center"/>
          </w:tcPr>
          <w:p>
            <w:pPr>
              <w:spacing w:before="60" w:after="60" w:line="240" w:lineRule="auto"/>
              <w:rPr>
                <w:rFonts w:ascii="Times New Roman" w:eastAsia="Times New Roman" w:hAnsi="Times New Roman" w:cs="Times New Roman"/>
                <w:b/>
                <w:noProof/>
              </w:rPr>
            </w:pPr>
            <w:r>
              <w:rPr>
                <w:rFonts w:ascii="Times New Roman" w:hAnsi="Times New Roman"/>
                <w:b/>
                <w:noProof/>
              </w:rPr>
              <w:t>Grèce</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C6D9F1" w:themeFill="text2" w:themeFillTint="33"/>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8" w:type="dxa"/>
            <w:shd w:val="clear" w:color="auto" w:fill="FF0000"/>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r>
      <w:tr>
        <w:trPr>
          <w:cantSplit/>
        </w:trPr>
        <w:tc>
          <w:tcPr>
            <w:tcW w:w="1604" w:type="dxa"/>
            <w:shd w:val="clear" w:color="auto" w:fill="F2F2F2"/>
            <w:vAlign w:val="center"/>
          </w:tcPr>
          <w:p>
            <w:pPr>
              <w:spacing w:before="60" w:after="60" w:line="240" w:lineRule="auto"/>
              <w:rPr>
                <w:rFonts w:ascii="Times New Roman" w:eastAsia="Times New Roman" w:hAnsi="Times New Roman" w:cs="Times New Roman"/>
                <w:b/>
                <w:noProof/>
              </w:rPr>
            </w:pPr>
            <w:r>
              <w:rPr>
                <w:rFonts w:ascii="Times New Roman" w:hAnsi="Times New Roman"/>
                <w:b/>
                <w:noProof/>
              </w:rPr>
              <w:t>Hongrie</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C6D9F1" w:themeFill="text2" w:themeFillTint="33"/>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8"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r>
      <w:tr>
        <w:trPr>
          <w:cantSplit/>
        </w:trPr>
        <w:tc>
          <w:tcPr>
            <w:tcW w:w="1604" w:type="dxa"/>
            <w:shd w:val="clear" w:color="auto" w:fill="F2F2F2"/>
            <w:vAlign w:val="center"/>
          </w:tcPr>
          <w:p>
            <w:pPr>
              <w:spacing w:before="60" w:after="60" w:line="240" w:lineRule="auto"/>
              <w:rPr>
                <w:rFonts w:ascii="Times New Roman" w:eastAsia="Times New Roman" w:hAnsi="Times New Roman" w:cs="Times New Roman"/>
                <w:b/>
                <w:noProof/>
              </w:rPr>
            </w:pPr>
            <w:r>
              <w:rPr>
                <w:rFonts w:ascii="Times New Roman" w:hAnsi="Times New Roman"/>
                <w:b/>
                <w:noProof/>
              </w:rPr>
              <w:t>Irlande</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F0000"/>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C6D9F1" w:themeFill="text2" w:themeFillTint="33"/>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C6D9F1" w:themeFill="text2" w:themeFillTint="33"/>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8"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r>
      <w:tr>
        <w:trPr>
          <w:cantSplit/>
        </w:trPr>
        <w:tc>
          <w:tcPr>
            <w:tcW w:w="1604" w:type="dxa"/>
            <w:shd w:val="clear" w:color="auto" w:fill="F2F2F2"/>
            <w:vAlign w:val="center"/>
          </w:tcPr>
          <w:p>
            <w:pPr>
              <w:spacing w:before="60" w:after="60" w:line="240" w:lineRule="auto"/>
              <w:rPr>
                <w:rFonts w:ascii="Times New Roman" w:eastAsia="Times New Roman" w:hAnsi="Times New Roman" w:cs="Times New Roman"/>
                <w:b/>
                <w:noProof/>
              </w:rPr>
            </w:pPr>
            <w:r>
              <w:rPr>
                <w:rFonts w:ascii="Times New Roman" w:hAnsi="Times New Roman"/>
                <w:b/>
                <w:noProof/>
              </w:rPr>
              <w:t>Italie</w:t>
            </w:r>
          </w:p>
        </w:tc>
        <w:tc>
          <w:tcPr>
            <w:tcW w:w="1357" w:type="dxa"/>
            <w:shd w:val="clear" w:color="auto" w:fill="C6D9F1" w:themeFill="text2" w:themeFillTint="33"/>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F0000"/>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C6D9F1" w:themeFill="text2" w:themeFillTint="33"/>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8"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r>
      <w:tr>
        <w:trPr>
          <w:cantSplit/>
        </w:trPr>
        <w:tc>
          <w:tcPr>
            <w:tcW w:w="1604" w:type="dxa"/>
            <w:shd w:val="clear" w:color="auto" w:fill="F2F2F2"/>
            <w:vAlign w:val="center"/>
          </w:tcPr>
          <w:p>
            <w:pPr>
              <w:spacing w:before="60" w:after="60" w:line="240" w:lineRule="auto"/>
              <w:rPr>
                <w:rFonts w:ascii="Times New Roman" w:eastAsia="Times New Roman" w:hAnsi="Times New Roman" w:cs="Times New Roman"/>
                <w:b/>
                <w:noProof/>
              </w:rPr>
            </w:pPr>
            <w:r>
              <w:rPr>
                <w:rFonts w:ascii="Times New Roman" w:hAnsi="Times New Roman"/>
                <w:b/>
                <w:noProof/>
              </w:rPr>
              <w:t>Lettonie</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C6D9F1" w:themeFill="text2" w:themeFillTint="33"/>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F0000"/>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8" w:type="dxa"/>
            <w:shd w:val="clear" w:color="auto" w:fill="FF0000"/>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r>
      <w:tr>
        <w:trPr>
          <w:cantSplit/>
        </w:trPr>
        <w:tc>
          <w:tcPr>
            <w:tcW w:w="1604" w:type="dxa"/>
            <w:shd w:val="clear" w:color="auto" w:fill="F2F2F2"/>
            <w:vAlign w:val="center"/>
          </w:tcPr>
          <w:p>
            <w:pPr>
              <w:spacing w:before="60" w:after="60" w:line="240" w:lineRule="auto"/>
              <w:rPr>
                <w:rFonts w:ascii="Times New Roman" w:eastAsia="Times New Roman" w:hAnsi="Times New Roman" w:cs="Times New Roman"/>
                <w:b/>
                <w:noProof/>
              </w:rPr>
            </w:pPr>
            <w:r>
              <w:rPr>
                <w:rFonts w:ascii="Times New Roman" w:hAnsi="Times New Roman"/>
                <w:b/>
                <w:noProof/>
              </w:rPr>
              <w:t>Lituanie</w:t>
            </w:r>
          </w:p>
        </w:tc>
        <w:tc>
          <w:tcPr>
            <w:tcW w:w="1357" w:type="dxa"/>
            <w:shd w:val="clear" w:color="auto" w:fill="C6D9F1" w:themeFill="text2" w:themeFillTint="33"/>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C6D9F1" w:themeFill="text2" w:themeFillTint="33"/>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8"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r>
      <w:tr>
        <w:trPr>
          <w:cantSplit/>
        </w:trPr>
        <w:tc>
          <w:tcPr>
            <w:tcW w:w="1604" w:type="dxa"/>
            <w:shd w:val="clear" w:color="auto" w:fill="F2F2F2"/>
            <w:vAlign w:val="center"/>
          </w:tcPr>
          <w:p>
            <w:pPr>
              <w:spacing w:before="60" w:after="60" w:line="240" w:lineRule="auto"/>
              <w:rPr>
                <w:rFonts w:ascii="Times New Roman" w:eastAsia="Times New Roman" w:hAnsi="Times New Roman" w:cs="Times New Roman"/>
                <w:b/>
                <w:noProof/>
              </w:rPr>
            </w:pPr>
            <w:r>
              <w:rPr>
                <w:rFonts w:ascii="Times New Roman" w:hAnsi="Times New Roman"/>
                <w:b/>
                <w:noProof/>
              </w:rPr>
              <w:t>Luxembourg</w:t>
            </w:r>
          </w:p>
        </w:tc>
        <w:tc>
          <w:tcPr>
            <w:tcW w:w="1357" w:type="dxa"/>
            <w:shd w:val="clear" w:color="auto" w:fill="C6D9F1" w:themeFill="text2" w:themeFillTint="33"/>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F0000"/>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8"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r>
      <w:tr>
        <w:trPr>
          <w:cantSplit/>
        </w:trPr>
        <w:tc>
          <w:tcPr>
            <w:tcW w:w="1604" w:type="dxa"/>
            <w:shd w:val="clear" w:color="auto" w:fill="F2F2F2"/>
            <w:vAlign w:val="center"/>
          </w:tcPr>
          <w:p>
            <w:pPr>
              <w:spacing w:before="60" w:after="60" w:line="240" w:lineRule="auto"/>
              <w:rPr>
                <w:rFonts w:ascii="Times New Roman" w:eastAsia="Times New Roman" w:hAnsi="Times New Roman" w:cs="Times New Roman"/>
                <w:b/>
                <w:noProof/>
              </w:rPr>
            </w:pPr>
            <w:r>
              <w:rPr>
                <w:rFonts w:ascii="Times New Roman" w:hAnsi="Times New Roman"/>
                <w:b/>
                <w:noProof/>
              </w:rPr>
              <w:t>Malte</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F0000"/>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8"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r>
      <w:tr>
        <w:trPr>
          <w:cantSplit/>
        </w:trPr>
        <w:tc>
          <w:tcPr>
            <w:tcW w:w="1604" w:type="dxa"/>
            <w:shd w:val="clear" w:color="auto" w:fill="F2F2F2"/>
            <w:vAlign w:val="center"/>
          </w:tcPr>
          <w:p>
            <w:pPr>
              <w:spacing w:before="60" w:after="60" w:line="240" w:lineRule="auto"/>
              <w:rPr>
                <w:rFonts w:ascii="Times New Roman" w:eastAsia="Times New Roman" w:hAnsi="Times New Roman" w:cs="Times New Roman"/>
                <w:b/>
                <w:noProof/>
              </w:rPr>
            </w:pPr>
            <w:r>
              <w:rPr>
                <w:rFonts w:ascii="Times New Roman" w:hAnsi="Times New Roman"/>
                <w:b/>
                <w:noProof/>
              </w:rPr>
              <w:t>Pays-Bas</w:t>
            </w:r>
          </w:p>
        </w:tc>
        <w:tc>
          <w:tcPr>
            <w:tcW w:w="1357" w:type="dxa"/>
            <w:shd w:val="clear" w:color="auto" w:fill="FF0000"/>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C6D9F1" w:themeFill="text2" w:themeFillTint="33"/>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8"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r>
      <w:tr>
        <w:trPr>
          <w:cantSplit/>
        </w:trPr>
        <w:tc>
          <w:tcPr>
            <w:tcW w:w="1604" w:type="dxa"/>
            <w:shd w:val="clear" w:color="auto" w:fill="F2F2F2"/>
            <w:vAlign w:val="center"/>
          </w:tcPr>
          <w:p>
            <w:pPr>
              <w:spacing w:before="60" w:after="60" w:line="240" w:lineRule="auto"/>
              <w:rPr>
                <w:rFonts w:ascii="Times New Roman" w:eastAsia="Times New Roman" w:hAnsi="Times New Roman" w:cs="Times New Roman"/>
                <w:b/>
                <w:noProof/>
              </w:rPr>
            </w:pPr>
            <w:r>
              <w:rPr>
                <w:rFonts w:ascii="Times New Roman" w:hAnsi="Times New Roman"/>
                <w:b/>
                <w:noProof/>
              </w:rPr>
              <w:t>Pologne</w:t>
            </w:r>
          </w:p>
        </w:tc>
        <w:tc>
          <w:tcPr>
            <w:tcW w:w="1357" w:type="dxa"/>
            <w:shd w:val="clear" w:color="auto" w:fill="C6D9F1" w:themeFill="text2" w:themeFillTint="33"/>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F0000"/>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F0000"/>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8"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r>
      <w:tr>
        <w:trPr>
          <w:cantSplit/>
        </w:trPr>
        <w:tc>
          <w:tcPr>
            <w:tcW w:w="1604" w:type="dxa"/>
            <w:shd w:val="clear" w:color="auto" w:fill="F2F2F2"/>
            <w:vAlign w:val="center"/>
          </w:tcPr>
          <w:p>
            <w:pPr>
              <w:spacing w:before="60" w:after="60" w:line="240" w:lineRule="auto"/>
              <w:rPr>
                <w:rFonts w:ascii="Times New Roman" w:eastAsia="Times New Roman" w:hAnsi="Times New Roman" w:cs="Times New Roman"/>
                <w:b/>
                <w:noProof/>
              </w:rPr>
            </w:pPr>
            <w:r>
              <w:rPr>
                <w:rFonts w:ascii="Times New Roman" w:hAnsi="Times New Roman"/>
                <w:b/>
                <w:noProof/>
              </w:rPr>
              <w:t>Portugal</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F0000"/>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8"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r>
      <w:tr>
        <w:trPr>
          <w:cantSplit/>
        </w:trPr>
        <w:tc>
          <w:tcPr>
            <w:tcW w:w="1604" w:type="dxa"/>
            <w:shd w:val="clear" w:color="auto" w:fill="F2F2F2"/>
            <w:vAlign w:val="center"/>
          </w:tcPr>
          <w:p>
            <w:pPr>
              <w:spacing w:before="60" w:after="60" w:line="240" w:lineRule="auto"/>
              <w:rPr>
                <w:rFonts w:ascii="Times New Roman" w:eastAsia="Times New Roman" w:hAnsi="Times New Roman" w:cs="Times New Roman"/>
                <w:b/>
                <w:noProof/>
              </w:rPr>
            </w:pPr>
            <w:r>
              <w:rPr>
                <w:rFonts w:ascii="Times New Roman" w:hAnsi="Times New Roman"/>
                <w:b/>
                <w:noProof/>
              </w:rPr>
              <w:t>République tchèque</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8"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r>
      <w:tr>
        <w:trPr>
          <w:cantSplit/>
        </w:trPr>
        <w:tc>
          <w:tcPr>
            <w:tcW w:w="1604" w:type="dxa"/>
            <w:shd w:val="clear" w:color="auto" w:fill="F2F2F2"/>
            <w:vAlign w:val="center"/>
          </w:tcPr>
          <w:p>
            <w:pPr>
              <w:spacing w:before="60" w:after="60" w:line="240" w:lineRule="auto"/>
              <w:rPr>
                <w:rFonts w:ascii="Times New Roman" w:eastAsia="Times New Roman" w:hAnsi="Times New Roman" w:cs="Times New Roman"/>
                <w:b/>
                <w:noProof/>
              </w:rPr>
            </w:pPr>
            <w:r>
              <w:rPr>
                <w:rFonts w:ascii="Times New Roman" w:hAnsi="Times New Roman"/>
                <w:b/>
                <w:noProof/>
              </w:rPr>
              <w:t>Roumanie</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F0000"/>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F0000"/>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F0000"/>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8"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r>
      <w:tr>
        <w:trPr>
          <w:cantSplit/>
        </w:trPr>
        <w:tc>
          <w:tcPr>
            <w:tcW w:w="1604" w:type="dxa"/>
            <w:shd w:val="clear" w:color="auto" w:fill="F2F2F2"/>
            <w:vAlign w:val="center"/>
          </w:tcPr>
          <w:p>
            <w:pPr>
              <w:spacing w:before="60" w:after="60" w:line="240" w:lineRule="auto"/>
              <w:rPr>
                <w:rFonts w:ascii="Times New Roman" w:eastAsia="Times New Roman" w:hAnsi="Times New Roman" w:cs="Times New Roman"/>
                <w:b/>
                <w:noProof/>
              </w:rPr>
            </w:pPr>
            <w:r>
              <w:rPr>
                <w:rFonts w:ascii="Times New Roman" w:hAnsi="Times New Roman"/>
                <w:b/>
                <w:noProof/>
              </w:rPr>
              <w:t>Royaume-Uni</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F0000"/>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8"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r>
      <w:tr>
        <w:trPr>
          <w:cantSplit/>
        </w:trPr>
        <w:tc>
          <w:tcPr>
            <w:tcW w:w="1604" w:type="dxa"/>
            <w:shd w:val="clear" w:color="auto" w:fill="F2F2F2"/>
            <w:vAlign w:val="center"/>
          </w:tcPr>
          <w:p>
            <w:pPr>
              <w:spacing w:before="60" w:after="60" w:line="240" w:lineRule="auto"/>
              <w:rPr>
                <w:rFonts w:ascii="Times New Roman" w:eastAsia="Times New Roman" w:hAnsi="Times New Roman" w:cs="Times New Roman"/>
                <w:b/>
                <w:noProof/>
              </w:rPr>
            </w:pPr>
            <w:r>
              <w:rPr>
                <w:rFonts w:ascii="Times New Roman" w:hAnsi="Times New Roman"/>
                <w:b/>
                <w:noProof/>
              </w:rPr>
              <w:t>Slovaquie</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8"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r>
      <w:tr>
        <w:trPr>
          <w:cantSplit/>
        </w:trPr>
        <w:tc>
          <w:tcPr>
            <w:tcW w:w="1604" w:type="dxa"/>
            <w:shd w:val="clear" w:color="auto" w:fill="F2F2F2"/>
            <w:vAlign w:val="center"/>
          </w:tcPr>
          <w:p>
            <w:pPr>
              <w:spacing w:before="60" w:after="60" w:line="240" w:lineRule="auto"/>
              <w:rPr>
                <w:rFonts w:ascii="Times New Roman" w:eastAsia="Times New Roman" w:hAnsi="Times New Roman" w:cs="Times New Roman"/>
                <w:b/>
                <w:noProof/>
              </w:rPr>
            </w:pPr>
            <w:r>
              <w:rPr>
                <w:rFonts w:ascii="Times New Roman" w:hAnsi="Times New Roman"/>
                <w:b/>
                <w:noProof/>
              </w:rPr>
              <w:t>Slovénie</w:t>
            </w:r>
          </w:p>
        </w:tc>
        <w:tc>
          <w:tcPr>
            <w:tcW w:w="1357" w:type="dxa"/>
            <w:shd w:val="clear" w:color="auto" w:fill="C6D9F1" w:themeFill="text2" w:themeFillTint="33"/>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C6D9F1" w:themeFill="text2" w:themeFillTint="33"/>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C6D9F1" w:themeFill="text2" w:themeFillTint="33"/>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8"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r>
      <w:tr>
        <w:trPr>
          <w:cantSplit/>
        </w:trPr>
        <w:tc>
          <w:tcPr>
            <w:tcW w:w="1604" w:type="dxa"/>
            <w:shd w:val="clear" w:color="auto" w:fill="F2F2F2"/>
            <w:vAlign w:val="center"/>
          </w:tcPr>
          <w:p>
            <w:pPr>
              <w:spacing w:before="60" w:after="60" w:line="240" w:lineRule="auto"/>
              <w:rPr>
                <w:rFonts w:ascii="Times New Roman" w:eastAsia="Times New Roman" w:hAnsi="Times New Roman" w:cs="Times New Roman"/>
                <w:b/>
                <w:noProof/>
              </w:rPr>
            </w:pPr>
            <w:r>
              <w:rPr>
                <w:rFonts w:ascii="Times New Roman" w:hAnsi="Times New Roman"/>
                <w:b/>
                <w:noProof/>
              </w:rPr>
              <w:t>Suède</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FBD4B4" w:themeFill="accent6"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C6D9F1" w:themeFill="text2" w:themeFillTint="33"/>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7"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c>
          <w:tcPr>
            <w:tcW w:w="1358" w:type="dxa"/>
            <w:shd w:val="clear" w:color="auto" w:fill="D6E3BC" w:themeFill="accent3" w:themeFillTint="66"/>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noProof/>
              </w:rPr>
              <w:t>+</w:t>
            </w:r>
          </w:p>
        </w:tc>
      </w:tr>
      <w:tr>
        <w:trPr>
          <w:cantSplit/>
        </w:trPr>
        <w:tc>
          <w:tcPr>
            <w:tcW w:w="1604" w:type="dxa"/>
            <w:shd w:val="clear" w:color="auto" w:fill="D9D9D9" w:themeFill="background1" w:themeFillShade="D9"/>
            <w:vAlign w:val="center"/>
          </w:tcPr>
          <w:p>
            <w:pPr>
              <w:spacing w:before="60" w:after="60" w:line="240" w:lineRule="auto"/>
              <w:rPr>
                <w:rFonts w:ascii="Times New Roman" w:eastAsia="Times New Roman" w:hAnsi="Times New Roman" w:cs="Times New Roman"/>
                <w:b/>
                <w:noProof/>
              </w:rPr>
            </w:pPr>
            <w:r>
              <w:rPr>
                <w:rFonts w:ascii="Times New Roman" w:hAnsi="Times New Roman"/>
                <w:b/>
                <w:noProof/>
              </w:rPr>
              <w:t>UE-28: pourcentage reçu (en %)</w:t>
            </w:r>
          </w:p>
        </w:tc>
        <w:tc>
          <w:tcPr>
            <w:tcW w:w="1357" w:type="dxa"/>
            <w:shd w:val="clear" w:color="auto" w:fill="D9D9D9" w:themeFill="background1" w:themeFillShade="D9"/>
            <w:vAlign w:val="center"/>
          </w:tcPr>
          <w:p>
            <w:pPr>
              <w:spacing w:before="60" w:after="60" w:line="240" w:lineRule="auto"/>
              <w:jc w:val="center"/>
              <w:rPr>
                <w:rFonts w:ascii="Times New Roman" w:eastAsia="Times New Roman" w:hAnsi="Times New Roman" w:cs="Times New Roman"/>
                <w:b/>
                <w:bCs/>
                <w:noProof/>
              </w:rPr>
            </w:pPr>
            <w:r>
              <w:rPr>
                <w:rFonts w:ascii="Times New Roman" w:hAnsi="Times New Roman"/>
                <w:b/>
                <w:noProof/>
              </w:rPr>
              <w:t>89 %</w:t>
            </w:r>
          </w:p>
          <w:p>
            <w:pPr>
              <w:spacing w:before="60" w:after="60" w:line="240" w:lineRule="auto"/>
              <w:jc w:val="center"/>
              <w:rPr>
                <w:rFonts w:ascii="Times New Roman" w:eastAsia="Times New Roman" w:hAnsi="Times New Roman" w:cs="Times New Roman"/>
                <w:b/>
                <w:noProof/>
              </w:rPr>
            </w:pPr>
            <w:r>
              <w:rPr>
                <w:rFonts w:ascii="Times New Roman" w:hAnsi="Times New Roman"/>
                <w:b/>
                <w:noProof/>
              </w:rPr>
              <w:t>(25/28)</w:t>
            </w:r>
          </w:p>
        </w:tc>
        <w:tc>
          <w:tcPr>
            <w:tcW w:w="1357" w:type="dxa"/>
            <w:shd w:val="clear" w:color="auto" w:fill="D9D9D9" w:themeFill="background1" w:themeFillShade="D9"/>
            <w:vAlign w:val="center"/>
          </w:tcPr>
          <w:p>
            <w:pPr>
              <w:spacing w:before="60" w:after="60" w:line="240" w:lineRule="auto"/>
              <w:jc w:val="center"/>
              <w:rPr>
                <w:rFonts w:ascii="Times New Roman" w:eastAsia="Times New Roman" w:hAnsi="Times New Roman" w:cs="Times New Roman"/>
                <w:b/>
                <w:bCs/>
                <w:noProof/>
              </w:rPr>
            </w:pPr>
            <w:r>
              <w:rPr>
                <w:rFonts w:ascii="Times New Roman" w:hAnsi="Times New Roman"/>
                <w:b/>
                <w:noProof/>
              </w:rPr>
              <w:t>75 %</w:t>
            </w:r>
          </w:p>
          <w:p>
            <w:pPr>
              <w:spacing w:before="60" w:after="60" w:line="240" w:lineRule="auto"/>
              <w:jc w:val="center"/>
              <w:rPr>
                <w:rFonts w:ascii="Times New Roman" w:eastAsia="Times New Roman" w:hAnsi="Times New Roman" w:cs="Times New Roman"/>
                <w:b/>
                <w:noProof/>
              </w:rPr>
            </w:pPr>
            <w:r>
              <w:rPr>
                <w:rFonts w:ascii="Times New Roman" w:hAnsi="Times New Roman"/>
                <w:b/>
                <w:noProof/>
              </w:rPr>
              <w:t>(21/28)</w:t>
            </w:r>
          </w:p>
        </w:tc>
        <w:tc>
          <w:tcPr>
            <w:tcW w:w="1357" w:type="dxa"/>
            <w:shd w:val="clear" w:color="auto" w:fill="D9D9D9" w:themeFill="background1" w:themeFillShade="D9"/>
            <w:vAlign w:val="center"/>
          </w:tcPr>
          <w:p>
            <w:pPr>
              <w:spacing w:before="60" w:after="60" w:line="240" w:lineRule="auto"/>
              <w:jc w:val="center"/>
              <w:rPr>
                <w:rFonts w:ascii="Times New Roman" w:eastAsia="Times New Roman" w:hAnsi="Times New Roman" w:cs="Times New Roman"/>
                <w:b/>
                <w:bCs/>
                <w:noProof/>
              </w:rPr>
            </w:pPr>
            <w:r>
              <w:rPr>
                <w:rFonts w:ascii="Times New Roman" w:hAnsi="Times New Roman"/>
                <w:b/>
                <w:noProof/>
              </w:rPr>
              <w:t>82 %</w:t>
            </w:r>
          </w:p>
          <w:p>
            <w:pPr>
              <w:spacing w:before="60" w:after="60" w:line="240" w:lineRule="auto"/>
              <w:jc w:val="center"/>
              <w:rPr>
                <w:rFonts w:ascii="Times New Roman" w:eastAsia="Times New Roman" w:hAnsi="Times New Roman" w:cs="Times New Roman"/>
                <w:b/>
                <w:noProof/>
              </w:rPr>
            </w:pPr>
            <w:r>
              <w:rPr>
                <w:rFonts w:ascii="Times New Roman" w:hAnsi="Times New Roman"/>
                <w:b/>
                <w:noProof/>
              </w:rPr>
              <w:t>(23/28)</w:t>
            </w:r>
          </w:p>
        </w:tc>
        <w:tc>
          <w:tcPr>
            <w:tcW w:w="1357" w:type="dxa"/>
            <w:shd w:val="clear" w:color="auto" w:fill="D9D9D9" w:themeFill="background1" w:themeFillShade="D9"/>
            <w:vAlign w:val="center"/>
          </w:tcPr>
          <w:p>
            <w:pPr>
              <w:spacing w:before="60" w:after="60" w:line="240" w:lineRule="auto"/>
              <w:jc w:val="center"/>
              <w:rPr>
                <w:rFonts w:ascii="Times New Roman" w:eastAsia="Times New Roman" w:hAnsi="Times New Roman" w:cs="Times New Roman"/>
                <w:b/>
                <w:noProof/>
              </w:rPr>
            </w:pPr>
            <w:r>
              <w:rPr>
                <w:rFonts w:ascii="Times New Roman" w:hAnsi="Times New Roman"/>
                <w:b/>
                <w:noProof/>
              </w:rPr>
              <w:t>89 %</w:t>
            </w:r>
          </w:p>
          <w:p>
            <w:pPr>
              <w:spacing w:before="60" w:after="60" w:line="240" w:lineRule="auto"/>
              <w:jc w:val="center"/>
              <w:rPr>
                <w:rFonts w:ascii="Times New Roman" w:eastAsia="Times New Roman" w:hAnsi="Times New Roman" w:cs="Times New Roman"/>
                <w:b/>
                <w:noProof/>
              </w:rPr>
            </w:pPr>
            <w:r>
              <w:rPr>
                <w:rFonts w:ascii="Times New Roman" w:hAnsi="Times New Roman"/>
                <w:b/>
                <w:noProof/>
              </w:rPr>
              <w:t>(25/28)</w:t>
            </w:r>
          </w:p>
        </w:tc>
        <w:tc>
          <w:tcPr>
            <w:tcW w:w="1357" w:type="dxa"/>
            <w:shd w:val="clear" w:color="auto" w:fill="D9D9D9" w:themeFill="background1" w:themeFillShade="D9"/>
            <w:vAlign w:val="center"/>
          </w:tcPr>
          <w:p>
            <w:pPr>
              <w:spacing w:before="60" w:after="60" w:line="240" w:lineRule="auto"/>
              <w:jc w:val="center"/>
              <w:rPr>
                <w:rFonts w:ascii="Times New Roman" w:eastAsia="Times New Roman" w:hAnsi="Times New Roman" w:cs="Times New Roman"/>
                <w:b/>
                <w:bCs/>
                <w:noProof/>
              </w:rPr>
            </w:pPr>
            <w:r>
              <w:rPr>
                <w:rFonts w:ascii="Times New Roman" w:hAnsi="Times New Roman"/>
                <w:b/>
                <w:noProof/>
              </w:rPr>
              <w:t>82 %</w:t>
            </w:r>
          </w:p>
          <w:p>
            <w:pPr>
              <w:spacing w:before="60" w:after="60" w:line="240" w:lineRule="auto"/>
              <w:jc w:val="center"/>
              <w:rPr>
                <w:rFonts w:ascii="Times New Roman" w:eastAsia="Times New Roman" w:hAnsi="Times New Roman" w:cs="Times New Roman"/>
                <w:b/>
                <w:noProof/>
              </w:rPr>
            </w:pPr>
            <w:r>
              <w:rPr>
                <w:rFonts w:ascii="Times New Roman" w:hAnsi="Times New Roman"/>
                <w:b/>
                <w:noProof/>
              </w:rPr>
              <w:t>(23/28)</w:t>
            </w:r>
          </w:p>
        </w:tc>
        <w:tc>
          <w:tcPr>
            <w:tcW w:w="1358" w:type="dxa"/>
            <w:shd w:val="clear" w:color="auto" w:fill="D9D9D9" w:themeFill="background1" w:themeFillShade="D9"/>
            <w:vAlign w:val="center"/>
          </w:tcPr>
          <w:p>
            <w:pPr>
              <w:spacing w:before="60" w:after="60" w:line="240" w:lineRule="auto"/>
              <w:jc w:val="center"/>
              <w:rPr>
                <w:rFonts w:ascii="Times New Roman" w:eastAsia="Times New Roman" w:hAnsi="Times New Roman" w:cs="Times New Roman"/>
                <w:b/>
                <w:bCs/>
                <w:noProof/>
              </w:rPr>
            </w:pPr>
            <w:r>
              <w:rPr>
                <w:rFonts w:ascii="Times New Roman" w:hAnsi="Times New Roman"/>
                <w:b/>
                <w:noProof/>
              </w:rPr>
              <w:t>86 %</w:t>
            </w:r>
          </w:p>
          <w:p>
            <w:pPr>
              <w:spacing w:before="60" w:after="60" w:line="240" w:lineRule="auto"/>
              <w:jc w:val="center"/>
              <w:rPr>
                <w:rFonts w:ascii="Times New Roman" w:eastAsia="Times New Roman" w:hAnsi="Times New Roman" w:cs="Times New Roman"/>
                <w:b/>
                <w:noProof/>
              </w:rPr>
            </w:pPr>
            <w:r>
              <w:rPr>
                <w:rFonts w:ascii="Times New Roman" w:hAnsi="Times New Roman"/>
                <w:b/>
                <w:noProof/>
              </w:rPr>
              <w:t>(24/28)</w:t>
            </w:r>
          </w:p>
        </w:tc>
      </w:tr>
    </w:tbl>
    <w:p>
      <w:pPr>
        <w:spacing w:after="0" w:line="240" w:lineRule="auto"/>
        <w:rPr>
          <w:rFonts w:ascii="Times New Roman" w:eastAsia="Times New Roman" w:hAnsi="Times New Roman" w:cs="Times New Roman"/>
          <w:noProof/>
          <w:sz w:val="24"/>
          <w:szCs w:val="24"/>
        </w:rPr>
      </w:pPr>
    </w:p>
    <w:tbl>
      <w:tblPr>
        <w:tblW w:w="9639"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134"/>
        <w:gridCol w:w="3544"/>
        <w:gridCol w:w="284"/>
        <w:gridCol w:w="1134"/>
        <w:gridCol w:w="3543"/>
      </w:tblGrid>
      <w:tr>
        <w:trPr>
          <w:cantSplit/>
        </w:trPr>
        <w:tc>
          <w:tcPr>
            <w:tcW w:w="1134" w:type="dxa"/>
            <w:shd w:val="clear" w:color="auto" w:fill="D6E3BC" w:themeFill="accent3" w:themeFillTint="66"/>
            <w:vAlign w:val="center"/>
          </w:tcPr>
          <w:p>
            <w:pPr>
              <w:spacing w:after="120" w:line="240" w:lineRule="auto"/>
              <w:rPr>
                <w:rFonts w:ascii="Times New Roman" w:eastAsia="Times New Roman" w:hAnsi="Times New Roman" w:cs="Times New Roman"/>
                <w:b/>
                <w:noProof/>
              </w:rPr>
            </w:pPr>
          </w:p>
        </w:tc>
        <w:tc>
          <w:tcPr>
            <w:tcW w:w="3544" w:type="dxa"/>
            <w:shd w:val="clear" w:color="auto" w:fill="FFFFFF" w:themeFill="background1"/>
            <w:vAlign w:val="center"/>
          </w:tcPr>
          <w:p>
            <w:pPr>
              <w:spacing w:after="120" w:line="240" w:lineRule="auto"/>
              <w:rPr>
                <w:rFonts w:ascii="Times New Roman" w:eastAsia="Times New Roman" w:hAnsi="Times New Roman" w:cs="Times New Roman"/>
                <w:bCs/>
                <w:noProof/>
              </w:rPr>
            </w:pPr>
            <w:r>
              <w:rPr>
                <w:rFonts w:ascii="Times New Roman" w:hAnsi="Times New Roman"/>
                <w:noProof/>
              </w:rPr>
              <w:t>À temps: avant le 30.9.2013</w:t>
            </w:r>
          </w:p>
        </w:tc>
        <w:tc>
          <w:tcPr>
            <w:tcW w:w="284" w:type="dxa"/>
            <w:tcBorders>
              <w:top w:val="nil"/>
              <w:bottom w:val="nil"/>
            </w:tcBorders>
            <w:shd w:val="clear" w:color="auto" w:fill="auto"/>
          </w:tcPr>
          <w:p>
            <w:pPr>
              <w:spacing w:after="120" w:line="240" w:lineRule="auto"/>
              <w:rPr>
                <w:rFonts w:ascii="Times New Roman" w:eastAsia="Times New Roman" w:hAnsi="Times New Roman" w:cs="Times New Roman"/>
                <w:noProof/>
              </w:rPr>
            </w:pPr>
          </w:p>
        </w:tc>
        <w:tc>
          <w:tcPr>
            <w:tcW w:w="1134" w:type="dxa"/>
            <w:shd w:val="clear" w:color="auto" w:fill="FBD4B4" w:themeFill="accent6" w:themeFillTint="66"/>
          </w:tcPr>
          <w:p>
            <w:pPr>
              <w:spacing w:after="120" w:line="240" w:lineRule="auto"/>
              <w:rPr>
                <w:rFonts w:ascii="Times New Roman" w:eastAsia="Times New Roman" w:hAnsi="Times New Roman" w:cs="Times New Roman"/>
                <w:noProof/>
              </w:rPr>
            </w:pPr>
          </w:p>
        </w:tc>
        <w:tc>
          <w:tcPr>
            <w:tcW w:w="3543" w:type="dxa"/>
            <w:shd w:val="clear" w:color="auto" w:fill="FFFFFF" w:themeFill="background1"/>
          </w:tcPr>
          <w:p>
            <w:pPr>
              <w:spacing w:after="120" w:line="240" w:lineRule="auto"/>
              <w:rPr>
                <w:rFonts w:ascii="Times New Roman" w:eastAsia="Times New Roman" w:hAnsi="Times New Roman" w:cs="Times New Roman"/>
                <w:noProof/>
              </w:rPr>
            </w:pPr>
            <w:r>
              <w:rPr>
                <w:rFonts w:ascii="Times New Roman" w:hAnsi="Times New Roman"/>
                <w:noProof/>
              </w:rPr>
              <w:t>Entre le 1.11.2013 et le 31.12.2014</w:t>
            </w:r>
          </w:p>
        </w:tc>
      </w:tr>
      <w:tr>
        <w:trPr>
          <w:cantSplit/>
        </w:trPr>
        <w:tc>
          <w:tcPr>
            <w:tcW w:w="1134" w:type="dxa"/>
            <w:shd w:val="clear" w:color="auto" w:fill="C6D9F1" w:themeFill="text2" w:themeFillTint="33"/>
            <w:vAlign w:val="center"/>
          </w:tcPr>
          <w:p>
            <w:pPr>
              <w:spacing w:after="120" w:line="240" w:lineRule="auto"/>
              <w:rPr>
                <w:rFonts w:ascii="Times New Roman" w:eastAsia="Times New Roman" w:hAnsi="Times New Roman" w:cs="Times New Roman"/>
                <w:b/>
                <w:noProof/>
              </w:rPr>
            </w:pPr>
          </w:p>
        </w:tc>
        <w:tc>
          <w:tcPr>
            <w:tcW w:w="3544" w:type="dxa"/>
            <w:shd w:val="clear" w:color="auto" w:fill="FFFFFF" w:themeFill="background1"/>
            <w:vAlign w:val="center"/>
          </w:tcPr>
          <w:p>
            <w:pPr>
              <w:spacing w:before="120" w:after="120" w:line="240" w:lineRule="auto"/>
              <w:contextualSpacing/>
              <w:rPr>
                <w:rFonts w:ascii="Times New Roman" w:eastAsia="Times New Roman" w:hAnsi="Times New Roman" w:cs="Times New Roman"/>
                <w:noProof/>
              </w:rPr>
            </w:pPr>
            <w:r>
              <w:rPr>
                <w:rFonts w:ascii="Times New Roman" w:hAnsi="Times New Roman"/>
                <w:noProof/>
              </w:rPr>
              <w:t>Entre le 1.10.2013 et le 31.10.2013</w:t>
            </w:r>
          </w:p>
        </w:tc>
        <w:tc>
          <w:tcPr>
            <w:tcW w:w="284" w:type="dxa"/>
            <w:tcBorders>
              <w:top w:val="nil"/>
              <w:bottom w:val="nil"/>
            </w:tcBorders>
            <w:shd w:val="clear" w:color="auto" w:fill="auto"/>
          </w:tcPr>
          <w:p>
            <w:pPr>
              <w:spacing w:before="120" w:after="120" w:line="240" w:lineRule="auto"/>
              <w:contextualSpacing/>
              <w:rPr>
                <w:rFonts w:ascii="Times New Roman" w:eastAsia="Times New Roman" w:hAnsi="Times New Roman" w:cs="Times New Roman"/>
                <w:noProof/>
              </w:rPr>
            </w:pPr>
          </w:p>
        </w:tc>
        <w:tc>
          <w:tcPr>
            <w:tcW w:w="1134" w:type="dxa"/>
            <w:shd w:val="clear" w:color="auto" w:fill="FF0000"/>
          </w:tcPr>
          <w:p>
            <w:pPr>
              <w:spacing w:before="120" w:after="120" w:line="240" w:lineRule="auto"/>
              <w:contextualSpacing/>
              <w:rPr>
                <w:rFonts w:ascii="Times New Roman" w:eastAsia="Times New Roman" w:hAnsi="Times New Roman" w:cs="Times New Roman"/>
                <w:noProof/>
              </w:rPr>
            </w:pPr>
          </w:p>
        </w:tc>
        <w:tc>
          <w:tcPr>
            <w:tcW w:w="3543" w:type="dxa"/>
            <w:shd w:val="clear" w:color="auto" w:fill="FFFFFF" w:themeFill="background1"/>
          </w:tcPr>
          <w:p>
            <w:pPr>
              <w:spacing w:before="120" w:after="120" w:line="240" w:lineRule="auto"/>
              <w:contextualSpacing/>
              <w:rPr>
                <w:rFonts w:ascii="Times New Roman" w:eastAsia="Times New Roman" w:hAnsi="Times New Roman" w:cs="Times New Roman"/>
                <w:noProof/>
              </w:rPr>
            </w:pPr>
            <w:r>
              <w:rPr>
                <w:rFonts w:ascii="Times New Roman" w:hAnsi="Times New Roman"/>
                <w:noProof/>
              </w:rPr>
              <w:t>Aucun rapport reçu avant le 31.12.2014</w:t>
            </w:r>
          </w:p>
        </w:tc>
      </w:tr>
    </w:tbl>
    <w:p>
      <w:pPr>
        <w:spacing w:after="0" w:line="240" w:lineRule="auto"/>
        <w:rPr>
          <w:rFonts w:ascii="Times New Roman" w:eastAsia="Times New Roman" w:hAnsi="Times New Roman" w:cs="Times New Roman"/>
          <w:b/>
          <w:bCs/>
          <w:noProof/>
          <w:sz w:val="24"/>
          <w:szCs w:val="24"/>
        </w:rPr>
      </w:pPr>
    </w:p>
    <w:p>
      <w:pPr>
        <w:spacing w:after="0" w:line="240" w:lineRule="auto"/>
        <w:rPr>
          <w:rFonts w:ascii="Times New Roman" w:eastAsia="Times New Roman" w:hAnsi="Times New Roman" w:cs="Times New Roman"/>
          <w:b/>
          <w:bCs/>
          <w:noProof/>
          <w:sz w:val="24"/>
          <w:szCs w:val="24"/>
        </w:rPr>
      </w:pPr>
      <w:r>
        <w:rPr>
          <w:noProof/>
        </w:rPr>
        <w:br w:type="page"/>
      </w:r>
    </w:p>
    <w:p>
      <w:pPr>
        <w:keepNext/>
        <w:spacing w:before="600" w:after="240" w:line="240" w:lineRule="auto"/>
        <w:ind w:left="1200" w:right="-1749" w:hanging="1200"/>
        <w:jc w:val="both"/>
        <w:outlineLvl w:val="0"/>
        <w:rPr>
          <w:rFonts w:ascii="Times New Roman" w:eastAsia="Times New Roman" w:hAnsi="Times New Roman" w:cs="Times New Roman"/>
          <w:b/>
          <w:bCs/>
          <w:smallCaps/>
          <w:noProof/>
          <w:sz w:val="24"/>
          <w:szCs w:val="24"/>
        </w:rPr>
      </w:pPr>
      <w:bookmarkStart w:id="47" w:name="_Toc442198300"/>
      <w:bookmarkStart w:id="48" w:name="_Toc447205577"/>
      <w:r>
        <w:rPr>
          <w:rFonts w:ascii="Times New Roman" w:hAnsi="Times New Roman"/>
          <w:b/>
          <w:smallCaps/>
          <w:noProof/>
          <w:sz w:val="24"/>
        </w:rPr>
        <w:t>Annexe 2:</w:t>
      </w:r>
      <w:r>
        <w:rPr>
          <w:noProof/>
        </w:rPr>
        <w:tab/>
      </w:r>
      <w:r>
        <w:rPr>
          <w:rFonts w:ascii="Times New Roman" w:hAnsi="Times New Roman"/>
          <w:b/>
          <w:smallCaps/>
          <w:noProof/>
          <w:sz w:val="24"/>
        </w:rPr>
        <w:t>Production et traitement des déchets</w:t>
      </w:r>
      <w:bookmarkStart w:id="49" w:name="_Toc425752529"/>
      <w:bookmarkStart w:id="50" w:name="_Toc442187905"/>
      <w:bookmarkStart w:id="51" w:name="_Toc442187926"/>
      <w:bookmarkEnd w:id="47"/>
      <w:bookmarkEnd w:id="48"/>
    </w:p>
    <w:p>
      <w:pPr>
        <w:keepNext/>
        <w:spacing w:before="600" w:after="240" w:line="240" w:lineRule="auto"/>
        <w:ind w:left="360" w:right="-1749" w:hanging="360"/>
        <w:jc w:val="both"/>
        <w:outlineLvl w:val="0"/>
        <w:rPr>
          <w:rFonts w:ascii="Times New Roman" w:eastAsia="Times New Roman" w:hAnsi="Times New Roman" w:cs="Times New Roman"/>
          <w:b/>
          <w:bCs/>
          <w:noProof/>
          <w:sz w:val="24"/>
          <w:szCs w:val="24"/>
        </w:rPr>
      </w:pPr>
      <w:bookmarkStart w:id="52" w:name="_Toc425752531"/>
      <w:bookmarkStart w:id="53" w:name="_Toc442187907"/>
      <w:bookmarkStart w:id="54" w:name="_Toc442187928"/>
      <w:bookmarkStart w:id="55" w:name="_Toc442198305"/>
      <w:bookmarkStart w:id="56" w:name="_Toc447205582"/>
      <w:bookmarkEnd w:id="49"/>
      <w:bookmarkEnd w:id="50"/>
      <w:bookmarkEnd w:id="51"/>
      <w:r>
        <w:rPr>
          <w:rFonts w:ascii="Times New Roman" w:hAnsi="Times New Roman"/>
          <w:b/>
          <w:noProof/>
          <w:sz w:val="24"/>
        </w:rPr>
        <w:t xml:space="preserve">Déchets municipaux produits, par </w:t>
      </w:r>
      <w:bookmarkEnd w:id="52"/>
      <w:bookmarkEnd w:id="53"/>
      <w:bookmarkEnd w:id="54"/>
      <w:r>
        <w:rPr>
          <w:rFonts w:ascii="Times New Roman" w:hAnsi="Times New Roman"/>
          <w:b/>
          <w:noProof/>
          <w:sz w:val="24"/>
        </w:rPr>
        <w:t>État membre (en milliers de tonnes)</w:t>
      </w:r>
      <w:bookmarkEnd w:id="55"/>
      <w:bookmarkEnd w:id="56"/>
    </w:p>
    <w:p>
      <w:pPr>
        <w:keepNext/>
        <w:spacing w:after="240" w:line="240" w:lineRule="auto"/>
        <w:ind w:left="357" w:right="-1746" w:hanging="357"/>
        <w:jc w:val="both"/>
        <w:outlineLvl w:val="0"/>
        <w:rPr>
          <w:rFonts w:ascii="Times New Roman" w:eastAsia="Times New Roman" w:hAnsi="Times New Roman" w:cs="Times New Roman"/>
          <w:b/>
          <w:bCs/>
          <w:noProof/>
          <w:sz w:val="24"/>
          <w:szCs w:val="24"/>
        </w:rPr>
      </w:pPr>
      <w:r>
        <w:rPr>
          <w:noProof/>
          <w:lang w:val="en-US" w:eastAsia="en-US" w:bidi="ar-SA"/>
        </w:rPr>
        <w:drawing>
          <wp:inline distT="0" distB="0" distL="0" distR="0">
            <wp:extent cx="5734050" cy="3181350"/>
            <wp:effectExtent l="0" t="0" r="19050" b="1905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spacing w:after="120" w:line="240" w:lineRule="auto"/>
        <w:rPr>
          <w:rFonts w:ascii="Times New Roman" w:eastAsia="Times New Roman" w:hAnsi="Times New Roman" w:cs="Times New Roman"/>
          <w:i/>
          <w:noProof/>
          <w:sz w:val="20"/>
          <w:szCs w:val="24"/>
        </w:rPr>
      </w:pPr>
      <w:r>
        <w:rPr>
          <w:rFonts w:ascii="Times New Roman" w:hAnsi="Times New Roman"/>
          <w:i/>
          <w:noProof/>
          <w:sz w:val="20"/>
        </w:rPr>
        <w:t>Source: Eurostat (code des données en ligne: t_env_wasst)</w:t>
      </w:r>
    </w:p>
    <w:p>
      <w:pPr>
        <w:keepNext/>
        <w:spacing w:before="600" w:after="240" w:line="240" w:lineRule="auto"/>
        <w:ind w:left="360" w:right="-1749" w:hanging="360"/>
        <w:jc w:val="both"/>
        <w:outlineLvl w:val="0"/>
        <w:rPr>
          <w:rFonts w:ascii="Times New Roman" w:eastAsia="Times New Roman" w:hAnsi="Times New Roman" w:cs="Times New Roman"/>
          <w:b/>
          <w:bCs/>
          <w:noProof/>
          <w:sz w:val="24"/>
          <w:szCs w:val="24"/>
        </w:rPr>
      </w:pPr>
      <w:bookmarkStart w:id="57" w:name="_Toc425752532"/>
      <w:bookmarkStart w:id="58" w:name="_Toc442187908"/>
      <w:bookmarkStart w:id="59" w:name="_Toc442187929"/>
      <w:bookmarkStart w:id="60" w:name="_Toc442198307"/>
      <w:bookmarkStart w:id="61" w:name="_Toc447205584"/>
      <w:bookmarkStart w:id="62" w:name="_Ref411243975"/>
      <w:r>
        <w:rPr>
          <w:rFonts w:ascii="Times New Roman" w:hAnsi="Times New Roman"/>
          <w:b/>
          <w:noProof/>
          <w:sz w:val="24"/>
        </w:rPr>
        <w:t>Traitement des déchets municipaux, par État membre</w:t>
      </w:r>
      <w:bookmarkEnd w:id="57"/>
      <w:bookmarkEnd w:id="58"/>
      <w:bookmarkEnd w:id="59"/>
      <w:bookmarkEnd w:id="60"/>
      <w:bookmarkEnd w:id="61"/>
      <w:r>
        <w:rPr>
          <w:rFonts w:ascii="Times New Roman" w:hAnsi="Times New Roman"/>
          <w:b/>
          <w:noProof/>
          <w:sz w:val="24"/>
        </w:rPr>
        <w:t xml:space="preserve"> (2012)</w:t>
      </w:r>
    </w:p>
    <w:p>
      <w:pPr>
        <w:keepNext/>
        <w:spacing w:after="0" w:line="240" w:lineRule="auto"/>
        <w:ind w:left="357" w:right="-1746" w:hanging="357"/>
        <w:jc w:val="both"/>
        <w:outlineLvl w:val="0"/>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lang w:val="en-US" w:eastAsia="en-US" w:bidi="ar-SA"/>
        </w:rPr>
        <w:drawing>
          <wp:inline distT="0" distB="0" distL="0" distR="0">
            <wp:extent cx="5702400" cy="3535200"/>
            <wp:effectExtent l="0" t="0" r="0" b="825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02400" cy="3535200"/>
                    </a:xfrm>
                    <a:prstGeom prst="rect">
                      <a:avLst/>
                    </a:prstGeom>
                    <a:noFill/>
                  </pic:spPr>
                </pic:pic>
              </a:graphicData>
            </a:graphic>
          </wp:inline>
        </w:drawing>
      </w:r>
    </w:p>
    <w:p>
      <w:pPr>
        <w:spacing w:after="120" w:line="240" w:lineRule="auto"/>
        <w:rPr>
          <w:rFonts w:ascii="Times New Roman" w:eastAsia="Times New Roman" w:hAnsi="Times New Roman" w:cs="Times New Roman"/>
          <w:i/>
          <w:noProof/>
          <w:sz w:val="20"/>
          <w:szCs w:val="24"/>
        </w:rPr>
      </w:pPr>
      <w:r>
        <w:rPr>
          <w:rFonts w:ascii="Times New Roman" w:hAnsi="Times New Roman"/>
          <w:i/>
          <w:noProof/>
          <w:sz w:val="20"/>
        </w:rPr>
        <w:t>Source: Eurostat (code des données en ligne: t_env_wasst)</w:t>
      </w:r>
    </w:p>
    <w:p>
      <w:pPr>
        <w:keepNext/>
        <w:spacing w:before="600" w:after="240" w:line="240" w:lineRule="auto"/>
        <w:ind w:left="360" w:right="-1749" w:hanging="360"/>
        <w:jc w:val="both"/>
        <w:outlineLvl w:val="0"/>
        <w:rPr>
          <w:rFonts w:ascii="Times New Roman" w:eastAsia="Times New Roman" w:hAnsi="Times New Roman" w:cs="Times New Roman"/>
          <w:b/>
          <w:bCs/>
          <w:noProof/>
          <w:sz w:val="24"/>
          <w:szCs w:val="24"/>
        </w:rPr>
      </w:pPr>
      <w:bookmarkStart w:id="63" w:name="_Toc425752533"/>
      <w:bookmarkStart w:id="64" w:name="_Toc442187909"/>
      <w:bookmarkStart w:id="65" w:name="_Toc442187930"/>
      <w:bookmarkStart w:id="66" w:name="_Toc442198308"/>
      <w:bookmarkStart w:id="67" w:name="_Toc447205585"/>
      <w:bookmarkEnd w:id="62"/>
      <w:r>
        <w:rPr>
          <w:rFonts w:ascii="Times New Roman" w:hAnsi="Times New Roman"/>
          <w:b/>
          <w:noProof/>
          <w:sz w:val="24"/>
        </w:rPr>
        <w:t>Réemploi et recyclage des déchets ménagers, par État membre</w:t>
      </w:r>
      <w:bookmarkEnd w:id="63"/>
      <w:bookmarkEnd w:id="64"/>
      <w:bookmarkEnd w:id="65"/>
      <w:bookmarkEnd w:id="66"/>
      <w:bookmarkEnd w:id="67"/>
    </w:p>
    <w:p>
      <w:pPr>
        <w:spacing w:after="120" w:line="240" w:lineRule="auto"/>
        <w:rPr>
          <w:rFonts w:ascii="Times New Roman" w:eastAsia="Times New Roman" w:hAnsi="Times New Roman" w:cs="Times New Roman"/>
          <w:i/>
          <w:noProof/>
          <w:sz w:val="20"/>
          <w:szCs w:val="24"/>
        </w:rPr>
      </w:pPr>
      <w:r>
        <w:rPr>
          <w:rFonts w:ascii="Times New Roman" w:hAnsi="Times New Roman"/>
          <w:b/>
          <w:noProof/>
          <w:sz w:val="24"/>
          <w:lang w:val="en-US" w:eastAsia="en-US" w:bidi="ar-SA"/>
        </w:rPr>
        <w:drawing>
          <wp:inline distT="0" distB="0" distL="0" distR="0">
            <wp:extent cx="5727600" cy="3726000"/>
            <wp:effectExtent l="0" t="0" r="6985" b="8255"/>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7600" cy="3726000"/>
                    </a:xfrm>
                    <a:prstGeom prst="rect">
                      <a:avLst/>
                    </a:prstGeom>
                    <a:noFill/>
                  </pic:spPr>
                </pic:pic>
              </a:graphicData>
            </a:graphic>
          </wp:inline>
        </w:drawing>
      </w:r>
    </w:p>
    <w:p>
      <w:pPr>
        <w:spacing w:after="120" w:line="240" w:lineRule="auto"/>
        <w:rPr>
          <w:rFonts w:ascii="Times New Roman" w:eastAsia="Times New Roman" w:hAnsi="Times New Roman" w:cs="Times New Roman"/>
          <w:i/>
          <w:noProof/>
          <w:sz w:val="20"/>
          <w:szCs w:val="24"/>
        </w:rPr>
      </w:pPr>
      <w:r>
        <w:rPr>
          <w:rFonts w:ascii="Times New Roman" w:hAnsi="Times New Roman"/>
          <w:i/>
          <w:noProof/>
          <w:sz w:val="20"/>
        </w:rPr>
        <w:t>Source: données fournies par les États membres à la Commission européenne dans les questionnaires relatifs à la mise en œuvre 2010-2012 ou à Eurostat par l’intermédiaire du portail EDAMIS.</w:t>
      </w:r>
    </w:p>
    <w:p>
      <w:pPr>
        <w:spacing w:after="120" w:line="240" w:lineRule="auto"/>
        <w:rPr>
          <w:rFonts w:ascii="Times New Roman" w:eastAsia="Times New Roman" w:hAnsi="Times New Roman" w:cs="Times New Roman"/>
          <w:noProof/>
          <w:sz w:val="24"/>
          <w:szCs w:val="24"/>
        </w:rPr>
      </w:pPr>
      <w:r>
        <w:rPr>
          <w:noProof/>
        </w:rPr>
        <w:br w:type="page"/>
      </w:r>
    </w:p>
    <w:p>
      <w:pPr>
        <w:keepNext/>
        <w:spacing w:before="600" w:after="240" w:line="240" w:lineRule="auto"/>
        <w:ind w:left="360" w:right="-1749" w:hanging="360"/>
        <w:jc w:val="both"/>
        <w:outlineLvl w:val="0"/>
        <w:rPr>
          <w:rFonts w:ascii="Times New Roman" w:eastAsia="Times New Roman" w:hAnsi="Times New Roman" w:cs="Times New Roman"/>
          <w:b/>
          <w:bCs/>
          <w:noProof/>
          <w:sz w:val="24"/>
          <w:szCs w:val="24"/>
        </w:rPr>
      </w:pPr>
      <w:bookmarkStart w:id="68" w:name="_Toc425752534"/>
      <w:bookmarkStart w:id="69" w:name="_Toc442198309"/>
      <w:bookmarkStart w:id="70" w:name="_Toc447205586"/>
      <w:r>
        <w:rPr>
          <w:rFonts w:ascii="Times New Roman" w:hAnsi="Times New Roman"/>
          <w:b/>
          <w:noProof/>
          <w:sz w:val="24"/>
        </w:rPr>
        <w:t>Préparation en vue du réemploi et recyclage des déchets ménagers</w:t>
      </w:r>
      <w:bookmarkEnd w:id="68"/>
      <w:r>
        <w:rPr>
          <w:rFonts w:ascii="Times New Roman" w:hAnsi="Times New Roman"/>
          <w:b/>
          <w:noProof/>
          <w:sz w:val="24"/>
        </w:rPr>
        <w:t xml:space="preserve"> — Méthode de calcul</w:t>
      </w:r>
      <w:bookmarkEnd w:id="69"/>
      <w:bookmarkEnd w:id="70"/>
    </w:p>
    <w:tbl>
      <w:tblPr>
        <w:tblStyle w:val="Eunomia-NoTotals1"/>
        <w:tblW w:w="960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48"/>
        <w:gridCol w:w="1788"/>
        <w:gridCol w:w="1941"/>
        <w:gridCol w:w="1864"/>
        <w:gridCol w:w="1865"/>
      </w:tblGrid>
      <w:tr>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2148" w:type="dxa"/>
            <w:vMerge w:val="restart"/>
          </w:tcPr>
          <w:p>
            <w:pPr>
              <w:jc w:val="both"/>
              <w:rPr>
                <w:rFonts w:ascii="Times New Roman" w:hAnsi="Times New Roman"/>
                <w:noProof/>
              </w:rPr>
            </w:pPr>
            <w:r>
              <w:rPr>
                <w:rFonts w:ascii="Times New Roman" w:hAnsi="Times New Roman"/>
                <w:noProof/>
              </w:rPr>
              <w:t>État membre</w:t>
            </w:r>
          </w:p>
        </w:tc>
        <w:tc>
          <w:tcPr>
            <w:tcW w:w="1788" w:type="dxa"/>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rPr>
            </w:pPr>
          </w:p>
        </w:tc>
        <w:tc>
          <w:tcPr>
            <w:tcW w:w="5670" w:type="dxa"/>
            <w:gridSpan w:val="3"/>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Taux de préparation en vue du réemploi et de recyclage des déchets ménagers</w:t>
            </w:r>
          </w:p>
        </w:tc>
      </w:tr>
      <w:tr>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2148" w:type="dxa"/>
            <w:vMerge/>
          </w:tcPr>
          <w:p>
            <w:pPr>
              <w:jc w:val="both"/>
              <w:rPr>
                <w:rFonts w:ascii="Times New Roman" w:hAnsi="Times New Roman"/>
                <w:noProof/>
              </w:rPr>
            </w:pPr>
          </w:p>
        </w:tc>
        <w:tc>
          <w:tcPr>
            <w:tcW w:w="1788" w:type="dxa"/>
            <w:shd w:val="clear" w:color="auto" w:fill="F2F2F2" w:themeFill="background1" w:themeFillShade="F2"/>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Méthode de calcul employée par l’État membre</w:t>
            </w:r>
            <w:r>
              <w:rPr>
                <w:rFonts w:ascii="Times New Roman" w:hAnsi="Times New Roman"/>
                <w:noProof/>
                <w:vertAlign w:val="superscript"/>
              </w:rPr>
              <w:footnoteReference w:id="8"/>
            </w:r>
            <w:r>
              <w:rPr>
                <w:rFonts w:ascii="Times New Roman" w:hAnsi="Times New Roman"/>
                <w:noProof/>
              </w:rPr>
              <w:t>:</w:t>
            </w:r>
          </w:p>
        </w:tc>
        <w:tc>
          <w:tcPr>
            <w:tcW w:w="1941" w:type="dxa"/>
            <w:shd w:val="clear" w:color="auto" w:fill="F2F2F2" w:themeFill="background1" w:themeFillShade="F2"/>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2010</w:t>
            </w:r>
          </w:p>
        </w:tc>
        <w:tc>
          <w:tcPr>
            <w:tcW w:w="1864" w:type="dxa"/>
            <w:shd w:val="clear" w:color="auto" w:fill="F2F2F2" w:themeFill="background1" w:themeFillShade="F2"/>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2011</w:t>
            </w:r>
          </w:p>
        </w:tc>
        <w:tc>
          <w:tcPr>
            <w:tcW w:w="1865" w:type="dxa"/>
            <w:shd w:val="clear" w:color="auto" w:fill="F2F2F2" w:themeFill="background1" w:themeFillShade="F2"/>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2012</w:t>
            </w:r>
          </w:p>
        </w:tc>
      </w:tr>
      <w:tr>
        <w:trPr>
          <w:trHeight w:val="20"/>
        </w:trPr>
        <w:tc>
          <w:tcPr>
            <w:cnfStyle w:val="001000000000" w:firstRow="0" w:lastRow="0" w:firstColumn="1" w:lastColumn="0" w:oddVBand="0" w:evenVBand="0" w:oddHBand="0" w:evenHBand="0" w:firstRowFirstColumn="0" w:firstRowLastColumn="0" w:lastRowFirstColumn="0" w:lastRowLastColumn="0"/>
            <w:tcW w:w="2148" w:type="dxa"/>
          </w:tcPr>
          <w:p>
            <w:pPr>
              <w:jc w:val="both"/>
              <w:rPr>
                <w:rFonts w:ascii="Times New Roman" w:hAnsi="Times New Roman"/>
                <w:noProof/>
              </w:rPr>
            </w:pPr>
            <w:r>
              <w:rPr>
                <w:rFonts w:ascii="Times New Roman" w:hAnsi="Times New Roman"/>
                <w:noProof/>
              </w:rPr>
              <w:t>Allemagne</w:t>
            </w:r>
          </w:p>
        </w:tc>
        <w:tc>
          <w:tcPr>
            <w:tcW w:w="178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4</w:t>
            </w:r>
          </w:p>
        </w:tc>
        <w:tc>
          <w:tcPr>
            <w:tcW w:w="1941" w:type="dxa"/>
            <w:vAlign w:val="to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63 %</w:t>
            </w:r>
          </w:p>
        </w:tc>
        <w:tc>
          <w:tcPr>
            <w:tcW w:w="1864" w:type="dxa"/>
            <w:vAlign w:val="to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63 %</w:t>
            </w:r>
          </w:p>
        </w:tc>
        <w:tc>
          <w:tcPr>
            <w:tcW w:w="1865" w:type="dxa"/>
            <w:vAlign w:val="to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w:t>
            </w:r>
          </w:p>
        </w:tc>
      </w:tr>
      <w:tr>
        <w:trPr>
          <w:trHeight w:val="20"/>
        </w:trPr>
        <w:tc>
          <w:tcPr>
            <w:cnfStyle w:val="001000000000" w:firstRow="0" w:lastRow="0" w:firstColumn="1" w:lastColumn="0" w:oddVBand="0" w:evenVBand="0" w:oddHBand="0" w:evenHBand="0" w:firstRowFirstColumn="0" w:firstRowLastColumn="0" w:lastRowFirstColumn="0" w:lastRowLastColumn="0"/>
            <w:tcW w:w="2148" w:type="dxa"/>
          </w:tcPr>
          <w:p>
            <w:pPr>
              <w:jc w:val="both"/>
              <w:rPr>
                <w:rFonts w:ascii="Times New Roman" w:hAnsi="Times New Roman"/>
                <w:noProof/>
              </w:rPr>
            </w:pPr>
            <w:r>
              <w:rPr>
                <w:rFonts w:ascii="Times New Roman" w:hAnsi="Times New Roman"/>
                <w:noProof/>
              </w:rPr>
              <w:t>Autriche</w:t>
            </w:r>
          </w:p>
        </w:tc>
        <w:tc>
          <w:tcPr>
            <w:tcW w:w="178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2</w:t>
            </w:r>
          </w:p>
        </w:tc>
        <w:tc>
          <w:tcPr>
            <w:tcW w:w="1941"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79 %</w:t>
            </w:r>
          </w:p>
        </w:tc>
        <w:tc>
          <w:tcPr>
            <w:tcW w:w="1864"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w:t>
            </w:r>
          </w:p>
        </w:tc>
        <w:tc>
          <w:tcPr>
            <w:tcW w:w="1865"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79 %</w:t>
            </w:r>
          </w:p>
        </w:tc>
      </w:tr>
      <w:tr>
        <w:trPr>
          <w:trHeight w:val="20"/>
        </w:trPr>
        <w:tc>
          <w:tcPr>
            <w:cnfStyle w:val="001000000000" w:firstRow="0" w:lastRow="0" w:firstColumn="1" w:lastColumn="0" w:oddVBand="0" w:evenVBand="0" w:oddHBand="0" w:evenHBand="0" w:firstRowFirstColumn="0" w:firstRowLastColumn="0" w:lastRowFirstColumn="0" w:lastRowLastColumn="0"/>
            <w:tcW w:w="2148" w:type="dxa"/>
          </w:tcPr>
          <w:p>
            <w:pPr>
              <w:jc w:val="both"/>
              <w:rPr>
                <w:rFonts w:ascii="Times New Roman" w:hAnsi="Times New Roman"/>
                <w:noProof/>
              </w:rPr>
            </w:pPr>
            <w:r>
              <w:rPr>
                <w:rFonts w:ascii="Times New Roman" w:hAnsi="Times New Roman"/>
                <w:noProof/>
              </w:rPr>
              <w:t>Belgique</w:t>
            </w:r>
          </w:p>
        </w:tc>
        <w:tc>
          <w:tcPr>
            <w:tcW w:w="178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3</w:t>
            </w:r>
          </w:p>
        </w:tc>
        <w:tc>
          <w:tcPr>
            <w:tcW w:w="1941"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58 %</w:t>
            </w:r>
          </w:p>
        </w:tc>
        <w:tc>
          <w:tcPr>
            <w:tcW w:w="1864"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59 %</w:t>
            </w:r>
          </w:p>
        </w:tc>
        <w:tc>
          <w:tcPr>
            <w:tcW w:w="1865"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57 %</w:t>
            </w:r>
          </w:p>
        </w:tc>
      </w:tr>
      <w:tr>
        <w:trPr>
          <w:trHeight w:val="20"/>
        </w:trPr>
        <w:tc>
          <w:tcPr>
            <w:cnfStyle w:val="001000000000" w:firstRow="0" w:lastRow="0" w:firstColumn="1" w:lastColumn="0" w:oddVBand="0" w:evenVBand="0" w:oddHBand="0" w:evenHBand="0" w:firstRowFirstColumn="0" w:firstRowLastColumn="0" w:lastRowFirstColumn="0" w:lastRowLastColumn="0"/>
            <w:tcW w:w="2148" w:type="dxa"/>
          </w:tcPr>
          <w:p>
            <w:pPr>
              <w:jc w:val="both"/>
              <w:rPr>
                <w:rFonts w:ascii="Times New Roman" w:hAnsi="Times New Roman"/>
                <w:noProof/>
              </w:rPr>
            </w:pPr>
            <w:r>
              <w:rPr>
                <w:rFonts w:ascii="Times New Roman" w:hAnsi="Times New Roman"/>
                <w:noProof/>
              </w:rPr>
              <w:t>Bulgarie</w:t>
            </w:r>
          </w:p>
        </w:tc>
        <w:tc>
          <w:tcPr>
            <w:tcW w:w="178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3</w:t>
            </w:r>
          </w:p>
        </w:tc>
        <w:tc>
          <w:tcPr>
            <w:tcW w:w="1941"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29 %</w:t>
            </w:r>
          </w:p>
        </w:tc>
        <w:tc>
          <w:tcPr>
            <w:tcW w:w="1864"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32 %</w:t>
            </w:r>
          </w:p>
        </w:tc>
        <w:tc>
          <w:tcPr>
            <w:tcW w:w="1865" w:type="dxa"/>
            <w:vAlign w:val="to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w:t>
            </w:r>
          </w:p>
        </w:tc>
      </w:tr>
      <w:tr>
        <w:trPr>
          <w:trHeight w:val="20"/>
        </w:trPr>
        <w:tc>
          <w:tcPr>
            <w:cnfStyle w:val="001000000000" w:firstRow="0" w:lastRow="0" w:firstColumn="1" w:lastColumn="0" w:oddVBand="0" w:evenVBand="0" w:oddHBand="0" w:evenHBand="0" w:firstRowFirstColumn="0" w:firstRowLastColumn="0" w:lastRowFirstColumn="0" w:lastRowLastColumn="0"/>
            <w:tcW w:w="2148" w:type="dxa"/>
          </w:tcPr>
          <w:p>
            <w:pPr>
              <w:jc w:val="both"/>
              <w:rPr>
                <w:rFonts w:ascii="Times New Roman" w:hAnsi="Times New Roman"/>
                <w:noProof/>
              </w:rPr>
            </w:pPr>
            <w:r>
              <w:rPr>
                <w:rFonts w:ascii="Times New Roman" w:hAnsi="Times New Roman"/>
                <w:noProof/>
              </w:rPr>
              <w:t>Chypre</w:t>
            </w:r>
          </w:p>
        </w:tc>
        <w:tc>
          <w:tcPr>
            <w:tcW w:w="178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2</w:t>
            </w:r>
          </w:p>
        </w:tc>
        <w:tc>
          <w:tcPr>
            <w:tcW w:w="1941"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20,3 %</w:t>
            </w:r>
          </w:p>
        </w:tc>
        <w:tc>
          <w:tcPr>
            <w:tcW w:w="1864"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22,4 %</w:t>
            </w:r>
          </w:p>
        </w:tc>
        <w:tc>
          <w:tcPr>
            <w:tcW w:w="1865" w:type="dxa"/>
            <w:vAlign w:val="to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w:t>
            </w:r>
          </w:p>
        </w:tc>
      </w:tr>
      <w:tr>
        <w:trPr>
          <w:trHeight w:val="20"/>
        </w:trPr>
        <w:tc>
          <w:tcPr>
            <w:cnfStyle w:val="001000000000" w:firstRow="0" w:lastRow="0" w:firstColumn="1" w:lastColumn="0" w:oddVBand="0" w:evenVBand="0" w:oddHBand="0" w:evenHBand="0" w:firstRowFirstColumn="0" w:firstRowLastColumn="0" w:lastRowFirstColumn="0" w:lastRowLastColumn="0"/>
            <w:tcW w:w="2148" w:type="dxa"/>
          </w:tcPr>
          <w:p>
            <w:pPr>
              <w:jc w:val="both"/>
              <w:rPr>
                <w:rFonts w:ascii="Times New Roman" w:hAnsi="Times New Roman"/>
                <w:noProof/>
              </w:rPr>
            </w:pPr>
            <w:r>
              <w:rPr>
                <w:rFonts w:ascii="Times New Roman" w:hAnsi="Times New Roman"/>
                <w:noProof/>
              </w:rPr>
              <w:t>Croatie</w:t>
            </w:r>
          </w:p>
        </w:tc>
        <w:tc>
          <w:tcPr>
            <w:tcW w:w="178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2</w:t>
            </w:r>
          </w:p>
        </w:tc>
        <w:tc>
          <w:tcPr>
            <w:tcW w:w="1941" w:type="dxa"/>
            <w:vAlign w:val="to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w:t>
            </w:r>
          </w:p>
        </w:tc>
        <w:tc>
          <w:tcPr>
            <w:tcW w:w="1864" w:type="dxa"/>
            <w:vAlign w:val="to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15 %</w:t>
            </w:r>
          </w:p>
        </w:tc>
        <w:tc>
          <w:tcPr>
            <w:tcW w:w="1865" w:type="dxa"/>
            <w:vAlign w:val="to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w:t>
            </w:r>
          </w:p>
        </w:tc>
      </w:tr>
      <w:tr>
        <w:trPr>
          <w:trHeight w:val="20"/>
        </w:trPr>
        <w:tc>
          <w:tcPr>
            <w:cnfStyle w:val="001000000000" w:firstRow="0" w:lastRow="0" w:firstColumn="1" w:lastColumn="0" w:oddVBand="0" w:evenVBand="0" w:oddHBand="0" w:evenHBand="0" w:firstRowFirstColumn="0" w:firstRowLastColumn="0" w:lastRowFirstColumn="0" w:lastRowLastColumn="0"/>
            <w:tcW w:w="2148" w:type="dxa"/>
          </w:tcPr>
          <w:p>
            <w:pPr>
              <w:jc w:val="both"/>
              <w:rPr>
                <w:rFonts w:ascii="Times New Roman" w:hAnsi="Times New Roman"/>
                <w:noProof/>
              </w:rPr>
            </w:pPr>
            <w:r>
              <w:rPr>
                <w:rFonts w:ascii="Times New Roman" w:hAnsi="Times New Roman"/>
                <w:noProof/>
              </w:rPr>
              <w:t>Danemark</w:t>
            </w:r>
          </w:p>
        </w:tc>
        <w:tc>
          <w:tcPr>
            <w:tcW w:w="178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1</w:t>
            </w:r>
          </w:p>
        </w:tc>
        <w:tc>
          <w:tcPr>
            <w:tcW w:w="1941" w:type="dxa"/>
            <w:vAlign w:val="to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w:t>
            </w:r>
          </w:p>
        </w:tc>
        <w:tc>
          <w:tcPr>
            <w:tcW w:w="1864" w:type="dxa"/>
            <w:vAlign w:val="to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w:t>
            </w:r>
          </w:p>
        </w:tc>
        <w:tc>
          <w:tcPr>
            <w:tcW w:w="1865"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53 %</w:t>
            </w:r>
          </w:p>
        </w:tc>
      </w:tr>
      <w:tr>
        <w:trPr>
          <w:trHeight w:val="20"/>
        </w:trPr>
        <w:tc>
          <w:tcPr>
            <w:cnfStyle w:val="001000000000" w:firstRow="0" w:lastRow="0" w:firstColumn="1" w:lastColumn="0" w:oddVBand="0" w:evenVBand="0" w:oddHBand="0" w:evenHBand="0" w:firstRowFirstColumn="0" w:firstRowLastColumn="0" w:lastRowFirstColumn="0" w:lastRowLastColumn="0"/>
            <w:tcW w:w="2148" w:type="dxa"/>
          </w:tcPr>
          <w:p>
            <w:pPr>
              <w:jc w:val="both"/>
              <w:rPr>
                <w:rFonts w:ascii="Times New Roman" w:hAnsi="Times New Roman"/>
                <w:noProof/>
              </w:rPr>
            </w:pPr>
            <w:r>
              <w:rPr>
                <w:rFonts w:ascii="Times New Roman" w:hAnsi="Times New Roman"/>
                <w:noProof/>
              </w:rPr>
              <w:t>Espagne</w:t>
            </w:r>
          </w:p>
        </w:tc>
        <w:tc>
          <w:tcPr>
            <w:tcW w:w="178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4</w:t>
            </w:r>
          </w:p>
        </w:tc>
        <w:tc>
          <w:tcPr>
            <w:tcW w:w="1941"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29 %</w:t>
            </w:r>
          </w:p>
        </w:tc>
        <w:tc>
          <w:tcPr>
            <w:tcW w:w="1864"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27 %</w:t>
            </w:r>
          </w:p>
        </w:tc>
        <w:tc>
          <w:tcPr>
            <w:tcW w:w="1865"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w:t>
            </w:r>
          </w:p>
        </w:tc>
      </w:tr>
      <w:tr>
        <w:trPr>
          <w:trHeight w:val="20"/>
        </w:trPr>
        <w:tc>
          <w:tcPr>
            <w:cnfStyle w:val="001000000000" w:firstRow="0" w:lastRow="0" w:firstColumn="1" w:lastColumn="0" w:oddVBand="0" w:evenVBand="0" w:oddHBand="0" w:evenHBand="0" w:firstRowFirstColumn="0" w:firstRowLastColumn="0" w:lastRowFirstColumn="0" w:lastRowLastColumn="0"/>
            <w:tcW w:w="2148" w:type="dxa"/>
          </w:tcPr>
          <w:p>
            <w:pPr>
              <w:jc w:val="both"/>
              <w:rPr>
                <w:rFonts w:ascii="Times New Roman" w:hAnsi="Times New Roman"/>
                <w:noProof/>
              </w:rPr>
            </w:pPr>
            <w:r>
              <w:rPr>
                <w:rFonts w:ascii="Times New Roman" w:hAnsi="Times New Roman"/>
                <w:noProof/>
              </w:rPr>
              <w:t>Estonie</w:t>
            </w:r>
          </w:p>
        </w:tc>
        <w:tc>
          <w:tcPr>
            <w:tcW w:w="178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2</w:t>
            </w:r>
          </w:p>
        </w:tc>
        <w:tc>
          <w:tcPr>
            <w:tcW w:w="1941"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w:t>
            </w:r>
          </w:p>
        </w:tc>
        <w:tc>
          <w:tcPr>
            <w:tcW w:w="1864"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27 %</w:t>
            </w:r>
          </w:p>
        </w:tc>
        <w:tc>
          <w:tcPr>
            <w:tcW w:w="1865"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27 %</w:t>
            </w:r>
          </w:p>
        </w:tc>
      </w:tr>
      <w:tr>
        <w:trPr>
          <w:trHeight w:val="20"/>
        </w:trPr>
        <w:tc>
          <w:tcPr>
            <w:cnfStyle w:val="001000000000" w:firstRow="0" w:lastRow="0" w:firstColumn="1" w:lastColumn="0" w:oddVBand="0" w:evenVBand="0" w:oddHBand="0" w:evenHBand="0" w:firstRowFirstColumn="0" w:firstRowLastColumn="0" w:lastRowFirstColumn="0" w:lastRowLastColumn="0"/>
            <w:tcW w:w="2148" w:type="dxa"/>
          </w:tcPr>
          <w:p>
            <w:pPr>
              <w:jc w:val="both"/>
              <w:rPr>
                <w:rFonts w:ascii="Times New Roman" w:hAnsi="Times New Roman"/>
                <w:noProof/>
              </w:rPr>
            </w:pPr>
            <w:r>
              <w:rPr>
                <w:rFonts w:ascii="Times New Roman" w:hAnsi="Times New Roman"/>
                <w:noProof/>
              </w:rPr>
              <w:t>Finlande</w:t>
            </w:r>
          </w:p>
        </w:tc>
        <w:tc>
          <w:tcPr>
            <w:tcW w:w="178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4</w:t>
            </w:r>
          </w:p>
        </w:tc>
        <w:tc>
          <w:tcPr>
            <w:tcW w:w="1941"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33 %</w:t>
            </w:r>
          </w:p>
        </w:tc>
        <w:tc>
          <w:tcPr>
            <w:tcW w:w="1864"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35 %</w:t>
            </w:r>
          </w:p>
        </w:tc>
        <w:tc>
          <w:tcPr>
            <w:tcW w:w="1865"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33 %</w:t>
            </w:r>
          </w:p>
        </w:tc>
      </w:tr>
      <w:tr>
        <w:trPr>
          <w:trHeight w:val="20"/>
        </w:trPr>
        <w:tc>
          <w:tcPr>
            <w:cnfStyle w:val="001000000000" w:firstRow="0" w:lastRow="0" w:firstColumn="1" w:lastColumn="0" w:oddVBand="0" w:evenVBand="0" w:oddHBand="0" w:evenHBand="0" w:firstRowFirstColumn="0" w:firstRowLastColumn="0" w:lastRowFirstColumn="0" w:lastRowLastColumn="0"/>
            <w:tcW w:w="2148" w:type="dxa"/>
          </w:tcPr>
          <w:p>
            <w:pPr>
              <w:jc w:val="both"/>
              <w:rPr>
                <w:rFonts w:ascii="Times New Roman" w:hAnsi="Times New Roman"/>
                <w:noProof/>
              </w:rPr>
            </w:pPr>
            <w:r>
              <w:rPr>
                <w:rFonts w:ascii="Times New Roman" w:hAnsi="Times New Roman"/>
                <w:noProof/>
              </w:rPr>
              <w:t>France</w:t>
            </w:r>
          </w:p>
        </w:tc>
        <w:tc>
          <w:tcPr>
            <w:tcW w:w="178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2</w:t>
            </w:r>
          </w:p>
        </w:tc>
        <w:tc>
          <w:tcPr>
            <w:tcW w:w="1941" w:type="dxa"/>
            <w:vAlign w:val="to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w:t>
            </w:r>
          </w:p>
        </w:tc>
        <w:tc>
          <w:tcPr>
            <w:tcW w:w="1864" w:type="dxa"/>
            <w:vAlign w:val="to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59 %</w:t>
            </w:r>
          </w:p>
        </w:tc>
        <w:tc>
          <w:tcPr>
            <w:tcW w:w="1865" w:type="dxa"/>
            <w:vAlign w:val="to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w:t>
            </w:r>
          </w:p>
        </w:tc>
      </w:tr>
      <w:tr>
        <w:trPr>
          <w:trHeight w:val="20"/>
        </w:trPr>
        <w:tc>
          <w:tcPr>
            <w:cnfStyle w:val="001000000000" w:firstRow="0" w:lastRow="0" w:firstColumn="1" w:lastColumn="0" w:oddVBand="0" w:evenVBand="0" w:oddHBand="0" w:evenHBand="0" w:firstRowFirstColumn="0" w:firstRowLastColumn="0" w:lastRowFirstColumn="0" w:lastRowLastColumn="0"/>
            <w:tcW w:w="2148" w:type="dxa"/>
          </w:tcPr>
          <w:p>
            <w:pPr>
              <w:jc w:val="both"/>
              <w:rPr>
                <w:rFonts w:ascii="Times New Roman" w:hAnsi="Times New Roman"/>
                <w:noProof/>
              </w:rPr>
            </w:pPr>
            <w:r>
              <w:rPr>
                <w:rFonts w:ascii="Times New Roman" w:hAnsi="Times New Roman"/>
                <w:noProof/>
              </w:rPr>
              <w:t>Grèce</w:t>
            </w:r>
          </w:p>
        </w:tc>
        <w:tc>
          <w:tcPr>
            <w:tcW w:w="178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w:t>
            </w:r>
          </w:p>
        </w:tc>
        <w:tc>
          <w:tcPr>
            <w:tcW w:w="1941" w:type="dxa"/>
            <w:vAlign w:val="to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w:t>
            </w:r>
          </w:p>
        </w:tc>
        <w:tc>
          <w:tcPr>
            <w:tcW w:w="1864" w:type="dxa"/>
            <w:vAlign w:val="to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w:t>
            </w:r>
          </w:p>
        </w:tc>
        <w:tc>
          <w:tcPr>
            <w:tcW w:w="1865" w:type="dxa"/>
            <w:vAlign w:val="to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w:t>
            </w:r>
          </w:p>
        </w:tc>
      </w:tr>
      <w:tr>
        <w:trPr>
          <w:trHeight w:val="20"/>
        </w:trPr>
        <w:tc>
          <w:tcPr>
            <w:cnfStyle w:val="001000000000" w:firstRow="0" w:lastRow="0" w:firstColumn="1" w:lastColumn="0" w:oddVBand="0" w:evenVBand="0" w:oddHBand="0" w:evenHBand="0" w:firstRowFirstColumn="0" w:firstRowLastColumn="0" w:lastRowFirstColumn="0" w:lastRowLastColumn="0"/>
            <w:tcW w:w="2148" w:type="dxa"/>
          </w:tcPr>
          <w:p>
            <w:pPr>
              <w:jc w:val="both"/>
              <w:rPr>
                <w:rFonts w:ascii="Times New Roman" w:hAnsi="Times New Roman"/>
                <w:noProof/>
              </w:rPr>
            </w:pPr>
            <w:r>
              <w:rPr>
                <w:rFonts w:ascii="Times New Roman" w:hAnsi="Times New Roman"/>
                <w:noProof/>
              </w:rPr>
              <w:t>Hongrie</w:t>
            </w:r>
          </w:p>
        </w:tc>
        <w:tc>
          <w:tcPr>
            <w:tcW w:w="178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2</w:t>
            </w:r>
          </w:p>
        </w:tc>
        <w:tc>
          <w:tcPr>
            <w:tcW w:w="1941"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34 %</w:t>
            </w:r>
          </w:p>
        </w:tc>
        <w:tc>
          <w:tcPr>
            <w:tcW w:w="1864"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40 %</w:t>
            </w:r>
          </w:p>
        </w:tc>
        <w:tc>
          <w:tcPr>
            <w:tcW w:w="1865"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w:t>
            </w:r>
          </w:p>
        </w:tc>
      </w:tr>
      <w:tr>
        <w:trPr>
          <w:trHeight w:val="20"/>
        </w:trPr>
        <w:tc>
          <w:tcPr>
            <w:cnfStyle w:val="001000000000" w:firstRow="0" w:lastRow="0" w:firstColumn="1" w:lastColumn="0" w:oddVBand="0" w:evenVBand="0" w:oddHBand="0" w:evenHBand="0" w:firstRowFirstColumn="0" w:firstRowLastColumn="0" w:lastRowFirstColumn="0" w:lastRowLastColumn="0"/>
            <w:tcW w:w="2148" w:type="dxa"/>
          </w:tcPr>
          <w:p>
            <w:pPr>
              <w:jc w:val="both"/>
              <w:rPr>
                <w:rFonts w:ascii="Times New Roman" w:hAnsi="Times New Roman"/>
                <w:noProof/>
              </w:rPr>
            </w:pPr>
            <w:r>
              <w:rPr>
                <w:rFonts w:ascii="Times New Roman" w:hAnsi="Times New Roman"/>
                <w:noProof/>
              </w:rPr>
              <w:t>Irlande</w:t>
            </w:r>
          </w:p>
        </w:tc>
        <w:tc>
          <w:tcPr>
            <w:tcW w:w="178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1</w:t>
            </w:r>
          </w:p>
        </w:tc>
        <w:tc>
          <w:tcPr>
            <w:tcW w:w="1941"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53 %</w:t>
            </w:r>
          </w:p>
        </w:tc>
        <w:tc>
          <w:tcPr>
            <w:tcW w:w="1864"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45 %</w:t>
            </w:r>
          </w:p>
        </w:tc>
        <w:tc>
          <w:tcPr>
            <w:tcW w:w="1865"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44 %</w:t>
            </w:r>
          </w:p>
        </w:tc>
      </w:tr>
      <w:tr>
        <w:trPr>
          <w:trHeight w:val="20"/>
        </w:trPr>
        <w:tc>
          <w:tcPr>
            <w:cnfStyle w:val="001000000000" w:firstRow="0" w:lastRow="0" w:firstColumn="1" w:lastColumn="0" w:oddVBand="0" w:evenVBand="0" w:oddHBand="0" w:evenHBand="0" w:firstRowFirstColumn="0" w:firstRowLastColumn="0" w:lastRowFirstColumn="0" w:lastRowLastColumn="0"/>
            <w:tcW w:w="2148" w:type="dxa"/>
          </w:tcPr>
          <w:p>
            <w:pPr>
              <w:jc w:val="both"/>
              <w:rPr>
                <w:rFonts w:ascii="Times New Roman" w:hAnsi="Times New Roman"/>
                <w:noProof/>
              </w:rPr>
            </w:pPr>
            <w:r>
              <w:rPr>
                <w:rFonts w:ascii="Times New Roman" w:hAnsi="Times New Roman"/>
                <w:noProof/>
              </w:rPr>
              <w:t>Italie</w:t>
            </w:r>
          </w:p>
        </w:tc>
        <w:tc>
          <w:tcPr>
            <w:tcW w:w="178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2</w:t>
            </w:r>
          </w:p>
        </w:tc>
        <w:tc>
          <w:tcPr>
            <w:tcW w:w="1941" w:type="dxa"/>
            <w:vAlign w:val="to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37 %</w:t>
            </w:r>
          </w:p>
        </w:tc>
        <w:tc>
          <w:tcPr>
            <w:tcW w:w="1864" w:type="dxa"/>
            <w:vAlign w:val="to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39 %</w:t>
            </w:r>
          </w:p>
        </w:tc>
        <w:tc>
          <w:tcPr>
            <w:tcW w:w="1865" w:type="dxa"/>
            <w:vAlign w:val="to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41 %</w:t>
            </w:r>
          </w:p>
        </w:tc>
      </w:tr>
      <w:tr>
        <w:trPr>
          <w:trHeight w:val="20"/>
        </w:trPr>
        <w:tc>
          <w:tcPr>
            <w:cnfStyle w:val="001000000000" w:firstRow="0" w:lastRow="0" w:firstColumn="1" w:lastColumn="0" w:oddVBand="0" w:evenVBand="0" w:oddHBand="0" w:evenHBand="0" w:firstRowFirstColumn="0" w:firstRowLastColumn="0" w:lastRowFirstColumn="0" w:lastRowLastColumn="0"/>
            <w:tcW w:w="2148" w:type="dxa"/>
          </w:tcPr>
          <w:p>
            <w:pPr>
              <w:jc w:val="both"/>
              <w:rPr>
                <w:rFonts w:ascii="Times New Roman" w:hAnsi="Times New Roman"/>
                <w:noProof/>
              </w:rPr>
            </w:pPr>
            <w:r>
              <w:rPr>
                <w:rFonts w:ascii="Times New Roman" w:hAnsi="Times New Roman"/>
                <w:noProof/>
              </w:rPr>
              <w:t>Lettonie</w:t>
            </w:r>
          </w:p>
        </w:tc>
        <w:tc>
          <w:tcPr>
            <w:tcW w:w="178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4</w:t>
            </w:r>
          </w:p>
        </w:tc>
        <w:tc>
          <w:tcPr>
            <w:tcW w:w="1941"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16 %</w:t>
            </w:r>
          </w:p>
        </w:tc>
        <w:tc>
          <w:tcPr>
            <w:tcW w:w="1864"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18 %</w:t>
            </w:r>
          </w:p>
        </w:tc>
        <w:tc>
          <w:tcPr>
            <w:tcW w:w="1865"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18 %</w:t>
            </w:r>
          </w:p>
        </w:tc>
      </w:tr>
      <w:tr>
        <w:trPr>
          <w:trHeight w:val="20"/>
        </w:trPr>
        <w:tc>
          <w:tcPr>
            <w:cnfStyle w:val="001000000000" w:firstRow="0" w:lastRow="0" w:firstColumn="1" w:lastColumn="0" w:oddVBand="0" w:evenVBand="0" w:oddHBand="0" w:evenHBand="0" w:firstRowFirstColumn="0" w:firstRowLastColumn="0" w:lastRowFirstColumn="0" w:lastRowLastColumn="0"/>
            <w:tcW w:w="2148" w:type="dxa"/>
          </w:tcPr>
          <w:p>
            <w:pPr>
              <w:jc w:val="both"/>
              <w:rPr>
                <w:rFonts w:ascii="Times New Roman" w:hAnsi="Times New Roman"/>
                <w:noProof/>
              </w:rPr>
            </w:pPr>
            <w:r>
              <w:rPr>
                <w:rFonts w:ascii="Times New Roman" w:hAnsi="Times New Roman"/>
                <w:noProof/>
              </w:rPr>
              <w:t>Lituanie</w:t>
            </w:r>
          </w:p>
        </w:tc>
        <w:tc>
          <w:tcPr>
            <w:tcW w:w="178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2</w:t>
            </w:r>
          </w:p>
        </w:tc>
        <w:tc>
          <w:tcPr>
            <w:tcW w:w="1941"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37 %</w:t>
            </w:r>
          </w:p>
        </w:tc>
        <w:tc>
          <w:tcPr>
            <w:tcW w:w="1864"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43 %</w:t>
            </w:r>
          </w:p>
        </w:tc>
        <w:tc>
          <w:tcPr>
            <w:tcW w:w="1865"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42 %</w:t>
            </w:r>
          </w:p>
        </w:tc>
      </w:tr>
      <w:tr>
        <w:trPr>
          <w:trHeight w:val="20"/>
        </w:trPr>
        <w:tc>
          <w:tcPr>
            <w:cnfStyle w:val="001000000000" w:firstRow="0" w:lastRow="0" w:firstColumn="1" w:lastColumn="0" w:oddVBand="0" w:evenVBand="0" w:oddHBand="0" w:evenHBand="0" w:firstRowFirstColumn="0" w:firstRowLastColumn="0" w:lastRowFirstColumn="0" w:lastRowLastColumn="0"/>
            <w:tcW w:w="2148" w:type="dxa"/>
          </w:tcPr>
          <w:p>
            <w:pPr>
              <w:jc w:val="both"/>
              <w:rPr>
                <w:rFonts w:ascii="Times New Roman" w:hAnsi="Times New Roman"/>
                <w:noProof/>
              </w:rPr>
            </w:pPr>
            <w:r>
              <w:rPr>
                <w:rFonts w:ascii="Times New Roman" w:hAnsi="Times New Roman"/>
                <w:noProof/>
              </w:rPr>
              <w:t>Luxembourg</w:t>
            </w:r>
          </w:p>
        </w:tc>
        <w:tc>
          <w:tcPr>
            <w:tcW w:w="178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3</w:t>
            </w:r>
          </w:p>
        </w:tc>
        <w:tc>
          <w:tcPr>
            <w:tcW w:w="1941"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51 %</w:t>
            </w:r>
          </w:p>
        </w:tc>
        <w:tc>
          <w:tcPr>
            <w:tcW w:w="1864"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50 %</w:t>
            </w:r>
          </w:p>
        </w:tc>
        <w:tc>
          <w:tcPr>
            <w:tcW w:w="1865"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w:t>
            </w:r>
          </w:p>
        </w:tc>
      </w:tr>
      <w:tr>
        <w:trPr>
          <w:trHeight w:val="20"/>
        </w:trPr>
        <w:tc>
          <w:tcPr>
            <w:cnfStyle w:val="001000000000" w:firstRow="0" w:lastRow="0" w:firstColumn="1" w:lastColumn="0" w:oddVBand="0" w:evenVBand="0" w:oddHBand="0" w:evenHBand="0" w:firstRowFirstColumn="0" w:firstRowLastColumn="0" w:lastRowFirstColumn="0" w:lastRowLastColumn="0"/>
            <w:tcW w:w="2148" w:type="dxa"/>
          </w:tcPr>
          <w:p>
            <w:pPr>
              <w:jc w:val="both"/>
              <w:rPr>
                <w:rFonts w:ascii="Times New Roman" w:hAnsi="Times New Roman"/>
                <w:noProof/>
              </w:rPr>
            </w:pPr>
            <w:r>
              <w:rPr>
                <w:rFonts w:ascii="Times New Roman" w:hAnsi="Times New Roman"/>
                <w:noProof/>
              </w:rPr>
              <w:t>Malte</w:t>
            </w:r>
          </w:p>
        </w:tc>
        <w:tc>
          <w:tcPr>
            <w:tcW w:w="178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1</w:t>
            </w:r>
          </w:p>
        </w:tc>
        <w:tc>
          <w:tcPr>
            <w:tcW w:w="1941"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w:t>
            </w:r>
          </w:p>
        </w:tc>
        <w:tc>
          <w:tcPr>
            <w:tcW w:w="1864"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23 %</w:t>
            </w:r>
          </w:p>
        </w:tc>
        <w:tc>
          <w:tcPr>
            <w:tcW w:w="1865"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24 %</w:t>
            </w:r>
          </w:p>
        </w:tc>
      </w:tr>
      <w:tr>
        <w:trPr>
          <w:trHeight w:val="20"/>
        </w:trPr>
        <w:tc>
          <w:tcPr>
            <w:cnfStyle w:val="001000000000" w:firstRow="0" w:lastRow="0" w:firstColumn="1" w:lastColumn="0" w:oddVBand="0" w:evenVBand="0" w:oddHBand="0" w:evenHBand="0" w:firstRowFirstColumn="0" w:firstRowLastColumn="0" w:lastRowFirstColumn="0" w:lastRowLastColumn="0"/>
            <w:tcW w:w="2148" w:type="dxa"/>
          </w:tcPr>
          <w:p>
            <w:pPr>
              <w:jc w:val="both"/>
              <w:rPr>
                <w:rFonts w:ascii="Times New Roman" w:hAnsi="Times New Roman"/>
                <w:noProof/>
              </w:rPr>
            </w:pPr>
            <w:r>
              <w:rPr>
                <w:rFonts w:ascii="Times New Roman" w:hAnsi="Times New Roman"/>
                <w:noProof/>
              </w:rPr>
              <w:t>Pays-Bas</w:t>
            </w:r>
          </w:p>
        </w:tc>
        <w:tc>
          <w:tcPr>
            <w:tcW w:w="178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2</w:t>
            </w:r>
          </w:p>
        </w:tc>
        <w:tc>
          <w:tcPr>
            <w:tcW w:w="1941"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48 %</w:t>
            </w:r>
          </w:p>
        </w:tc>
        <w:tc>
          <w:tcPr>
            <w:tcW w:w="1864"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48 %</w:t>
            </w:r>
          </w:p>
        </w:tc>
        <w:tc>
          <w:tcPr>
            <w:tcW w:w="1865"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48 %</w:t>
            </w:r>
          </w:p>
        </w:tc>
      </w:tr>
      <w:tr>
        <w:trPr>
          <w:trHeight w:val="20"/>
        </w:trPr>
        <w:tc>
          <w:tcPr>
            <w:cnfStyle w:val="001000000000" w:firstRow="0" w:lastRow="0" w:firstColumn="1" w:lastColumn="0" w:oddVBand="0" w:evenVBand="0" w:oddHBand="0" w:evenHBand="0" w:firstRowFirstColumn="0" w:firstRowLastColumn="0" w:lastRowFirstColumn="0" w:lastRowLastColumn="0"/>
            <w:tcW w:w="2148" w:type="dxa"/>
          </w:tcPr>
          <w:p>
            <w:pPr>
              <w:jc w:val="both"/>
              <w:rPr>
                <w:rFonts w:ascii="Times New Roman" w:hAnsi="Times New Roman"/>
                <w:noProof/>
              </w:rPr>
            </w:pPr>
            <w:r>
              <w:rPr>
                <w:rFonts w:ascii="Times New Roman" w:hAnsi="Times New Roman"/>
                <w:noProof/>
              </w:rPr>
              <w:t>Pologne</w:t>
            </w:r>
          </w:p>
        </w:tc>
        <w:tc>
          <w:tcPr>
            <w:tcW w:w="178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2</w:t>
            </w:r>
          </w:p>
        </w:tc>
        <w:tc>
          <w:tcPr>
            <w:tcW w:w="1941" w:type="dxa"/>
            <w:vAlign w:val="to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w:t>
            </w:r>
          </w:p>
        </w:tc>
        <w:tc>
          <w:tcPr>
            <w:tcW w:w="1864" w:type="dxa"/>
            <w:vAlign w:val="to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w:t>
            </w:r>
          </w:p>
        </w:tc>
        <w:tc>
          <w:tcPr>
            <w:tcW w:w="1865"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18 %</w:t>
            </w:r>
          </w:p>
        </w:tc>
      </w:tr>
      <w:tr>
        <w:trPr>
          <w:trHeight w:val="20"/>
        </w:trPr>
        <w:tc>
          <w:tcPr>
            <w:cnfStyle w:val="001000000000" w:firstRow="0" w:lastRow="0" w:firstColumn="1" w:lastColumn="0" w:oddVBand="0" w:evenVBand="0" w:oddHBand="0" w:evenHBand="0" w:firstRowFirstColumn="0" w:firstRowLastColumn="0" w:lastRowFirstColumn="0" w:lastRowLastColumn="0"/>
            <w:tcW w:w="2148" w:type="dxa"/>
          </w:tcPr>
          <w:p>
            <w:pPr>
              <w:jc w:val="both"/>
              <w:rPr>
                <w:rFonts w:ascii="Times New Roman" w:hAnsi="Times New Roman"/>
                <w:noProof/>
              </w:rPr>
            </w:pPr>
            <w:r>
              <w:rPr>
                <w:rFonts w:ascii="Times New Roman" w:hAnsi="Times New Roman"/>
                <w:noProof/>
              </w:rPr>
              <w:t>Portugal</w:t>
            </w:r>
          </w:p>
        </w:tc>
        <w:tc>
          <w:tcPr>
            <w:tcW w:w="178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2</w:t>
            </w:r>
          </w:p>
        </w:tc>
        <w:tc>
          <w:tcPr>
            <w:tcW w:w="1941" w:type="dxa"/>
            <w:vAlign w:val="to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19 %</w:t>
            </w:r>
          </w:p>
        </w:tc>
        <w:tc>
          <w:tcPr>
            <w:tcW w:w="1864" w:type="dxa"/>
            <w:vAlign w:val="to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19 %</w:t>
            </w:r>
          </w:p>
        </w:tc>
        <w:tc>
          <w:tcPr>
            <w:tcW w:w="1865" w:type="dxa"/>
            <w:vAlign w:val="to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22 %</w:t>
            </w:r>
          </w:p>
        </w:tc>
      </w:tr>
      <w:tr>
        <w:trPr>
          <w:trHeight w:val="20"/>
        </w:trPr>
        <w:tc>
          <w:tcPr>
            <w:cnfStyle w:val="001000000000" w:firstRow="0" w:lastRow="0" w:firstColumn="1" w:lastColumn="0" w:oddVBand="0" w:evenVBand="0" w:oddHBand="0" w:evenHBand="0" w:firstRowFirstColumn="0" w:firstRowLastColumn="0" w:lastRowFirstColumn="0" w:lastRowLastColumn="0"/>
            <w:tcW w:w="2148" w:type="dxa"/>
          </w:tcPr>
          <w:p>
            <w:pPr>
              <w:jc w:val="both"/>
              <w:rPr>
                <w:rFonts w:ascii="Times New Roman" w:hAnsi="Times New Roman"/>
                <w:noProof/>
              </w:rPr>
            </w:pPr>
            <w:r>
              <w:rPr>
                <w:rFonts w:ascii="Times New Roman" w:hAnsi="Times New Roman"/>
                <w:noProof/>
              </w:rPr>
              <w:t>République tchèque</w:t>
            </w:r>
          </w:p>
        </w:tc>
        <w:tc>
          <w:tcPr>
            <w:tcW w:w="178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2</w:t>
            </w:r>
          </w:p>
        </w:tc>
        <w:tc>
          <w:tcPr>
            <w:tcW w:w="1941"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38 %</w:t>
            </w:r>
          </w:p>
        </w:tc>
        <w:tc>
          <w:tcPr>
            <w:tcW w:w="1864"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50 %</w:t>
            </w:r>
          </w:p>
        </w:tc>
        <w:tc>
          <w:tcPr>
            <w:tcW w:w="1865"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46 %</w:t>
            </w:r>
          </w:p>
        </w:tc>
      </w:tr>
      <w:tr>
        <w:trPr>
          <w:trHeight w:val="20"/>
        </w:trPr>
        <w:tc>
          <w:tcPr>
            <w:cnfStyle w:val="001000000000" w:firstRow="0" w:lastRow="0" w:firstColumn="1" w:lastColumn="0" w:oddVBand="0" w:evenVBand="0" w:oddHBand="0" w:evenHBand="0" w:firstRowFirstColumn="0" w:firstRowLastColumn="0" w:lastRowFirstColumn="0" w:lastRowLastColumn="0"/>
            <w:tcW w:w="2148" w:type="dxa"/>
          </w:tcPr>
          <w:p>
            <w:pPr>
              <w:jc w:val="both"/>
              <w:rPr>
                <w:rFonts w:ascii="Times New Roman" w:hAnsi="Times New Roman"/>
                <w:noProof/>
              </w:rPr>
            </w:pPr>
            <w:r>
              <w:rPr>
                <w:rFonts w:ascii="Times New Roman" w:hAnsi="Times New Roman"/>
                <w:noProof/>
              </w:rPr>
              <w:t>Roumanie</w:t>
            </w:r>
          </w:p>
        </w:tc>
        <w:tc>
          <w:tcPr>
            <w:tcW w:w="178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w:t>
            </w:r>
          </w:p>
        </w:tc>
        <w:tc>
          <w:tcPr>
            <w:tcW w:w="1941" w:type="dxa"/>
            <w:vAlign w:val="to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w:t>
            </w:r>
          </w:p>
        </w:tc>
        <w:tc>
          <w:tcPr>
            <w:tcW w:w="1864" w:type="dxa"/>
            <w:vAlign w:val="to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w:t>
            </w:r>
          </w:p>
        </w:tc>
        <w:tc>
          <w:tcPr>
            <w:tcW w:w="1865" w:type="dxa"/>
            <w:vAlign w:val="to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w:t>
            </w:r>
          </w:p>
        </w:tc>
      </w:tr>
      <w:tr>
        <w:trPr>
          <w:trHeight w:val="20"/>
        </w:trPr>
        <w:tc>
          <w:tcPr>
            <w:cnfStyle w:val="001000000000" w:firstRow="0" w:lastRow="0" w:firstColumn="1" w:lastColumn="0" w:oddVBand="0" w:evenVBand="0" w:oddHBand="0" w:evenHBand="0" w:firstRowFirstColumn="0" w:firstRowLastColumn="0" w:lastRowFirstColumn="0" w:lastRowLastColumn="0"/>
            <w:tcW w:w="2148" w:type="dxa"/>
          </w:tcPr>
          <w:p>
            <w:pPr>
              <w:jc w:val="both"/>
              <w:rPr>
                <w:rFonts w:ascii="Times New Roman" w:hAnsi="Times New Roman"/>
                <w:noProof/>
              </w:rPr>
            </w:pPr>
            <w:r>
              <w:rPr>
                <w:rFonts w:ascii="Times New Roman" w:hAnsi="Times New Roman"/>
                <w:noProof/>
              </w:rPr>
              <w:t>Royaume-Uni</w:t>
            </w:r>
          </w:p>
        </w:tc>
        <w:tc>
          <w:tcPr>
            <w:tcW w:w="178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3</w:t>
            </w:r>
          </w:p>
        </w:tc>
        <w:tc>
          <w:tcPr>
            <w:tcW w:w="1941"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40 %</w:t>
            </w:r>
          </w:p>
        </w:tc>
        <w:tc>
          <w:tcPr>
            <w:tcW w:w="1864"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43 %</w:t>
            </w:r>
          </w:p>
        </w:tc>
        <w:tc>
          <w:tcPr>
            <w:tcW w:w="1865"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44 %</w:t>
            </w:r>
          </w:p>
        </w:tc>
      </w:tr>
      <w:tr>
        <w:trPr>
          <w:trHeight w:val="20"/>
        </w:trPr>
        <w:tc>
          <w:tcPr>
            <w:cnfStyle w:val="001000000000" w:firstRow="0" w:lastRow="0" w:firstColumn="1" w:lastColumn="0" w:oddVBand="0" w:evenVBand="0" w:oddHBand="0" w:evenHBand="0" w:firstRowFirstColumn="0" w:firstRowLastColumn="0" w:lastRowFirstColumn="0" w:lastRowLastColumn="0"/>
            <w:tcW w:w="2148" w:type="dxa"/>
          </w:tcPr>
          <w:p>
            <w:pPr>
              <w:jc w:val="both"/>
              <w:rPr>
                <w:rFonts w:ascii="Times New Roman" w:hAnsi="Times New Roman"/>
                <w:noProof/>
              </w:rPr>
            </w:pPr>
            <w:r>
              <w:rPr>
                <w:rFonts w:ascii="Times New Roman" w:hAnsi="Times New Roman"/>
                <w:noProof/>
              </w:rPr>
              <w:t>Slovaquie</w:t>
            </w:r>
          </w:p>
        </w:tc>
        <w:tc>
          <w:tcPr>
            <w:tcW w:w="178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3</w:t>
            </w:r>
          </w:p>
        </w:tc>
        <w:tc>
          <w:tcPr>
            <w:tcW w:w="1941"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9 %</w:t>
            </w:r>
          </w:p>
        </w:tc>
        <w:tc>
          <w:tcPr>
            <w:tcW w:w="1864"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13 %</w:t>
            </w:r>
          </w:p>
        </w:tc>
        <w:tc>
          <w:tcPr>
            <w:tcW w:w="1865" w:type="dxa"/>
            <w:vAlign w:val="to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13 %</w:t>
            </w:r>
          </w:p>
        </w:tc>
      </w:tr>
      <w:tr>
        <w:trPr>
          <w:trHeight w:val="20"/>
        </w:trPr>
        <w:tc>
          <w:tcPr>
            <w:cnfStyle w:val="001000000000" w:firstRow="0" w:lastRow="0" w:firstColumn="1" w:lastColumn="0" w:oddVBand="0" w:evenVBand="0" w:oddHBand="0" w:evenHBand="0" w:firstRowFirstColumn="0" w:firstRowLastColumn="0" w:lastRowFirstColumn="0" w:lastRowLastColumn="0"/>
            <w:tcW w:w="2148" w:type="dxa"/>
          </w:tcPr>
          <w:p>
            <w:pPr>
              <w:jc w:val="both"/>
              <w:rPr>
                <w:rFonts w:ascii="Times New Roman" w:hAnsi="Times New Roman"/>
                <w:noProof/>
              </w:rPr>
            </w:pPr>
            <w:r>
              <w:rPr>
                <w:rFonts w:ascii="Times New Roman" w:hAnsi="Times New Roman"/>
                <w:noProof/>
              </w:rPr>
              <w:t>Slovénie</w:t>
            </w:r>
          </w:p>
        </w:tc>
        <w:tc>
          <w:tcPr>
            <w:tcW w:w="178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4</w:t>
            </w:r>
          </w:p>
        </w:tc>
        <w:tc>
          <w:tcPr>
            <w:tcW w:w="1941"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22 %</w:t>
            </w:r>
          </w:p>
        </w:tc>
        <w:tc>
          <w:tcPr>
            <w:tcW w:w="1864"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34 %</w:t>
            </w:r>
          </w:p>
        </w:tc>
        <w:tc>
          <w:tcPr>
            <w:tcW w:w="1865" w:type="dxa"/>
            <w:vAlign w:val="to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w:t>
            </w:r>
          </w:p>
        </w:tc>
      </w:tr>
      <w:tr>
        <w:trPr>
          <w:trHeight w:val="20"/>
        </w:trPr>
        <w:tc>
          <w:tcPr>
            <w:cnfStyle w:val="001000000000" w:firstRow="0" w:lastRow="0" w:firstColumn="1" w:lastColumn="0" w:oddVBand="0" w:evenVBand="0" w:oddHBand="0" w:evenHBand="0" w:firstRowFirstColumn="0" w:firstRowLastColumn="0" w:lastRowFirstColumn="0" w:lastRowLastColumn="0"/>
            <w:tcW w:w="2148" w:type="dxa"/>
          </w:tcPr>
          <w:p>
            <w:pPr>
              <w:jc w:val="both"/>
              <w:rPr>
                <w:rFonts w:ascii="Times New Roman" w:hAnsi="Times New Roman"/>
                <w:noProof/>
              </w:rPr>
            </w:pPr>
            <w:r>
              <w:rPr>
                <w:rFonts w:ascii="Times New Roman" w:hAnsi="Times New Roman"/>
                <w:noProof/>
              </w:rPr>
              <w:t>Suède</w:t>
            </w:r>
          </w:p>
        </w:tc>
        <w:tc>
          <w:tcPr>
            <w:tcW w:w="1788"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2</w:t>
            </w:r>
          </w:p>
        </w:tc>
        <w:tc>
          <w:tcPr>
            <w:tcW w:w="1941" w:type="dxa"/>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62 %</w:t>
            </w:r>
          </w:p>
        </w:tc>
        <w:tc>
          <w:tcPr>
            <w:tcW w:w="1864" w:type="dxa"/>
            <w:vAlign w:val="to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w:t>
            </w:r>
          </w:p>
        </w:tc>
        <w:tc>
          <w:tcPr>
            <w:tcW w:w="1865" w:type="dxa"/>
            <w:vAlign w:val="top"/>
          </w:tcPr>
          <w:p>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noProof/>
              </w:rPr>
            </w:pPr>
            <w:r>
              <w:rPr>
                <w:rFonts w:ascii="Times New Roman" w:hAnsi="Times New Roman"/>
                <w:noProof/>
              </w:rPr>
              <w:t>-</w:t>
            </w:r>
          </w:p>
        </w:tc>
      </w:tr>
      <w:tr>
        <w:trPr>
          <w:trHeight w:val="20"/>
        </w:trPr>
        <w:tc>
          <w:tcPr>
            <w:cnfStyle w:val="001000000000" w:firstRow="0" w:lastRow="0" w:firstColumn="1" w:lastColumn="0" w:oddVBand="0" w:evenVBand="0" w:oddHBand="0" w:evenHBand="0" w:firstRowFirstColumn="0" w:firstRowLastColumn="0" w:lastRowFirstColumn="0" w:lastRowLastColumn="0"/>
            <w:tcW w:w="2148" w:type="dxa"/>
          </w:tcPr>
          <w:p>
            <w:pPr>
              <w:jc w:val="both"/>
              <w:rPr>
                <w:rFonts w:ascii="Times New Roman" w:hAnsi="Times New Roman"/>
                <w:noProof/>
              </w:rPr>
            </w:pPr>
            <w:r>
              <w:rPr>
                <w:rFonts w:ascii="Times New Roman" w:hAnsi="Times New Roman"/>
                <w:noProof/>
              </w:rPr>
              <w:t>Remarques:</w:t>
            </w:r>
          </w:p>
        </w:tc>
        <w:tc>
          <w:tcPr>
            <w:tcW w:w="7458" w:type="dxa"/>
            <w:gridSpan w:val="4"/>
          </w:tcPr>
          <w:p>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rPr>
            </w:pPr>
            <w:r>
              <w:rPr>
                <w:rFonts w:ascii="Times New Roman" w:hAnsi="Times New Roman"/>
                <w:noProof/>
                <w:color w:val="000000" w:themeColor="text1"/>
              </w:rPr>
              <w:t>Aux fins de la vérification du respect de l’objectif fixé à l’article 11, paragraphe 2, point a), de la directive-cadre sur les déchets, la décision 2011/753/UE</w:t>
            </w:r>
            <w:r>
              <w:rPr>
                <w:rFonts w:ascii="Times New Roman" w:hAnsi="Times New Roman"/>
                <w:noProof/>
                <w:color w:val="000000" w:themeColor="text1"/>
                <w:vertAlign w:val="superscript"/>
              </w:rPr>
              <w:footnoteReference w:id="9"/>
            </w:r>
            <w:r>
              <w:rPr>
                <w:rFonts w:ascii="Times New Roman" w:hAnsi="Times New Roman"/>
                <w:noProof/>
                <w:color w:val="000000" w:themeColor="text1"/>
              </w:rPr>
              <w:t xml:space="preserve"> autorise les États membres à utiliser quatre méthodes de calcul différentes pour communiquer leurs taux de réemploi et de recyclage des déchets ménagers. La différence entre ces méthodes de calcul tient aux types de déchets couverts par chacune, comme indiqué ci</w:t>
            </w:r>
            <w:r>
              <w:rPr>
                <w:rFonts w:ascii="Times New Roman" w:hAnsi="Times New Roman"/>
                <w:noProof/>
                <w:color w:val="000000" w:themeColor="text1"/>
              </w:rPr>
              <w:noBreakHyphen/>
              <w:t>après.</w:t>
            </w:r>
          </w:p>
          <w:p>
            <w:pPr>
              <w:numPr>
                <w:ilvl w:val="0"/>
                <w:numId w:val="15"/>
              </w:numPr>
              <w:jc w:val="left"/>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rPr>
            </w:pPr>
            <w:r>
              <w:rPr>
                <w:rFonts w:ascii="Times New Roman" w:hAnsi="Times New Roman"/>
                <w:noProof/>
                <w:color w:val="000000" w:themeColor="text1"/>
              </w:rPr>
              <w:t>Méthode nº 1: papier, métal, plastique et verre contenus dans les déchets ménagers.</w:t>
            </w:r>
          </w:p>
          <w:p>
            <w:pPr>
              <w:numPr>
                <w:ilvl w:val="0"/>
                <w:numId w:val="15"/>
              </w:numPr>
              <w:jc w:val="left"/>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rPr>
            </w:pPr>
            <w:r>
              <w:rPr>
                <w:rFonts w:ascii="Times New Roman" w:hAnsi="Times New Roman"/>
                <w:noProof/>
                <w:color w:val="000000" w:themeColor="text1"/>
              </w:rPr>
              <w:t>Méthode nº 2: papier, métal, plastique et verre contenus dans les déchets ménagers et autres types de déchets ménagers ou déchets similaires.</w:t>
            </w:r>
          </w:p>
          <w:p>
            <w:pPr>
              <w:numPr>
                <w:ilvl w:val="0"/>
                <w:numId w:val="15"/>
              </w:numPr>
              <w:jc w:val="left"/>
              <w:cnfStyle w:val="000000000000" w:firstRow="0" w:lastRow="0" w:firstColumn="0" w:lastColumn="0" w:oddVBand="0" w:evenVBand="0" w:oddHBand="0" w:evenHBand="0" w:firstRowFirstColumn="0" w:firstRowLastColumn="0" w:lastRowFirstColumn="0" w:lastRowLastColumn="0"/>
              <w:rPr>
                <w:rFonts w:ascii="Times New Roman" w:hAnsi="Times New Roman"/>
                <w:noProof/>
                <w:color w:val="000000" w:themeColor="text1"/>
              </w:rPr>
            </w:pPr>
            <w:r>
              <w:rPr>
                <w:rFonts w:ascii="Times New Roman" w:hAnsi="Times New Roman"/>
                <w:noProof/>
                <w:color w:val="000000" w:themeColor="text1"/>
              </w:rPr>
              <w:t>Méthode nº 3: déchets ménagers.</w:t>
            </w:r>
          </w:p>
          <w:p>
            <w:pPr>
              <w:numPr>
                <w:ilvl w:val="0"/>
                <w:numId w:val="15"/>
              </w:numPr>
              <w:jc w:val="left"/>
              <w:cnfStyle w:val="000000000000" w:firstRow="0" w:lastRow="0" w:firstColumn="0" w:lastColumn="0" w:oddVBand="0" w:evenVBand="0" w:oddHBand="0" w:evenHBand="0" w:firstRowFirstColumn="0" w:firstRowLastColumn="0" w:lastRowFirstColumn="0" w:lastRowLastColumn="0"/>
              <w:rPr>
                <w:rFonts w:cs="Arial"/>
                <w:noProof/>
                <w:szCs w:val="24"/>
              </w:rPr>
            </w:pPr>
            <w:r>
              <w:rPr>
                <w:rFonts w:ascii="Times New Roman" w:hAnsi="Times New Roman"/>
                <w:noProof/>
                <w:color w:val="000000" w:themeColor="text1"/>
              </w:rPr>
              <w:t>Méthode nº 4: déchets municipaux.</w:t>
            </w:r>
          </w:p>
        </w:tc>
      </w:tr>
    </w:tbl>
    <w:p>
      <w:pPr>
        <w:spacing w:before="120" w:after="120" w:line="240" w:lineRule="auto"/>
        <w:ind w:right="95"/>
        <w:rPr>
          <w:rFonts w:ascii="Times New Roman" w:eastAsia="Times New Roman" w:hAnsi="Times New Roman" w:cs="Times New Roman"/>
          <w:i/>
          <w:noProof/>
          <w:sz w:val="20"/>
          <w:szCs w:val="24"/>
        </w:rPr>
      </w:pPr>
      <w:r>
        <w:rPr>
          <w:rFonts w:ascii="Times New Roman" w:hAnsi="Times New Roman"/>
          <w:i/>
          <w:noProof/>
          <w:sz w:val="20"/>
        </w:rPr>
        <w:t>Source: données fournies par les États membres à la Commission européenne dans les questionnaires relatifs à la mise en œuvre 2010-2012 ou à Eurostat par l’intermédiaire du portail EDAMIS</w:t>
      </w:r>
      <w:r>
        <w:rPr>
          <w:rFonts w:ascii="Times New Roman" w:hAnsi="Times New Roman"/>
          <w:i/>
          <w:noProof/>
          <w:sz w:val="20"/>
        </w:rPr>
        <w:footnoteReference w:id="10"/>
      </w:r>
      <w:r>
        <w:rPr>
          <w:rFonts w:ascii="Times New Roman" w:hAnsi="Times New Roman"/>
          <w:i/>
          <w:noProof/>
          <w:sz w:val="20"/>
        </w:rPr>
        <w:t>.</w:t>
      </w:r>
    </w:p>
    <w:p>
      <w:pPr>
        <w:rPr>
          <w:rFonts w:ascii="Times New Roman" w:eastAsia="Times New Roman" w:hAnsi="Times New Roman" w:cs="Times New Roman"/>
          <w:noProof/>
          <w:sz w:val="24"/>
          <w:szCs w:val="24"/>
        </w:rPr>
      </w:pPr>
      <w:r>
        <w:rPr>
          <w:noProof/>
        </w:rPr>
        <w:br w:type="page"/>
      </w:r>
    </w:p>
    <w:p>
      <w:pPr>
        <w:keepNext/>
        <w:spacing w:before="600" w:after="240" w:line="240" w:lineRule="auto"/>
        <w:ind w:left="360" w:right="-1749" w:hanging="360"/>
        <w:jc w:val="both"/>
        <w:outlineLvl w:val="0"/>
        <w:rPr>
          <w:rFonts w:ascii="Times New Roman" w:eastAsia="Times New Roman" w:hAnsi="Times New Roman" w:cs="Times New Roman"/>
          <w:b/>
          <w:bCs/>
          <w:noProof/>
          <w:sz w:val="24"/>
          <w:szCs w:val="24"/>
        </w:rPr>
      </w:pPr>
      <w:bookmarkStart w:id="71" w:name="_Toc425752535"/>
      <w:bookmarkStart w:id="72" w:name="_Toc442187910"/>
      <w:bookmarkStart w:id="73" w:name="_Toc442187931"/>
      <w:bookmarkStart w:id="74" w:name="_Toc442198310"/>
      <w:bookmarkStart w:id="75" w:name="_Toc447205587"/>
      <w:r>
        <w:rPr>
          <w:rFonts w:ascii="Times New Roman" w:hAnsi="Times New Roman"/>
          <w:b/>
          <w:noProof/>
          <w:sz w:val="24"/>
        </w:rPr>
        <w:t xml:space="preserve">Valorisation des déchets de construction et de démolition, par </w:t>
      </w:r>
      <w:bookmarkEnd w:id="71"/>
      <w:bookmarkEnd w:id="72"/>
      <w:bookmarkEnd w:id="73"/>
      <w:r>
        <w:rPr>
          <w:rFonts w:ascii="Times New Roman" w:hAnsi="Times New Roman"/>
          <w:b/>
          <w:noProof/>
          <w:sz w:val="24"/>
        </w:rPr>
        <w:t>État membre</w:t>
      </w:r>
      <w:bookmarkEnd w:id="74"/>
      <w:bookmarkEnd w:id="75"/>
    </w:p>
    <w:p>
      <w:pPr>
        <w:spacing w:after="24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en-US" w:eastAsia="en-US" w:bidi="ar-SA"/>
        </w:rPr>
        <w:drawing>
          <wp:inline distT="0" distB="0" distL="0" distR="0">
            <wp:extent cx="5727600" cy="3643200"/>
            <wp:effectExtent l="0" t="0" r="6985"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7600" cy="3643200"/>
                    </a:xfrm>
                    <a:prstGeom prst="rect">
                      <a:avLst/>
                    </a:prstGeom>
                    <a:noFill/>
                  </pic:spPr>
                </pic:pic>
              </a:graphicData>
            </a:graphic>
          </wp:inline>
        </w:drawing>
      </w:r>
    </w:p>
    <w:p>
      <w:pPr>
        <w:spacing w:after="120" w:line="240" w:lineRule="auto"/>
        <w:rPr>
          <w:rFonts w:ascii="Times New Roman" w:eastAsia="Times New Roman" w:hAnsi="Times New Roman" w:cs="Times New Roman"/>
          <w:i/>
          <w:noProof/>
          <w:sz w:val="20"/>
          <w:szCs w:val="24"/>
        </w:rPr>
      </w:pPr>
      <w:r>
        <w:rPr>
          <w:rFonts w:ascii="Times New Roman" w:hAnsi="Times New Roman"/>
          <w:i/>
          <w:noProof/>
          <w:sz w:val="20"/>
        </w:rPr>
        <w:t>Source: données fournies par les États membres à la Commission européenne dans les questionnaires relatifs à la mise en œuvre 2010-2012 ou à Eurostat par l’intermédiaire du portail EDAMIS</w:t>
      </w:r>
      <w:r>
        <w:rPr>
          <w:rFonts w:ascii="Times New Roman" w:hAnsi="Times New Roman"/>
          <w:i/>
          <w:noProof/>
          <w:sz w:val="20"/>
          <w:vertAlign w:val="superscript"/>
        </w:rPr>
        <w:footnoteReference w:id="11"/>
      </w:r>
      <w:r>
        <w:rPr>
          <w:rFonts w:ascii="Times New Roman" w:hAnsi="Times New Roman"/>
          <w:i/>
          <w:noProof/>
          <w:sz w:val="20"/>
        </w:rPr>
        <w:t>.</w:t>
      </w:r>
    </w:p>
    <w:p>
      <w:pPr>
        <w:spacing w:after="120" w:line="240" w:lineRule="auto"/>
        <w:rPr>
          <w:rFonts w:ascii="Times New Roman" w:eastAsia="Times New Roman" w:hAnsi="Times New Roman" w:cs="Times New Roman"/>
          <w:noProof/>
          <w:sz w:val="24"/>
          <w:szCs w:val="24"/>
        </w:rPr>
      </w:pPr>
    </w:p>
    <w:p>
      <w:pPr>
        <w:spacing w:after="0" w:line="240" w:lineRule="auto"/>
        <w:rPr>
          <w:rFonts w:ascii="Times New Roman" w:eastAsia="Times New Roman" w:hAnsi="Times New Roman" w:cs="Times New Roman"/>
          <w:b/>
          <w:bCs/>
          <w:noProof/>
          <w:sz w:val="24"/>
          <w:szCs w:val="24"/>
        </w:rPr>
      </w:pPr>
      <w:bookmarkStart w:id="76" w:name="_Ref411258929"/>
      <w:r>
        <w:rPr>
          <w:noProof/>
        </w:rPr>
        <w:br w:type="page"/>
      </w:r>
    </w:p>
    <w:p>
      <w:pPr>
        <w:keepNext/>
        <w:spacing w:before="600" w:after="240" w:line="240" w:lineRule="auto"/>
        <w:ind w:left="1200" w:right="-1749" w:hanging="1200"/>
        <w:jc w:val="both"/>
        <w:outlineLvl w:val="0"/>
        <w:rPr>
          <w:rFonts w:ascii="Times New Roman" w:eastAsia="Times New Roman" w:hAnsi="Times New Roman" w:cs="Times New Roman"/>
          <w:b/>
          <w:bCs/>
          <w:smallCaps/>
          <w:noProof/>
          <w:sz w:val="24"/>
          <w:szCs w:val="24"/>
        </w:rPr>
      </w:pPr>
      <w:bookmarkStart w:id="77" w:name="_Toc442198312"/>
      <w:bookmarkStart w:id="78" w:name="_Toc447205589"/>
      <w:bookmarkStart w:id="79" w:name="_Toc442198311"/>
      <w:bookmarkStart w:id="80" w:name="_Toc447205588"/>
      <w:r>
        <w:rPr>
          <w:rFonts w:ascii="Times New Roman" w:hAnsi="Times New Roman"/>
          <w:b/>
          <w:smallCaps/>
          <w:noProof/>
          <w:sz w:val="24"/>
        </w:rPr>
        <w:t xml:space="preserve">Annexe 3: Boues </w:t>
      </w:r>
      <w:bookmarkEnd w:id="77"/>
      <w:bookmarkEnd w:id="78"/>
      <w:r>
        <w:rPr>
          <w:rFonts w:ascii="Times New Roman" w:hAnsi="Times New Roman"/>
          <w:b/>
          <w:smallCaps/>
          <w:noProof/>
          <w:sz w:val="24"/>
        </w:rPr>
        <w:t>d’épuration</w:t>
      </w:r>
    </w:p>
    <w:p>
      <w:pPr>
        <w:keepNext/>
        <w:spacing w:before="600" w:after="240" w:line="240" w:lineRule="auto"/>
        <w:ind w:left="360" w:right="-1749" w:hanging="360"/>
        <w:jc w:val="both"/>
        <w:outlineLvl w:val="0"/>
        <w:rPr>
          <w:rFonts w:ascii="Times New Roman" w:eastAsia="Times New Roman" w:hAnsi="Times New Roman" w:cs="Times New Roman"/>
          <w:b/>
          <w:bCs/>
          <w:noProof/>
          <w:sz w:val="24"/>
          <w:szCs w:val="24"/>
        </w:rPr>
      </w:pPr>
      <w:r>
        <w:rPr>
          <w:rFonts w:ascii="Times New Roman" w:hAnsi="Times New Roman"/>
          <w:b/>
          <w:noProof/>
          <w:sz w:val="24"/>
        </w:rPr>
        <w:t>Quantités de boues d’épuration produites et utilisées dans les États membres, 2010-2012</w:t>
      </w:r>
    </w:p>
    <w:tbl>
      <w:tblPr>
        <w:tblStyle w:val="TableGrid1"/>
        <w:tblW w:w="0" w:type="auto"/>
        <w:tblLook w:val="04A0" w:firstRow="1" w:lastRow="0" w:firstColumn="1" w:lastColumn="0" w:noHBand="0" w:noVBand="1"/>
      </w:tblPr>
      <w:tblGrid>
        <w:gridCol w:w="1328"/>
        <w:gridCol w:w="1272"/>
        <w:gridCol w:w="1272"/>
        <w:gridCol w:w="1272"/>
        <w:gridCol w:w="1273"/>
        <w:gridCol w:w="1273"/>
        <w:gridCol w:w="1273"/>
      </w:tblGrid>
      <w:tr>
        <w:tc>
          <w:tcPr>
            <w:tcW w:w="1272" w:type="dxa"/>
            <w:vMerge w:val="restart"/>
            <w:shd w:val="clear" w:color="auto" w:fill="D9D9D9" w:themeFill="background1" w:themeFillShade="D9"/>
            <w:vAlign w:val="bottom"/>
          </w:tcPr>
          <w:p>
            <w:pPr>
              <w:spacing w:before="120" w:after="120"/>
              <w:jc w:val="both"/>
              <w:rPr>
                <w:b/>
                <w:noProof/>
              </w:rPr>
            </w:pPr>
          </w:p>
        </w:tc>
        <w:tc>
          <w:tcPr>
            <w:tcW w:w="3816" w:type="dxa"/>
            <w:gridSpan w:val="3"/>
            <w:tcBorders>
              <w:right w:val="double" w:sz="12" w:space="0" w:color="auto"/>
            </w:tcBorders>
            <w:shd w:val="clear" w:color="auto" w:fill="D9D9D9" w:themeFill="background1" w:themeFillShade="D9"/>
            <w:vAlign w:val="bottom"/>
          </w:tcPr>
          <w:p>
            <w:pPr>
              <w:spacing w:before="120" w:after="120"/>
              <w:jc w:val="center"/>
              <w:rPr>
                <w:b/>
                <w:noProof/>
              </w:rPr>
            </w:pPr>
            <w:r>
              <w:rPr>
                <w:b/>
                <w:noProof/>
              </w:rPr>
              <w:t>Quantités de boues d’épuration produites par des stations d'épuration des eaux usées, matière sèche (en tonnes/an)</w:t>
            </w:r>
          </w:p>
        </w:tc>
        <w:tc>
          <w:tcPr>
            <w:tcW w:w="3819" w:type="dxa"/>
            <w:gridSpan w:val="3"/>
            <w:tcBorders>
              <w:left w:val="double" w:sz="12" w:space="0" w:color="auto"/>
            </w:tcBorders>
            <w:shd w:val="clear" w:color="auto" w:fill="D9D9D9" w:themeFill="background1" w:themeFillShade="D9"/>
            <w:vAlign w:val="bottom"/>
          </w:tcPr>
          <w:p>
            <w:pPr>
              <w:spacing w:before="120" w:after="120"/>
              <w:jc w:val="center"/>
              <w:rPr>
                <w:b/>
                <w:noProof/>
              </w:rPr>
            </w:pPr>
            <w:r>
              <w:rPr>
                <w:b/>
                <w:noProof/>
              </w:rPr>
              <w:t>Quantités de boues d’épuration utilisées en agriculture</w:t>
            </w:r>
          </w:p>
        </w:tc>
      </w:tr>
      <w:tr>
        <w:tc>
          <w:tcPr>
            <w:tcW w:w="1272" w:type="dxa"/>
            <w:vMerge/>
            <w:shd w:val="clear" w:color="auto" w:fill="D9D9D9" w:themeFill="background1" w:themeFillShade="D9"/>
            <w:vAlign w:val="bottom"/>
          </w:tcPr>
          <w:p>
            <w:pPr>
              <w:spacing w:before="120" w:after="120"/>
              <w:jc w:val="both"/>
              <w:rPr>
                <w:b/>
                <w:noProof/>
              </w:rPr>
            </w:pPr>
          </w:p>
        </w:tc>
        <w:tc>
          <w:tcPr>
            <w:tcW w:w="1272" w:type="dxa"/>
            <w:shd w:val="clear" w:color="auto" w:fill="D9D9D9" w:themeFill="background1" w:themeFillShade="D9"/>
            <w:vAlign w:val="bottom"/>
          </w:tcPr>
          <w:p>
            <w:pPr>
              <w:spacing w:before="120" w:after="120"/>
              <w:jc w:val="center"/>
              <w:rPr>
                <w:b/>
                <w:noProof/>
              </w:rPr>
            </w:pPr>
            <w:r>
              <w:rPr>
                <w:b/>
                <w:noProof/>
              </w:rPr>
              <w:t>2010</w:t>
            </w:r>
          </w:p>
        </w:tc>
        <w:tc>
          <w:tcPr>
            <w:tcW w:w="1272" w:type="dxa"/>
            <w:shd w:val="clear" w:color="auto" w:fill="D9D9D9" w:themeFill="background1" w:themeFillShade="D9"/>
            <w:vAlign w:val="bottom"/>
          </w:tcPr>
          <w:p>
            <w:pPr>
              <w:spacing w:before="120" w:after="120"/>
              <w:jc w:val="center"/>
              <w:rPr>
                <w:b/>
                <w:noProof/>
              </w:rPr>
            </w:pPr>
            <w:r>
              <w:rPr>
                <w:b/>
                <w:noProof/>
              </w:rPr>
              <w:t>2011</w:t>
            </w:r>
          </w:p>
        </w:tc>
        <w:tc>
          <w:tcPr>
            <w:tcW w:w="1272" w:type="dxa"/>
            <w:tcBorders>
              <w:right w:val="double" w:sz="12" w:space="0" w:color="auto"/>
            </w:tcBorders>
            <w:shd w:val="clear" w:color="auto" w:fill="D9D9D9" w:themeFill="background1" w:themeFillShade="D9"/>
            <w:vAlign w:val="bottom"/>
          </w:tcPr>
          <w:p>
            <w:pPr>
              <w:spacing w:before="120" w:after="120"/>
              <w:jc w:val="center"/>
              <w:rPr>
                <w:b/>
                <w:noProof/>
              </w:rPr>
            </w:pPr>
            <w:r>
              <w:rPr>
                <w:b/>
                <w:noProof/>
              </w:rPr>
              <w:t>2012</w:t>
            </w:r>
          </w:p>
        </w:tc>
        <w:tc>
          <w:tcPr>
            <w:tcW w:w="1273" w:type="dxa"/>
            <w:tcBorders>
              <w:left w:val="double" w:sz="12" w:space="0" w:color="auto"/>
            </w:tcBorders>
            <w:shd w:val="clear" w:color="auto" w:fill="D9D9D9" w:themeFill="background1" w:themeFillShade="D9"/>
            <w:vAlign w:val="bottom"/>
          </w:tcPr>
          <w:p>
            <w:pPr>
              <w:spacing w:before="120" w:after="120"/>
              <w:jc w:val="center"/>
              <w:rPr>
                <w:b/>
                <w:noProof/>
              </w:rPr>
            </w:pPr>
            <w:r>
              <w:rPr>
                <w:b/>
                <w:noProof/>
              </w:rPr>
              <w:t>2010</w:t>
            </w:r>
          </w:p>
        </w:tc>
        <w:tc>
          <w:tcPr>
            <w:tcW w:w="1273" w:type="dxa"/>
            <w:shd w:val="clear" w:color="auto" w:fill="D9D9D9" w:themeFill="background1" w:themeFillShade="D9"/>
            <w:vAlign w:val="bottom"/>
          </w:tcPr>
          <w:p>
            <w:pPr>
              <w:spacing w:before="120" w:after="120"/>
              <w:jc w:val="center"/>
              <w:rPr>
                <w:b/>
                <w:noProof/>
              </w:rPr>
            </w:pPr>
            <w:r>
              <w:rPr>
                <w:b/>
                <w:noProof/>
              </w:rPr>
              <w:t>2011</w:t>
            </w:r>
          </w:p>
        </w:tc>
        <w:tc>
          <w:tcPr>
            <w:tcW w:w="1273" w:type="dxa"/>
            <w:shd w:val="clear" w:color="auto" w:fill="D9D9D9" w:themeFill="background1" w:themeFillShade="D9"/>
            <w:vAlign w:val="bottom"/>
          </w:tcPr>
          <w:p>
            <w:pPr>
              <w:spacing w:before="120" w:after="120"/>
              <w:jc w:val="center"/>
              <w:rPr>
                <w:b/>
                <w:noProof/>
              </w:rPr>
            </w:pPr>
            <w:r>
              <w:rPr>
                <w:b/>
                <w:noProof/>
              </w:rPr>
              <w:t>2012</w:t>
            </w:r>
          </w:p>
        </w:tc>
      </w:tr>
      <w:tr>
        <w:tc>
          <w:tcPr>
            <w:tcW w:w="1272" w:type="dxa"/>
            <w:vAlign w:val="center"/>
          </w:tcPr>
          <w:p>
            <w:pPr>
              <w:spacing w:before="120" w:after="120"/>
              <w:jc w:val="both"/>
              <w:rPr>
                <w:b/>
                <w:noProof/>
              </w:rPr>
            </w:pPr>
            <w:r>
              <w:rPr>
                <w:b/>
                <w:noProof/>
              </w:rPr>
              <w:t>Allemagne</w:t>
            </w:r>
          </w:p>
        </w:tc>
        <w:tc>
          <w:tcPr>
            <w:tcW w:w="1272" w:type="dxa"/>
            <w:vAlign w:val="center"/>
          </w:tcPr>
          <w:p>
            <w:pPr>
              <w:spacing w:before="120" w:after="120"/>
              <w:jc w:val="center"/>
              <w:rPr>
                <w:noProof/>
              </w:rPr>
            </w:pPr>
            <w:r>
              <w:rPr>
                <w:noProof/>
              </w:rPr>
              <w:t>1 774 793</w:t>
            </w:r>
          </w:p>
        </w:tc>
        <w:tc>
          <w:tcPr>
            <w:tcW w:w="1272" w:type="dxa"/>
            <w:vAlign w:val="center"/>
          </w:tcPr>
          <w:p>
            <w:pPr>
              <w:spacing w:before="120" w:after="120"/>
              <w:jc w:val="center"/>
              <w:rPr>
                <w:noProof/>
              </w:rPr>
            </w:pPr>
            <w:r>
              <w:rPr>
                <w:noProof/>
              </w:rPr>
              <w:t>1 836 952</w:t>
            </w:r>
          </w:p>
        </w:tc>
        <w:tc>
          <w:tcPr>
            <w:tcW w:w="1272" w:type="dxa"/>
            <w:tcBorders>
              <w:right w:val="double" w:sz="12" w:space="0" w:color="auto"/>
            </w:tcBorders>
            <w:vAlign w:val="center"/>
          </w:tcPr>
          <w:p>
            <w:pPr>
              <w:spacing w:before="120" w:after="120"/>
              <w:jc w:val="center"/>
              <w:rPr>
                <w:noProof/>
              </w:rPr>
            </w:pPr>
            <w:r>
              <w:rPr>
                <w:noProof/>
              </w:rPr>
              <w:t>1 742 920</w:t>
            </w:r>
          </w:p>
        </w:tc>
        <w:tc>
          <w:tcPr>
            <w:tcW w:w="1273" w:type="dxa"/>
            <w:tcBorders>
              <w:left w:val="double" w:sz="12" w:space="0" w:color="auto"/>
            </w:tcBorders>
            <w:vAlign w:val="center"/>
          </w:tcPr>
          <w:p>
            <w:pPr>
              <w:spacing w:before="120" w:after="120"/>
              <w:jc w:val="center"/>
              <w:rPr>
                <w:noProof/>
              </w:rPr>
            </w:pPr>
            <w:r>
              <w:rPr>
                <w:noProof/>
              </w:rPr>
              <w:t>610 249</w:t>
            </w:r>
          </w:p>
        </w:tc>
        <w:tc>
          <w:tcPr>
            <w:tcW w:w="1273" w:type="dxa"/>
            <w:vAlign w:val="center"/>
          </w:tcPr>
          <w:p>
            <w:pPr>
              <w:spacing w:before="120" w:after="120"/>
              <w:jc w:val="center"/>
              <w:rPr>
                <w:noProof/>
              </w:rPr>
            </w:pPr>
            <w:r>
              <w:rPr>
                <w:noProof/>
              </w:rPr>
              <w:t>600 270</w:t>
            </w:r>
          </w:p>
        </w:tc>
        <w:tc>
          <w:tcPr>
            <w:tcW w:w="1273" w:type="dxa"/>
            <w:vAlign w:val="center"/>
          </w:tcPr>
          <w:p>
            <w:pPr>
              <w:spacing w:before="120" w:after="120"/>
              <w:jc w:val="center"/>
              <w:rPr>
                <w:noProof/>
              </w:rPr>
            </w:pPr>
            <w:r>
              <w:rPr>
                <w:noProof/>
              </w:rPr>
              <w:t>580 031</w:t>
            </w:r>
          </w:p>
        </w:tc>
      </w:tr>
      <w:tr>
        <w:tc>
          <w:tcPr>
            <w:tcW w:w="1272" w:type="dxa"/>
            <w:vAlign w:val="center"/>
          </w:tcPr>
          <w:p>
            <w:pPr>
              <w:spacing w:before="120" w:after="120"/>
              <w:jc w:val="both"/>
              <w:rPr>
                <w:b/>
                <w:noProof/>
              </w:rPr>
            </w:pPr>
            <w:r>
              <w:rPr>
                <w:b/>
                <w:noProof/>
              </w:rPr>
              <w:t>Autriche *</w:t>
            </w:r>
          </w:p>
        </w:tc>
        <w:tc>
          <w:tcPr>
            <w:tcW w:w="1272" w:type="dxa"/>
            <w:vAlign w:val="center"/>
          </w:tcPr>
          <w:p>
            <w:pPr>
              <w:spacing w:before="120" w:after="120"/>
              <w:jc w:val="center"/>
              <w:rPr>
                <w:noProof/>
              </w:rPr>
            </w:pPr>
            <w:r>
              <w:rPr>
                <w:noProof/>
              </w:rPr>
              <w:t>117 471</w:t>
            </w:r>
          </w:p>
        </w:tc>
        <w:tc>
          <w:tcPr>
            <w:tcW w:w="1272" w:type="dxa"/>
            <w:vAlign w:val="center"/>
          </w:tcPr>
          <w:p>
            <w:pPr>
              <w:spacing w:before="120" w:after="120"/>
              <w:jc w:val="center"/>
              <w:rPr>
                <w:noProof/>
              </w:rPr>
            </w:pPr>
            <w:r>
              <w:rPr>
                <w:noProof/>
              </w:rPr>
              <w:t>119 069</w:t>
            </w:r>
          </w:p>
        </w:tc>
        <w:tc>
          <w:tcPr>
            <w:tcW w:w="1272" w:type="dxa"/>
            <w:tcBorders>
              <w:right w:val="double" w:sz="12" w:space="0" w:color="auto"/>
            </w:tcBorders>
            <w:vAlign w:val="center"/>
          </w:tcPr>
          <w:p>
            <w:pPr>
              <w:spacing w:before="120" w:after="120"/>
              <w:jc w:val="center"/>
              <w:rPr>
                <w:noProof/>
              </w:rPr>
            </w:pPr>
            <w:r>
              <w:rPr>
                <w:noProof/>
              </w:rPr>
              <w:t>34 798</w:t>
            </w:r>
          </w:p>
        </w:tc>
        <w:tc>
          <w:tcPr>
            <w:tcW w:w="1273" w:type="dxa"/>
            <w:tcBorders>
              <w:left w:val="double" w:sz="12" w:space="0" w:color="auto"/>
            </w:tcBorders>
            <w:vAlign w:val="center"/>
          </w:tcPr>
          <w:p>
            <w:pPr>
              <w:spacing w:before="120" w:after="120"/>
              <w:jc w:val="center"/>
              <w:rPr>
                <w:noProof/>
              </w:rPr>
            </w:pPr>
            <w:r>
              <w:rPr>
                <w:noProof/>
              </w:rPr>
              <w:t>33 076</w:t>
            </w:r>
          </w:p>
        </w:tc>
        <w:tc>
          <w:tcPr>
            <w:tcW w:w="1273" w:type="dxa"/>
            <w:vAlign w:val="center"/>
          </w:tcPr>
          <w:p>
            <w:pPr>
              <w:spacing w:before="120" w:after="120"/>
              <w:jc w:val="center"/>
              <w:rPr>
                <w:noProof/>
              </w:rPr>
            </w:pPr>
            <w:r>
              <w:rPr>
                <w:noProof/>
              </w:rPr>
              <w:t>113 248</w:t>
            </w:r>
          </w:p>
        </w:tc>
        <w:tc>
          <w:tcPr>
            <w:tcW w:w="1273" w:type="dxa"/>
            <w:vAlign w:val="center"/>
          </w:tcPr>
          <w:p>
            <w:pPr>
              <w:spacing w:before="120" w:after="120"/>
              <w:jc w:val="center"/>
              <w:rPr>
                <w:noProof/>
              </w:rPr>
            </w:pPr>
            <w:r>
              <w:rPr>
                <w:noProof/>
              </w:rPr>
              <w:t>13 029</w:t>
            </w:r>
          </w:p>
        </w:tc>
      </w:tr>
      <w:tr>
        <w:tc>
          <w:tcPr>
            <w:tcW w:w="1272" w:type="dxa"/>
            <w:vAlign w:val="center"/>
          </w:tcPr>
          <w:p>
            <w:pPr>
              <w:spacing w:before="120" w:after="120"/>
              <w:jc w:val="both"/>
              <w:rPr>
                <w:b/>
                <w:noProof/>
              </w:rPr>
            </w:pPr>
            <w:r>
              <w:rPr>
                <w:b/>
                <w:noProof/>
              </w:rPr>
              <w:t>Bulgarie</w:t>
            </w:r>
          </w:p>
        </w:tc>
        <w:tc>
          <w:tcPr>
            <w:tcW w:w="1272" w:type="dxa"/>
            <w:vAlign w:val="center"/>
          </w:tcPr>
          <w:p>
            <w:pPr>
              <w:spacing w:before="120" w:after="120"/>
              <w:jc w:val="center"/>
              <w:rPr>
                <w:noProof/>
              </w:rPr>
            </w:pPr>
            <w:r>
              <w:rPr>
                <w:noProof/>
              </w:rPr>
              <w:t>49 757</w:t>
            </w:r>
          </w:p>
        </w:tc>
        <w:tc>
          <w:tcPr>
            <w:tcW w:w="1272" w:type="dxa"/>
            <w:vAlign w:val="center"/>
          </w:tcPr>
          <w:p>
            <w:pPr>
              <w:spacing w:before="120" w:after="120"/>
              <w:jc w:val="center"/>
              <w:rPr>
                <w:noProof/>
              </w:rPr>
            </w:pPr>
            <w:r>
              <w:rPr>
                <w:noProof/>
              </w:rPr>
              <w:t>51 388</w:t>
            </w:r>
          </w:p>
        </w:tc>
        <w:tc>
          <w:tcPr>
            <w:tcW w:w="1272" w:type="dxa"/>
            <w:tcBorders>
              <w:right w:val="double" w:sz="12" w:space="0" w:color="auto"/>
            </w:tcBorders>
            <w:vAlign w:val="center"/>
          </w:tcPr>
          <w:p>
            <w:pPr>
              <w:spacing w:before="120" w:after="120"/>
              <w:jc w:val="center"/>
              <w:rPr>
                <w:noProof/>
              </w:rPr>
            </w:pPr>
            <w:r>
              <w:rPr>
                <w:noProof/>
              </w:rPr>
              <w:t>59 261</w:t>
            </w:r>
          </w:p>
        </w:tc>
        <w:tc>
          <w:tcPr>
            <w:tcW w:w="1273" w:type="dxa"/>
            <w:tcBorders>
              <w:left w:val="double" w:sz="12" w:space="0" w:color="auto"/>
            </w:tcBorders>
            <w:vAlign w:val="center"/>
          </w:tcPr>
          <w:p>
            <w:pPr>
              <w:spacing w:before="120" w:after="120"/>
              <w:jc w:val="center"/>
              <w:rPr>
                <w:noProof/>
              </w:rPr>
            </w:pPr>
            <w:r>
              <w:rPr>
                <w:noProof/>
              </w:rPr>
              <w:t>13 644</w:t>
            </w:r>
          </w:p>
        </w:tc>
        <w:tc>
          <w:tcPr>
            <w:tcW w:w="1273" w:type="dxa"/>
            <w:vAlign w:val="center"/>
          </w:tcPr>
          <w:p>
            <w:pPr>
              <w:spacing w:before="120" w:after="120"/>
              <w:jc w:val="center"/>
              <w:rPr>
                <w:noProof/>
              </w:rPr>
            </w:pPr>
            <w:r>
              <w:rPr>
                <w:noProof/>
              </w:rPr>
              <w:t>17 561</w:t>
            </w:r>
          </w:p>
        </w:tc>
        <w:tc>
          <w:tcPr>
            <w:tcW w:w="1273" w:type="dxa"/>
            <w:vAlign w:val="center"/>
          </w:tcPr>
          <w:p>
            <w:pPr>
              <w:spacing w:before="120" w:after="120"/>
              <w:jc w:val="center"/>
              <w:rPr>
                <w:noProof/>
              </w:rPr>
            </w:pPr>
            <w:r>
              <w:rPr>
                <w:noProof/>
              </w:rPr>
              <w:t>21 241</w:t>
            </w:r>
          </w:p>
        </w:tc>
      </w:tr>
      <w:tr>
        <w:tc>
          <w:tcPr>
            <w:tcW w:w="1272" w:type="dxa"/>
            <w:vAlign w:val="center"/>
          </w:tcPr>
          <w:p>
            <w:pPr>
              <w:spacing w:before="120" w:after="120"/>
              <w:jc w:val="both"/>
              <w:rPr>
                <w:b/>
                <w:noProof/>
              </w:rPr>
            </w:pPr>
            <w:r>
              <w:rPr>
                <w:b/>
                <w:noProof/>
              </w:rPr>
              <w:t>Chypre</w:t>
            </w:r>
          </w:p>
        </w:tc>
        <w:tc>
          <w:tcPr>
            <w:tcW w:w="1272" w:type="dxa"/>
            <w:vAlign w:val="center"/>
          </w:tcPr>
          <w:p>
            <w:pPr>
              <w:spacing w:before="120" w:after="120"/>
              <w:jc w:val="center"/>
              <w:rPr>
                <w:noProof/>
              </w:rPr>
            </w:pPr>
            <w:r>
              <w:rPr>
                <w:noProof/>
              </w:rPr>
              <w:t>7 083</w:t>
            </w:r>
          </w:p>
        </w:tc>
        <w:tc>
          <w:tcPr>
            <w:tcW w:w="1272" w:type="dxa"/>
            <w:vAlign w:val="center"/>
          </w:tcPr>
          <w:p>
            <w:pPr>
              <w:spacing w:before="120" w:after="120"/>
              <w:jc w:val="center"/>
              <w:rPr>
                <w:noProof/>
              </w:rPr>
            </w:pPr>
            <w:r>
              <w:rPr>
                <w:noProof/>
              </w:rPr>
              <w:t>6 815</w:t>
            </w:r>
          </w:p>
        </w:tc>
        <w:tc>
          <w:tcPr>
            <w:tcW w:w="1272" w:type="dxa"/>
            <w:tcBorders>
              <w:right w:val="double" w:sz="12" w:space="0" w:color="auto"/>
            </w:tcBorders>
            <w:vAlign w:val="center"/>
          </w:tcPr>
          <w:p>
            <w:pPr>
              <w:spacing w:before="120" w:after="120"/>
              <w:jc w:val="center"/>
              <w:rPr>
                <w:noProof/>
              </w:rPr>
            </w:pPr>
            <w:r>
              <w:rPr>
                <w:noProof/>
              </w:rPr>
              <w:t>6 533</w:t>
            </w:r>
          </w:p>
        </w:tc>
        <w:tc>
          <w:tcPr>
            <w:tcW w:w="1273" w:type="dxa"/>
            <w:tcBorders>
              <w:left w:val="double" w:sz="12" w:space="0" w:color="auto"/>
            </w:tcBorders>
            <w:vAlign w:val="center"/>
          </w:tcPr>
          <w:p>
            <w:pPr>
              <w:spacing w:before="120" w:after="120"/>
              <w:jc w:val="center"/>
              <w:rPr>
                <w:noProof/>
              </w:rPr>
            </w:pPr>
            <w:r>
              <w:rPr>
                <w:noProof/>
              </w:rPr>
              <w:t>5 294</w:t>
            </w:r>
          </w:p>
        </w:tc>
        <w:tc>
          <w:tcPr>
            <w:tcW w:w="1273" w:type="dxa"/>
            <w:vAlign w:val="center"/>
          </w:tcPr>
          <w:p>
            <w:pPr>
              <w:spacing w:before="120" w:after="120"/>
              <w:jc w:val="center"/>
              <w:rPr>
                <w:noProof/>
              </w:rPr>
            </w:pPr>
            <w:r>
              <w:rPr>
                <w:noProof/>
              </w:rPr>
              <w:t>3 912</w:t>
            </w:r>
          </w:p>
        </w:tc>
        <w:tc>
          <w:tcPr>
            <w:tcW w:w="1273" w:type="dxa"/>
            <w:vAlign w:val="center"/>
          </w:tcPr>
          <w:p>
            <w:pPr>
              <w:spacing w:before="120" w:after="120"/>
              <w:jc w:val="center"/>
              <w:rPr>
                <w:noProof/>
              </w:rPr>
            </w:pPr>
            <w:r>
              <w:rPr>
                <w:noProof/>
              </w:rPr>
              <w:t>2 756</w:t>
            </w:r>
          </w:p>
        </w:tc>
      </w:tr>
      <w:tr>
        <w:tc>
          <w:tcPr>
            <w:tcW w:w="1272" w:type="dxa"/>
            <w:vAlign w:val="center"/>
          </w:tcPr>
          <w:p>
            <w:pPr>
              <w:spacing w:before="120" w:after="120"/>
              <w:jc w:val="both"/>
              <w:rPr>
                <w:b/>
                <w:noProof/>
              </w:rPr>
            </w:pPr>
            <w:r>
              <w:rPr>
                <w:b/>
                <w:noProof/>
              </w:rPr>
              <w:t>Croatie</w:t>
            </w:r>
          </w:p>
        </w:tc>
        <w:tc>
          <w:tcPr>
            <w:tcW w:w="1272" w:type="dxa"/>
            <w:vAlign w:val="center"/>
          </w:tcPr>
          <w:p>
            <w:pPr>
              <w:spacing w:before="120" w:after="120"/>
              <w:jc w:val="center"/>
              <w:rPr>
                <w:noProof/>
              </w:rPr>
            </w:pPr>
            <w:r>
              <w:rPr>
                <w:noProof/>
              </w:rPr>
              <w:t>21 315</w:t>
            </w:r>
          </w:p>
        </w:tc>
        <w:tc>
          <w:tcPr>
            <w:tcW w:w="1272" w:type="dxa"/>
            <w:vAlign w:val="center"/>
          </w:tcPr>
          <w:p>
            <w:pPr>
              <w:spacing w:before="120" w:after="120"/>
              <w:jc w:val="center"/>
              <w:rPr>
                <w:noProof/>
              </w:rPr>
            </w:pPr>
            <w:r>
              <w:rPr>
                <w:noProof/>
              </w:rPr>
              <w:t>18 570</w:t>
            </w:r>
          </w:p>
        </w:tc>
        <w:tc>
          <w:tcPr>
            <w:tcW w:w="1272" w:type="dxa"/>
            <w:tcBorders>
              <w:right w:val="double" w:sz="12" w:space="0" w:color="auto"/>
            </w:tcBorders>
            <w:vAlign w:val="center"/>
          </w:tcPr>
          <w:p>
            <w:pPr>
              <w:spacing w:before="120" w:after="120"/>
              <w:jc w:val="center"/>
              <w:rPr>
                <w:noProof/>
              </w:rPr>
            </w:pPr>
            <w:r>
              <w:rPr>
                <w:noProof/>
              </w:rPr>
              <w:t>19 457</w:t>
            </w:r>
          </w:p>
        </w:tc>
        <w:tc>
          <w:tcPr>
            <w:tcW w:w="1273" w:type="dxa"/>
            <w:tcBorders>
              <w:left w:val="double" w:sz="12" w:space="0" w:color="auto"/>
            </w:tcBorders>
            <w:vAlign w:val="center"/>
          </w:tcPr>
          <w:p>
            <w:pPr>
              <w:spacing w:before="120" w:after="120"/>
              <w:jc w:val="center"/>
              <w:rPr>
                <w:noProof/>
              </w:rPr>
            </w:pPr>
            <w:r>
              <w:rPr>
                <w:noProof/>
              </w:rPr>
              <w:t>546</w:t>
            </w:r>
          </w:p>
        </w:tc>
        <w:tc>
          <w:tcPr>
            <w:tcW w:w="1273" w:type="dxa"/>
            <w:vAlign w:val="center"/>
          </w:tcPr>
          <w:p>
            <w:pPr>
              <w:spacing w:before="120" w:after="120"/>
              <w:jc w:val="center"/>
              <w:rPr>
                <w:noProof/>
              </w:rPr>
            </w:pPr>
            <w:r>
              <w:rPr>
                <w:noProof/>
              </w:rPr>
              <w:t>681</w:t>
            </w:r>
          </w:p>
        </w:tc>
        <w:tc>
          <w:tcPr>
            <w:tcW w:w="1273" w:type="dxa"/>
            <w:vAlign w:val="center"/>
          </w:tcPr>
          <w:p>
            <w:pPr>
              <w:spacing w:before="120" w:after="120"/>
              <w:jc w:val="center"/>
              <w:rPr>
                <w:noProof/>
              </w:rPr>
            </w:pPr>
            <w:r>
              <w:rPr>
                <w:noProof/>
              </w:rPr>
              <w:t>954</w:t>
            </w:r>
          </w:p>
        </w:tc>
      </w:tr>
      <w:tr>
        <w:tc>
          <w:tcPr>
            <w:tcW w:w="1272" w:type="dxa"/>
            <w:vAlign w:val="center"/>
          </w:tcPr>
          <w:p>
            <w:pPr>
              <w:spacing w:before="120" w:after="120"/>
              <w:jc w:val="both"/>
              <w:rPr>
                <w:b/>
                <w:noProof/>
              </w:rPr>
            </w:pPr>
            <w:r>
              <w:rPr>
                <w:b/>
                <w:noProof/>
              </w:rPr>
              <w:t>Danemark</w:t>
            </w:r>
          </w:p>
        </w:tc>
        <w:tc>
          <w:tcPr>
            <w:tcW w:w="1272" w:type="dxa"/>
            <w:vAlign w:val="center"/>
          </w:tcPr>
          <w:p>
            <w:pPr>
              <w:spacing w:before="120" w:after="120"/>
              <w:jc w:val="center"/>
              <w:rPr>
                <w:noProof/>
              </w:rPr>
            </w:pPr>
            <w:r>
              <w:rPr>
                <w:noProof/>
              </w:rPr>
              <w:t>131 900</w:t>
            </w:r>
          </w:p>
        </w:tc>
        <w:tc>
          <w:tcPr>
            <w:tcW w:w="1272" w:type="dxa"/>
            <w:vAlign w:val="center"/>
          </w:tcPr>
          <w:p>
            <w:pPr>
              <w:spacing w:before="120" w:after="120"/>
              <w:jc w:val="center"/>
              <w:rPr>
                <w:noProof/>
              </w:rPr>
            </w:pPr>
            <w:r>
              <w:rPr>
                <w:noProof/>
              </w:rPr>
              <w:t>données manquantes</w:t>
            </w:r>
          </w:p>
        </w:tc>
        <w:tc>
          <w:tcPr>
            <w:tcW w:w="1272" w:type="dxa"/>
            <w:tcBorders>
              <w:right w:val="double" w:sz="12" w:space="0" w:color="auto"/>
            </w:tcBorders>
            <w:vAlign w:val="center"/>
          </w:tcPr>
          <w:p>
            <w:pPr>
              <w:spacing w:before="120" w:after="120"/>
              <w:jc w:val="center"/>
              <w:rPr>
                <w:noProof/>
              </w:rPr>
            </w:pPr>
            <w:r>
              <w:rPr>
                <w:noProof/>
              </w:rPr>
              <w:t>données manquantes</w:t>
            </w:r>
          </w:p>
        </w:tc>
        <w:tc>
          <w:tcPr>
            <w:tcW w:w="1273" w:type="dxa"/>
            <w:tcBorders>
              <w:left w:val="double" w:sz="12" w:space="0" w:color="auto"/>
            </w:tcBorders>
            <w:vAlign w:val="center"/>
          </w:tcPr>
          <w:p>
            <w:pPr>
              <w:spacing w:before="120" w:after="120"/>
              <w:jc w:val="center"/>
              <w:rPr>
                <w:noProof/>
              </w:rPr>
            </w:pPr>
            <w:r>
              <w:rPr>
                <w:noProof/>
              </w:rPr>
              <w:t>79 140</w:t>
            </w:r>
          </w:p>
        </w:tc>
        <w:tc>
          <w:tcPr>
            <w:tcW w:w="1273" w:type="dxa"/>
            <w:vAlign w:val="center"/>
          </w:tcPr>
          <w:p>
            <w:pPr>
              <w:spacing w:before="120" w:after="120"/>
              <w:jc w:val="center"/>
              <w:rPr>
                <w:noProof/>
              </w:rPr>
            </w:pPr>
            <w:r>
              <w:rPr>
                <w:noProof/>
              </w:rPr>
              <w:t>données manquantes</w:t>
            </w:r>
          </w:p>
        </w:tc>
        <w:tc>
          <w:tcPr>
            <w:tcW w:w="1273" w:type="dxa"/>
            <w:vAlign w:val="center"/>
          </w:tcPr>
          <w:p>
            <w:pPr>
              <w:spacing w:before="120" w:after="120"/>
              <w:jc w:val="center"/>
              <w:rPr>
                <w:noProof/>
              </w:rPr>
            </w:pPr>
            <w:r>
              <w:rPr>
                <w:noProof/>
              </w:rPr>
              <w:t>données manquantes</w:t>
            </w:r>
          </w:p>
        </w:tc>
      </w:tr>
      <w:tr>
        <w:tc>
          <w:tcPr>
            <w:tcW w:w="1272" w:type="dxa"/>
            <w:vAlign w:val="center"/>
          </w:tcPr>
          <w:p>
            <w:pPr>
              <w:spacing w:before="120" w:after="120"/>
              <w:jc w:val="both"/>
              <w:rPr>
                <w:b/>
                <w:noProof/>
              </w:rPr>
            </w:pPr>
            <w:r>
              <w:rPr>
                <w:b/>
                <w:noProof/>
              </w:rPr>
              <w:t>Espagne</w:t>
            </w:r>
          </w:p>
        </w:tc>
        <w:tc>
          <w:tcPr>
            <w:tcW w:w="1272" w:type="dxa"/>
            <w:vAlign w:val="center"/>
          </w:tcPr>
          <w:p>
            <w:pPr>
              <w:spacing w:before="120" w:after="120"/>
              <w:jc w:val="center"/>
              <w:rPr>
                <w:noProof/>
              </w:rPr>
            </w:pPr>
            <w:r>
              <w:rPr>
                <w:noProof/>
              </w:rPr>
              <w:t>1 086 720</w:t>
            </w:r>
          </w:p>
        </w:tc>
        <w:tc>
          <w:tcPr>
            <w:tcW w:w="1272" w:type="dxa"/>
            <w:vAlign w:val="center"/>
          </w:tcPr>
          <w:p>
            <w:pPr>
              <w:spacing w:before="120" w:after="120"/>
              <w:jc w:val="center"/>
              <w:rPr>
                <w:noProof/>
              </w:rPr>
            </w:pPr>
            <w:r>
              <w:rPr>
                <w:noProof/>
              </w:rPr>
              <w:t>1 058 999</w:t>
            </w:r>
          </w:p>
        </w:tc>
        <w:tc>
          <w:tcPr>
            <w:tcW w:w="1272" w:type="dxa"/>
            <w:tcBorders>
              <w:right w:val="double" w:sz="12" w:space="0" w:color="auto"/>
            </w:tcBorders>
            <w:vAlign w:val="center"/>
          </w:tcPr>
          <w:p>
            <w:pPr>
              <w:spacing w:before="120" w:after="120"/>
              <w:jc w:val="center"/>
              <w:rPr>
                <w:noProof/>
              </w:rPr>
            </w:pPr>
            <w:r>
              <w:rPr>
                <w:noProof/>
              </w:rPr>
              <w:t>1 082 669</w:t>
            </w:r>
          </w:p>
        </w:tc>
        <w:tc>
          <w:tcPr>
            <w:tcW w:w="1273" w:type="dxa"/>
            <w:tcBorders>
              <w:left w:val="double" w:sz="12" w:space="0" w:color="auto"/>
            </w:tcBorders>
            <w:vAlign w:val="center"/>
          </w:tcPr>
          <w:p>
            <w:pPr>
              <w:spacing w:before="120" w:after="120"/>
              <w:jc w:val="center"/>
              <w:rPr>
                <w:noProof/>
              </w:rPr>
            </w:pPr>
            <w:r>
              <w:rPr>
                <w:noProof/>
              </w:rPr>
              <w:t>895 791</w:t>
            </w:r>
          </w:p>
        </w:tc>
        <w:tc>
          <w:tcPr>
            <w:tcW w:w="1273" w:type="dxa"/>
            <w:vAlign w:val="center"/>
          </w:tcPr>
          <w:p>
            <w:pPr>
              <w:spacing w:before="120" w:after="120"/>
              <w:jc w:val="center"/>
              <w:rPr>
                <w:noProof/>
              </w:rPr>
            </w:pPr>
            <w:r>
              <w:rPr>
                <w:noProof/>
              </w:rPr>
              <w:t>863 765</w:t>
            </w:r>
          </w:p>
        </w:tc>
        <w:tc>
          <w:tcPr>
            <w:tcW w:w="1273" w:type="dxa"/>
            <w:vAlign w:val="center"/>
          </w:tcPr>
          <w:p>
            <w:pPr>
              <w:spacing w:before="120" w:after="120"/>
              <w:jc w:val="center"/>
              <w:rPr>
                <w:noProof/>
              </w:rPr>
            </w:pPr>
            <w:r>
              <w:rPr>
                <w:noProof/>
              </w:rPr>
              <w:t>870 059</w:t>
            </w:r>
          </w:p>
        </w:tc>
      </w:tr>
      <w:tr>
        <w:tc>
          <w:tcPr>
            <w:tcW w:w="1272" w:type="dxa"/>
            <w:vAlign w:val="center"/>
          </w:tcPr>
          <w:p>
            <w:pPr>
              <w:spacing w:before="120" w:after="120"/>
              <w:jc w:val="both"/>
              <w:rPr>
                <w:b/>
                <w:noProof/>
              </w:rPr>
            </w:pPr>
            <w:r>
              <w:rPr>
                <w:b/>
                <w:noProof/>
              </w:rPr>
              <w:t>Estonie</w:t>
            </w:r>
          </w:p>
        </w:tc>
        <w:tc>
          <w:tcPr>
            <w:tcW w:w="1272" w:type="dxa"/>
            <w:vAlign w:val="center"/>
          </w:tcPr>
          <w:p>
            <w:pPr>
              <w:spacing w:before="120" w:after="120"/>
              <w:jc w:val="center"/>
              <w:rPr>
                <w:noProof/>
              </w:rPr>
            </w:pPr>
            <w:r>
              <w:rPr>
                <w:noProof/>
              </w:rPr>
              <w:t>27 950</w:t>
            </w:r>
          </w:p>
        </w:tc>
        <w:tc>
          <w:tcPr>
            <w:tcW w:w="1272" w:type="dxa"/>
            <w:vAlign w:val="center"/>
          </w:tcPr>
          <w:p>
            <w:pPr>
              <w:spacing w:before="120" w:after="120"/>
              <w:jc w:val="center"/>
              <w:rPr>
                <w:noProof/>
              </w:rPr>
            </w:pPr>
            <w:r>
              <w:rPr>
                <w:noProof/>
              </w:rPr>
              <w:t>27 780</w:t>
            </w:r>
          </w:p>
        </w:tc>
        <w:tc>
          <w:tcPr>
            <w:tcW w:w="1272" w:type="dxa"/>
            <w:tcBorders>
              <w:right w:val="double" w:sz="12" w:space="0" w:color="auto"/>
            </w:tcBorders>
            <w:vAlign w:val="center"/>
          </w:tcPr>
          <w:p>
            <w:pPr>
              <w:spacing w:before="120" w:after="120"/>
              <w:jc w:val="center"/>
              <w:rPr>
                <w:noProof/>
              </w:rPr>
            </w:pPr>
            <w:r>
              <w:rPr>
                <w:noProof/>
              </w:rPr>
              <w:t>22 796</w:t>
            </w:r>
          </w:p>
        </w:tc>
        <w:tc>
          <w:tcPr>
            <w:tcW w:w="1273" w:type="dxa"/>
            <w:tcBorders>
              <w:left w:val="double" w:sz="12" w:space="0" w:color="auto"/>
            </w:tcBorders>
            <w:vAlign w:val="center"/>
          </w:tcPr>
          <w:p>
            <w:pPr>
              <w:spacing w:before="120" w:after="120"/>
              <w:jc w:val="center"/>
              <w:rPr>
                <w:noProof/>
              </w:rPr>
            </w:pPr>
            <w:r>
              <w:rPr>
                <w:noProof/>
              </w:rPr>
              <w:t>14 100</w:t>
            </w:r>
          </w:p>
        </w:tc>
        <w:tc>
          <w:tcPr>
            <w:tcW w:w="1273" w:type="dxa"/>
            <w:vAlign w:val="center"/>
          </w:tcPr>
          <w:p>
            <w:pPr>
              <w:spacing w:before="120" w:after="120"/>
              <w:jc w:val="center"/>
              <w:rPr>
                <w:noProof/>
              </w:rPr>
            </w:pPr>
            <w:r>
              <w:rPr>
                <w:noProof/>
              </w:rPr>
              <w:t>16 030</w:t>
            </w:r>
          </w:p>
        </w:tc>
        <w:tc>
          <w:tcPr>
            <w:tcW w:w="1273" w:type="dxa"/>
            <w:vAlign w:val="center"/>
          </w:tcPr>
          <w:p>
            <w:pPr>
              <w:spacing w:before="120" w:after="120"/>
              <w:jc w:val="center"/>
              <w:rPr>
                <w:noProof/>
              </w:rPr>
            </w:pPr>
            <w:r>
              <w:rPr>
                <w:noProof/>
              </w:rPr>
              <w:t>12 536</w:t>
            </w:r>
          </w:p>
        </w:tc>
      </w:tr>
      <w:tr>
        <w:tc>
          <w:tcPr>
            <w:tcW w:w="1272" w:type="dxa"/>
            <w:vAlign w:val="center"/>
          </w:tcPr>
          <w:p>
            <w:pPr>
              <w:spacing w:before="120" w:after="120"/>
              <w:jc w:val="both"/>
              <w:rPr>
                <w:b/>
                <w:noProof/>
              </w:rPr>
            </w:pPr>
            <w:r>
              <w:rPr>
                <w:b/>
                <w:noProof/>
              </w:rPr>
              <w:t>Finlande</w:t>
            </w:r>
          </w:p>
        </w:tc>
        <w:tc>
          <w:tcPr>
            <w:tcW w:w="1272" w:type="dxa"/>
            <w:vAlign w:val="center"/>
          </w:tcPr>
          <w:p>
            <w:pPr>
              <w:spacing w:before="120" w:after="120"/>
              <w:jc w:val="center"/>
              <w:rPr>
                <w:noProof/>
              </w:rPr>
            </w:pPr>
            <w:r>
              <w:rPr>
                <w:noProof/>
              </w:rPr>
              <w:t>142 700</w:t>
            </w:r>
          </w:p>
        </w:tc>
        <w:tc>
          <w:tcPr>
            <w:tcW w:w="1272" w:type="dxa"/>
            <w:vAlign w:val="center"/>
          </w:tcPr>
          <w:p>
            <w:pPr>
              <w:spacing w:before="120" w:after="120"/>
              <w:jc w:val="center"/>
              <w:rPr>
                <w:noProof/>
              </w:rPr>
            </w:pPr>
            <w:r>
              <w:rPr>
                <w:noProof/>
              </w:rPr>
              <w:t>140 900</w:t>
            </w:r>
          </w:p>
        </w:tc>
        <w:tc>
          <w:tcPr>
            <w:tcW w:w="1272" w:type="dxa"/>
            <w:tcBorders>
              <w:right w:val="double" w:sz="12" w:space="0" w:color="auto"/>
            </w:tcBorders>
            <w:vAlign w:val="center"/>
          </w:tcPr>
          <w:p>
            <w:pPr>
              <w:spacing w:before="120" w:after="120"/>
              <w:jc w:val="center"/>
              <w:rPr>
                <w:noProof/>
              </w:rPr>
            </w:pPr>
            <w:r>
              <w:rPr>
                <w:noProof/>
              </w:rPr>
              <w:t>données manquantes</w:t>
            </w:r>
          </w:p>
        </w:tc>
        <w:tc>
          <w:tcPr>
            <w:tcW w:w="1273" w:type="dxa"/>
            <w:tcBorders>
              <w:left w:val="double" w:sz="12" w:space="0" w:color="auto"/>
            </w:tcBorders>
            <w:vAlign w:val="center"/>
          </w:tcPr>
          <w:p>
            <w:pPr>
              <w:spacing w:before="120" w:after="120"/>
              <w:jc w:val="center"/>
              <w:rPr>
                <w:noProof/>
              </w:rPr>
            </w:pPr>
            <w:r>
              <w:rPr>
                <w:noProof/>
              </w:rPr>
              <w:t>7 500</w:t>
            </w:r>
          </w:p>
        </w:tc>
        <w:tc>
          <w:tcPr>
            <w:tcW w:w="1273" w:type="dxa"/>
            <w:vAlign w:val="center"/>
          </w:tcPr>
          <w:p>
            <w:pPr>
              <w:spacing w:before="120" w:after="120"/>
              <w:jc w:val="center"/>
              <w:rPr>
                <w:noProof/>
              </w:rPr>
            </w:pPr>
            <w:r>
              <w:rPr>
                <w:noProof/>
              </w:rPr>
              <w:t>3 800</w:t>
            </w:r>
          </w:p>
        </w:tc>
        <w:tc>
          <w:tcPr>
            <w:tcW w:w="1273" w:type="dxa"/>
            <w:vAlign w:val="center"/>
          </w:tcPr>
          <w:p>
            <w:pPr>
              <w:spacing w:before="120" w:after="120"/>
              <w:jc w:val="center"/>
              <w:rPr>
                <w:noProof/>
              </w:rPr>
            </w:pPr>
            <w:r>
              <w:rPr>
                <w:noProof/>
              </w:rPr>
              <w:t>données manquantes</w:t>
            </w:r>
          </w:p>
        </w:tc>
      </w:tr>
      <w:tr>
        <w:tc>
          <w:tcPr>
            <w:tcW w:w="1272" w:type="dxa"/>
            <w:vAlign w:val="center"/>
          </w:tcPr>
          <w:p>
            <w:pPr>
              <w:spacing w:before="120" w:after="120"/>
              <w:jc w:val="both"/>
              <w:rPr>
                <w:b/>
                <w:noProof/>
              </w:rPr>
            </w:pPr>
            <w:r>
              <w:rPr>
                <w:b/>
                <w:noProof/>
              </w:rPr>
              <w:t>France</w:t>
            </w:r>
          </w:p>
        </w:tc>
        <w:tc>
          <w:tcPr>
            <w:tcW w:w="1272" w:type="dxa"/>
            <w:vAlign w:val="center"/>
          </w:tcPr>
          <w:p>
            <w:pPr>
              <w:spacing w:before="120" w:after="120"/>
              <w:jc w:val="center"/>
              <w:rPr>
                <w:noProof/>
              </w:rPr>
            </w:pPr>
            <w:r>
              <w:rPr>
                <w:noProof/>
              </w:rPr>
              <w:t>1 127 039</w:t>
            </w:r>
          </w:p>
        </w:tc>
        <w:tc>
          <w:tcPr>
            <w:tcW w:w="1272" w:type="dxa"/>
            <w:vAlign w:val="center"/>
          </w:tcPr>
          <w:p>
            <w:pPr>
              <w:spacing w:before="120" w:after="120"/>
              <w:jc w:val="center"/>
              <w:rPr>
                <w:noProof/>
              </w:rPr>
            </w:pPr>
            <w:r>
              <w:rPr>
                <w:noProof/>
              </w:rPr>
              <w:t>1 094 836</w:t>
            </w:r>
          </w:p>
        </w:tc>
        <w:tc>
          <w:tcPr>
            <w:tcW w:w="1272" w:type="dxa"/>
            <w:tcBorders>
              <w:right w:val="double" w:sz="12" w:space="0" w:color="auto"/>
            </w:tcBorders>
            <w:vAlign w:val="center"/>
          </w:tcPr>
          <w:p>
            <w:pPr>
              <w:spacing w:before="120" w:after="120"/>
              <w:jc w:val="center"/>
              <w:rPr>
                <w:noProof/>
              </w:rPr>
            </w:pPr>
            <w:r>
              <w:rPr>
                <w:noProof/>
              </w:rPr>
              <w:t>1 124 363</w:t>
            </w:r>
          </w:p>
        </w:tc>
        <w:tc>
          <w:tcPr>
            <w:tcW w:w="1273" w:type="dxa"/>
            <w:tcBorders>
              <w:left w:val="double" w:sz="12" w:space="0" w:color="auto"/>
            </w:tcBorders>
            <w:vAlign w:val="center"/>
          </w:tcPr>
          <w:p>
            <w:pPr>
              <w:spacing w:before="120" w:after="120"/>
              <w:jc w:val="center"/>
              <w:rPr>
                <w:noProof/>
              </w:rPr>
            </w:pPr>
            <w:r>
              <w:rPr>
                <w:noProof/>
              </w:rPr>
              <w:t>779 609</w:t>
            </w:r>
          </w:p>
        </w:tc>
        <w:tc>
          <w:tcPr>
            <w:tcW w:w="1273" w:type="dxa"/>
            <w:vAlign w:val="center"/>
          </w:tcPr>
          <w:p>
            <w:pPr>
              <w:spacing w:before="120" w:after="120"/>
              <w:jc w:val="center"/>
              <w:rPr>
                <w:noProof/>
              </w:rPr>
            </w:pPr>
            <w:r>
              <w:rPr>
                <w:noProof/>
              </w:rPr>
              <w:t>790 780</w:t>
            </w:r>
          </w:p>
        </w:tc>
        <w:tc>
          <w:tcPr>
            <w:tcW w:w="1273" w:type="dxa"/>
            <w:vAlign w:val="center"/>
          </w:tcPr>
          <w:p>
            <w:pPr>
              <w:spacing w:before="120" w:after="120"/>
              <w:jc w:val="center"/>
              <w:rPr>
                <w:noProof/>
              </w:rPr>
            </w:pPr>
            <w:r>
              <w:rPr>
                <w:noProof/>
              </w:rPr>
              <w:t>787 300</w:t>
            </w:r>
          </w:p>
        </w:tc>
      </w:tr>
      <w:tr>
        <w:tc>
          <w:tcPr>
            <w:tcW w:w="1272" w:type="dxa"/>
            <w:vAlign w:val="center"/>
          </w:tcPr>
          <w:p>
            <w:pPr>
              <w:spacing w:before="120" w:after="120"/>
              <w:jc w:val="both"/>
              <w:rPr>
                <w:b/>
                <w:noProof/>
              </w:rPr>
            </w:pPr>
            <w:r>
              <w:rPr>
                <w:b/>
                <w:noProof/>
              </w:rPr>
              <w:t>Grèce</w:t>
            </w:r>
          </w:p>
        </w:tc>
        <w:tc>
          <w:tcPr>
            <w:tcW w:w="1272" w:type="dxa"/>
            <w:vAlign w:val="center"/>
          </w:tcPr>
          <w:p>
            <w:pPr>
              <w:spacing w:before="120" w:after="120"/>
              <w:jc w:val="center"/>
              <w:rPr>
                <w:noProof/>
              </w:rPr>
            </w:pPr>
            <w:r>
              <w:rPr>
                <w:noProof/>
              </w:rPr>
              <w:t>103 866</w:t>
            </w:r>
          </w:p>
        </w:tc>
        <w:tc>
          <w:tcPr>
            <w:tcW w:w="1272" w:type="dxa"/>
            <w:vAlign w:val="center"/>
          </w:tcPr>
          <w:p>
            <w:pPr>
              <w:spacing w:before="120" w:after="120"/>
              <w:jc w:val="center"/>
              <w:rPr>
                <w:noProof/>
              </w:rPr>
            </w:pPr>
            <w:r>
              <w:rPr>
                <w:noProof/>
              </w:rPr>
              <w:t>90 655</w:t>
            </w:r>
          </w:p>
        </w:tc>
        <w:tc>
          <w:tcPr>
            <w:tcW w:w="1272" w:type="dxa"/>
            <w:tcBorders>
              <w:right w:val="double" w:sz="12" w:space="0" w:color="auto"/>
            </w:tcBorders>
            <w:vAlign w:val="center"/>
          </w:tcPr>
          <w:p>
            <w:pPr>
              <w:spacing w:before="120" w:after="120"/>
              <w:jc w:val="center"/>
              <w:rPr>
                <w:noProof/>
              </w:rPr>
            </w:pPr>
            <w:r>
              <w:rPr>
                <w:noProof/>
              </w:rPr>
              <w:t>89 978</w:t>
            </w:r>
          </w:p>
        </w:tc>
        <w:tc>
          <w:tcPr>
            <w:tcW w:w="1273" w:type="dxa"/>
            <w:tcBorders>
              <w:left w:val="double" w:sz="12" w:space="0" w:color="auto"/>
            </w:tcBorders>
            <w:vAlign w:val="center"/>
          </w:tcPr>
          <w:p>
            <w:pPr>
              <w:spacing w:before="120" w:after="120"/>
              <w:jc w:val="center"/>
              <w:rPr>
                <w:noProof/>
              </w:rPr>
            </w:pPr>
            <w:r>
              <w:rPr>
                <w:noProof/>
              </w:rPr>
              <w:t>270</w:t>
            </w:r>
          </w:p>
        </w:tc>
        <w:tc>
          <w:tcPr>
            <w:tcW w:w="1273" w:type="dxa"/>
            <w:vAlign w:val="center"/>
          </w:tcPr>
          <w:p>
            <w:pPr>
              <w:spacing w:before="120" w:after="120"/>
              <w:jc w:val="center"/>
              <w:rPr>
                <w:noProof/>
              </w:rPr>
            </w:pPr>
            <w:r>
              <w:rPr>
                <w:noProof/>
              </w:rPr>
              <w:t>180</w:t>
            </w:r>
          </w:p>
        </w:tc>
        <w:tc>
          <w:tcPr>
            <w:tcW w:w="1273" w:type="dxa"/>
            <w:vAlign w:val="center"/>
          </w:tcPr>
          <w:p>
            <w:pPr>
              <w:spacing w:before="120" w:after="120"/>
              <w:jc w:val="center"/>
              <w:rPr>
                <w:noProof/>
              </w:rPr>
            </w:pPr>
            <w:r>
              <w:rPr>
                <w:noProof/>
              </w:rPr>
              <w:t>9 358</w:t>
            </w:r>
          </w:p>
        </w:tc>
      </w:tr>
      <w:tr>
        <w:tc>
          <w:tcPr>
            <w:tcW w:w="1272" w:type="dxa"/>
            <w:vAlign w:val="center"/>
          </w:tcPr>
          <w:p>
            <w:pPr>
              <w:spacing w:before="120" w:after="120"/>
              <w:jc w:val="both"/>
              <w:rPr>
                <w:b/>
                <w:noProof/>
              </w:rPr>
            </w:pPr>
            <w:r>
              <w:rPr>
                <w:b/>
                <w:noProof/>
              </w:rPr>
              <w:t>Hongrie **</w:t>
            </w:r>
          </w:p>
        </w:tc>
        <w:tc>
          <w:tcPr>
            <w:tcW w:w="1272" w:type="dxa"/>
            <w:vAlign w:val="center"/>
          </w:tcPr>
          <w:p>
            <w:pPr>
              <w:spacing w:before="120" w:after="120"/>
              <w:jc w:val="center"/>
              <w:rPr>
                <w:noProof/>
              </w:rPr>
            </w:pPr>
            <w:r>
              <w:rPr>
                <w:noProof/>
              </w:rPr>
              <w:t>236 043</w:t>
            </w:r>
          </w:p>
        </w:tc>
        <w:tc>
          <w:tcPr>
            <w:tcW w:w="1272" w:type="dxa"/>
            <w:vAlign w:val="center"/>
          </w:tcPr>
          <w:p>
            <w:pPr>
              <w:spacing w:before="120" w:after="120"/>
              <w:jc w:val="center"/>
              <w:rPr>
                <w:noProof/>
              </w:rPr>
            </w:pPr>
            <w:r>
              <w:rPr>
                <w:noProof/>
              </w:rPr>
              <w:t>217 494</w:t>
            </w:r>
          </w:p>
        </w:tc>
        <w:tc>
          <w:tcPr>
            <w:tcW w:w="1272" w:type="dxa"/>
            <w:tcBorders>
              <w:right w:val="double" w:sz="12" w:space="0" w:color="auto"/>
            </w:tcBorders>
            <w:vAlign w:val="center"/>
          </w:tcPr>
          <w:p>
            <w:pPr>
              <w:spacing w:before="120" w:after="120"/>
              <w:jc w:val="center"/>
              <w:rPr>
                <w:noProof/>
              </w:rPr>
            </w:pPr>
            <w:r>
              <w:rPr>
                <w:noProof/>
              </w:rPr>
              <w:t>données manquantes</w:t>
            </w:r>
          </w:p>
        </w:tc>
        <w:tc>
          <w:tcPr>
            <w:tcW w:w="1273" w:type="dxa"/>
            <w:tcBorders>
              <w:left w:val="double" w:sz="12" w:space="0" w:color="auto"/>
            </w:tcBorders>
            <w:vAlign w:val="center"/>
          </w:tcPr>
          <w:p>
            <w:pPr>
              <w:spacing w:before="120" w:after="120"/>
              <w:jc w:val="center"/>
              <w:rPr>
                <w:noProof/>
              </w:rPr>
            </w:pPr>
            <w:r>
              <w:rPr>
                <w:noProof/>
              </w:rPr>
              <w:t>24 580</w:t>
            </w:r>
          </w:p>
        </w:tc>
        <w:tc>
          <w:tcPr>
            <w:tcW w:w="1273" w:type="dxa"/>
            <w:vAlign w:val="center"/>
          </w:tcPr>
          <w:p>
            <w:pPr>
              <w:spacing w:before="120" w:after="120"/>
              <w:jc w:val="center"/>
              <w:rPr>
                <w:noProof/>
              </w:rPr>
            </w:pPr>
            <w:r>
              <w:rPr>
                <w:noProof/>
              </w:rPr>
              <w:t>22 322</w:t>
            </w:r>
          </w:p>
        </w:tc>
        <w:tc>
          <w:tcPr>
            <w:tcW w:w="1273" w:type="dxa"/>
            <w:vAlign w:val="center"/>
          </w:tcPr>
          <w:p>
            <w:pPr>
              <w:spacing w:before="120" w:after="120"/>
              <w:jc w:val="center"/>
              <w:rPr>
                <w:noProof/>
              </w:rPr>
            </w:pPr>
            <w:r>
              <w:rPr>
                <w:noProof/>
              </w:rPr>
              <w:t>données manquantes</w:t>
            </w:r>
          </w:p>
        </w:tc>
      </w:tr>
      <w:tr>
        <w:tc>
          <w:tcPr>
            <w:tcW w:w="1272" w:type="dxa"/>
            <w:vAlign w:val="center"/>
          </w:tcPr>
          <w:p>
            <w:pPr>
              <w:spacing w:before="120" w:after="120"/>
              <w:jc w:val="both"/>
              <w:rPr>
                <w:b/>
                <w:noProof/>
              </w:rPr>
            </w:pPr>
            <w:r>
              <w:rPr>
                <w:b/>
                <w:noProof/>
              </w:rPr>
              <w:t>Irlande</w:t>
            </w:r>
          </w:p>
        </w:tc>
        <w:tc>
          <w:tcPr>
            <w:tcW w:w="1272" w:type="dxa"/>
            <w:vAlign w:val="center"/>
          </w:tcPr>
          <w:p>
            <w:pPr>
              <w:spacing w:before="120" w:after="120"/>
              <w:jc w:val="center"/>
              <w:rPr>
                <w:noProof/>
              </w:rPr>
            </w:pPr>
            <w:r>
              <w:rPr>
                <w:noProof/>
              </w:rPr>
              <w:t>89 991</w:t>
            </w:r>
          </w:p>
        </w:tc>
        <w:tc>
          <w:tcPr>
            <w:tcW w:w="1272" w:type="dxa"/>
            <w:vAlign w:val="center"/>
          </w:tcPr>
          <w:p>
            <w:pPr>
              <w:spacing w:before="120" w:after="120"/>
              <w:jc w:val="center"/>
              <w:rPr>
                <w:noProof/>
              </w:rPr>
            </w:pPr>
            <w:r>
              <w:rPr>
                <w:noProof/>
              </w:rPr>
              <w:t>85 648</w:t>
            </w:r>
          </w:p>
        </w:tc>
        <w:tc>
          <w:tcPr>
            <w:tcW w:w="1272" w:type="dxa"/>
            <w:tcBorders>
              <w:right w:val="double" w:sz="12" w:space="0" w:color="auto"/>
            </w:tcBorders>
            <w:vAlign w:val="center"/>
          </w:tcPr>
          <w:p>
            <w:pPr>
              <w:spacing w:before="120" w:after="120"/>
              <w:jc w:val="center"/>
              <w:rPr>
                <w:noProof/>
              </w:rPr>
            </w:pPr>
            <w:r>
              <w:rPr>
                <w:noProof/>
              </w:rPr>
              <w:t>72 429</w:t>
            </w:r>
          </w:p>
        </w:tc>
        <w:tc>
          <w:tcPr>
            <w:tcW w:w="1273" w:type="dxa"/>
            <w:tcBorders>
              <w:left w:val="double" w:sz="12" w:space="0" w:color="auto"/>
            </w:tcBorders>
            <w:vAlign w:val="center"/>
          </w:tcPr>
          <w:p>
            <w:pPr>
              <w:spacing w:before="120" w:after="120"/>
              <w:jc w:val="center"/>
              <w:rPr>
                <w:noProof/>
              </w:rPr>
            </w:pPr>
            <w:r>
              <w:rPr>
                <w:noProof/>
              </w:rPr>
              <w:t>82 670</w:t>
            </w:r>
          </w:p>
        </w:tc>
        <w:tc>
          <w:tcPr>
            <w:tcW w:w="1273" w:type="dxa"/>
            <w:vAlign w:val="center"/>
          </w:tcPr>
          <w:p>
            <w:pPr>
              <w:spacing w:before="120" w:after="120"/>
              <w:jc w:val="center"/>
              <w:rPr>
                <w:noProof/>
              </w:rPr>
            </w:pPr>
            <w:r>
              <w:rPr>
                <w:noProof/>
              </w:rPr>
              <w:t>57 699</w:t>
            </w:r>
          </w:p>
        </w:tc>
        <w:tc>
          <w:tcPr>
            <w:tcW w:w="1273" w:type="dxa"/>
            <w:vAlign w:val="center"/>
          </w:tcPr>
          <w:p>
            <w:pPr>
              <w:spacing w:before="120" w:after="120"/>
              <w:jc w:val="center"/>
              <w:rPr>
                <w:noProof/>
              </w:rPr>
            </w:pPr>
            <w:r>
              <w:rPr>
                <w:noProof/>
              </w:rPr>
              <w:t>68 329</w:t>
            </w:r>
          </w:p>
        </w:tc>
      </w:tr>
      <w:tr>
        <w:tc>
          <w:tcPr>
            <w:tcW w:w="1272" w:type="dxa"/>
            <w:vAlign w:val="center"/>
          </w:tcPr>
          <w:p>
            <w:pPr>
              <w:spacing w:before="120" w:after="120"/>
              <w:jc w:val="both"/>
              <w:rPr>
                <w:b/>
                <w:noProof/>
              </w:rPr>
            </w:pPr>
            <w:r>
              <w:rPr>
                <w:b/>
                <w:noProof/>
              </w:rPr>
              <w:t>Italie</w:t>
            </w:r>
          </w:p>
        </w:tc>
        <w:tc>
          <w:tcPr>
            <w:tcW w:w="1272" w:type="dxa"/>
            <w:vAlign w:val="center"/>
          </w:tcPr>
          <w:p>
            <w:pPr>
              <w:spacing w:before="120" w:after="120"/>
              <w:jc w:val="center"/>
              <w:rPr>
                <w:noProof/>
              </w:rPr>
            </w:pPr>
            <w:r>
              <w:rPr>
                <w:noProof/>
              </w:rPr>
              <w:t>839 725</w:t>
            </w:r>
          </w:p>
        </w:tc>
        <w:tc>
          <w:tcPr>
            <w:tcW w:w="1272" w:type="dxa"/>
            <w:vAlign w:val="center"/>
          </w:tcPr>
          <w:p>
            <w:pPr>
              <w:spacing w:before="120" w:after="120"/>
              <w:jc w:val="center"/>
              <w:rPr>
                <w:noProof/>
              </w:rPr>
            </w:pPr>
            <w:r>
              <w:rPr>
                <w:noProof/>
              </w:rPr>
              <w:t>851 760</w:t>
            </w:r>
          </w:p>
        </w:tc>
        <w:tc>
          <w:tcPr>
            <w:tcW w:w="1272" w:type="dxa"/>
            <w:tcBorders>
              <w:right w:val="double" w:sz="12" w:space="0" w:color="auto"/>
            </w:tcBorders>
            <w:vAlign w:val="center"/>
          </w:tcPr>
          <w:p>
            <w:pPr>
              <w:spacing w:before="120" w:after="120"/>
              <w:jc w:val="center"/>
              <w:rPr>
                <w:noProof/>
              </w:rPr>
            </w:pPr>
            <w:r>
              <w:rPr>
                <w:noProof/>
              </w:rPr>
              <w:t>654 024</w:t>
            </w:r>
          </w:p>
        </w:tc>
        <w:tc>
          <w:tcPr>
            <w:tcW w:w="1273" w:type="dxa"/>
            <w:tcBorders>
              <w:left w:val="double" w:sz="12" w:space="0" w:color="auto"/>
            </w:tcBorders>
            <w:vAlign w:val="center"/>
          </w:tcPr>
          <w:p>
            <w:pPr>
              <w:spacing w:before="120" w:after="120"/>
              <w:jc w:val="center"/>
              <w:rPr>
                <w:noProof/>
              </w:rPr>
            </w:pPr>
            <w:r>
              <w:rPr>
                <w:noProof/>
              </w:rPr>
              <w:t>248 215</w:t>
            </w:r>
          </w:p>
        </w:tc>
        <w:tc>
          <w:tcPr>
            <w:tcW w:w="1273" w:type="dxa"/>
            <w:vAlign w:val="center"/>
          </w:tcPr>
          <w:p>
            <w:pPr>
              <w:spacing w:before="120" w:after="120"/>
              <w:jc w:val="center"/>
              <w:rPr>
                <w:noProof/>
              </w:rPr>
            </w:pPr>
            <w:r>
              <w:rPr>
                <w:noProof/>
              </w:rPr>
              <w:t>299 159</w:t>
            </w:r>
          </w:p>
        </w:tc>
        <w:tc>
          <w:tcPr>
            <w:tcW w:w="1273" w:type="dxa"/>
            <w:vAlign w:val="center"/>
          </w:tcPr>
          <w:p>
            <w:pPr>
              <w:spacing w:before="120" w:after="120"/>
              <w:jc w:val="center"/>
              <w:rPr>
                <w:noProof/>
              </w:rPr>
            </w:pPr>
            <w:r>
              <w:rPr>
                <w:noProof/>
              </w:rPr>
              <w:t>274 095</w:t>
            </w:r>
          </w:p>
        </w:tc>
      </w:tr>
      <w:tr>
        <w:tc>
          <w:tcPr>
            <w:tcW w:w="1272" w:type="dxa"/>
            <w:vAlign w:val="center"/>
          </w:tcPr>
          <w:p>
            <w:pPr>
              <w:spacing w:before="120" w:after="120"/>
              <w:jc w:val="both"/>
              <w:rPr>
                <w:b/>
                <w:noProof/>
              </w:rPr>
            </w:pPr>
            <w:r>
              <w:rPr>
                <w:b/>
                <w:noProof/>
              </w:rPr>
              <w:t>Lettonie</w:t>
            </w:r>
          </w:p>
        </w:tc>
        <w:tc>
          <w:tcPr>
            <w:tcW w:w="1272" w:type="dxa"/>
            <w:vAlign w:val="center"/>
          </w:tcPr>
          <w:p>
            <w:pPr>
              <w:spacing w:before="120" w:after="120"/>
              <w:jc w:val="center"/>
              <w:rPr>
                <w:noProof/>
              </w:rPr>
            </w:pPr>
            <w:r>
              <w:rPr>
                <w:noProof/>
              </w:rPr>
              <w:t>23 258</w:t>
            </w:r>
          </w:p>
        </w:tc>
        <w:tc>
          <w:tcPr>
            <w:tcW w:w="1272" w:type="dxa"/>
            <w:vAlign w:val="center"/>
          </w:tcPr>
          <w:p>
            <w:pPr>
              <w:spacing w:before="120" w:after="120"/>
              <w:jc w:val="center"/>
              <w:rPr>
                <w:noProof/>
              </w:rPr>
            </w:pPr>
            <w:r>
              <w:rPr>
                <w:noProof/>
              </w:rPr>
              <w:t>22 458</w:t>
            </w:r>
          </w:p>
        </w:tc>
        <w:tc>
          <w:tcPr>
            <w:tcW w:w="1272" w:type="dxa"/>
            <w:tcBorders>
              <w:right w:val="double" w:sz="12" w:space="0" w:color="auto"/>
            </w:tcBorders>
            <w:vAlign w:val="center"/>
          </w:tcPr>
          <w:p>
            <w:pPr>
              <w:spacing w:before="120" w:after="120"/>
              <w:jc w:val="center"/>
              <w:rPr>
                <w:noProof/>
              </w:rPr>
            </w:pPr>
            <w:r>
              <w:rPr>
                <w:noProof/>
              </w:rPr>
              <w:t>22 686</w:t>
            </w:r>
          </w:p>
        </w:tc>
        <w:tc>
          <w:tcPr>
            <w:tcW w:w="1273" w:type="dxa"/>
            <w:tcBorders>
              <w:left w:val="double" w:sz="12" w:space="0" w:color="auto"/>
            </w:tcBorders>
            <w:vAlign w:val="center"/>
          </w:tcPr>
          <w:p>
            <w:pPr>
              <w:spacing w:before="120" w:after="120"/>
              <w:jc w:val="center"/>
              <w:rPr>
                <w:noProof/>
              </w:rPr>
            </w:pPr>
            <w:r>
              <w:rPr>
                <w:noProof/>
              </w:rPr>
              <w:t>8 131</w:t>
            </w:r>
          </w:p>
        </w:tc>
        <w:tc>
          <w:tcPr>
            <w:tcW w:w="1273" w:type="dxa"/>
            <w:vAlign w:val="center"/>
          </w:tcPr>
          <w:p>
            <w:pPr>
              <w:spacing w:before="120" w:after="120"/>
              <w:jc w:val="center"/>
              <w:rPr>
                <w:noProof/>
              </w:rPr>
            </w:pPr>
            <w:r>
              <w:rPr>
                <w:noProof/>
              </w:rPr>
              <w:t>5 307</w:t>
            </w:r>
          </w:p>
        </w:tc>
        <w:tc>
          <w:tcPr>
            <w:tcW w:w="1273" w:type="dxa"/>
            <w:vAlign w:val="center"/>
          </w:tcPr>
          <w:p>
            <w:pPr>
              <w:spacing w:before="120" w:after="120"/>
              <w:jc w:val="center"/>
              <w:rPr>
                <w:noProof/>
              </w:rPr>
            </w:pPr>
            <w:r>
              <w:rPr>
                <w:noProof/>
              </w:rPr>
              <w:t>6 740</w:t>
            </w:r>
          </w:p>
        </w:tc>
      </w:tr>
      <w:tr>
        <w:tc>
          <w:tcPr>
            <w:tcW w:w="1272" w:type="dxa"/>
            <w:vAlign w:val="center"/>
          </w:tcPr>
          <w:p>
            <w:pPr>
              <w:spacing w:before="120" w:after="120"/>
              <w:jc w:val="both"/>
              <w:rPr>
                <w:b/>
                <w:noProof/>
              </w:rPr>
            </w:pPr>
            <w:r>
              <w:rPr>
                <w:b/>
                <w:noProof/>
              </w:rPr>
              <w:t>Lituanie</w:t>
            </w:r>
          </w:p>
        </w:tc>
        <w:tc>
          <w:tcPr>
            <w:tcW w:w="1272" w:type="dxa"/>
            <w:vAlign w:val="center"/>
          </w:tcPr>
          <w:p>
            <w:pPr>
              <w:spacing w:before="120" w:after="120"/>
              <w:jc w:val="center"/>
              <w:rPr>
                <w:noProof/>
              </w:rPr>
            </w:pPr>
            <w:r>
              <w:rPr>
                <w:noProof/>
              </w:rPr>
              <w:t>67 990</w:t>
            </w:r>
          </w:p>
        </w:tc>
        <w:tc>
          <w:tcPr>
            <w:tcW w:w="1272" w:type="dxa"/>
            <w:vAlign w:val="center"/>
          </w:tcPr>
          <w:p>
            <w:pPr>
              <w:spacing w:before="120" w:after="120"/>
              <w:jc w:val="center"/>
              <w:rPr>
                <w:noProof/>
              </w:rPr>
            </w:pPr>
            <w:r>
              <w:rPr>
                <w:noProof/>
              </w:rPr>
              <w:t>65 971</w:t>
            </w:r>
          </w:p>
        </w:tc>
        <w:tc>
          <w:tcPr>
            <w:tcW w:w="1272" w:type="dxa"/>
            <w:tcBorders>
              <w:right w:val="double" w:sz="12" w:space="0" w:color="auto"/>
            </w:tcBorders>
            <w:vAlign w:val="center"/>
          </w:tcPr>
          <w:p>
            <w:pPr>
              <w:spacing w:before="120" w:after="120"/>
              <w:jc w:val="center"/>
              <w:rPr>
                <w:noProof/>
              </w:rPr>
            </w:pPr>
            <w:r>
              <w:rPr>
                <w:noProof/>
              </w:rPr>
              <w:t>données manquantes</w:t>
            </w:r>
          </w:p>
        </w:tc>
        <w:tc>
          <w:tcPr>
            <w:tcW w:w="1273" w:type="dxa"/>
            <w:tcBorders>
              <w:left w:val="double" w:sz="12" w:space="0" w:color="auto"/>
            </w:tcBorders>
            <w:vAlign w:val="center"/>
          </w:tcPr>
          <w:p>
            <w:pPr>
              <w:spacing w:before="120" w:after="120"/>
              <w:jc w:val="center"/>
              <w:rPr>
                <w:noProof/>
              </w:rPr>
            </w:pPr>
            <w:r>
              <w:rPr>
                <w:noProof/>
              </w:rPr>
              <w:t>15 517</w:t>
            </w:r>
          </w:p>
        </w:tc>
        <w:tc>
          <w:tcPr>
            <w:tcW w:w="1273" w:type="dxa"/>
            <w:vAlign w:val="center"/>
          </w:tcPr>
          <w:p>
            <w:pPr>
              <w:spacing w:before="120" w:after="120"/>
              <w:jc w:val="center"/>
              <w:rPr>
                <w:noProof/>
              </w:rPr>
            </w:pPr>
            <w:r>
              <w:rPr>
                <w:noProof/>
              </w:rPr>
              <w:t>15 877</w:t>
            </w:r>
          </w:p>
        </w:tc>
        <w:tc>
          <w:tcPr>
            <w:tcW w:w="1273" w:type="dxa"/>
            <w:vAlign w:val="center"/>
          </w:tcPr>
          <w:p>
            <w:pPr>
              <w:spacing w:before="120" w:after="120"/>
              <w:jc w:val="center"/>
              <w:rPr>
                <w:noProof/>
              </w:rPr>
            </w:pPr>
            <w:r>
              <w:rPr>
                <w:noProof/>
              </w:rPr>
              <w:t>données manquantes</w:t>
            </w:r>
          </w:p>
        </w:tc>
      </w:tr>
      <w:tr>
        <w:tc>
          <w:tcPr>
            <w:tcW w:w="1272" w:type="dxa"/>
            <w:vAlign w:val="center"/>
          </w:tcPr>
          <w:p>
            <w:pPr>
              <w:spacing w:before="120" w:after="120"/>
              <w:jc w:val="both"/>
              <w:rPr>
                <w:b/>
                <w:noProof/>
              </w:rPr>
            </w:pPr>
            <w:r>
              <w:rPr>
                <w:b/>
                <w:noProof/>
              </w:rPr>
              <w:t>Luxembourg</w:t>
            </w:r>
          </w:p>
        </w:tc>
        <w:tc>
          <w:tcPr>
            <w:tcW w:w="1272" w:type="dxa"/>
            <w:vAlign w:val="center"/>
          </w:tcPr>
          <w:p>
            <w:pPr>
              <w:spacing w:before="120" w:after="120"/>
              <w:jc w:val="center"/>
              <w:rPr>
                <w:noProof/>
              </w:rPr>
            </w:pPr>
            <w:r>
              <w:rPr>
                <w:noProof/>
              </w:rPr>
              <w:t>7 434</w:t>
            </w:r>
          </w:p>
        </w:tc>
        <w:tc>
          <w:tcPr>
            <w:tcW w:w="1272" w:type="dxa"/>
            <w:vAlign w:val="center"/>
          </w:tcPr>
          <w:p>
            <w:pPr>
              <w:spacing w:before="120" w:after="120"/>
              <w:jc w:val="center"/>
              <w:rPr>
                <w:noProof/>
              </w:rPr>
            </w:pPr>
            <w:r>
              <w:rPr>
                <w:noProof/>
              </w:rPr>
              <w:t>7 852</w:t>
            </w:r>
          </w:p>
        </w:tc>
        <w:tc>
          <w:tcPr>
            <w:tcW w:w="1272" w:type="dxa"/>
            <w:tcBorders>
              <w:right w:val="double" w:sz="12" w:space="0" w:color="auto"/>
            </w:tcBorders>
            <w:vAlign w:val="center"/>
          </w:tcPr>
          <w:p>
            <w:pPr>
              <w:spacing w:before="120" w:after="120"/>
              <w:jc w:val="center"/>
              <w:rPr>
                <w:noProof/>
              </w:rPr>
            </w:pPr>
            <w:r>
              <w:rPr>
                <w:noProof/>
              </w:rPr>
              <w:t>8 733</w:t>
            </w:r>
          </w:p>
        </w:tc>
        <w:tc>
          <w:tcPr>
            <w:tcW w:w="1273" w:type="dxa"/>
            <w:tcBorders>
              <w:left w:val="double" w:sz="12" w:space="0" w:color="auto"/>
            </w:tcBorders>
            <w:vAlign w:val="center"/>
          </w:tcPr>
          <w:p>
            <w:pPr>
              <w:spacing w:before="120" w:after="120"/>
              <w:jc w:val="center"/>
              <w:rPr>
                <w:noProof/>
              </w:rPr>
            </w:pPr>
            <w:r>
              <w:rPr>
                <w:noProof/>
              </w:rPr>
              <w:t>2 738</w:t>
            </w:r>
          </w:p>
        </w:tc>
        <w:tc>
          <w:tcPr>
            <w:tcW w:w="1273" w:type="dxa"/>
            <w:vAlign w:val="center"/>
          </w:tcPr>
          <w:p>
            <w:pPr>
              <w:spacing w:before="120" w:after="120"/>
              <w:jc w:val="center"/>
              <w:rPr>
                <w:noProof/>
              </w:rPr>
            </w:pPr>
            <w:r>
              <w:rPr>
                <w:noProof/>
              </w:rPr>
              <w:t>3 569</w:t>
            </w:r>
          </w:p>
        </w:tc>
        <w:tc>
          <w:tcPr>
            <w:tcW w:w="1273" w:type="dxa"/>
            <w:vAlign w:val="center"/>
          </w:tcPr>
          <w:p>
            <w:pPr>
              <w:spacing w:before="120" w:after="120"/>
              <w:jc w:val="center"/>
              <w:rPr>
                <w:noProof/>
              </w:rPr>
            </w:pPr>
            <w:r>
              <w:rPr>
                <w:noProof/>
              </w:rPr>
              <w:t>4 292</w:t>
            </w:r>
          </w:p>
        </w:tc>
      </w:tr>
      <w:tr>
        <w:tc>
          <w:tcPr>
            <w:tcW w:w="1272" w:type="dxa"/>
            <w:vAlign w:val="center"/>
          </w:tcPr>
          <w:p>
            <w:pPr>
              <w:spacing w:before="120" w:after="120"/>
              <w:jc w:val="both"/>
              <w:rPr>
                <w:b/>
                <w:noProof/>
              </w:rPr>
            </w:pPr>
            <w:r>
              <w:rPr>
                <w:b/>
                <w:noProof/>
              </w:rPr>
              <w:t>Pays-Bas</w:t>
            </w:r>
          </w:p>
        </w:tc>
        <w:tc>
          <w:tcPr>
            <w:tcW w:w="1272" w:type="dxa"/>
            <w:vAlign w:val="center"/>
          </w:tcPr>
          <w:p>
            <w:pPr>
              <w:spacing w:before="120" w:after="120"/>
              <w:jc w:val="center"/>
              <w:rPr>
                <w:noProof/>
              </w:rPr>
            </w:pPr>
            <w:r>
              <w:rPr>
                <w:noProof/>
              </w:rPr>
              <w:t>523 744</w:t>
            </w:r>
          </w:p>
        </w:tc>
        <w:tc>
          <w:tcPr>
            <w:tcW w:w="1272" w:type="dxa"/>
            <w:vAlign w:val="center"/>
          </w:tcPr>
          <w:p>
            <w:pPr>
              <w:spacing w:before="120" w:after="120"/>
              <w:jc w:val="center"/>
              <w:rPr>
                <w:noProof/>
              </w:rPr>
            </w:pPr>
            <w:r>
              <w:rPr>
                <w:noProof/>
              </w:rPr>
              <w:t>513 786</w:t>
            </w:r>
          </w:p>
        </w:tc>
        <w:tc>
          <w:tcPr>
            <w:tcW w:w="1272" w:type="dxa"/>
            <w:tcBorders>
              <w:right w:val="double" w:sz="12" w:space="0" w:color="auto"/>
            </w:tcBorders>
            <w:vAlign w:val="center"/>
          </w:tcPr>
          <w:p>
            <w:pPr>
              <w:spacing w:before="120" w:after="120"/>
              <w:jc w:val="center"/>
              <w:rPr>
                <w:noProof/>
              </w:rPr>
            </w:pPr>
            <w:r>
              <w:rPr>
                <w:noProof/>
              </w:rPr>
              <w:t>510 000</w:t>
            </w:r>
          </w:p>
        </w:tc>
        <w:tc>
          <w:tcPr>
            <w:tcW w:w="1273" w:type="dxa"/>
            <w:tcBorders>
              <w:left w:val="double" w:sz="12" w:space="0" w:color="auto"/>
            </w:tcBorders>
            <w:vAlign w:val="center"/>
          </w:tcPr>
          <w:p>
            <w:pPr>
              <w:spacing w:before="120" w:after="120"/>
              <w:jc w:val="center"/>
              <w:rPr>
                <w:noProof/>
              </w:rPr>
            </w:pPr>
            <w:r>
              <w:rPr>
                <w:noProof/>
              </w:rPr>
              <w:t>23 853</w:t>
            </w:r>
          </w:p>
        </w:tc>
        <w:tc>
          <w:tcPr>
            <w:tcW w:w="1273" w:type="dxa"/>
            <w:vAlign w:val="center"/>
          </w:tcPr>
          <w:p>
            <w:pPr>
              <w:spacing w:before="120" w:after="120"/>
              <w:jc w:val="center"/>
              <w:rPr>
                <w:noProof/>
              </w:rPr>
            </w:pPr>
            <w:r>
              <w:rPr>
                <w:noProof/>
              </w:rPr>
              <w:t>20 708</w:t>
            </w:r>
          </w:p>
        </w:tc>
        <w:tc>
          <w:tcPr>
            <w:tcW w:w="1273" w:type="dxa"/>
            <w:vAlign w:val="center"/>
          </w:tcPr>
          <w:p>
            <w:pPr>
              <w:spacing w:before="120" w:after="120"/>
              <w:jc w:val="center"/>
              <w:rPr>
                <w:noProof/>
              </w:rPr>
            </w:pPr>
            <w:r>
              <w:rPr>
                <w:noProof/>
              </w:rPr>
              <w:t>20 000</w:t>
            </w:r>
          </w:p>
        </w:tc>
      </w:tr>
      <w:tr>
        <w:tc>
          <w:tcPr>
            <w:tcW w:w="1272" w:type="dxa"/>
            <w:vAlign w:val="center"/>
          </w:tcPr>
          <w:p>
            <w:pPr>
              <w:spacing w:before="120" w:after="120"/>
              <w:jc w:val="both"/>
              <w:rPr>
                <w:b/>
                <w:noProof/>
              </w:rPr>
            </w:pPr>
            <w:r>
              <w:rPr>
                <w:b/>
                <w:noProof/>
              </w:rPr>
              <w:t>Pologne</w:t>
            </w:r>
          </w:p>
        </w:tc>
        <w:tc>
          <w:tcPr>
            <w:tcW w:w="1272" w:type="dxa"/>
            <w:vAlign w:val="center"/>
          </w:tcPr>
          <w:p>
            <w:pPr>
              <w:spacing w:before="120" w:after="120"/>
              <w:jc w:val="center"/>
              <w:rPr>
                <w:noProof/>
              </w:rPr>
            </w:pPr>
            <w:r>
              <w:rPr>
                <w:noProof/>
              </w:rPr>
              <w:t>533 400</w:t>
            </w:r>
          </w:p>
        </w:tc>
        <w:tc>
          <w:tcPr>
            <w:tcW w:w="1272" w:type="dxa"/>
            <w:vAlign w:val="center"/>
          </w:tcPr>
          <w:p>
            <w:pPr>
              <w:spacing w:before="120" w:after="120"/>
              <w:jc w:val="center"/>
              <w:rPr>
                <w:noProof/>
              </w:rPr>
            </w:pPr>
            <w:r>
              <w:rPr>
                <w:noProof/>
              </w:rPr>
              <w:t>567 300</w:t>
            </w:r>
          </w:p>
        </w:tc>
        <w:tc>
          <w:tcPr>
            <w:tcW w:w="1272" w:type="dxa"/>
            <w:tcBorders>
              <w:right w:val="double" w:sz="12" w:space="0" w:color="auto"/>
            </w:tcBorders>
            <w:vAlign w:val="center"/>
          </w:tcPr>
          <w:p>
            <w:pPr>
              <w:spacing w:before="120" w:after="120"/>
              <w:jc w:val="center"/>
              <w:rPr>
                <w:noProof/>
              </w:rPr>
            </w:pPr>
            <w:r>
              <w:rPr>
                <w:noProof/>
              </w:rPr>
              <w:t>562 000</w:t>
            </w:r>
          </w:p>
        </w:tc>
        <w:tc>
          <w:tcPr>
            <w:tcW w:w="1273" w:type="dxa"/>
            <w:tcBorders>
              <w:left w:val="double" w:sz="12" w:space="0" w:color="auto"/>
            </w:tcBorders>
            <w:vAlign w:val="center"/>
          </w:tcPr>
          <w:p>
            <w:pPr>
              <w:spacing w:before="120" w:after="120"/>
              <w:jc w:val="center"/>
              <w:rPr>
                <w:noProof/>
              </w:rPr>
            </w:pPr>
            <w:r>
              <w:rPr>
                <w:noProof/>
              </w:rPr>
              <w:t>98 200</w:t>
            </w:r>
          </w:p>
        </w:tc>
        <w:tc>
          <w:tcPr>
            <w:tcW w:w="1273" w:type="dxa"/>
            <w:vAlign w:val="center"/>
          </w:tcPr>
          <w:p>
            <w:pPr>
              <w:spacing w:before="120" w:after="120"/>
              <w:jc w:val="center"/>
              <w:rPr>
                <w:noProof/>
              </w:rPr>
            </w:pPr>
            <w:r>
              <w:rPr>
                <w:noProof/>
              </w:rPr>
              <w:t>112 000</w:t>
            </w:r>
          </w:p>
        </w:tc>
        <w:tc>
          <w:tcPr>
            <w:tcW w:w="1273" w:type="dxa"/>
            <w:vAlign w:val="center"/>
          </w:tcPr>
          <w:p>
            <w:pPr>
              <w:spacing w:before="120" w:after="120"/>
              <w:jc w:val="center"/>
              <w:rPr>
                <w:noProof/>
              </w:rPr>
            </w:pPr>
            <w:r>
              <w:rPr>
                <w:noProof/>
              </w:rPr>
              <w:t>123 000</w:t>
            </w:r>
          </w:p>
        </w:tc>
      </w:tr>
      <w:tr>
        <w:tc>
          <w:tcPr>
            <w:tcW w:w="1272" w:type="dxa"/>
            <w:vAlign w:val="center"/>
          </w:tcPr>
          <w:p>
            <w:pPr>
              <w:spacing w:before="120" w:after="120"/>
              <w:jc w:val="both"/>
              <w:rPr>
                <w:b/>
                <w:noProof/>
              </w:rPr>
            </w:pPr>
            <w:r>
              <w:rPr>
                <w:b/>
                <w:noProof/>
              </w:rPr>
              <w:t>Portugal ***</w:t>
            </w:r>
          </w:p>
        </w:tc>
        <w:tc>
          <w:tcPr>
            <w:tcW w:w="1272" w:type="dxa"/>
            <w:vAlign w:val="center"/>
          </w:tcPr>
          <w:p>
            <w:pPr>
              <w:spacing w:before="120" w:after="120"/>
              <w:jc w:val="center"/>
              <w:rPr>
                <w:noProof/>
              </w:rPr>
            </w:pPr>
            <w:r>
              <w:rPr>
                <w:noProof/>
              </w:rPr>
              <w:t>162 680</w:t>
            </w:r>
          </w:p>
        </w:tc>
        <w:tc>
          <w:tcPr>
            <w:tcW w:w="1272" w:type="dxa"/>
            <w:vAlign w:val="center"/>
          </w:tcPr>
          <w:p>
            <w:pPr>
              <w:spacing w:before="120" w:after="120"/>
              <w:jc w:val="center"/>
              <w:rPr>
                <w:noProof/>
              </w:rPr>
            </w:pPr>
            <w:r>
              <w:rPr>
                <w:noProof/>
              </w:rPr>
              <w:t>140 013</w:t>
            </w:r>
          </w:p>
        </w:tc>
        <w:tc>
          <w:tcPr>
            <w:tcW w:w="1272" w:type="dxa"/>
            <w:tcBorders>
              <w:right w:val="double" w:sz="12" w:space="0" w:color="auto"/>
            </w:tcBorders>
            <w:vAlign w:val="center"/>
          </w:tcPr>
          <w:p>
            <w:pPr>
              <w:spacing w:before="120" w:after="120"/>
              <w:jc w:val="center"/>
              <w:rPr>
                <w:noProof/>
              </w:rPr>
            </w:pPr>
            <w:r>
              <w:rPr>
                <w:noProof/>
              </w:rPr>
              <w:t>284 776</w:t>
            </w:r>
          </w:p>
        </w:tc>
        <w:tc>
          <w:tcPr>
            <w:tcW w:w="1273" w:type="dxa"/>
            <w:tcBorders>
              <w:left w:val="double" w:sz="12" w:space="0" w:color="auto"/>
            </w:tcBorders>
            <w:vAlign w:val="center"/>
          </w:tcPr>
          <w:p>
            <w:pPr>
              <w:spacing w:before="120" w:after="120"/>
              <w:jc w:val="center"/>
              <w:rPr>
                <w:noProof/>
              </w:rPr>
            </w:pPr>
            <w:r>
              <w:rPr>
                <w:noProof/>
              </w:rPr>
              <w:t>5 646</w:t>
            </w:r>
          </w:p>
        </w:tc>
        <w:tc>
          <w:tcPr>
            <w:tcW w:w="1273" w:type="dxa"/>
            <w:vAlign w:val="center"/>
          </w:tcPr>
          <w:p>
            <w:pPr>
              <w:spacing w:before="120" w:after="120"/>
              <w:jc w:val="center"/>
              <w:rPr>
                <w:noProof/>
              </w:rPr>
            </w:pPr>
            <w:r>
              <w:rPr>
                <w:noProof/>
              </w:rPr>
              <w:t>23 087</w:t>
            </w:r>
          </w:p>
        </w:tc>
        <w:tc>
          <w:tcPr>
            <w:tcW w:w="1273" w:type="dxa"/>
            <w:vAlign w:val="center"/>
          </w:tcPr>
          <w:p>
            <w:pPr>
              <w:spacing w:before="120" w:after="120"/>
              <w:jc w:val="center"/>
              <w:rPr>
                <w:noProof/>
              </w:rPr>
            </w:pPr>
            <w:r>
              <w:rPr>
                <w:noProof/>
              </w:rPr>
              <w:t>29 171</w:t>
            </w:r>
          </w:p>
        </w:tc>
      </w:tr>
      <w:tr>
        <w:tc>
          <w:tcPr>
            <w:tcW w:w="1272" w:type="dxa"/>
            <w:vAlign w:val="center"/>
          </w:tcPr>
          <w:p>
            <w:pPr>
              <w:spacing w:before="120" w:after="120"/>
              <w:jc w:val="both"/>
              <w:rPr>
                <w:b/>
                <w:noProof/>
              </w:rPr>
            </w:pPr>
            <w:r>
              <w:rPr>
                <w:b/>
                <w:noProof/>
              </w:rPr>
              <w:t>République tchèque</w:t>
            </w:r>
          </w:p>
        </w:tc>
        <w:tc>
          <w:tcPr>
            <w:tcW w:w="1272" w:type="dxa"/>
            <w:vAlign w:val="center"/>
          </w:tcPr>
          <w:p>
            <w:pPr>
              <w:spacing w:before="120" w:after="120"/>
              <w:jc w:val="center"/>
              <w:rPr>
                <w:noProof/>
              </w:rPr>
            </w:pPr>
            <w:r>
              <w:rPr>
                <w:noProof/>
              </w:rPr>
              <w:t>162 724</w:t>
            </w:r>
          </w:p>
        </w:tc>
        <w:tc>
          <w:tcPr>
            <w:tcW w:w="1272" w:type="dxa"/>
            <w:vAlign w:val="center"/>
          </w:tcPr>
          <w:p>
            <w:pPr>
              <w:spacing w:before="120" w:after="120"/>
              <w:jc w:val="center"/>
              <w:rPr>
                <w:noProof/>
              </w:rPr>
            </w:pPr>
            <w:r>
              <w:rPr>
                <w:noProof/>
              </w:rPr>
              <w:t>163 739</w:t>
            </w:r>
          </w:p>
        </w:tc>
        <w:tc>
          <w:tcPr>
            <w:tcW w:w="1272" w:type="dxa"/>
            <w:tcBorders>
              <w:right w:val="double" w:sz="12" w:space="0" w:color="auto"/>
            </w:tcBorders>
            <w:vAlign w:val="center"/>
          </w:tcPr>
          <w:p>
            <w:pPr>
              <w:spacing w:before="120" w:after="120"/>
              <w:jc w:val="center"/>
              <w:rPr>
                <w:noProof/>
              </w:rPr>
            </w:pPr>
            <w:r>
              <w:rPr>
                <w:noProof/>
              </w:rPr>
              <w:t>162 217</w:t>
            </w:r>
          </w:p>
        </w:tc>
        <w:tc>
          <w:tcPr>
            <w:tcW w:w="1273" w:type="dxa"/>
            <w:tcBorders>
              <w:left w:val="double" w:sz="12" w:space="0" w:color="auto"/>
            </w:tcBorders>
            <w:vAlign w:val="center"/>
          </w:tcPr>
          <w:p>
            <w:pPr>
              <w:spacing w:before="120" w:after="120"/>
              <w:jc w:val="center"/>
              <w:rPr>
                <w:noProof/>
              </w:rPr>
            </w:pPr>
            <w:r>
              <w:rPr>
                <w:noProof/>
              </w:rPr>
              <w:t>27 253</w:t>
            </w:r>
          </w:p>
        </w:tc>
        <w:tc>
          <w:tcPr>
            <w:tcW w:w="1273" w:type="dxa"/>
            <w:vAlign w:val="center"/>
          </w:tcPr>
          <w:p>
            <w:pPr>
              <w:spacing w:before="120" w:after="120"/>
              <w:jc w:val="center"/>
              <w:rPr>
                <w:noProof/>
              </w:rPr>
            </w:pPr>
            <w:r>
              <w:rPr>
                <w:noProof/>
              </w:rPr>
              <w:t>20 562</w:t>
            </w:r>
          </w:p>
        </w:tc>
        <w:tc>
          <w:tcPr>
            <w:tcW w:w="1273" w:type="dxa"/>
            <w:vAlign w:val="center"/>
          </w:tcPr>
          <w:p>
            <w:pPr>
              <w:spacing w:before="120" w:after="120"/>
              <w:jc w:val="center"/>
              <w:rPr>
                <w:noProof/>
              </w:rPr>
            </w:pPr>
            <w:r>
              <w:rPr>
                <w:noProof/>
              </w:rPr>
              <w:t>35 542</w:t>
            </w:r>
          </w:p>
        </w:tc>
      </w:tr>
      <w:tr>
        <w:tc>
          <w:tcPr>
            <w:tcW w:w="1272" w:type="dxa"/>
            <w:vAlign w:val="center"/>
          </w:tcPr>
          <w:p>
            <w:pPr>
              <w:spacing w:before="120" w:after="120"/>
              <w:jc w:val="both"/>
              <w:rPr>
                <w:b/>
                <w:noProof/>
              </w:rPr>
            </w:pPr>
            <w:r>
              <w:rPr>
                <w:b/>
                <w:noProof/>
              </w:rPr>
              <w:t>Roumanie ****</w:t>
            </w:r>
          </w:p>
        </w:tc>
        <w:tc>
          <w:tcPr>
            <w:tcW w:w="1272" w:type="dxa"/>
            <w:vAlign w:val="center"/>
          </w:tcPr>
          <w:p>
            <w:pPr>
              <w:spacing w:before="120" w:after="120"/>
              <w:jc w:val="center"/>
              <w:rPr>
                <w:noProof/>
              </w:rPr>
            </w:pPr>
            <w:r>
              <w:rPr>
                <w:noProof/>
              </w:rPr>
              <w:t>138 850</w:t>
            </w:r>
          </w:p>
        </w:tc>
        <w:tc>
          <w:tcPr>
            <w:tcW w:w="1272" w:type="dxa"/>
            <w:vAlign w:val="center"/>
          </w:tcPr>
          <w:p>
            <w:pPr>
              <w:spacing w:before="120" w:after="120"/>
              <w:jc w:val="center"/>
              <w:rPr>
                <w:noProof/>
              </w:rPr>
            </w:pPr>
            <w:r>
              <w:rPr>
                <w:noProof/>
              </w:rPr>
              <w:t>124 500</w:t>
            </w:r>
          </w:p>
        </w:tc>
        <w:tc>
          <w:tcPr>
            <w:tcW w:w="1272" w:type="dxa"/>
            <w:tcBorders>
              <w:right w:val="double" w:sz="12" w:space="0" w:color="auto"/>
            </w:tcBorders>
            <w:vAlign w:val="center"/>
          </w:tcPr>
          <w:p>
            <w:pPr>
              <w:spacing w:before="120" w:after="120"/>
              <w:jc w:val="center"/>
              <w:rPr>
                <w:noProof/>
              </w:rPr>
            </w:pPr>
            <w:r>
              <w:rPr>
                <w:noProof/>
              </w:rPr>
              <w:t>données manquantes</w:t>
            </w:r>
          </w:p>
        </w:tc>
        <w:tc>
          <w:tcPr>
            <w:tcW w:w="1273" w:type="dxa"/>
            <w:tcBorders>
              <w:left w:val="double" w:sz="12" w:space="0" w:color="auto"/>
            </w:tcBorders>
            <w:vAlign w:val="center"/>
          </w:tcPr>
          <w:p>
            <w:pPr>
              <w:spacing w:before="120" w:after="120"/>
              <w:jc w:val="center"/>
              <w:rPr>
                <w:noProof/>
              </w:rPr>
            </w:pPr>
            <w:r>
              <w:rPr>
                <w:noProof/>
              </w:rPr>
              <w:t>0</w:t>
            </w:r>
          </w:p>
        </w:tc>
        <w:tc>
          <w:tcPr>
            <w:tcW w:w="1273" w:type="dxa"/>
            <w:vAlign w:val="center"/>
          </w:tcPr>
          <w:p>
            <w:pPr>
              <w:spacing w:before="120" w:after="120"/>
              <w:jc w:val="center"/>
              <w:rPr>
                <w:noProof/>
              </w:rPr>
            </w:pPr>
            <w:r>
              <w:rPr>
                <w:noProof/>
              </w:rPr>
              <w:t>0</w:t>
            </w:r>
          </w:p>
        </w:tc>
        <w:tc>
          <w:tcPr>
            <w:tcW w:w="1273" w:type="dxa"/>
            <w:vAlign w:val="center"/>
          </w:tcPr>
          <w:p>
            <w:pPr>
              <w:spacing w:before="120" w:after="120"/>
              <w:jc w:val="center"/>
              <w:rPr>
                <w:noProof/>
              </w:rPr>
            </w:pPr>
            <w:r>
              <w:rPr>
                <w:noProof/>
              </w:rPr>
              <w:t>données manquantes</w:t>
            </w:r>
          </w:p>
        </w:tc>
      </w:tr>
      <w:tr>
        <w:tc>
          <w:tcPr>
            <w:tcW w:w="1272" w:type="dxa"/>
            <w:vAlign w:val="center"/>
          </w:tcPr>
          <w:p>
            <w:pPr>
              <w:spacing w:before="120" w:after="120"/>
              <w:jc w:val="both"/>
              <w:rPr>
                <w:b/>
                <w:noProof/>
              </w:rPr>
            </w:pPr>
            <w:r>
              <w:rPr>
                <w:b/>
                <w:noProof/>
              </w:rPr>
              <w:t>Royaume-Uni</w:t>
            </w:r>
          </w:p>
        </w:tc>
        <w:tc>
          <w:tcPr>
            <w:tcW w:w="1272" w:type="dxa"/>
            <w:vAlign w:val="center"/>
          </w:tcPr>
          <w:p>
            <w:pPr>
              <w:spacing w:before="120" w:after="120"/>
              <w:jc w:val="center"/>
              <w:rPr>
                <w:noProof/>
              </w:rPr>
            </w:pPr>
            <w:r>
              <w:rPr>
                <w:noProof/>
              </w:rPr>
              <w:t>1 422 024</w:t>
            </w:r>
          </w:p>
        </w:tc>
        <w:tc>
          <w:tcPr>
            <w:tcW w:w="1272" w:type="dxa"/>
            <w:vAlign w:val="center"/>
          </w:tcPr>
          <w:p>
            <w:pPr>
              <w:spacing w:before="120" w:after="120"/>
              <w:jc w:val="center"/>
              <w:rPr>
                <w:noProof/>
              </w:rPr>
            </w:pPr>
            <w:r>
              <w:rPr>
                <w:noProof/>
              </w:rPr>
              <w:t>1 434 710</w:t>
            </w:r>
          </w:p>
        </w:tc>
        <w:tc>
          <w:tcPr>
            <w:tcW w:w="1272" w:type="dxa"/>
            <w:tcBorders>
              <w:right w:val="double" w:sz="12" w:space="0" w:color="auto"/>
            </w:tcBorders>
            <w:vAlign w:val="center"/>
          </w:tcPr>
          <w:p>
            <w:pPr>
              <w:spacing w:before="120" w:after="120"/>
              <w:jc w:val="center"/>
              <w:rPr>
                <w:noProof/>
              </w:rPr>
            </w:pPr>
            <w:r>
              <w:rPr>
                <w:noProof/>
              </w:rPr>
              <w:t>1 152 327</w:t>
            </w:r>
          </w:p>
        </w:tc>
        <w:tc>
          <w:tcPr>
            <w:tcW w:w="1273" w:type="dxa"/>
            <w:tcBorders>
              <w:left w:val="double" w:sz="12" w:space="0" w:color="auto"/>
            </w:tcBorders>
            <w:vAlign w:val="center"/>
          </w:tcPr>
          <w:p>
            <w:pPr>
              <w:spacing w:before="120" w:after="120"/>
              <w:jc w:val="center"/>
              <w:rPr>
                <w:noProof/>
              </w:rPr>
            </w:pPr>
            <w:r>
              <w:rPr>
                <w:noProof/>
              </w:rPr>
              <w:t>1 067 672</w:t>
            </w:r>
          </w:p>
        </w:tc>
        <w:tc>
          <w:tcPr>
            <w:tcW w:w="1273" w:type="dxa"/>
            <w:vAlign w:val="center"/>
          </w:tcPr>
          <w:p>
            <w:pPr>
              <w:spacing w:before="120" w:after="120"/>
              <w:jc w:val="center"/>
              <w:rPr>
                <w:noProof/>
              </w:rPr>
            </w:pPr>
            <w:r>
              <w:rPr>
                <w:noProof/>
              </w:rPr>
              <w:t>1 074 424</w:t>
            </w:r>
          </w:p>
        </w:tc>
        <w:tc>
          <w:tcPr>
            <w:tcW w:w="1273" w:type="dxa"/>
            <w:vAlign w:val="center"/>
          </w:tcPr>
          <w:p>
            <w:pPr>
              <w:spacing w:before="120" w:after="120"/>
              <w:jc w:val="center"/>
              <w:rPr>
                <w:noProof/>
              </w:rPr>
            </w:pPr>
            <w:r>
              <w:rPr>
                <w:noProof/>
              </w:rPr>
              <w:t>834 202</w:t>
            </w:r>
          </w:p>
        </w:tc>
      </w:tr>
      <w:tr>
        <w:tc>
          <w:tcPr>
            <w:tcW w:w="1272" w:type="dxa"/>
            <w:vAlign w:val="center"/>
          </w:tcPr>
          <w:p>
            <w:pPr>
              <w:spacing w:before="120" w:after="120"/>
              <w:jc w:val="both"/>
              <w:rPr>
                <w:b/>
                <w:noProof/>
              </w:rPr>
            </w:pPr>
            <w:r>
              <w:rPr>
                <w:b/>
                <w:noProof/>
              </w:rPr>
              <w:t>Slovaquie</w:t>
            </w:r>
          </w:p>
        </w:tc>
        <w:tc>
          <w:tcPr>
            <w:tcW w:w="1272" w:type="dxa"/>
            <w:vAlign w:val="center"/>
          </w:tcPr>
          <w:p>
            <w:pPr>
              <w:spacing w:before="120" w:after="120"/>
              <w:jc w:val="center"/>
              <w:rPr>
                <w:noProof/>
              </w:rPr>
            </w:pPr>
            <w:r>
              <w:rPr>
                <w:noProof/>
              </w:rPr>
              <w:t>54 760</w:t>
            </w:r>
          </w:p>
        </w:tc>
        <w:tc>
          <w:tcPr>
            <w:tcW w:w="1272" w:type="dxa"/>
            <w:vAlign w:val="center"/>
          </w:tcPr>
          <w:p>
            <w:pPr>
              <w:spacing w:before="120" w:after="120"/>
              <w:jc w:val="center"/>
              <w:rPr>
                <w:noProof/>
              </w:rPr>
            </w:pPr>
            <w:r>
              <w:rPr>
                <w:noProof/>
              </w:rPr>
              <w:t>58 720</w:t>
            </w:r>
          </w:p>
        </w:tc>
        <w:tc>
          <w:tcPr>
            <w:tcW w:w="1272" w:type="dxa"/>
            <w:tcBorders>
              <w:right w:val="double" w:sz="12" w:space="0" w:color="auto"/>
            </w:tcBorders>
            <w:vAlign w:val="center"/>
          </w:tcPr>
          <w:p>
            <w:pPr>
              <w:spacing w:before="120" w:after="120"/>
              <w:jc w:val="center"/>
              <w:rPr>
                <w:noProof/>
              </w:rPr>
            </w:pPr>
            <w:r>
              <w:rPr>
                <w:noProof/>
              </w:rPr>
              <w:t>58 706</w:t>
            </w:r>
          </w:p>
        </w:tc>
        <w:tc>
          <w:tcPr>
            <w:tcW w:w="1273" w:type="dxa"/>
            <w:tcBorders>
              <w:left w:val="double" w:sz="12" w:space="0" w:color="auto"/>
            </w:tcBorders>
            <w:vAlign w:val="center"/>
          </w:tcPr>
          <w:p>
            <w:pPr>
              <w:spacing w:before="120" w:after="120"/>
              <w:jc w:val="center"/>
              <w:rPr>
                <w:noProof/>
              </w:rPr>
            </w:pPr>
            <w:r>
              <w:rPr>
                <w:noProof/>
              </w:rPr>
              <w:t>923</w:t>
            </w:r>
          </w:p>
        </w:tc>
        <w:tc>
          <w:tcPr>
            <w:tcW w:w="1273" w:type="dxa"/>
            <w:vAlign w:val="center"/>
          </w:tcPr>
          <w:p>
            <w:pPr>
              <w:spacing w:before="120" w:after="120"/>
              <w:jc w:val="center"/>
              <w:rPr>
                <w:noProof/>
              </w:rPr>
            </w:pPr>
            <w:r>
              <w:rPr>
                <w:noProof/>
              </w:rPr>
              <w:t>462</w:t>
            </w:r>
          </w:p>
        </w:tc>
        <w:tc>
          <w:tcPr>
            <w:tcW w:w="1273" w:type="dxa"/>
            <w:vAlign w:val="center"/>
          </w:tcPr>
          <w:p>
            <w:pPr>
              <w:spacing w:before="120" w:after="120"/>
              <w:jc w:val="center"/>
              <w:rPr>
                <w:noProof/>
              </w:rPr>
            </w:pPr>
            <w:r>
              <w:rPr>
                <w:noProof/>
              </w:rPr>
              <w:t>1 140</w:t>
            </w:r>
          </w:p>
        </w:tc>
      </w:tr>
      <w:tr>
        <w:tc>
          <w:tcPr>
            <w:tcW w:w="1272" w:type="dxa"/>
            <w:vAlign w:val="center"/>
          </w:tcPr>
          <w:p>
            <w:pPr>
              <w:spacing w:before="120" w:after="120"/>
              <w:jc w:val="both"/>
              <w:rPr>
                <w:b/>
                <w:noProof/>
              </w:rPr>
            </w:pPr>
            <w:r>
              <w:rPr>
                <w:b/>
                <w:noProof/>
              </w:rPr>
              <w:t>Slovénie</w:t>
            </w:r>
          </w:p>
        </w:tc>
        <w:tc>
          <w:tcPr>
            <w:tcW w:w="1272" w:type="dxa"/>
            <w:vAlign w:val="center"/>
          </w:tcPr>
          <w:p>
            <w:pPr>
              <w:spacing w:before="120" w:after="120"/>
              <w:jc w:val="center"/>
              <w:rPr>
                <w:noProof/>
              </w:rPr>
            </w:pPr>
            <w:r>
              <w:rPr>
                <w:noProof/>
              </w:rPr>
              <w:t>29 996</w:t>
            </w:r>
          </w:p>
        </w:tc>
        <w:tc>
          <w:tcPr>
            <w:tcW w:w="1272" w:type="dxa"/>
            <w:vAlign w:val="center"/>
          </w:tcPr>
          <w:p>
            <w:pPr>
              <w:spacing w:before="120" w:after="120"/>
              <w:jc w:val="center"/>
              <w:rPr>
                <w:noProof/>
              </w:rPr>
            </w:pPr>
            <w:r>
              <w:rPr>
                <w:noProof/>
              </w:rPr>
              <w:t>26 808</w:t>
            </w:r>
          </w:p>
        </w:tc>
        <w:tc>
          <w:tcPr>
            <w:tcW w:w="1272" w:type="dxa"/>
            <w:tcBorders>
              <w:right w:val="double" w:sz="12" w:space="0" w:color="auto"/>
            </w:tcBorders>
            <w:vAlign w:val="center"/>
          </w:tcPr>
          <w:p>
            <w:pPr>
              <w:spacing w:before="120" w:after="120"/>
              <w:jc w:val="center"/>
              <w:rPr>
                <w:noProof/>
              </w:rPr>
            </w:pPr>
            <w:r>
              <w:rPr>
                <w:noProof/>
              </w:rPr>
              <w:t>26 171</w:t>
            </w:r>
          </w:p>
        </w:tc>
        <w:tc>
          <w:tcPr>
            <w:tcW w:w="1273" w:type="dxa"/>
            <w:tcBorders>
              <w:left w:val="double" w:sz="12" w:space="0" w:color="auto"/>
            </w:tcBorders>
            <w:vAlign w:val="center"/>
          </w:tcPr>
          <w:p>
            <w:pPr>
              <w:spacing w:before="120" w:after="120"/>
              <w:jc w:val="center"/>
              <w:rPr>
                <w:noProof/>
              </w:rPr>
            </w:pPr>
            <w:r>
              <w:rPr>
                <w:noProof/>
              </w:rPr>
              <w:t>3</w:t>
            </w:r>
          </w:p>
        </w:tc>
        <w:tc>
          <w:tcPr>
            <w:tcW w:w="1273" w:type="dxa"/>
            <w:vAlign w:val="center"/>
          </w:tcPr>
          <w:p>
            <w:pPr>
              <w:spacing w:before="120" w:after="120"/>
              <w:jc w:val="center"/>
              <w:rPr>
                <w:noProof/>
              </w:rPr>
            </w:pPr>
            <w:r>
              <w:rPr>
                <w:noProof/>
              </w:rPr>
              <w:t>0</w:t>
            </w:r>
          </w:p>
        </w:tc>
        <w:tc>
          <w:tcPr>
            <w:tcW w:w="1273" w:type="dxa"/>
            <w:vAlign w:val="center"/>
          </w:tcPr>
          <w:p>
            <w:pPr>
              <w:spacing w:before="120" w:after="120"/>
              <w:jc w:val="center"/>
              <w:rPr>
                <w:noProof/>
              </w:rPr>
            </w:pPr>
            <w:r>
              <w:rPr>
                <w:noProof/>
              </w:rPr>
              <w:t>2</w:t>
            </w:r>
          </w:p>
        </w:tc>
      </w:tr>
      <w:tr>
        <w:tc>
          <w:tcPr>
            <w:tcW w:w="1272" w:type="dxa"/>
            <w:vAlign w:val="center"/>
          </w:tcPr>
          <w:p>
            <w:pPr>
              <w:spacing w:before="120" w:after="120"/>
              <w:jc w:val="both"/>
              <w:rPr>
                <w:b/>
                <w:noProof/>
              </w:rPr>
            </w:pPr>
            <w:r>
              <w:rPr>
                <w:b/>
                <w:noProof/>
              </w:rPr>
              <w:t>Suède</w:t>
            </w:r>
          </w:p>
        </w:tc>
        <w:tc>
          <w:tcPr>
            <w:tcW w:w="1272" w:type="dxa"/>
            <w:vAlign w:val="center"/>
          </w:tcPr>
          <w:p>
            <w:pPr>
              <w:spacing w:before="120" w:after="120"/>
              <w:jc w:val="center"/>
              <w:rPr>
                <w:noProof/>
              </w:rPr>
            </w:pPr>
            <w:r>
              <w:rPr>
                <w:noProof/>
              </w:rPr>
              <w:t>211 100</w:t>
            </w:r>
          </w:p>
        </w:tc>
        <w:tc>
          <w:tcPr>
            <w:tcW w:w="1272" w:type="dxa"/>
            <w:vAlign w:val="center"/>
          </w:tcPr>
          <w:p>
            <w:pPr>
              <w:spacing w:before="120" w:after="120"/>
              <w:jc w:val="center"/>
              <w:rPr>
                <w:noProof/>
              </w:rPr>
            </w:pPr>
            <w:r>
              <w:rPr>
                <w:noProof/>
              </w:rPr>
              <w:t>214 420</w:t>
            </w:r>
          </w:p>
        </w:tc>
        <w:tc>
          <w:tcPr>
            <w:tcW w:w="1272" w:type="dxa"/>
            <w:tcBorders>
              <w:right w:val="double" w:sz="12" w:space="0" w:color="auto"/>
            </w:tcBorders>
            <w:vAlign w:val="center"/>
          </w:tcPr>
          <w:p>
            <w:pPr>
              <w:spacing w:before="120" w:after="120"/>
              <w:jc w:val="center"/>
              <w:rPr>
                <w:noProof/>
              </w:rPr>
            </w:pPr>
            <w:r>
              <w:rPr>
                <w:noProof/>
              </w:rPr>
              <w:t>207 460</w:t>
            </w:r>
          </w:p>
        </w:tc>
        <w:tc>
          <w:tcPr>
            <w:tcW w:w="1273" w:type="dxa"/>
            <w:tcBorders>
              <w:left w:val="double" w:sz="12" w:space="0" w:color="auto"/>
            </w:tcBorders>
            <w:vAlign w:val="center"/>
          </w:tcPr>
          <w:p>
            <w:pPr>
              <w:spacing w:before="120" w:after="120"/>
              <w:jc w:val="center"/>
              <w:rPr>
                <w:noProof/>
              </w:rPr>
            </w:pPr>
            <w:r>
              <w:rPr>
                <w:noProof/>
              </w:rPr>
              <w:t>49 600</w:t>
            </w:r>
          </w:p>
        </w:tc>
        <w:tc>
          <w:tcPr>
            <w:tcW w:w="1273" w:type="dxa"/>
            <w:vAlign w:val="center"/>
          </w:tcPr>
          <w:p>
            <w:pPr>
              <w:spacing w:before="120" w:after="120"/>
              <w:jc w:val="center"/>
              <w:rPr>
                <w:noProof/>
              </w:rPr>
            </w:pPr>
            <w:r>
              <w:rPr>
                <w:noProof/>
              </w:rPr>
              <w:t>44 170</w:t>
            </w:r>
          </w:p>
        </w:tc>
        <w:tc>
          <w:tcPr>
            <w:tcW w:w="1273" w:type="dxa"/>
            <w:vAlign w:val="center"/>
          </w:tcPr>
          <w:p>
            <w:pPr>
              <w:spacing w:before="120" w:after="120"/>
              <w:jc w:val="center"/>
              <w:rPr>
                <w:noProof/>
              </w:rPr>
            </w:pPr>
            <w:r>
              <w:rPr>
                <w:noProof/>
              </w:rPr>
              <w:t>48 340</w:t>
            </w:r>
          </w:p>
        </w:tc>
      </w:tr>
    </w:tbl>
    <w:p>
      <w:pPr>
        <w:spacing w:after="0" w:line="240" w:lineRule="auto"/>
        <w:rPr>
          <w:rFonts w:ascii="Times New Roman" w:eastAsia="Times New Roman" w:hAnsi="Times New Roman" w:cs="Times New Roman"/>
          <w:bCs/>
          <w:noProof/>
          <w:sz w:val="24"/>
          <w:szCs w:val="24"/>
        </w:rPr>
      </w:pPr>
    </w:p>
    <w:p>
      <w:pPr>
        <w:spacing w:after="0" w:line="240" w:lineRule="auto"/>
        <w:rPr>
          <w:rFonts w:ascii="Times New Roman" w:eastAsia="Times New Roman" w:hAnsi="Times New Roman" w:cs="Times New Roman"/>
          <w:bCs/>
          <w:noProof/>
          <w:sz w:val="24"/>
          <w:szCs w:val="24"/>
        </w:rPr>
      </w:pPr>
      <w:r>
        <w:rPr>
          <w:rFonts w:ascii="Times New Roman" w:hAnsi="Times New Roman"/>
          <w:noProof/>
          <w:sz w:val="24"/>
        </w:rPr>
        <w:t xml:space="preserve">* </w:t>
      </w:r>
      <w:r>
        <w:rPr>
          <w:noProof/>
        </w:rPr>
        <w:tab/>
      </w:r>
      <w:r>
        <w:rPr>
          <w:rFonts w:ascii="Times New Roman" w:hAnsi="Times New Roman"/>
          <w:noProof/>
          <w:sz w:val="24"/>
        </w:rPr>
        <w:t>Les données de 2011 ne comprennent pas celles de la Basse-Autriche.</w:t>
      </w:r>
    </w:p>
    <w:p>
      <w:pPr>
        <w:spacing w:after="0" w:line="240" w:lineRule="auto"/>
        <w:rPr>
          <w:rFonts w:ascii="Times New Roman" w:eastAsia="Times New Roman" w:hAnsi="Times New Roman" w:cs="Times New Roman"/>
          <w:bCs/>
          <w:noProof/>
          <w:sz w:val="24"/>
          <w:szCs w:val="24"/>
        </w:rPr>
      </w:pPr>
      <w:r>
        <w:rPr>
          <w:rFonts w:ascii="Times New Roman" w:hAnsi="Times New Roman"/>
          <w:noProof/>
          <w:sz w:val="24"/>
        </w:rPr>
        <w:t xml:space="preserve">** </w:t>
      </w:r>
      <w:r>
        <w:rPr>
          <w:noProof/>
        </w:rPr>
        <w:tab/>
      </w:r>
      <w:r>
        <w:rPr>
          <w:rFonts w:ascii="Times New Roman" w:hAnsi="Times New Roman"/>
          <w:noProof/>
          <w:sz w:val="24"/>
        </w:rPr>
        <w:t>Données provisoires, le calcul définitif des données de 2011 étant toujours en cours.</w:t>
      </w:r>
    </w:p>
    <w:p>
      <w:pPr>
        <w:spacing w:after="0" w:line="240" w:lineRule="auto"/>
        <w:rPr>
          <w:rFonts w:ascii="Times New Roman" w:eastAsia="Times New Roman" w:hAnsi="Times New Roman" w:cs="Times New Roman"/>
          <w:bCs/>
          <w:noProof/>
          <w:sz w:val="24"/>
          <w:szCs w:val="24"/>
        </w:rPr>
      </w:pPr>
      <w:r>
        <w:rPr>
          <w:rFonts w:ascii="Times New Roman" w:hAnsi="Times New Roman"/>
          <w:noProof/>
          <w:sz w:val="24"/>
        </w:rPr>
        <w:t xml:space="preserve">*** </w:t>
      </w:r>
      <w:r>
        <w:rPr>
          <w:noProof/>
        </w:rPr>
        <w:tab/>
      </w:r>
      <w:r>
        <w:rPr>
          <w:rFonts w:ascii="Times New Roman" w:hAnsi="Times New Roman"/>
          <w:noProof/>
          <w:sz w:val="24"/>
        </w:rPr>
        <w:t>On estime à 20 % en moyenne la matière sèche utilisée.</w:t>
      </w:r>
    </w:p>
    <w:p>
      <w:pPr>
        <w:spacing w:after="0" w:line="240" w:lineRule="auto"/>
        <w:rPr>
          <w:rFonts w:ascii="Times New Roman" w:eastAsia="Times New Roman" w:hAnsi="Times New Roman" w:cs="Times New Roman"/>
          <w:bCs/>
          <w:noProof/>
          <w:sz w:val="24"/>
          <w:szCs w:val="24"/>
        </w:rPr>
      </w:pPr>
      <w:r>
        <w:rPr>
          <w:rFonts w:ascii="Times New Roman" w:hAnsi="Times New Roman"/>
          <w:noProof/>
          <w:sz w:val="24"/>
        </w:rPr>
        <w:t xml:space="preserve">**** </w:t>
      </w:r>
      <w:r>
        <w:rPr>
          <w:noProof/>
        </w:rPr>
        <w:tab/>
      </w:r>
      <w:r>
        <w:rPr>
          <w:rFonts w:ascii="Times New Roman" w:hAnsi="Times New Roman"/>
          <w:noProof/>
          <w:sz w:val="24"/>
        </w:rPr>
        <w:t>Données utilisées pour la période 2007-2009.</w:t>
      </w:r>
    </w:p>
    <w:p>
      <w:pPr>
        <w:spacing w:after="0" w:line="240" w:lineRule="auto"/>
        <w:rPr>
          <w:rFonts w:ascii="Times New Roman" w:eastAsia="Times New Roman" w:hAnsi="Times New Roman" w:cs="Times New Roman"/>
          <w:noProof/>
          <w:sz w:val="24"/>
          <w:szCs w:val="24"/>
        </w:rPr>
      </w:pPr>
      <w:r>
        <w:rPr>
          <w:noProof/>
        </w:rPr>
        <w:br w:type="page"/>
      </w:r>
    </w:p>
    <w:p>
      <w:pPr>
        <w:keepNext/>
        <w:spacing w:before="600" w:after="240" w:line="240" w:lineRule="auto"/>
        <w:ind w:left="1200" w:right="-1749" w:hanging="1200"/>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Annexe 4: Mise en décharge</w:t>
      </w:r>
      <w:bookmarkEnd w:id="79"/>
      <w:bookmarkEnd w:id="80"/>
      <w:r>
        <w:rPr>
          <w:rFonts w:ascii="Times New Roman" w:hAnsi="Times New Roman"/>
          <w:b/>
          <w:smallCaps/>
          <w:noProof/>
          <w:sz w:val="24"/>
        </w:rPr>
        <w:t xml:space="preserve"> des déchets</w:t>
      </w:r>
    </w:p>
    <w:p>
      <w:pPr>
        <w:keepNext/>
        <w:spacing w:before="600" w:after="240" w:line="240" w:lineRule="auto"/>
        <w:ind w:left="360" w:right="-1749" w:hanging="360"/>
        <w:jc w:val="both"/>
        <w:outlineLvl w:val="0"/>
        <w:rPr>
          <w:rFonts w:ascii="Times New Roman" w:eastAsia="Times New Roman" w:hAnsi="Times New Roman" w:cs="Times New Roman"/>
          <w:b/>
          <w:bCs/>
          <w:noProof/>
          <w:sz w:val="24"/>
          <w:szCs w:val="24"/>
        </w:rPr>
      </w:pPr>
      <w:bookmarkStart w:id="81" w:name="_Ref424203986"/>
      <w:bookmarkStart w:id="82" w:name="_Toc424229932"/>
      <w:bookmarkStart w:id="83" w:name="_Toc425434908"/>
      <w:r>
        <w:rPr>
          <w:rFonts w:ascii="Times New Roman" w:hAnsi="Times New Roman"/>
          <w:b/>
          <w:noProof/>
          <w:sz w:val="24"/>
        </w:rPr>
        <w:t xml:space="preserve">Tableau </w:t>
      </w:r>
      <w:bookmarkEnd w:id="81"/>
      <w:r>
        <w:rPr>
          <w:rFonts w:ascii="Times New Roman" w:hAnsi="Times New Roman"/>
          <w:b/>
          <w:noProof/>
          <w:sz w:val="24"/>
        </w:rPr>
        <w:t>1: Nombre de décharges en 2012</w:t>
      </w:r>
      <w:bookmarkEnd w:id="82"/>
      <w:bookmarkEnd w:id="83"/>
    </w:p>
    <w:tbl>
      <w:tblPr>
        <w:tblW w:w="4426" w:type="pct"/>
        <w:tblBorders>
          <w:top w:val="single" w:sz="4" w:space="0" w:color="D9D9D9"/>
          <w:left w:val="single" w:sz="4" w:space="0" w:color="D9D9D9"/>
          <w:bottom w:val="single" w:sz="4" w:space="0" w:color="D9D9D9"/>
          <w:right w:val="single" w:sz="4" w:space="0" w:color="D9D9D9"/>
          <w:insideH w:val="dotted" w:sz="4" w:space="0" w:color="BFBFBF"/>
          <w:insideV w:val="single" w:sz="4" w:space="0" w:color="00A79D"/>
        </w:tblBorders>
        <w:tblLook w:val="04A0" w:firstRow="1" w:lastRow="0" w:firstColumn="1" w:lastColumn="0" w:noHBand="0" w:noVBand="1"/>
      </w:tblPr>
      <w:tblGrid>
        <w:gridCol w:w="1881"/>
        <w:gridCol w:w="1953"/>
        <w:gridCol w:w="1206"/>
        <w:gridCol w:w="1570"/>
        <w:gridCol w:w="1571"/>
      </w:tblGrid>
      <w:tr>
        <w:trPr>
          <w:cantSplit/>
          <w:tblHeader/>
        </w:trPr>
        <w:tc>
          <w:tcPr>
            <w:tcW w:w="1150" w:type="pct"/>
            <w:tcBorders>
              <w:top w:val="single" w:sz="4" w:space="0" w:color="A6A6A6"/>
              <w:left w:val="single" w:sz="4" w:space="0" w:color="A6A6A6"/>
            </w:tcBorders>
            <w:shd w:val="clear" w:color="auto" w:fill="BFBFBF"/>
          </w:tcPr>
          <w:p>
            <w:pPr>
              <w:spacing w:before="120" w:after="120" w:line="240" w:lineRule="auto"/>
              <w:jc w:val="both"/>
              <w:rPr>
                <w:rFonts w:ascii="Times New Roman" w:eastAsia="Times New Roman" w:hAnsi="Times New Roman" w:cs="Times New Roman"/>
                <w:b/>
                <w:noProof/>
              </w:rPr>
            </w:pPr>
            <w:r>
              <w:rPr>
                <w:rFonts w:ascii="Times New Roman" w:hAnsi="Times New Roman" w:cs="Times New Roman"/>
                <w:b/>
                <w:noProof/>
              </w:rPr>
              <w:t>État membre</w:t>
            </w:r>
          </w:p>
        </w:tc>
        <w:tc>
          <w:tcPr>
            <w:tcW w:w="1194" w:type="pct"/>
            <w:tcBorders>
              <w:top w:val="single" w:sz="4" w:space="0" w:color="A6A6A6"/>
            </w:tcBorders>
            <w:shd w:val="clear" w:color="auto" w:fill="BFBFBF"/>
          </w:tcPr>
          <w:p>
            <w:pPr>
              <w:spacing w:before="120" w:after="120" w:line="240" w:lineRule="auto"/>
              <w:jc w:val="center"/>
              <w:rPr>
                <w:rFonts w:ascii="Times New Roman" w:eastAsia="Times New Roman" w:hAnsi="Times New Roman" w:cs="Times New Roman"/>
                <w:b/>
                <w:noProof/>
              </w:rPr>
            </w:pPr>
            <w:r>
              <w:rPr>
                <w:rFonts w:ascii="Times New Roman" w:hAnsi="Times New Roman" w:cs="Times New Roman"/>
                <w:b/>
                <w:noProof/>
              </w:rPr>
              <w:t>Déchets dangereux</w:t>
            </w:r>
          </w:p>
        </w:tc>
        <w:tc>
          <w:tcPr>
            <w:tcW w:w="735" w:type="pct"/>
            <w:tcBorders>
              <w:top w:val="single" w:sz="4" w:space="0" w:color="A6A6A6"/>
            </w:tcBorders>
            <w:shd w:val="clear" w:color="auto" w:fill="BFBFBF"/>
          </w:tcPr>
          <w:p>
            <w:pPr>
              <w:spacing w:before="120" w:after="120" w:line="240" w:lineRule="auto"/>
              <w:jc w:val="center"/>
              <w:rPr>
                <w:rFonts w:ascii="Times New Roman" w:eastAsia="Times New Roman" w:hAnsi="Times New Roman" w:cs="Times New Roman"/>
                <w:b/>
                <w:noProof/>
              </w:rPr>
            </w:pPr>
            <w:r>
              <w:rPr>
                <w:rFonts w:ascii="Times New Roman" w:hAnsi="Times New Roman" w:cs="Times New Roman"/>
                <w:b/>
                <w:noProof/>
              </w:rPr>
              <w:t>Déchets non dangereux</w:t>
            </w:r>
          </w:p>
        </w:tc>
        <w:tc>
          <w:tcPr>
            <w:tcW w:w="960" w:type="pct"/>
            <w:tcBorders>
              <w:top w:val="single" w:sz="4" w:space="0" w:color="A6A6A6"/>
            </w:tcBorders>
            <w:shd w:val="clear" w:color="auto" w:fill="BFBFBF"/>
          </w:tcPr>
          <w:p>
            <w:pPr>
              <w:spacing w:before="120" w:after="120" w:line="240" w:lineRule="auto"/>
              <w:jc w:val="center"/>
              <w:rPr>
                <w:rFonts w:ascii="Times New Roman" w:eastAsia="Times New Roman" w:hAnsi="Times New Roman" w:cs="Times New Roman"/>
                <w:b/>
                <w:noProof/>
              </w:rPr>
            </w:pPr>
            <w:r>
              <w:rPr>
                <w:rFonts w:ascii="Times New Roman" w:hAnsi="Times New Roman" w:cs="Times New Roman"/>
                <w:b/>
                <w:noProof/>
              </w:rPr>
              <w:t>Déchets inertes</w:t>
            </w:r>
          </w:p>
        </w:tc>
        <w:tc>
          <w:tcPr>
            <w:tcW w:w="960" w:type="pct"/>
            <w:tcBorders>
              <w:top w:val="single" w:sz="4" w:space="0" w:color="A6A6A6"/>
            </w:tcBorders>
            <w:shd w:val="clear" w:color="auto" w:fill="BFBFBF"/>
          </w:tcPr>
          <w:p>
            <w:pPr>
              <w:spacing w:before="120" w:after="120" w:line="240" w:lineRule="auto"/>
              <w:jc w:val="center"/>
              <w:rPr>
                <w:rFonts w:ascii="Times New Roman" w:eastAsia="Times New Roman" w:hAnsi="Times New Roman" w:cs="Times New Roman"/>
                <w:b/>
                <w:noProof/>
              </w:rPr>
            </w:pPr>
            <w:r>
              <w:rPr>
                <w:rFonts w:ascii="Times New Roman" w:hAnsi="Times New Roman" w:cs="Times New Roman"/>
                <w:b/>
                <w:noProof/>
              </w:rPr>
              <w:t>Autres déchets</w:t>
            </w:r>
          </w:p>
        </w:tc>
      </w:tr>
      <w:tr>
        <w:trPr>
          <w:cantSplit/>
        </w:trPr>
        <w:tc>
          <w:tcPr>
            <w:tcW w:w="1150" w:type="pct"/>
            <w:tcBorders>
              <w:left w:val="single" w:sz="4" w:space="0" w:color="A6A6A6"/>
            </w:tcBorders>
            <w:shd w:val="clear" w:color="auto" w:fill="F2F2F2"/>
          </w:tcPr>
          <w:p>
            <w:pPr>
              <w:spacing w:before="120" w:after="120" w:line="240" w:lineRule="auto"/>
              <w:jc w:val="both"/>
              <w:rPr>
                <w:rFonts w:ascii="Times New Roman" w:eastAsia="Times New Roman" w:hAnsi="Times New Roman" w:cs="Times New Roman"/>
                <w:b/>
                <w:noProof/>
              </w:rPr>
            </w:pPr>
            <w:r>
              <w:rPr>
                <w:rFonts w:ascii="Times New Roman" w:hAnsi="Times New Roman" w:cs="Times New Roman"/>
                <w:b/>
                <w:noProof/>
                <w:color w:val="000000"/>
              </w:rPr>
              <w:t>Allemagne</w:t>
            </w:r>
          </w:p>
        </w:tc>
        <w:tc>
          <w:tcPr>
            <w:tcW w:w="1194"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76</w:t>
            </w:r>
          </w:p>
        </w:tc>
        <w:tc>
          <w:tcPr>
            <w:tcW w:w="735"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2 643</w:t>
            </w:r>
          </w:p>
        </w:tc>
        <w:tc>
          <w:tcPr>
            <w:tcW w:w="960"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1 742</w:t>
            </w:r>
          </w:p>
        </w:tc>
        <w:tc>
          <w:tcPr>
            <w:tcW w:w="960"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11</w:t>
            </w:r>
            <w:r>
              <w:rPr>
                <w:rFonts w:ascii="Times New Roman" w:hAnsi="Times New Roman" w:cs="Times New Roman"/>
                <w:noProof/>
                <w:vertAlign w:val="superscript"/>
              </w:rPr>
              <w:footnoteReference w:id="12"/>
            </w:r>
          </w:p>
        </w:tc>
      </w:tr>
      <w:tr>
        <w:trPr>
          <w:cantSplit/>
        </w:trPr>
        <w:tc>
          <w:tcPr>
            <w:tcW w:w="1150" w:type="pct"/>
            <w:tcBorders>
              <w:left w:val="single" w:sz="4" w:space="0" w:color="A6A6A6"/>
            </w:tcBorders>
            <w:shd w:val="clear" w:color="auto" w:fill="F2F2F2"/>
          </w:tcPr>
          <w:p>
            <w:pPr>
              <w:spacing w:before="120" w:after="120" w:line="240" w:lineRule="auto"/>
              <w:rPr>
                <w:rFonts w:ascii="Times New Roman" w:eastAsia="Times New Roman" w:hAnsi="Times New Roman" w:cs="Times New Roman"/>
                <w:b/>
                <w:noProof/>
              </w:rPr>
            </w:pPr>
            <w:r>
              <w:rPr>
                <w:rFonts w:ascii="Times New Roman" w:hAnsi="Times New Roman" w:cs="Times New Roman"/>
                <w:b/>
                <w:noProof/>
                <w:color w:val="000000"/>
              </w:rPr>
              <w:t>Autriche</w:t>
            </w:r>
          </w:p>
        </w:tc>
        <w:tc>
          <w:tcPr>
            <w:tcW w:w="1194"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0</w:t>
            </w:r>
          </w:p>
        </w:tc>
        <w:tc>
          <w:tcPr>
            <w:tcW w:w="735"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156</w:t>
            </w:r>
          </w:p>
        </w:tc>
        <w:tc>
          <w:tcPr>
            <w:tcW w:w="960"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35</w:t>
            </w:r>
          </w:p>
        </w:tc>
        <w:tc>
          <w:tcPr>
            <w:tcW w:w="960"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505</w:t>
            </w:r>
            <w:r>
              <w:rPr>
                <w:rFonts w:ascii="Times New Roman" w:hAnsi="Times New Roman" w:cs="Times New Roman"/>
                <w:noProof/>
                <w:vertAlign w:val="superscript"/>
              </w:rPr>
              <w:footnoteReference w:id="13"/>
            </w:r>
          </w:p>
        </w:tc>
      </w:tr>
      <w:tr>
        <w:trPr>
          <w:cantSplit/>
        </w:trPr>
        <w:tc>
          <w:tcPr>
            <w:tcW w:w="1150" w:type="pct"/>
            <w:tcBorders>
              <w:left w:val="single" w:sz="4" w:space="0" w:color="A6A6A6"/>
            </w:tcBorders>
            <w:shd w:val="clear" w:color="auto" w:fill="F2F2F2"/>
          </w:tcPr>
          <w:p>
            <w:pPr>
              <w:spacing w:before="120" w:after="120" w:line="240" w:lineRule="auto"/>
              <w:jc w:val="both"/>
              <w:rPr>
                <w:rFonts w:ascii="Times New Roman" w:eastAsia="Times New Roman" w:hAnsi="Times New Roman" w:cs="Times New Roman"/>
                <w:b/>
                <w:noProof/>
              </w:rPr>
            </w:pPr>
            <w:r>
              <w:rPr>
                <w:rFonts w:ascii="Times New Roman" w:hAnsi="Times New Roman" w:cs="Times New Roman"/>
                <w:b/>
                <w:noProof/>
                <w:color w:val="000000"/>
              </w:rPr>
              <w:t>Belgique</w:t>
            </w:r>
          </w:p>
        </w:tc>
        <w:tc>
          <w:tcPr>
            <w:tcW w:w="1194"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7</w:t>
            </w:r>
          </w:p>
        </w:tc>
        <w:tc>
          <w:tcPr>
            <w:tcW w:w="735"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31</w:t>
            </w:r>
          </w:p>
        </w:tc>
        <w:tc>
          <w:tcPr>
            <w:tcW w:w="960"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14</w:t>
            </w:r>
          </w:p>
        </w:tc>
        <w:tc>
          <w:tcPr>
            <w:tcW w:w="960"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1</w:t>
            </w:r>
          </w:p>
        </w:tc>
      </w:tr>
      <w:tr>
        <w:trPr>
          <w:cantSplit/>
        </w:trPr>
        <w:tc>
          <w:tcPr>
            <w:tcW w:w="1150" w:type="pct"/>
            <w:tcBorders>
              <w:left w:val="single" w:sz="4" w:space="0" w:color="A6A6A6"/>
            </w:tcBorders>
            <w:shd w:val="clear" w:color="auto" w:fill="F2F2F2"/>
          </w:tcPr>
          <w:p>
            <w:pPr>
              <w:spacing w:before="120" w:after="120" w:line="240" w:lineRule="auto"/>
              <w:jc w:val="both"/>
              <w:rPr>
                <w:rFonts w:ascii="Times New Roman" w:eastAsia="Times New Roman" w:hAnsi="Times New Roman" w:cs="Times New Roman"/>
                <w:b/>
                <w:noProof/>
              </w:rPr>
            </w:pPr>
            <w:r>
              <w:rPr>
                <w:rFonts w:ascii="Times New Roman" w:hAnsi="Times New Roman" w:cs="Times New Roman"/>
                <w:b/>
                <w:noProof/>
                <w:color w:val="000000"/>
              </w:rPr>
              <w:t>Bulgarie</w:t>
            </w:r>
          </w:p>
        </w:tc>
        <w:tc>
          <w:tcPr>
            <w:tcW w:w="1194"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8</w:t>
            </w:r>
          </w:p>
        </w:tc>
        <w:tc>
          <w:tcPr>
            <w:tcW w:w="735"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174</w:t>
            </w:r>
          </w:p>
        </w:tc>
        <w:tc>
          <w:tcPr>
            <w:tcW w:w="960"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3</w:t>
            </w:r>
          </w:p>
        </w:tc>
        <w:tc>
          <w:tcPr>
            <w:tcW w:w="960"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w:t>
            </w:r>
          </w:p>
        </w:tc>
      </w:tr>
      <w:tr>
        <w:trPr>
          <w:cantSplit/>
        </w:trPr>
        <w:tc>
          <w:tcPr>
            <w:tcW w:w="1150" w:type="pct"/>
            <w:tcBorders>
              <w:left w:val="single" w:sz="4" w:space="0" w:color="A6A6A6"/>
            </w:tcBorders>
            <w:shd w:val="clear" w:color="auto" w:fill="F2F2F2"/>
          </w:tcPr>
          <w:p>
            <w:pPr>
              <w:spacing w:before="120" w:after="120" w:line="240" w:lineRule="auto"/>
              <w:jc w:val="both"/>
              <w:rPr>
                <w:rFonts w:ascii="Times New Roman" w:eastAsia="Times New Roman" w:hAnsi="Times New Roman" w:cs="Times New Roman"/>
                <w:b/>
                <w:noProof/>
              </w:rPr>
            </w:pPr>
            <w:r>
              <w:rPr>
                <w:rFonts w:ascii="Times New Roman" w:hAnsi="Times New Roman" w:cs="Times New Roman"/>
                <w:b/>
                <w:noProof/>
                <w:color w:val="000000"/>
              </w:rPr>
              <w:t>Chypre</w:t>
            </w:r>
          </w:p>
        </w:tc>
        <w:tc>
          <w:tcPr>
            <w:tcW w:w="1194"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1</w:t>
            </w:r>
            <w:r>
              <w:rPr>
                <w:rFonts w:ascii="Times New Roman" w:hAnsi="Times New Roman" w:cs="Times New Roman"/>
                <w:noProof/>
                <w:vertAlign w:val="superscript"/>
              </w:rPr>
              <w:footnoteReference w:id="14"/>
            </w:r>
          </w:p>
        </w:tc>
        <w:tc>
          <w:tcPr>
            <w:tcW w:w="735"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119</w:t>
            </w:r>
          </w:p>
        </w:tc>
        <w:tc>
          <w:tcPr>
            <w:tcW w:w="960"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2</w:t>
            </w:r>
          </w:p>
        </w:tc>
        <w:tc>
          <w:tcPr>
            <w:tcW w:w="960"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w:t>
            </w:r>
          </w:p>
        </w:tc>
      </w:tr>
      <w:tr>
        <w:trPr>
          <w:cantSplit/>
        </w:trPr>
        <w:tc>
          <w:tcPr>
            <w:tcW w:w="1150" w:type="pct"/>
            <w:tcBorders>
              <w:left w:val="single" w:sz="4" w:space="0" w:color="A6A6A6"/>
            </w:tcBorders>
            <w:shd w:val="clear" w:color="auto" w:fill="F2F2F2"/>
          </w:tcPr>
          <w:p>
            <w:pPr>
              <w:spacing w:before="120" w:after="120" w:line="240" w:lineRule="auto"/>
              <w:jc w:val="both"/>
              <w:rPr>
                <w:rFonts w:ascii="Times New Roman" w:eastAsia="Times New Roman" w:hAnsi="Times New Roman" w:cs="Times New Roman"/>
                <w:b/>
                <w:noProof/>
                <w:color w:val="000000"/>
              </w:rPr>
            </w:pPr>
            <w:r>
              <w:rPr>
                <w:rFonts w:ascii="Times New Roman" w:hAnsi="Times New Roman" w:cs="Times New Roman"/>
                <w:b/>
                <w:noProof/>
                <w:color w:val="000000"/>
              </w:rPr>
              <w:t>Croatie</w:t>
            </w:r>
          </w:p>
        </w:tc>
        <w:tc>
          <w:tcPr>
            <w:tcW w:w="3850" w:type="pct"/>
            <w:gridSpan w:val="4"/>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non requis</w:t>
            </w:r>
          </w:p>
        </w:tc>
      </w:tr>
      <w:tr>
        <w:trPr>
          <w:cantSplit/>
        </w:trPr>
        <w:tc>
          <w:tcPr>
            <w:tcW w:w="1150" w:type="pct"/>
            <w:tcBorders>
              <w:left w:val="single" w:sz="4" w:space="0" w:color="A6A6A6"/>
            </w:tcBorders>
            <w:shd w:val="clear" w:color="auto" w:fill="F2F2F2"/>
          </w:tcPr>
          <w:p>
            <w:pPr>
              <w:spacing w:before="120" w:after="120" w:line="240" w:lineRule="auto"/>
              <w:jc w:val="both"/>
              <w:rPr>
                <w:rFonts w:ascii="Times New Roman" w:eastAsia="Times New Roman" w:hAnsi="Times New Roman" w:cs="Times New Roman"/>
                <w:b/>
                <w:noProof/>
              </w:rPr>
            </w:pPr>
            <w:r>
              <w:rPr>
                <w:rFonts w:ascii="Times New Roman" w:hAnsi="Times New Roman" w:cs="Times New Roman"/>
                <w:b/>
                <w:noProof/>
                <w:color w:val="000000"/>
              </w:rPr>
              <w:t>Danemark</w:t>
            </w:r>
          </w:p>
        </w:tc>
        <w:tc>
          <w:tcPr>
            <w:tcW w:w="1194"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6</w:t>
            </w:r>
          </w:p>
        </w:tc>
        <w:tc>
          <w:tcPr>
            <w:tcW w:w="735"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52</w:t>
            </w:r>
          </w:p>
        </w:tc>
        <w:tc>
          <w:tcPr>
            <w:tcW w:w="960"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6</w:t>
            </w:r>
          </w:p>
        </w:tc>
        <w:tc>
          <w:tcPr>
            <w:tcW w:w="960"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0</w:t>
            </w:r>
          </w:p>
        </w:tc>
      </w:tr>
      <w:tr>
        <w:trPr>
          <w:cantSplit/>
        </w:trPr>
        <w:tc>
          <w:tcPr>
            <w:tcW w:w="1150" w:type="pct"/>
            <w:tcBorders>
              <w:left w:val="single" w:sz="4" w:space="0" w:color="A6A6A6"/>
            </w:tcBorders>
            <w:shd w:val="clear" w:color="auto" w:fill="F2F2F2"/>
          </w:tcPr>
          <w:p>
            <w:pPr>
              <w:spacing w:before="120" w:after="120" w:line="240" w:lineRule="auto"/>
              <w:jc w:val="both"/>
              <w:rPr>
                <w:rFonts w:ascii="Times New Roman" w:eastAsia="Times New Roman" w:hAnsi="Times New Roman" w:cs="Times New Roman"/>
                <w:b/>
                <w:noProof/>
              </w:rPr>
            </w:pPr>
            <w:r>
              <w:rPr>
                <w:rFonts w:ascii="Times New Roman" w:hAnsi="Times New Roman" w:cs="Times New Roman"/>
                <w:b/>
                <w:noProof/>
                <w:color w:val="000000"/>
              </w:rPr>
              <w:t>Espagne</w:t>
            </w:r>
          </w:p>
        </w:tc>
        <w:tc>
          <w:tcPr>
            <w:tcW w:w="1194"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14</w:t>
            </w:r>
          </w:p>
        </w:tc>
        <w:tc>
          <w:tcPr>
            <w:tcW w:w="735"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206</w:t>
            </w:r>
          </w:p>
        </w:tc>
        <w:tc>
          <w:tcPr>
            <w:tcW w:w="960"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170</w:t>
            </w:r>
          </w:p>
        </w:tc>
        <w:tc>
          <w:tcPr>
            <w:tcW w:w="960"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w:t>
            </w:r>
          </w:p>
        </w:tc>
      </w:tr>
      <w:tr>
        <w:trPr>
          <w:cantSplit/>
        </w:trPr>
        <w:tc>
          <w:tcPr>
            <w:tcW w:w="1150" w:type="pct"/>
            <w:tcBorders>
              <w:left w:val="single" w:sz="4" w:space="0" w:color="A6A6A6"/>
            </w:tcBorders>
            <w:shd w:val="clear" w:color="auto" w:fill="F2F2F2"/>
          </w:tcPr>
          <w:p>
            <w:pPr>
              <w:spacing w:before="120" w:after="120" w:line="240" w:lineRule="auto"/>
              <w:jc w:val="both"/>
              <w:rPr>
                <w:rFonts w:ascii="Times New Roman" w:eastAsia="Times New Roman" w:hAnsi="Times New Roman" w:cs="Times New Roman"/>
                <w:b/>
                <w:noProof/>
              </w:rPr>
            </w:pPr>
            <w:r>
              <w:rPr>
                <w:rFonts w:ascii="Times New Roman" w:hAnsi="Times New Roman" w:cs="Times New Roman"/>
                <w:b/>
                <w:noProof/>
                <w:color w:val="000000"/>
              </w:rPr>
              <w:t>Estonie</w:t>
            </w:r>
          </w:p>
        </w:tc>
        <w:tc>
          <w:tcPr>
            <w:tcW w:w="1194"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7</w:t>
            </w:r>
          </w:p>
        </w:tc>
        <w:tc>
          <w:tcPr>
            <w:tcW w:w="735"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6</w:t>
            </w:r>
          </w:p>
        </w:tc>
        <w:tc>
          <w:tcPr>
            <w:tcW w:w="960"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w:t>
            </w:r>
          </w:p>
        </w:tc>
        <w:tc>
          <w:tcPr>
            <w:tcW w:w="960"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w:t>
            </w:r>
          </w:p>
        </w:tc>
      </w:tr>
      <w:tr>
        <w:trPr>
          <w:cantSplit/>
        </w:trPr>
        <w:tc>
          <w:tcPr>
            <w:tcW w:w="1150" w:type="pct"/>
            <w:tcBorders>
              <w:left w:val="single" w:sz="4" w:space="0" w:color="A6A6A6"/>
            </w:tcBorders>
            <w:shd w:val="clear" w:color="auto" w:fill="F2F2F2"/>
          </w:tcPr>
          <w:p>
            <w:pPr>
              <w:spacing w:before="120" w:after="120" w:line="240" w:lineRule="auto"/>
              <w:jc w:val="both"/>
              <w:rPr>
                <w:rFonts w:ascii="Times New Roman" w:eastAsia="Times New Roman" w:hAnsi="Times New Roman" w:cs="Times New Roman"/>
                <w:b/>
                <w:noProof/>
              </w:rPr>
            </w:pPr>
            <w:r>
              <w:rPr>
                <w:rFonts w:ascii="Times New Roman" w:hAnsi="Times New Roman" w:cs="Times New Roman"/>
                <w:b/>
                <w:noProof/>
                <w:color w:val="000000"/>
              </w:rPr>
              <w:t>Finlande</w:t>
            </w:r>
          </w:p>
        </w:tc>
        <w:tc>
          <w:tcPr>
            <w:tcW w:w="1194"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22</w:t>
            </w:r>
          </w:p>
        </w:tc>
        <w:tc>
          <w:tcPr>
            <w:tcW w:w="735"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90</w:t>
            </w:r>
          </w:p>
        </w:tc>
        <w:tc>
          <w:tcPr>
            <w:tcW w:w="960"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4</w:t>
            </w:r>
          </w:p>
        </w:tc>
        <w:tc>
          <w:tcPr>
            <w:tcW w:w="960"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w:t>
            </w:r>
          </w:p>
        </w:tc>
      </w:tr>
      <w:tr>
        <w:trPr>
          <w:cantSplit/>
        </w:trPr>
        <w:tc>
          <w:tcPr>
            <w:tcW w:w="1150" w:type="pct"/>
            <w:tcBorders>
              <w:left w:val="single" w:sz="4" w:space="0" w:color="A6A6A6"/>
            </w:tcBorders>
            <w:shd w:val="clear" w:color="auto" w:fill="F2F2F2"/>
          </w:tcPr>
          <w:p>
            <w:pPr>
              <w:spacing w:before="120" w:after="120" w:line="240" w:lineRule="auto"/>
              <w:jc w:val="both"/>
              <w:rPr>
                <w:rFonts w:ascii="Times New Roman" w:eastAsia="Times New Roman" w:hAnsi="Times New Roman" w:cs="Times New Roman"/>
                <w:b/>
                <w:noProof/>
              </w:rPr>
            </w:pPr>
            <w:r>
              <w:rPr>
                <w:rFonts w:ascii="Times New Roman" w:hAnsi="Times New Roman" w:cs="Times New Roman"/>
                <w:b/>
                <w:noProof/>
                <w:color w:val="000000"/>
              </w:rPr>
              <w:t>France</w:t>
            </w:r>
          </w:p>
        </w:tc>
        <w:tc>
          <w:tcPr>
            <w:tcW w:w="1194"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w:t>
            </w:r>
          </w:p>
        </w:tc>
        <w:tc>
          <w:tcPr>
            <w:tcW w:w="735"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w:t>
            </w:r>
          </w:p>
        </w:tc>
        <w:tc>
          <w:tcPr>
            <w:tcW w:w="960"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w:t>
            </w:r>
          </w:p>
        </w:tc>
        <w:tc>
          <w:tcPr>
            <w:tcW w:w="960"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w:t>
            </w:r>
          </w:p>
        </w:tc>
      </w:tr>
      <w:tr>
        <w:trPr>
          <w:cantSplit/>
        </w:trPr>
        <w:tc>
          <w:tcPr>
            <w:tcW w:w="1150" w:type="pct"/>
            <w:tcBorders>
              <w:left w:val="single" w:sz="4" w:space="0" w:color="A6A6A6"/>
            </w:tcBorders>
            <w:shd w:val="clear" w:color="auto" w:fill="F2F2F2"/>
          </w:tcPr>
          <w:p>
            <w:pPr>
              <w:spacing w:before="120" w:after="120" w:line="240" w:lineRule="auto"/>
              <w:jc w:val="both"/>
              <w:rPr>
                <w:rFonts w:ascii="Times New Roman" w:eastAsia="Times New Roman" w:hAnsi="Times New Roman" w:cs="Times New Roman"/>
                <w:b/>
                <w:noProof/>
              </w:rPr>
            </w:pPr>
            <w:r>
              <w:rPr>
                <w:rFonts w:ascii="Times New Roman" w:hAnsi="Times New Roman" w:cs="Times New Roman"/>
                <w:b/>
                <w:noProof/>
                <w:color w:val="000000"/>
              </w:rPr>
              <w:t>Grèce</w:t>
            </w:r>
          </w:p>
        </w:tc>
        <w:tc>
          <w:tcPr>
            <w:tcW w:w="1194"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2</w:t>
            </w:r>
          </w:p>
        </w:tc>
        <w:tc>
          <w:tcPr>
            <w:tcW w:w="735"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74</w:t>
            </w:r>
          </w:p>
        </w:tc>
        <w:tc>
          <w:tcPr>
            <w:tcW w:w="960" w:type="pct"/>
            <w:shd w:val="clear" w:color="auto" w:fill="auto"/>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w:t>
            </w:r>
          </w:p>
        </w:tc>
        <w:tc>
          <w:tcPr>
            <w:tcW w:w="960"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2</w:t>
            </w:r>
            <w:r>
              <w:rPr>
                <w:rFonts w:ascii="Times New Roman" w:hAnsi="Times New Roman" w:cs="Times New Roman"/>
                <w:noProof/>
                <w:vertAlign w:val="superscript"/>
              </w:rPr>
              <w:footnoteReference w:id="15"/>
            </w:r>
          </w:p>
        </w:tc>
      </w:tr>
      <w:tr>
        <w:trPr>
          <w:cantSplit/>
        </w:trPr>
        <w:tc>
          <w:tcPr>
            <w:tcW w:w="1150" w:type="pct"/>
            <w:tcBorders>
              <w:left w:val="single" w:sz="4" w:space="0" w:color="A6A6A6"/>
            </w:tcBorders>
            <w:shd w:val="clear" w:color="auto" w:fill="F2F2F2"/>
          </w:tcPr>
          <w:p>
            <w:pPr>
              <w:spacing w:before="120" w:after="120" w:line="240" w:lineRule="auto"/>
              <w:jc w:val="both"/>
              <w:rPr>
                <w:rFonts w:ascii="Times New Roman" w:eastAsia="Times New Roman" w:hAnsi="Times New Roman" w:cs="Times New Roman"/>
                <w:b/>
                <w:noProof/>
              </w:rPr>
            </w:pPr>
            <w:r>
              <w:rPr>
                <w:rFonts w:ascii="Times New Roman" w:hAnsi="Times New Roman" w:cs="Times New Roman"/>
                <w:b/>
                <w:noProof/>
                <w:color w:val="000000"/>
              </w:rPr>
              <w:t>Hongrie</w:t>
            </w:r>
          </w:p>
        </w:tc>
        <w:tc>
          <w:tcPr>
            <w:tcW w:w="1194"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13</w:t>
            </w:r>
          </w:p>
        </w:tc>
        <w:tc>
          <w:tcPr>
            <w:tcW w:w="735"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72</w:t>
            </w:r>
          </w:p>
        </w:tc>
        <w:tc>
          <w:tcPr>
            <w:tcW w:w="960"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11</w:t>
            </w:r>
          </w:p>
        </w:tc>
        <w:tc>
          <w:tcPr>
            <w:tcW w:w="960" w:type="pct"/>
            <w:shd w:val="clear" w:color="auto" w:fill="auto"/>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w:t>
            </w:r>
          </w:p>
        </w:tc>
      </w:tr>
      <w:tr>
        <w:trPr>
          <w:cantSplit/>
        </w:trPr>
        <w:tc>
          <w:tcPr>
            <w:tcW w:w="1150" w:type="pct"/>
            <w:tcBorders>
              <w:left w:val="single" w:sz="4" w:space="0" w:color="A6A6A6"/>
            </w:tcBorders>
            <w:shd w:val="clear" w:color="auto" w:fill="F2F2F2"/>
          </w:tcPr>
          <w:p>
            <w:pPr>
              <w:spacing w:before="120" w:after="120" w:line="240" w:lineRule="auto"/>
              <w:jc w:val="both"/>
              <w:rPr>
                <w:rFonts w:ascii="Times New Roman" w:eastAsia="Times New Roman" w:hAnsi="Times New Roman" w:cs="Times New Roman"/>
                <w:b/>
                <w:noProof/>
              </w:rPr>
            </w:pPr>
            <w:r>
              <w:rPr>
                <w:rFonts w:ascii="Times New Roman" w:hAnsi="Times New Roman" w:cs="Times New Roman"/>
                <w:b/>
                <w:noProof/>
                <w:color w:val="000000"/>
              </w:rPr>
              <w:t>Irlande</w:t>
            </w:r>
          </w:p>
        </w:tc>
        <w:tc>
          <w:tcPr>
            <w:tcW w:w="1194"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0</w:t>
            </w:r>
          </w:p>
        </w:tc>
        <w:tc>
          <w:tcPr>
            <w:tcW w:w="735"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36</w:t>
            </w:r>
          </w:p>
        </w:tc>
        <w:tc>
          <w:tcPr>
            <w:tcW w:w="960"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5</w:t>
            </w:r>
          </w:p>
        </w:tc>
        <w:tc>
          <w:tcPr>
            <w:tcW w:w="960"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45</w:t>
            </w:r>
          </w:p>
        </w:tc>
      </w:tr>
      <w:tr>
        <w:trPr>
          <w:cantSplit/>
        </w:trPr>
        <w:tc>
          <w:tcPr>
            <w:tcW w:w="1150" w:type="pct"/>
            <w:tcBorders>
              <w:left w:val="single" w:sz="4" w:space="0" w:color="A6A6A6"/>
            </w:tcBorders>
            <w:shd w:val="clear" w:color="auto" w:fill="F2F2F2"/>
          </w:tcPr>
          <w:p>
            <w:pPr>
              <w:spacing w:before="120" w:after="120" w:line="240" w:lineRule="auto"/>
              <w:jc w:val="both"/>
              <w:rPr>
                <w:rFonts w:ascii="Times New Roman" w:eastAsia="Times New Roman" w:hAnsi="Times New Roman" w:cs="Times New Roman"/>
                <w:b/>
                <w:noProof/>
              </w:rPr>
            </w:pPr>
            <w:r>
              <w:rPr>
                <w:rFonts w:ascii="Times New Roman" w:hAnsi="Times New Roman" w:cs="Times New Roman"/>
                <w:b/>
                <w:noProof/>
                <w:color w:val="000000"/>
              </w:rPr>
              <w:t>Italie</w:t>
            </w:r>
          </w:p>
        </w:tc>
        <w:tc>
          <w:tcPr>
            <w:tcW w:w="1194"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w:t>
            </w:r>
          </w:p>
        </w:tc>
        <w:tc>
          <w:tcPr>
            <w:tcW w:w="735"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w:t>
            </w:r>
          </w:p>
        </w:tc>
        <w:tc>
          <w:tcPr>
            <w:tcW w:w="960"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w:t>
            </w:r>
          </w:p>
        </w:tc>
        <w:tc>
          <w:tcPr>
            <w:tcW w:w="960"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w:t>
            </w:r>
          </w:p>
        </w:tc>
      </w:tr>
      <w:tr>
        <w:trPr>
          <w:cantSplit/>
        </w:trPr>
        <w:tc>
          <w:tcPr>
            <w:tcW w:w="1150" w:type="pct"/>
            <w:tcBorders>
              <w:left w:val="single" w:sz="4" w:space="0" w:color="A6A6A6"/>
            </w:tcBorders>
            <w:shd w:val="clear" w:color="auto" w:fill="F2F2F2"/>
          </w:tcPr>
          <w:p>
            <w:pPr>
              <w:spacing w:before="120" w:after="120" w:line="240" w:lineRule="auto"/>
              <w:jc w:val="both"/>
              <w:rPr>
                <w:rFonts w:ascii="Times New Roman" w:eastAsia="Times New Roman" w:hAnsi="Times New Roman" w:cs="Times New Roman"/>
                <w:b/>
                <w:noProof/>
              </w:rPr>
            </w:pPr>
            <w:r>
              <w:rPr>
                <w:rFonts w:ascii="Times New Roman" w:hAnsi="Times New Roman" w:cs="Times New Roman"/>
                <w:b/>
                <w:noProof/>
                <w:color w:val="000000"/>
              </w:rPr>
              <w:t>Lettonie</w:t>
            </w:r>
          </w:p>
        </w:tc>
        <w:tc>
          <w:tcPr>
            <w:tcW w:w="1194"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1</w:t>
            </w:r>
          </w:p>
        </w:tc>
        <w:tc>
          <w:tcPr>
            <w:tcW w:w="735"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11</w:t>
            </w:r>
          </w:p>
        </w:tc>
        <w:tc>
          <w:tcPr>
            <w:tcW w:w="960" w:type="pct"/>
            <w:shd w:val="clear" w:color="auto" w:fill="auto"/>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w:t>
            </w:r>
          </w:p>
        </w:tc>
        <w:tc>
          <w:tcPr>
            <w:tcW w:w="960" w:type="pct"/>
            <w:shd w:val="clear" w:color="auto" w:fill="auto"/>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w:t>
            </w:r>
          </w:p>
        </w:tc>
      </w:tr>
      <w:tr>
        <w:trPr>
          <w:cantSplit/>
        </w:trPr>
        <w:tc>
          <w:tcPr>
            <w:tcW w:w="1150" w:type="pct"/>
            <w:tcBorders>
              <w:left w:val="single" w:sz="4" w:space="0" w:color="A6A6A6"/>
            </w:tcBorders>
            <w:shd w:val="clear" w:color="auto" w:fill="F2F2F2"/>
          </w:tcPr>
          <w:p>
            <w:pPr>
              <w:spacing w:before="120" w:after="120" w:line="240" w:lineRule="auto"/>
              <w:rPr>
                <w:rFonts w:ascii="Times New Roman" w:eastAsia="Times New Roman" w:hAnsi="Times New Roman" w:cs="Times New Roman"/>
                <w:b/>
                <w:noProof/>
              </w:rPr>
            </w:pPr>
            <w:r>
              <w:rPr>
                <w:rFonts w:ascii="Times New Roman" w:hAnsi="Times New Roman" w:cs="Times New Roman"/>
                <w:b/>
                <w:noProof/>
                <w:color w:val="000000"/>
              </w:rPr>
              <w:t>Lituanie</w:t>
            </w:r>
          </w:p>
        </w:tc>
        <w:tc>
          <w:tcPr>
            <w:tcW w:w="1194"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0</w:t>
            </w:r>
          </w:p>
        </w:tc>
        <w:tc>
          <w:tcPr>
            <w:tcW w:w="735"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11</w:t>
            </w:r>
          </w:p>
        </w:tc>
        <w:tc>
          <w:tcPr>
            <w:tcW w:w="960"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3</w:t>
            </w:r>
          </w:p>
        </w:tc>
        <w:tc>
          <w:tcPr>
            <w:tcW w:w="960"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0</w:t>
            </w:r>
          </w:p>
        </w:tc>
      </w:tr>
      <w:tr>
        <w:trPr>
          <w:cantSplit/>
        </w:trPr>
        <w:tc>
          <w:tcPr>
            <w:tcW w:w="1150" w:type="pct"/>
            <w:tcBorders>
              <w:left w:val="single" w:sz="4" w:space="0" w:color="A6A6A6"/>
            </w:tcBorders>
            <w:shd w:val="clear" w:color="auto" w:fill="F2F2F2"/>
          </w:tcPr>
          <w:p>
            <w:pPr>
              <w:spacing w:before="120" w:after="120" w:line="240" w:lineRule="auto"/>
              <w:rPr>
                <w:rFonts w:ascii="Times New Roman" w:eastAsia="Times New Roman" w:hAnsi="Times New Roman" w:cs="Times New Roman"/>
                <w:b/>
                <w:noProof/>
              </w:rPr>
            </w:pPr>
            <w:r>
              <w:rPr>
                <w:rFonts w:ascii="Times New Roman" w:hAnsi="Times New Roman" w:cs="Times New Roman"/>
                <w:b/>
                <w:noProof/>
                <w:color w:val="000000"/>
              </w:rPr>
              <w:t>Luxembourg</w:t>
            </w:r>
          </w:p>
        </w:tc>
        <w:tc>
          <w:tcPr>
            <w:tcW w:w="1194"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0</w:t>
            </w:r>
          </w:p>
        </w:tc>
        <w:tc>
          <w:tcPr>
            <w:tcW w:w="735"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2</w:t>
            </w:r>
          </w:p>
        </w:tc>
        <w:tc>
          <w:tcPr>
            <w:tcW w:w="960"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11</w:t>
            </w:r>
          </w:p>
        </w:tc>
        <w:tc>
          <w:tcPr>
            <w:tcW w:w="960"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0</w:t>
            </w:r>
          </w:p>
        </w:tc>
      </w:tr>
      <w:tr>
        <w:trPr>
          <w:cantSplit/>
        </w:trPr>
        <w:tc>
          <w:tcPr>
            <w:tcW w:w="1150" w:type="pct"/>
            <w:tcBorders>
              <w:left w:val="single" w:sz="4" w:space="0" w:color="A6A6A6"/>
            </w:tcBorders>
            <w:shd w:val="clear" w:color="auto" w:fill="F2F2F2"/>
          </w:tcPr>
          <w:p>
            <w:pPr>
              <w:spacing w:before="120" w:after="120" w:line="240" w:lineRule="auto"/>
              <w:rPr>
                <w:rFonts w:ascii="Times New Roman" w:eastAsia="Times New Roman" w:hAnsi="Times New Roman" w:cs="Times New Roman"/>
                <w:b/>
                <w:noProof/>
              </w:rPr>
            </w:pPr>
            <w:r>
              <w:rPr>
                <w:rFonts w:ascii="Times New Roman" w:hAnsi="Times New Roman" w:cs="Times New Roman"/>
                <w:b/>
                <w:noProof/>
                <w:color w:val="000000"/>
              </w:rPr>
              <w:t>Malte</w:t>
            </w:r>
          </w:p>
        </w:tc>
        <w:tc>
          <w:tcPr>
            <w:tcW w:w="1194"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0</w:t>
            </w:r>
          </w:p>
        </w:tc>
        <w:tc>
          <w:tcPr>
            <w:tcW w:w="735"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w:t>
            </w:r>
          </w:p>
        </w:tc>
        <w:tc>
          <w:tcPr>
            <w:tcW w:w="960"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w:t>
            </w:r>
          </w:p>
        </w:tc>
        <w:tc>
          <w:tcPr>
            <w:tcW w:w="960"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w:t>
            </w:r>
          </w:p>
        </w:tc>
      </w:tr>
      <w:tr>
        <w:trPr>
          <w:cantSplit/>
        </w:trPr>
        <w:tc>
          <w:tcPr>
            <w:tcW w:w="1150" w:type="pct"/>
            <w:tcBorders>
              <w:left w:val="single" w:sz="4" w:space="0" w:color="A6A6A6"/>
            </w:tcBorders>
            <w:shd w:val="clear" w:color="auto" w:fill="F2F2F2"/>
          </w:tcPr>
          <w:p>
            <w:pPr>
              <w:spacing w:before="120" w:after="120" w:line="240" w:lineRule="auto"/>
              <w:rPr>
                <w:rFonts w:ascii="Times New Roman" w:eastAsia="Times New Roman" w:hAnsi="Times New Roman" w:cs="Times New Roman"/>
                <w:b/>
                <w:noProof/>
              </w:rPr>
            </w:pPr>
            <w:r>
              <w:rPr>
                <w:rFonts w:ascii="Times New Roman" w:hAnsi="Times New Roman" w:cs="Times New Roman"/>
                <w:b/>
                <w:noProof/>
                <w:color w:val="000000"/>
              </w:rPr>
              <w:t>Pays-Bas</w:t>
            </w:r>
            <w:r>
              <w:rPr>
                <w:rFonts w:ascii="Times New Roman" w:hAnsi="Times New Roman" w:cs="Times New Roman"/>
                <w:b/>
                <w:noProof/>
                <w:color w:val="000000"/>
                <w:vertAlign w:val="superscript"/>
              </w:rPr>
              <w:footnoteReference w:id="16"/>
            </w:r>
          </w:p>
        </w:tc>
        <w:tc>
          <w:tcPr>
            <w:tcW w:w="1194"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22</w:t>
            </w:r>
          </w:p>
        </w:tc>
        <w:tc>
          <w:tcPr>
            <w:tcW w:w="735"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22</w:t>
            </w:r>
          </w:p>
        </w:tc>
        <w:tc>
          <w:tcPr>
            <w:tcW w:w="960"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22</w:t>
            </w:r>
          </w:p>
        </w:tc>
        <w:tc>
          <w:tcPr>
            <w:tcW w:w="960" w:type="pct"/>
            <w:shd w:val="clear" w:color="auto" w:fill="auto"/>
          </w:tcPr>
          <w:p>
            <w:pPr>
              <w:spacing w:before="120" w:after="120" w:line="240" w:lineRule="auto"/>
              <w:jc w:val="center"/>
              <w:rPr>
                <w:rFonts w:ascii="Times New Roman" w:eastAsia="Times New Roman" w:hAnsi="Times New Roman" w:cs="Times New Roman"/>
                <w:noProof/>
                <w:highlight w:val="yellow"/>
              </w:rPr>
            </w:pPr>
            <w:r>
              <w:rPr>
                <w:rFonts w:ascii="Times New Roman" w:hAnsi="Times New Roman" w:cs="Times New Roman"/>
                <w:noProof/>
              </w:rPr>
              <w:t>-</w:t>
            </w:r>
          </w:p>
        </w:tc>
      </w:tr>
      <w:tr>
        <w:trPr>
          <w:cantSplit/>
        </w:trPr>
        <w:tc>
          <w:tcPr>
            <w:tcW w:w="1150" w:type="pct"/>
            <w:tcBorders>
              <w:left w:val="single" w:sz="4" w:space="0" w:color="A6A6A6"/>
            </w:tcBorders>
            <w:shd w:val="clear" w:color="auto" w:fill="F2F2F2"/>
          </w:tcPr>
          <w:p>
            <w:pPr>
              <w:spacing w:before="120" w:after="120" w:line="240" w:lineRule="auto"/>
              <w:jc w:val="both"/>
              <w:rPr>
                <w:rFonts w:ascii="Times New Roman" w:eastAsia="Times New Roman" w:hAnsi="Times New Roman" w:cs="Times New Roman"/>
                <w:b/>
                <w:noProof/>
              </w:rPr>
            </w:pPr>
            <w:r>
              <w:rPr>
                <w:rFonts w:ascii="Times New Roman" w:hAnsi="Times New Roman" w:cs="Times New Roman"/>
                <w:b/>
                <w:noProof/>
                <w:color w:val="000000"/>
              </w:rPr>
              <w:t>Pologne</w:t>
            </w:r>
          </w:p>
        </w:tc>
        <w:tc>
          <w:tcPr>
            <w:tcW w:w="1194"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w:t>
            </w:r>
          </w:p>
        </w:tc>
        <w:tc>
          <w:tcPr>
            <w:tcW w:w="735"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w:t>
            </w:r>
          </w:p>
        </w:tc>
        <w:tc>
          <w:tcPr>
            <w:tcW w:w="960"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w:t>
            </w:r>
          </w:p>
        </w:tc>
        <w:tc>
          <w:tcPr>
            <w:tcW w:w="960"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w:t>
            </w:r>
          </w:p>
        </w:tc>
      </w:tr>
      <w:tr>
        <w:trPr>
          <w:cantSplit/>
        </w:trPr>
        <w:tc>
          <w:tcPr>
            <w:tcW w:w="1150" w:type="pct"/>
            <w:tcBorders>
              <w:left w:val="single" w:sz="4" w:space="0" w:color="A6A6A6"/>
            </w:tcBorders>
            <w:shd w:val="clear" w:color="auto" w:fill="F2F2F2"/>
          </w:tcPr>
          <w:p>
            <w:pPr>
              <w:spacing w:before="120" w:after="120" w:line="240" w:lineRule="auto"/>
              <w:jc w:val="both"/>
              <w:rPr>
                <w:rFonts w:ascii="Times New Roman" w:eastAsia="Times New Roman" w:hAnsi="Times New Roman" w:cs="Times New Roman"/>
                <w:b/>
                <w:noProof/>
              </w:rPr>
            </w:pPr>
            <w:r>
              <w:rPr>
                <w:rFonts w:ascii="Times New Roman" w:hAnsi="Times New Roman" w:cs="Times New Roman"/>
                <w:b/>
                <w:noProof/>
                <w:color w:val="000000"/>
              </w:rPr>
              <w:t>Portugal</w:t>
            </w:r>
          </w:p>
        </w:tc>
        <w:tc>
          <w:tcPr>
            <w:tcW w:w="1194"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2</w:t>
            </w:r>
          </w:p>
        </w:tc>
        <w:tc>
          <w:tcPr>
            <w:tcW w:w="735"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63</w:t>
            </w:r>
          </w:p>
        </w:tc>
        <w:tc>
          <w:tcPr>
            <w:tcW w:w="960"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4</w:t>
            </w:r>
          </w:p>
        </w:tc>
        <w:tc>
          <w:tcPr>
            <w:tcW w:w="960"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0</w:t>
            </w:r>
          </w:p>
        </w:tc>
      </w:tr>
      <w:tr>
        <w:trPr>
          <w:cantSplit/>
        </w:trPr>
        <w:tc>
          <w:tcPr>
            <w:tcW w:w="1150" w:type="pct"/>
            <w:tcBorders>
              <w:left w:val="single" w:sz="4" w:space="0" w:color="A6A6A6"/>
            </w:tcBorders>
            <w:shd w:val="clear" w:color="auto" w:fill="F2F2F2"/>
          </w:tcPr>
          <w:p>
            <w:pPr>
              <w:spacing w:before="120" w:after="120" w:line="240" w:lineRule="auto"/>
              <w:jc w:val="both"/>
              <w:rPr>
                <w:rFonts w:ascii="Times New Roman" w:eastAsia="Times New Roman" w:hAnsi="Times New Roman" w:cs="Times New Roman"/>
                <w:b/>
                <w:noProof/>
              </w:rPr>
            </w:pPr>
            <w:r>
              <w:rPr>
                <w:rFonts w:ascii="Times New Roman" w:hAnsi="Times New Roman" w:cs="Times New Roman"/>
                <w:b/>
                <w:noProof/>
                <w:color w:val="000000"/>
              </w:rPr>
              <w:t>République tchèque</w:t>
            </w:r>
          </w:p>
        </w:tc>
        <w:tc>
          <w:tcPr>
            <w:tcW w:w="1194"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26</w:t>
            </w:r>
          </w:p>
        </w:tc>
        <w:tc>
          <w:tcPr>
            <w:tcW w:w="735"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152</w:t>
            </w:r>
          </w:p>
        </w:tc>
        <w:tc>
          <w:tcPr>
            <w:tcW w:w="960"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62</w:t>
            </w:r>
          </w:p>
        </w:tc>
        <w:tc>
          <w:tcPr>
            <w:tcW w:w="960"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w:t>
            </w:r>
          </w:p>
        </w:tc>
      </w:tr>
      <w:tr>
        <w:trPr>
          <w:cantSplit/>
        </w:trPr>
        <w:tc>
          <w:tcPr>
            <w:tcW w:w="1150" w:type="pct"/>
            <w:tcBorders>
              <w:left w:val="single" w:sz="4" w:space="0" w:color="A6A6A6"/>
            </w:tcBorders>
            <w:shd w:val="clear" w:color="auto" w:fill="F2F2F2"/>
          </w:tcPr>
          <w:p>
            <w:pPr>
              <w:spacing w:before="120" w:after="120" w:line="240" w:lineRule="auto"/>
              <w:jc w:val="both"/>
              <w:rPr>
                <w:rFonts w:ascii="Times New Roman" w:eastAsia="Times New Roman" w:hAnsi="Times New Roman" w:cs="Times New Roman"/>
                <w:b/>
                <w:noProof/>
              </w:rPr>
            </w:pPr>
            <w:r>
              <w:rPr>
                <w:rFonts w:ascii="Times New Roman" w:hAnsi="Times New Roman" w:cs="Times New Roman"/>
                <w:b/>
                <w:noProof/>
                <w:color w:val="000000"/>
              </w:rPr>
              <w:t>Roumanie</w:t>
            </w:r>
            <w:r>
              <w:rPr>
                <w:rFonts w:ascii="Times New Roman" w:hAnsi="Times New Roman" w:cs="Times New Roman"/>
                <w:b/>
                <w:noProof/>
                <w:color w:val="000000"/>
                <w:vertAlign w:val="superscript"/>
              </w:rPr>
              <w:footnoteReference w:id="17"/>
            </w:r>
          </w:p>
        </w:tc>
        <w:tc>
          <w:tcPr>
            <w:tcW w:w="1194"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105</w:t>
            </w:r>
          </w:p>
        </w:tc>
        <w:tc>
          <w:tcPr>
            <w:tcW w:w="735"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105</w:t>
            </w:r>
          </w:p>
        </w:tc>
        <w:tc>
          <w:tcPr>
            <w:tcW w:w="960"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105</w:t>
            </w:r>
          </w:p>
        </w:tc>
        <w:tc>
          <w:tcPr>
            <w:tcW w:w="960" w:type="pct"/>
            <w:shd w:val="clear" w:color="auto" w:fill="auto"/>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w:t>
            </w:r>
          </w:p>
        </w:tc>
      </w:tr>
      <w:tr>
        <w:trPr>
          <w:cantSplit/>
        </w:trPr>
        <w:tc>
          <w:tcPr>
            <w:tcW w:w="1150" w:type="pct"/>
            <w:tcBorders>
              <w:left w:val="single" w:sz="4" w:space="0" w:color="A6A6A6"/>
            </w:tcBorders>
            <w:shd w:val="clear" w:color="auto" w:fill="F2F2F2"/>
          </w:tcPr>
          <w:p>
            <w:pPr>
              <w:spacing w:before="120" w:after="120" w:line="240" w:lineRule="auto"/>
              <w:jc w:val="both"/>
              <w:rPr>
                <w:rFonts w:ascii="Times New Roman" w:eastAsia="Times New Roman" w:hAnsi="Times New Roman" w:cs="Times New Roman"/>
                <w:b/>
                <w:noProof/>
                <w:color w:val="000000"/>
              </w:rPr>
            </w:pPr>
            <w:r>
              <w:rPr>
                <w:rFonts w:ascii="Times New Roman" w:hAnsi="Times New Roman" w:cs="Times New Roman"/>
                <w:b/>
                <w:noProof/>
                <w:color w:val="000000"/>
              </w:rPr>
              <w:t>Royaume-Uni</w:t>
            </w:r>
          </w:p>
        </w:tc>
        <w:tc>
          <w:tcPr>
            <w:tcW w:w="1194"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225</w:t>
            </w:r>
          </w:p>
        </w:tc>
        <w:tc>
          <w:tcPr>
            <w:tcW w:w="735"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423</w:t>
            </w:r>
          </w:p>
        </w:tc>
        <w:tc>
          <w:tcPr>
            <w:tcW w:w="960"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429</w:t>
            </w:r>
          </w:p>
        </w:tc>
        <w:tc>
          <w:tcPr>
            <w:tcW w:w="960" w:type="pct"/>
            <w:shd w:val="clear" w:color="auto" w:fill="auto"/>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w:t>
            </w:r>
          </w:p>
        </w:tc>
      </w:tr>
      <w:tr>
        <w:trPr>
          <w:cantSplit/>
        </w:trPr>
        <w:tc>
          <w:tcPr>
            <w:tcW w:w="1150" w:type="pct"/>
            <w:tcBorders>
              <w:left w:val="single" w:sz="4" w:space="0" w:color="A6A6A6"/>
            </w:tcBorders>
            <w:shd w:val="clear" w:color="auto" w:fill="F2F2F2"/>
          </w:tcPr>
          <w:p>
            <w:pPr>
              <w:spacing w:before="120" w:after="120" w:line="240" w:lineRule="auto"/>
              <w:jc w:val="both"/>
              <w:rPr>
                <w:rFonts w:ascii="Times New Roman" w:eastAsia="Times New Roman" w:hAnsi="Times New Roman" w:cs="Times New Roman"/>
                <w:b/>
                <w:noProof/>
              </w:rPr>
            </w:pPr>
            <w:r>
              <w:rPr>
                <w:rFonts w:ascii="Times New Roman" w:hAnsi="Times New Roman" w:cs="Times New Roman"/>
                <w:b/>
                <w:noProof/>
                <w:color w:val="000000"/>
              </w:rPr>
              <w:t>Slovaquie</w:t>
            </w:r>
          </w:p>
        </w:tc>
        <w:tc>
          <w:tcPr>
            <w:tcW w:w="1194"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11</w:t>
            </w:r>
          </w:p>
        </w:tc>
        <w:tc>
          <w:tcPr>
            <w:tcW w:w="735"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90</w:t>
            </w:r>
          </w:p>
        </w:tc>
        <w:tc>
          <w:tcPr>
            <w:tcW w:w="960"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17</w:t>
            </w:r>
          </w:p>
        </w:tc>
        <w:tc>
          <w:tcPr>
            <w:tcW w:w="960"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w:t>
            </w:r>
          </w:p>
        </w:tc>
      </w:tr>
      <w:tr>
        <w:trPr>
          <w:cantSplit/>
        </w:trPr>
        <w:tc>
          <w:tcPr>
            <w:tcW w:w="1150" w:type="pct"/>
            <w:tcBorders>
              <w:left w:val="single" w:sz="4" w:space="0" w:color="A6A6A6"/>
            </w:tcBorders>
            <w:shd w:val="clear" w:color="auto" w:fill="F2F2F2"/>
          </w:tcPr>
          <w:p>
            <w:pPr>
              <w:spacing w:before="120" w:after="120" w:line="240" w:lineRule="auto"/>
              <w:jc w:val="both"/>
              <w:rPr>
                <w:rFonts w:ascii="Times New Roman" w:eastAsia="Times New Roman" w:hAnsi="Times New Roman" w:cs="Times New Roman"/>
                <w:b/>
                <w:noProof/>
              </w:rPr>
            </w:pPr>
            <w:r>
              <w:rPr>
                <w:rFonts w:ascii="Times New Roman" w:hAnsi="Times New Roman" w:cs="Times New Roman"/>
                <w:b/>
                <w:noProof/>
                <w:color w:val="000000"/>
              </w:rPr>
              <w:t>Slovénie</w:t>
            </w:r>
          </w:p>
        </w:tc>
        <w:tc>
          <w:tcPr>
            <w:tcW w:w="1194"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2</w:t>
            </w:r>
          </w:p>
        </w:tc>
        <w:tc>
          <w:tcPr>
            <w:tcW w:w="735"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71</w:t>
            </w:r>
          </w:p>
        </w:tc>
        <w:tc>
          <w:tcPr>
            <w:tcW w:w="960"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14</w:t>
            </w:r>
          </w:p>
        </w:tc>
        <w:tc>
          <w:tcPr>
            <w:tcW w:w="960"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0</w:t>
            </w:r>
          </w:p>
        </w:tc>
      </w:tr>
      <w:tr>
        <w:trPr>
          <w:cantSplit/>
        </w:trPr>
        <w:tc>
          <w:tcPr>
            <w:tcW w:w="1150" w:type="pct"/>
            <w:tcBorders>
              <w:left w:val="single" w:sz="4" w:space="0" w:color="A6A6A6"/>
            </w:tcBorders>
            <w:shd w:val="clear" w:color="auto" w:fill="F2F2F2"/>
          </w:tcPr>
          <w:p>
            <w:pPr>
              <w:spacing w:before="120" w:after="120" w:line="240" w:lineRule="auto"/>
              <w:jc w:val="both"/>
              <w:rPr>
                <w:rFonts w:ascii="Times New Roman" w:eastAsia="Times New Roman" w:hAnsi="Times New Roman" w:cs="Times New Roman"/>
                <w:b/>
                <w:noProof/>
                <w:color w:val="000000"/>
              </w:rPr>
            </w:pPr>
            <w:r>
              <w:rPr>
                <w:rFonts w:ascii="Times New Roman" w:hAnsi="Times New Roman" w:cs="Times New Roman"/>
                <w:b/>
                <w:noProof/>
                <w:color w:val="000000"/>
              </w:rPr>
              <w:t>Suède</w:t>
            </w:r>
          </w:p>
        </w:tc>
        <w:tc>
          <w:tcPr>
            <w:tcW w:w="1194"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46</w:t>
            </w:r>
          </w:p>
        </w:tc>
        <w:tc>
          <w:tcPr>
            <w:tcW w:w="735"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108</w:t>
            </w:r>
          </w:p>
        </w:tc>
        <w:tc>
          <w:tcPr>
            <w:tcW w:w="960"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30</w:t>
            </w:r>
          </w:p>
        </w:tc>
        <w:tc>
          <w:tcPr>
            <w:tcW w:w="960"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0</w:t>
            </w:r>
          </w:p>
        </w:tc>
      </w:tr>
      <w:tr>
        <w:trPr>
          <w:cantSplit/>
        </w:trPr>
        <w:tc>
          <w:tcPr>
            <w:tcW w:w="1150" w:type="pct"/>
            <w:tcBorders>
              <w:left w:val="single" w:sz="4" w:space="0" w:color="A6A6A6"/>
            </w:tcBorders>
            <w:shd w:val="clear" w:color="auto" w:fill="F2F2F2"/>
          </w:tcPr>
          <w:p>
            <w:pPr>
              <w:spacing w:before="120" w:after="120" w:line="240" w:lineRule="auto"/>
              <w:jc w:val="both"/>
              <w:rPr>
                <w:rFonts w:ascii="Times New Roman" w:eastAsia="Times New Roman" w:hAnsi="Times New Roman" w:cs="Times New Roman"/>
                <w:b/>
                <w:noProof/>
                <w:color w:val="000000"/>
              </w:rPr>
            </w:pPr>
            <w:r>
              <w:rPr>
                <w:rFonts w:ascii="Times New Roman" w:hAnsi="Times New Roman" w:cs="Times New Roman"/>
                <w:b/>
                <w:noProof/>
                <w:color w:val="000000"/>
              </w:rPr>
              <w:t>UE-27:</w:t>
            </w:r>
          </w:p>
        </w:tc>
        <w:tc>
          <w:tcPr>
            <w:tcW w:w="1194"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355</w:t>
            </w:r>
            <w:r>
              <w:rPr>
                <w:rFonts w:ascii="Times New Roman" w:hAnsi="Times New Roman" w:cs="Times New Roman"/>
                <w:noProof/>
                <w:vertAlign w:val="superscript"/>
              </w:rPr>
              <w:footnoteReference w:id="18"/>
            </w:r>
          </w:p>
        </w:tc>
        <w:tc>
          <w:tcPr>
            <w:tcW w:w="735"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3 719</w:t>
            </w:r>
            <w:r>
              <w:rPr>
                <w:rFonts w:ascii="Times New Roman" w:hAnsi="Times New Roman" w:cs="Times New Roman"/>
                <w:noProof/>
                <w:vertAlign w:val="superscript"/>
              </w:rPr>
              <w:footnoteReference w:id="19"/>
            </w:r>
          </w:p>
        </w:tc>
        <w:tc>
          <w:tcPr>
            <w:tcW w:w="960"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2 362</w:t>
            </w:r>
            <w:r>
              <w:rPr>
                <w:rFonts w:ascii="Times New Roman" w:hAnsi="Times New Roman" w:cs="Times New Roman"/>
                <w:noProof/>
                <w:vertAlign w:val="superscript"/>
              </w:rPr>
              <w:footnoteReference w:id="20"/>
            </w:r>
          </w:p>
        </w:tc>
        <w:tc>
          <w:tcPr>
            <w:tcW w:w="960"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564</w:t>
            </w:r>
          </w:p>
        </w:tc>
      </w:tr>
    </w:tbl>
    <w:p>
      <w:pPr>
        <w:spacing w:before="120" w:after="120" w:line="240" w:lineRule="auto"/>
        <w:rPr>
          <w:rFonts w:ascii="Calibri" w:eastAsia="Times New Roman" w:hAnsi="Calibri" w:cs="Arial"/>
          <w:noProof/>
          <w:sz w:val="24"/>
          <w:szCs w:val="24"/>
        </w:rPr>
      </w:pPr>
    </w:p>
    <w:p>
      <w:pPr>
        <w:spacing w:before="120" w:after="120" w:line="240" w:lineRule="auto"/>
        <w:rPr>
          <w:rFonts w:ascii="Calibri" w:eastAsia="Times New Roman" w:hAnsi="Calibri" w:cs="Arial"/>
          <w:noProof/>
          <w:sz w:val="24"/>
          <w:szCs w:val="24"/>
        </w:rPr>
      </w:pPr>
      <w:r>
        <w:rPr>
          <w:noProof/>
        </w:rPr>
        <w:br w:type="page"/>
      </w:r>
    </w:p>
    <w:p>
      <w:pPr>
        <w:keepNext/>
        <w:spacing w:before="600" w:after="240" w:line="240" w:lineRule="auto"/>
        <w:ind w:left="360" w:right="-613" w:hanging="360"/>
        <w:jc w:val="both"/>
        <w:outlineLvl w:val="0"/>
        <w:rPr>
          <w:rFonts w:ascii="Times New Roman" w:eastAsia="Times New Roman" w:hAnsi="Times New Roman" w:cs="Times New Roman"/>
          <w:b/>
          <w:bCs/>
          <w:noProof/>
          <w:sz w:val="24"/>
          <w:szCs w:val="24"/>
        </w:rPr>
      </w:pPr>
      <w:bookmarkStart w:id="84" w:name="_Ref424113270"/>
      <w:bookmarkStart w:id="85" w:name="_Toc416764946"/>
      <w:bookmarkStart w:id="86" w:name="_Toc424229933"/>
      <w:bookmarkStart w:id="87" w:name="_Toc425434909"/>
      <w:r>
        <w:rPr>
          <w:rFonts w:ascii="Times New Roman" w:hAnsi="Times New Roman"/>
          <w:b/>
          <w:noProof/>
          <w:sz w:val="24"/>
        </w:rPr>
        <w:t xml:space="preserve">Tableau </w:t>
      </w:r>
      <w:bookmarkEnd w:id="84"/>
      <w:r>
        <w:rPr>
          <w:rFonts w:ascii="Times New Roman" w:hAnsi="Times New Roman"/>
          <w:b/>
          <w:noProof/>
          <w:sz w:val="24"/>
        </w:rPr>
        <w:t xml:space="preserve">2: Capacité résiduelle des décharges destinées aux déchets </w:t>
      </w:r>
      <w:bookmarkEnd w:id="85"/>
      <w:r>
        <w:rPr>
          <w:rFonts w:ascii="Times New Roman" w:hAnsi="Times New Roman"/>
          <w:b/>
          <w:noProof/>
          <w:sz w:val="24"/>
        </w:rPr>
        <w:t>non dangereux en 2012</w:t>
      </w:r>
      <w:bookmarkEnd w:id="86"/>
      <w:bookmarkEnd w:id="87"/>
      <w:r>
        <w:rPr>
          <w:rFonts w:ascii="Times New Roman" w:hAnsi="Times New Roman"/>
          <w:b/>
          <w:noProof/>
          <w:sz w:val="24"/>
        </w:rPr>
        <w:t xml:space="preserve"> </w:t>
      </w:r>
      <w:r>
        <w:rPr>
          <w:rFonts w:ascii="Times New Roman" w:hAnsi="Times New Roman"/>
          <w:noProof/>
          <w:sz w:val="24"/>
        </w:rPr>
        <w:t>(en milliers de tonnes ou en m</w:t>
      </w:r>
      <w:r>
        <w:rPr>
          <w:rFonts w:ascii="Times New Roman" w:hAnsi="Times New Roman"/>
          <w:noProof/>
          <w:sz w:val="24"/>
          <w:vertAlign w:val="superscript"/>
        </w:rPr>
        <w:t>3</w:t>
      </w:r>
      <w:r>
        <w:rPr>
          <w:rFonts w:ascii="Times New Roman" w:hAnsi="Times New Roman"/>
          <w:noProof/>
          <w:sz w:val="24"/>
        </w:rPr>
        <w:t>)</w:t>
      </w:r>
    </w:p>
    <w:tbl>
      <w:tblPr>
        <w:tblW w:w="4156" w:type="pct"/>
        <w:tblBorders>
          <w:top w:val="single" w:sz="4" w:space="0" w:color="D9D9D9"/>
          <w:left w:val="single" w:sz="4" w:space="0" w:color="D9D9D9"/>
          <w:bottom w:val="single" w:sz="4" w:space="0" w:color="D9D9D9"/>
          <w:right w:val="single" w:sz="4" w:space="0" w:color="D9D9D9"/>
          <w:insideH w:val="dotted" w:sz="4" w:space="0" w:color="BFBFBF"/>
          <w:insideV w:val="single" w:sz="4" w:space="0" w:color="00A79D"/>
        </w:tblBorders>
        <w:tblLook w:val="04A0" w:firstRow="1" w:lastRow="0" w:firstColumn="1" w:lastColumn="0" w:noHBand="0" w:noVBand="1"/>
      </w:tblPr>
      <w:tblGrid>
        <w:gridCol w:w="1563"/>
        <w:gridCol w:w="1418"/>
        <w:gridCol w:w="1424"/>
        <w:gridCol w:w="1673"/>
        <w:gridCol w:w="1604"/>
      </w:tblGrid>
      <w:tr>
        <w:trPr>
          <w:cantSplit/>
          <w:tblHeader/>
        </w:trPr>
        <w:tc>
          <w:tcPr>
            <w:tcW w:w="1017" w:type="pct"/>
            <w:tcBorders>
              <w:top w:val="single" w:sz="4" w:space="0" w:color="A6A6A6"/>
              <w:left w:val="single" w:sz="4" w:space="0" w:color="A6A6A6"/>
            </w:tcBorders>
            <w:shd w:val="clear" w:color="auto" w:fill="BFBFBF"/>
          </w:tcPr>
          <w:p>
            <w:pPr>
              <w:spacing w:before="60" w:after="60" w:line="240" w:lineRule="auto"/>
              <w:jc w:val="both"/>
              <w:rPr>
                <w:rFonts w:ascii="Times New Roman" w:eastAsia="Times New Roman" w:hAnsi="Times New Roman" w:cs="Times New Roman"/>
                <w:b/>
                <w:noProof/>
              </w:rPr>
            </w:pPr>
            <w:r>
              <w:rPr>
                <w:rFonts w:ascii="Times New Roman" w:hAnsi="Times New Roman"/>
                <w:b/>
                <w:noProof/>
              </w:rPr>
              <w:t>État membre</w:t>
            </w:r>
          </w:p>
        </w:tc>
        <w:tc>
          <w:tcPr>
            <w:tcW w:w="923" w:type="pct"/>
            <w:tcBorders>
              <w:top w:val="single" w:sz="4" w:space="0" w:color="A6A6A6"/>
            </w:tcBorders>
            <w:shd w:val="clear" w:color="auto" w:fill="BFBFBF"/>
          </w:tcPr>
          <w:p>
            <w:pPr>
              <w:spacing w:before="60" w:after="60" w:line="240" w:lineRule="auto"/>
              <w:jc w:val="center"/>
              <w:rPr>
                <w:rFonts w:ascii="Times New Roman" w:eastAsia="Times New Roman" w:hAnsi="Times New Roman" w:cs="Times New Roman"/>
                <w:b/>
                <w:noProof/>
              </w:rPr>
            </w:pPr>
            <w:r>
              <w:rPr>
                <w:rFonts w:ascii="Times New Roman" w:hAnsi="Times New Roman" w:cs="Times New Roman"/>
                <w:b/>
                <w:noProof/>
              </w:rPr>
              <w:t xml:space="preserve">Déchets dangereux </w:t>
            </w:r>
          </w:p>
        </w:tc>
        <w:tc>
          <w:tcPr>
            <w:tcW w:w="927" w:type="pct"/>
            <w:tcBorders>
              <w:top w:val="single" w:sz="4" w:space="0" w:color="A6A6A6"/>
            </w:tcBorders>
            <w:shd w:val="clear" w:color="auto" w:fill="BFBFBF"/>
          </w:tcPr>
          <w:p>
            <w:pPr>
              <w:spacing w:before="60" w:after="60" w:line="240" w:lineRule="auto"/>
              <w:jc w:val="center"/>
              <w:rPr>
                <w:rFonts w:ascii="Times New Roman" w:eastAsia="Times New Roman" w:hAnsi="Times New Roman" w:cs="Times New Roman"/>
                <w:b/>
                <w:noProof/>
              </w:rPr>
            </w:pPr>
            <w:r>
              <w:rPr>
                <w:rFonts w:ascii="Times New Roman" w:hAnsi="Times New Roman" w:cs="Times New Roman"/>
                <w:b/>
                <w:noProof/>
              </w:rPr>
              <w:t xml:space="preserve">Déchets non dangereux </w:t>
            </w:r>
          </w:p>
        </w:tc>
        <w:tc>
          <w:tcPr>
            <w:tcW w:w="1089" w:type="pct"/>
            <w:tcBorders>
              <w:top w:val="single" w:sz="4" w:space="0" w:color="A6A6A6"/>
            </w:tcBorders>
            <w:shd w:val="clear" w:color="auto" w:fill="BFBFBF"/>
          </w:tcPr>
          <w:p>
            <w:pPr>
              <w:spacing w:before="60" w:after="60" w:line="240" w:lineRule="auto"/>
              <w:jc w:val="center"/>
              <w:rPr>
                <w:rFonts w:ascii="Times New Roman" w:eastAsia="Times New Roman" w:hAnsi="Times New Roman" w:cs="Times New Roman"/>
                <w:b/>
                <w:noProof/>
              </w:rPr>
            </w:pPr>
            <w:r>
              <w:rPr>
                <w:rFonts w:ascii="Times New Roman" w:hAnsi="Times New Roman" w:cs="Times New Roman"/>
                <w:b/>
                <w:noProof/>
              </w:rPr>
              <w:t>Déchets inertes</w:t>
            </w:r>
          </w:p>
        </w:tc>
        <w:tc>
          <w:tcPr>
            <w:tcW w:w="1044" w:type="pct"/>
            <w:tcBorders>
              <w:top w:val="single" w:sz="4" w:space="0" w:color="A6A6A6"/>
            </w:tcBorders>
            <w:shd w:val="clear" w:color="auto" w:fill="BFBFBF"/>
          </w:tcPr>
          <w:p>
            <w:pPr>
              <w:spacing w:before="60" w:after="60" w:line="240" w:lineRule="auto"/>
              <w:jc w:val="center"/>
              <w:rPr>
                <w:rFonts w:ascii="Times New Roman" w:eastAsia="Times New Roman" w:hAnsi="Times New Roman" w:cs="Times New Roman"/>
                <w:b/>
                <w:noProof/>
              </w:rPr>
            </w:pPr>
            <w:r>
              <w:rPr>
                <w:rFonts w:ascii="Times New Roman" w:hAnsi="Times New Roman" w:cs="Times New Roman"/>
                <w:b/>
                <w:noProof/>
              </w:rPr>
              <w:t>Autres déchets</w:t>
            </w:r>
          </w:p>
        </w:tc>
      </w:tr>
      <w:tr>
        <w:trPr>
          <w:cantSplit/>
        </w:trPr>
        <w:tc>
          <w:tcPr>
            <w:tcW w:w="1017" w:type="pct"/>
            <w:tcBorders>
              <w:left w:val="single" w:sz="4" w:space="0" w:color="A6A6A6"/>
            </w:tcBorders>
            <w:shd w:val="clear" w:color="auto" w:fill="F2F2F2"/>
          </w:tcPr>
          <w:p>
            <w:pPr>
              <w:spacing w:before="60" w:after="60" w:line="240" w:lineRule="auto"/>
              <w:jc w:val="both"/>
              <w:rPr>
                <w:rFonts w:ascii="Times New Roman" w:eastAsia="Times New Roman" w:hAnsi="Times New Roman" w:cs="Times New Roman"/>
                <w:b/>
                <w:noProof/>
              </w:rPr>
            </w:pPr>
            <w:r>
              <w:rPr>
                <w:rFonts w:ascii="Times New Roman" w:hAnsi="Times New Roman"/>
                <w:b/>
                <w:noProof/>
                <w:color w:val="000000"/>
              </w:rPr>
              <w:t>Allemagne</w:t>
            </w:r>
          </w:p>
        </w:tc>
        <w:tc>
          <w:tcPr>
            <w:tcW w:w="923"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54 800</w:t>
            </w:r>
          </w:p>
        </w:tc>
        <w:tc>
          <w:tcPr>
            <w:tcW w:w="927"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455 200</w:t>
            </w:r>
          </w:p>
        </w:tc>
        <w:tc>
          <w:tcPr>
            <w:tcW w:w="1089"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184 100</w:t>
            </w:r>
          </w:p>
        </w:tc>
        <w:tc>
          <w:tcPr>
            <w:tcW w:w="1044"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7 600</w:t>
            </w:r>
          </w:p>
        </w:tc>
      </w:tr>
      <w:tr>
        <w:trPr>
          <w:cantSplit/>
        </w:trPr>
        <w:tc>
          <w:tcPr>
            <w:tcW w:w="1017" w:type="pct"/>
            <w:tcBorders>
              <w:left w:val="single" w:sz="4" w:space="0" w:color="A6A6A6"/>
            </w:tcBorders>
            <w:shd w:val="clear" w:color="auto" w:fill="F2F2F2"/>
          </w:tcPr>
          <w:p>
            <w:pPr>
              <w:spacing w:before="60" w:after="60" w:line="240" w:lineRule="auto"/>
              <w:jc w:val="both"/>
              <w:rPr>
                <w:rFonts w:ascii="Times New Roman" w:eastAsia="Times New Roman" w:hAnsi="Times New Roman" w:cs="Times New Roman"/>
                <w:b/>
                <w:noProof/>
              </w:rPr>
            </w:pPr>
            <w:r>
              <w:rPr>
                <w:rFonts w:ascii="Times New Roman" w:hAnsi="Times New Roman"/>
                <w:b/>
                <w:noProof/>
                <w:color w:val="000000"/>
              </w:rPr>
              <w:t>Autriche</w:t>
            </w:r>
          </w:p>
        </w:tc>
        <w:tc>
          <w:tcPr>
            <w:tcW w:w="923"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0</w:t>
            </w:r>
          </w:p>
        </w:tc>
        <w:tc>
          <w:tcPr>
            <w:tcW w:w="927"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38 900</w:t>
            </w:r>
          </w:p>
        </w:tc>
        <w:tc>
          <w:tcPr>
            <w:tcW w:w="1089"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5 300</w:t>
            </w:r>
          </w:p>
        </w:tc>
        <w:tc>
          <w:tcPr>
            <w:tcW w:w="1044"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w:t>
            </w:r>
          </w:p>
        </w:tc>
      </w:tr>
      <w:tr>
        <w:trPr>
          <w:cantSplit/>
        </w:trPr>
        <w:tc>
          <w:tcPr>
            <w:tcW w:w="1017" w:type="pct"/>
            <w:tcBorders>
              <w:left w:val="single" w:sz="4" w:space="0" w:color="A6A6A6"/>
            </w:tcBorders>
            <w:shd w:val="clear" w:color="auto" w:fill="F2F2F2"/>
          </w:tcPr>
          <w:p>
            <w:pPr>
              <w:spacing w:before="60" w:after="60" w:line="240" w:lineRule="auto"/>
              <w:jc w:val="both"/>
              <w:rPr>
                <w:rFonts w:ascii="Times New Roman" w:eastAsia="Times New Roman" w:hAnsi="Times New Roman" w:cs="Times New Roman"/>
                <w:b/>
                <w:noProof/>
              </w:rPr>
            </w:pPr>
            <w:r>
              <w:rPr>
                <w:rFonts w:ascii="Times New Roman" w:hAnsi="Times New Roman"/>
                <w:b/>
                <w:noProof/>
                <w:color w:val="000000"/>
              </w:rPr>
              <w:t>Belgique</w:t>
            </w:r>
          </w:p>
        </w:tc>
        <w:tc>
          <w:tcPr>
            <w:tcW w:w="923" w:type="pct"/>
            <w:shd w:val="clear" w:color="auto" w:fill="auto"/>
            <w:vAlign w:val="center"/>
          </w:tcPr>
          <w:p>
            <w:pPr>
              <w:spacing w:before="120" w:after="120" w:line="240" w:lineRule="auto"/>
              <w:jc w:val="center"/>
              <w:rPr>
                <w:rFonts w:ascii="Times New Roman" w:eastAsia="Times New Roman" w:hAnsi="Times New Roman" w:cs="Times New Roman"/>
                <w:noProof/>
              </w:rPr>
            </w:pPr>
            <w:r>
              <w:rPr>
                <w:rFonts w:ascii="Times New Roman" w:hAnsi="Times New Roman" w:cs="Times New Roman"/>
                <w:noProof/>
              </w:rPr>
              <w:t>3 354 t +</w:t>
            </w:r>
          </w:p>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607 460 m</w:t>
            </w:r>
            <w:r>
              <w:rPr>
                <w:rFonts w:ascii="Times New Roman" w:hAnsi="Times New Roman" w:cs="Times New Roman"/>
                <w:noProof/>
                <w:vertAlign w:val="superscript"/>
              </w:rPr>
              <w:t>3</w:t>
            </w:r>
          </w:p>
        </w:tc>
        <w:tc>
          <w:tcPr>
            <w:tcW w:w="927"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8 763 t +</w:t>
            </w:r>
          </w:p>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16 385 m</w:t>
            </w:r>
            <w:r>
              <w:rPr>
                <w:rFonts w:ascii="Times New Roman" w:hAnsi="Times New Roman" w:cs="Times New Roman"/>
                <w:noProof/>
                <w:vertAlign w:val="superscript"/>
              </w:rPr>
              <w:t>3</w:t>
            </w:r>
          </w:p>
        </w:tc>
        <w:tc>
          <w:tcPr>
            <w:tcW w:w="1089"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3 992</w:t>
            </w:r>
          </w:p>
        </w:tc>
        <w:tc>
          <w:tcPr>
            <w:tcW w:w="1044"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2 076,52</w:t>
            </w:r>
          </w:p>
        </w:tc>
      </w:tr>
      <w:tr>
        <w:trPr>
          <w:cantSplit/>
        </w:trPr>
        <w:tc>
          <w:tcPr>
            <w:tcW w:w="1017" w:type="pct"/>
            <w:tcBorders>
              <w:left w:val="single" w:sz="4" w:space="0" w:color="A6A6A6"/>
            </w:tcBorders>
            <w:shd w:val="clear" w:color="auto" w:fill="F2F2F2"/>
          </w:tcPr>
          <w:p>
            <w:pPr>
              <w:spacing w:before="60" w:after="60" w:line="240" w:lineRule="auto"/>
              <w:jc w:val="both"/>
              <w:rPr>
                <w:rFonts w:ascii="Times New Roman" w:eastAsia="Times New Roman" w:hAnsi="Times New Roman" w:cs="Times New Roman"/>
                <w:b/>
                <w:noProof/>
              </w:rPr>
            </w:pPr>
            <w:r>
              <w:rPr>
                <w:rFonts w:ascii="Times New Roman" w:hAnsi="Times New Roman"/>
                <w:b/>
                <w:noProof/>
                <w:color w:val="000000"/>
              </w:rPr>
              <w:t>Bulgarie</w:t>
            </w:r>
          </w:p>
        </w:tc>
        <w:tc>
          <w:tcPr>
            <w:tcW w:w="923"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3 693</w:t>
            </w:r>
          </w:p>
        </w:tc>
        <w:tc>
          <w:tcPr>
            <w:tcW w:w="927"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235 258</w:t>
            </w:r>
          </w:p>
        </w:tc>
        <w:tc>
          <w:tcPr>
            <w:tcW w:w="1089"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1 439</w:t>
            </w:r>
          </w:p>
        </w:tc>
        <w:tc>
          <w:tcPr>
            <w:tcW w:w="1044"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0</w:t>
            </w:r>
          </w:p>
        </w:tc>
      </w:tr>
      <w:tr>
        <w:trPr>
          <w:cantSplit/>
        </w:trPr>
        <w:tc>
          <w:tcPr>
            <w:tcW w:w="1017" w:type="pct"/>
            <w:tcBorders>
              <w:left w:val="single" w:sz="4" w:space="0" w:color="A6A6A6"/>
            </w:tcBorders>
            <w:shd w:val="clear" w:color="auto" w:fill="F2F2F2"/>
          </w:tcPr>
          <w:p>
            <w:pPr>
              <w:spacing w:before="60" w:after="60" w:line="240" w:lineRule="auto"/>
              <w:jc w:val="both"/>
              <w:rPr>
                <w:rFonts w:ascii="Times New Roman" w:eastAsia="Times New Roman" w:hAnsi="Times New Roman" w:cs="Times New Roman"/>
                <w:b/>
                <w:noProof/>
              </w:rPr>
            </w:pPr>
            <w:r>
              <w:rPr>
                <w:rFonts w:ascii="Times New Roman" w:hAnsi="Times New Roman"/>
                <w:b/>
                <w:noProof/>
                <w:color w:val="000000"/>
              </w:rPr>
              <w:t>Chypre</w:t>
            </w:r>
          </w:p>
        </w:tc>
        <w:tc>
          <w:tcPr>
            <w:tcW w:w="923"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w:t>
            </w:r>
          </w:p>
        </w:tc>
        <w:tc>
          <w:tcPr>
            <w:tcW w:w="927"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w:t>
            </w:r>
          </w:p>
        </w:tc>
        <w:tc>
          <w:tcPr>
            <w:tcW w:w="1089"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w:t>
            </w:r>
          </w:p>
        </w:tc>
        <w:tc>
          <w:tcPr>
            <w:tcW w:w="1044" w:type="pct"/>
            <w:shd w:val="clear" w:color="auto" w:fill="auto"/>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0</w:t>
            </w:r>
          </w:p>
        </w:tc>
      </w:tr>
      <w:tr>
        <w:trPr>
          <w:cantSplit/>
        </w:trPr>
        <w:tc>
          <w:tcPr>
            <w:tcW w:w="1017" w:type="pct"/>
            <w:tcBorders>
              <w:left w:val="single" w:sz="4" w:space="0" w:color="A6A6A6"/>
            </w:tcBorders>
            <w:shd w:val="clear" w:color="auto" w:fill="F2F2F2"/>
          </w:tcPr>
          <w:p>
            <w:pPr>
              <w:spacing w:before="60" w:after="60" w:line="240" w:lineRule="auto"/>
              <w:jc w:val="both"/>
              <w:rPr>
                <w:rFonts w:ascii="Times New Roman" w:eastAsia="Times New Roman" w:hAnsi="Times New Roman" w:cs="Times New Roman"/>
                <w:b/>
                <w:noProof/>
                <w:color w:val="000000"/>
              </w:rPr>
            </w:pPr>
            <w:r>
              <w:rPr>
                <w:rFonts w:ascii="Times New Roman" w:hAnsi="Times New Roman"/>
                <w:b/>
                <w:noProof/>
                <w:color w:val="000000"/>
              </w:rPr>
              <w:t>Croatie</w:t>
            </w:r>
          </w:p>
        </w:tc>
        <w:tc>
          <w:tcPr>
            <w:tcW w:w="3983" w:type="pct"/>
            <w:gridSpan w:val="4"/>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non requis</w:t>
            </w:r>
          </w:p>
        </w:tc>
      </w:tr>
      <w:tr>
        <w:trPr>
          <w:cantSplit/>
        </w:trPr>
        <w:tc>
          <w:tcPr>
            <w:tcW w:w="1017" w:type="pct"/>
            <w:tcBorders>
              <w:left w:val="single" w:sz="4" w:space="0" w:color="A6A6A6"/>
            </w:tcBorders>
            <w:shd w:val="clear" w:color="auto" w:fill="F2F2F2"/>
          </w:tcPr>
          <w:p>
            <w:pPr>
              <w:spacing w:before="60" w:after="60" w:line="240" w:lineRule="auto"/>
              <w:jc w:val="both"/>
              <w:rPr>
                <w:rFonts w:ascii="Times New Roman" w:eastAsia="Times New Roman" w:hAnsi="Times New Roman" w:cs="Times New Roman"/>
                <w:b/>
                <w:noProof/>
              </w:rPr>
            </w:pPr>
            <w:r>
              <w:rPr>
                <w:rFonts w:ascii="Times New Roman" w:hAnsi="Times New Roman"/>
                <w:b/>
                <w:noProof/>
                <w:color w:val="000000"/>
              </w:rPr>
              <w:t>Danemark</w:t>
            </w:r>
            <w:r>
              <w:rPr>
                <w:rFonts w:ascii="Times New Roman" w:hAnsi="Times New Roman"/>
                <w:b/>
                <w:noProof/>
                <w:color w:val="000000"/>
                <w:vertAlign w:val="superscript"/>
              </w:rPr>
              <w:footnoteReference w:id="21"/>
            </w:r>
          </w:p>
        </w:tc>
        <w:tc>
          <w:tcPr>
            <w:tcW w:w="923"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463</w:t>
            </w:r>
          </w:p>
        </w:tc>
        <w:tc>
          <w:tcPr>
            <w:tcW w:w="927"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692</w:t>
            </w:r>
          </w:p>
        </w:tc>
        <w:tc>
          <w:tcPr>
            <w:tcW w:w="1089"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260</w:t>
            </w:r>
          </w:p>
        </w:tc>
        <w:tc>
          <w:tcPr>
            <w:tcW w:w="1044"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0</w:t>
            </w:r>
          </w:p>
        </w:tc>
      </w:tr>
      <w:tr>
        <w:trPr>
          <w:cantSplit/>
        </w:trPr>
        <w:tc>
          <w:tcPr>
            <w:tcW w:w="1017" w:type="pct"/>
            <w:tcBorders>
              <w:left w:val="single" w:sz="4" w:space="0" w:color="A6A6A6"/>
            </w:tcBorders>
            <w:shd w:val="clear" w:color="auto" w:fill="F2F2F2"/>
          </w:tcPr>
          <w:p>
            <w:pPr>
              <w:spacing w:before="60" w:after="60" w:line="240" w:lineRule="auto"/>
              <w:jc w:val="both"/>
              <w:rPr>
                <w:rFonts w:ascii="Times New Roman" w:eastAsia="Times New Roman" w:hAnsi="Times New Roman" w:cs="Times New Roman"/>
                <w:b/>
                <w:noProof/>
              </w:rPr>
            </w:pPr>
            <w:r>
              <w:rPr>
                <w:rFonts w:ascii="Times New Roman" w:hAnsi="Times New Roman"/>
                <w:b/>
                <w:noProof/>
                <w:color w:val="000000"/>
              </w:rPr>
              <w:t>Espagne</w:t>
            </w:r>
          </w:p>
        </w:tc>
        <w:tc>
          <w:tcPr>
            <w:tcW w:w="923"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5 130 t +</w:t>
            </w:r>
            <w:r>
              <w:rPr>
                <w:rFonts w:ascii="Times New Roman" w:eastAsia="Times New Roman" w:hAnsi="Times New Roman" w:cs="Times New Roman"/>
                <w:noProof/>
              </w:rPr>
              <w:br/>
            </w:r>
            <w:r>
              <w:rPr>
                <w:rFonts w:ascii="Times New Roman" w:hAnsi="Times New Roman" w:cs="Times New Roman"/>
                <w:noProof/>
              </w:rPr>
              <w:t>80 000 m</w:t>
            </w:r>
            <w:r>
              <w:rPr>
                <w:rFonts w:ascii="Times New Roman" w:hAnsi="Times New Roman" w:cs="Times New Roman"/>
                <w:noProof/>
                <w:vertAlign w:val="superscript"/>
              </w:rPr>
              <w:t>3</w:t>
            </w:r>
          </w:p>
        </w:tc>
        <w:tc>
          <w:tcPr>
            <w:tcW w:w="927"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124 168 t + 53 307 000 m</w:t>
            </w:r>
            <w:r>
              <w:rPr>
                <w:rFonts w:ascii="Times New Roman" w:hAnsi="Times New Roman" w:cs="Times New Roman"/>
                <w:noProof/>
                <w:vertAlign w:val="superscript"/>
              </w:rPr>
              <w:t>3</w:t>
            </w:r>
          </w:p>
        </w:tc>
        <w:tc>
          <w:tcPr>
            <w:tcW w:w="1089"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102 254</w:t>
            </w:r>
          </w:p>
        </w:tc>
        <w:tc>
          <w:tcPr>
            <w:tcW w:w="1044" w:type="pct"/>
            <w:shd w:val="clear" w:color="auto" w:fill="auto"/>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0</w:t>
            </w:r>
          </w:p>
        </w:tc>
      </w:tr>
      <w:tr>
        <w:trPr>
          <w:cantSplit/>
        </w:trPr>
        <w:tc>
          <w:tcPr>
            <w:tcW w:w="1017" w:type="pct"/>
            <w:tcBorders>
              <w:left w:val="single" w:sz="4" w:space="0" w:color="A6A6A6"/>
            </w:tcBorders>
            <w:shd w:val="clear" w:color="auto" w:fill="F2F2F2"/>
          </w:tcPr>
          <w:p>
            <w:pPr>
              <w:spacing w:before="60" w:after="60" w:line="240" w:lineRule="auto"/>
              <w:jc w:val="both"/>
              <w:rPr>
                <w:rFonts w:ascii="Times New Roman" w:eastAsia="Times New Roman" w:hAnsi="Times New Roman" w:cs="Times New Roman"/>
                <w:b/>
                <w:noProof/>
              </w:rPr>
            </w:pPr>
            <w:r>
              <w:rPr>
                <w:rFonts w:ascii="Times New Roman" w:hAnsi="Times New Roman"/>
                <w:b/>
                <w:noProof/>
                <w:color w:val="000000"/>
              </w:rPr>
              <w:t>Estonie</w:t>
            </w:r>
          </w:p>
        </w:tc>
        <w:tc>
          <w:tcPr>
            <w:tcW w:w="923"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205 500</w:t>
            </w:r>
          </w:p>
        </w:tc>
        <w:tc>
          <w:tcPr>
            <w:tcW w:w="927"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6 200</w:t>
            </w:r>
          </w:p>
        </w:tc>
        <w:tc>
          <w:tcPr>
            <w:tcW w:w="1089"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0</w:t>
            </w:r>
          </w:p>
        </w:tc>
        <w:tc>
          <w:tcPr>
            <w:tcW w:w="1044" w:type="pct"/>
            <w:shd w:val="clear" w:color="auto" w:fill="auto"/>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0</w:t>
            </w:r>
          </w:p>
        </w:tc>
      </w:tr>
      <w:tr>
        <w:trPr>
          <w:cantSplit/>
        </w:trPr>
        <w:tc>
          <w:tcPr>
            <w:tcW w:w="1017" w:type="pct"/>
            <w:tcBorders>
              <w:left w:val="single" w:sz="4" w:space="0" w:color="A6A6A6"/>
            </w:tcBorders>
            <w:shd w:val="clear" w:color="auto" w:fill="F2F2F2"/>
          </w:tcPr>
          <w:p>
            <w:pPr>
              <w:spacing w:before="60" w:after="60" w:line="240" w:lineRule="auto"/>
              <w:jc w:val="both"/>
              <w:rPr>
                <w:rFonts w:ascii="Times New Roman" w:eastAsia="Times New Roman" w:hAnsi="Times New Roman" w:cs="Times New Roman"/>
                <w:b/>
                <w:noProof/>
              </w:rPr>
            </w:pPr>
            <w:r>
              <w:rPr>
                <w:rFonts w:ascii="Times New Roman" w:hAnsi="Times New Roman"/>
                <w:b/>
                <w:noProof/>
                <w:color w:val="000000"/>
              </w:rPr>
              <w:t>Finlande</w:t>
            </w:r>
          </w:p>
        </w:tc>
        <w:tc>
          <w:tcPr>
            <w:tcW w:w="923"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18 061</w:t>
            </w:r>
          </w:p>
        </w:tc>
        <w:tc>
          <w:tcPr>
            <w:tcW w:w="927"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48 667</w:t>
            </w:r>
          </w:p>
        </w:tc>
        <w:tc>
          <w:tcPr>
            <w:tcW w:w="1089"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496</w:t>
            </w:r>
          </w:p>
        </w:tc>
        <w:tc>
          <w:tcPr>
            <w:tcW w:w="1044" w:type="pct"/>
            <w:shd w:val="clear" w:color="auto" w:fill="auto"/>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0</w:t>
            </w:r>
          </w:p>
        </w:tc>
      </w:tr>
      <w:tr>
        <w:trPr>
          <w:cantSplit/>
        </w:trPr>
        <w:tc>
          <w:tcPr>
            <w:tcW w:w="1017" w:type="pct"/>
            <w:tcBorders>
              <w:left w:val="single" w:sz="4" w:space="0" w:color="A6A6A6"/>
            </w:tcBorders>
            <w:shd w:val="clear" w:color="auto" w:fill="F2F2F2"/>
          </w:tcPr>
          <w:p>
            <w:pPr>
              <w:spacing w:before="60" w:after="60" w:line="240" w:lineRule="auto"/>
              <w:jc w:val="both"/>
              <w:rPr>
                <w:rFonts w:ascii="Times New Roman" w:eastAsia="Times New Roman" w:hAnsi="Times New Roman" w:cs="Times New Roman"/>
                <w:b/>
                <w:noProof/>
              </w:rPr>
            </w:pPr>
            <w:r>
              <w:rPr>
                <w:rFonts w:ascii="Times New Roman" w:hAnsi="Times New Roman"/>
                <w:b/>
                <w:noProof/>
                <w:color w:val="000000"/>
              </w:rPr>
              <w:t>France</w:t>
            </w:r>
          </w:p>
        </w:tc>
        <w:tc>
          <w:tcPr>
            <w:tcW w:w="923"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w:t>
            </w:r>
          </w:p>
        </w:tc>
        <w:tc>
          <w:tcPr>
            <w:tcW w:w="927"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w:t>
            </w:r>
          </w:p>
        </w:tc>
        <w:tc>
          <w:tcPr>
            <w:tcW w:w="1089"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w:t>
            </w:r>
          </w:p>
        </w:tc>
        <w:tc>
          <w:tcPr>
            <w:tcW w:w="1044"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w:t>
            </w:r>
          </w:p>
        </w:tc>
      </w:tr>
      <w:tr>
        <w:trPr>
          <w:cantSplit/>
        </w:trPr>
        <w:tc>
          <w:tcPr>
            <w:tcW w:w="1017" w:type="pct"/>
            <w:tcBorders>
              <w:left w:val="single" w:sz="4" w:space="0" w:color="A6A6A6"/>
            </w:tcBorders>
            <w:shd w:val="clear" w:color="auto" w:fill="F2F2F2"/>
          </w:tcPr>
          <w:p>
            <w:pPr>
              <w:spacing w:before="60" w:after="60" w:line="240" w:lineRule="auto"/>
              <w:jc w:val="both"/>
              <w:rPr>
                <w:rFonts w:ascii="Times New Roman" w:eastAsia="Times New Roman" w:hAnsi="Times New Roman" w:cs="Times New Roman"/>
                <w:b/>
                <w:noProof/>
              </w:rPr>
            </w:pPr>
            <w:r>
              <w:rPr>
                <w:rFonts w:ascii="Times New Roman" w:hAnsi="Times New Roman"/>
                <w:b/>
                <w:noProof/>
                <w:color w:val="000000"/>
              </w:rPr>
              <w:t>Grèce</w:t>
            </w:r>
          </w:p>
        </w:tc>
        <w:tc>
          <w:tcPr>
            <w:tcW w:w="923"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1,5</w:t>
            </w:r>
            <w:r>
              <w:rPr>
                <w:rFonts w:ascii="Times New Roman" w:hAnsi="Times New Roman" w:cs="Times New Roman"/>
                <w:noProof/>
                <w:vertAlign w:val="superscript"/>
              </w:rPr>
              <w:footnoteReference w:id="22"/>
            </w:r>
          </w:p>
        </w:tc>
        <w:tc>
          <w:tcPr>
            <w:tcW w:w="927"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w:t>
            </w:r>
          </w:p>
        </w:tc>
        <w:tc>
          <w:tcPr>
            <w:tcW w:w="1089" w:type="pct"/>
            <w:shd w:val="clear" w:color="auto" w:fill="auto"/>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0</w:t>
            </w:r>
          </w:p>
        </w:tc>
        <w:tc>
          <w:tcPr>
            <w:tcW w:w="1044"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w:t>
            </w:r>
          </w:p>
        </w:tc>
      </w:tr>
      <w:tr>
        <w:trPr>
          <w:cantSplit/>
        </w:trPr>
        <w:tc>
          <w:tcPr>
            <w:tcW w:w="1017" w:type="pct"/>
            <w:tcBorders>
              <w:left w:val="single" w:sz="4" w:space="0" w:color="A6A6A6"/>
            </w:tcBorders>
            <w:shd w:val="clear" w:color="auto" w:fill="F2F2F2"/>
          </w:tcPr>
          <w:p>
            <w:pPr>
              <w:spacing w:before="60" w:after="60" w:line="240" w:lineRule="auto"/>
              <w:jc w:val="both"/>
              <w:rPr>
                <w:rFonts w:ascii="Times New Roman" w:eastAsia="Times New Roman" w:hAnsi="Times New Roman" w:cs="Times New Roman"/>
                <w:b/>
                <w:noProof/>
              </w:rPr>
            </w:pPr>
            <w:r>
              <w:rPr>
                <w:rFonts w:ascii="Times New Roman" w:hAnsi="Times New Roman"/>
                <w:b/>
                <w:noProof/>
                <w:color w:val="000000"/>
              </w:rPr>
              <w:t>Hongrie</w:t>
            </w:r>
          </w:p>
        </w:tc>
        <w:tc>
          <w:tcPr>
            <w:tcW w:w="923"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185 par an</w:t>
            </w:r>
          </w:p>
        </w:tc>
        <w:tc>
          <w:tcPr>
            <w:tcW w:w="927"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38 900</w:t>
            </w:r>
          </w:p>
        </w:tc>
        <w:tc>
          <w:tcPr>
            <w:tcW w:w="1089"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16 800</w:t>
            </w:r>
          </w:p>
        </w:tc>
        <w:tc>
          <w:tcPr>
            <w:tcW w:w="1044" w:type="pct"/>
            <w:shd w:val="clear" w:color="auto" w:fill="auto"/>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0</w:t>
            </w:r>
          </w:p>
        </w:tc>
      </w:tr>
      <w:tr>
        <w:trPr>
          <w:cantSplit/>
        </w:trPr>
        <w:tc>
          <w:tcPr>
            <w:tcW w:w="1017" w:type="pct"/>
            <w:tcBorders>
              <w:left w:val="single" w:sz="4" w:space="0" w:color="A6A6A6"/>
            </w:tcBorders>
            <w:shd w:val="clear" w:color="auto" w:fill="F2F2F2"/>
          </w:tcPr>
          <w:p>
            <w:pPr>
              <w:spacing w:before="60" w:after="60" w:line="240" w:lineRule="auto"/>
              <w:jc w:val="both"/>
              <w:rPr>
                <w:rFonts w:ascii="Times New Roman" w:eastAsia="Times New Roman" w:hAnsi="Times New Roman" w:cs="Times New Roman"/>
                <w:b/>
                <w:noProof/>
              </w:rPr>
            </w:pPr>
            <w:r>
              <w:rPr>
                <w:rFonts w:ascii="Times New Roman" w:hAnsi="Times New Roman"/>
                <w:b/>
                <w:noProof/>
                <w:color w:val="000000"/>
              </w:rPr>
              <w:t>Irlande</w:t>
            </w:r>
          </w:p>
        </w:tc>
        <w:tc>
          <w:tcPr>
            <w:tcW w:w="923"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w:t>
            </w:r>
          </w:p>
        </w:tc>
        <w:tc>
          <w:tcPr>
            <w:tcW w:w="927"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14 500</w:t>
            </w:r>
          </w:p>
        </w:tc>
        <w:tc>
          <w:tcPr>
            <w:tcW w:w="1089"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w:t>
            </w:r>
          </w:p>
        </w:tc>
        <w:tc>
          <w:tcPr>
            <w:tcW w:w="1044"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w:t>
            </w:r>
          </w:p>
        </w:tc>
      </w:tr>
      <w:tr>
        <w:trPr>
          <w:cantSplit/>
        </w:trPr>
        <w:tc>
          <w:tcPr>
            <w:tcW w:w="1017" w:type="pct"/>
            <w:tcBorders>
              <w:left w:val="single" w:sz="4" w:space="0" w:color="A6A6A6"/>
            </w:tcBorders>
            <w:shd w:val="clear" w:color="auto" w:fill="F2F2F2"/>
          </w:tcPr>
          <w:p>
            <w:pPr>
              <w:spacing w:before="60" w:after="60" w:line="240" w:lineRule="auto"/>
              <w:jc w:val="both"/>
              <w:rPr>
                <w:rFonts w:ascii="Times New Roman" w:eastAsia="Times New Roman" w:hAnsi="Times New Roman" w:cs="Times New Roman"/>
                <w:b/>
                <w:noProof/>
              </w:rPr>
            </w:pPr>
            <w:r>
              <w:rPr>
                <w:rFonts w:ascii="Times New Roman" w:hAnsi="Times New Roman"/>
                <w:b/>
                <w:noProof/>
                <w:color w:val="000000"/>
              </w:rPr>
              <w:t>Italie</w:t>
            </w:r>
          </w:p>
        </w:tc>
        <w:tc>
          <w:tcPr>
            <w:tcW w:w="923"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w:t>
            </w:r>
          </w:p>
        </w:tc>
        <w:tc>
          <w:tcPr>
            <w:tcW w:w="927"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w:t>
            </w:r>
          </w:p>
        </w:tc>
        <w:tc>
          <w:tcPr>
            <w:tcW w:w="1089"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w:t>
            </w:r>
          </w:p>
        </w:tc>
        <w:tc>
          <w:tcPr>
            <w:tcW w:w="1044"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w:t>
            </w:r>
          </w:p>
        </w:tc>
      </w:tr>
      <w:tr>
        <w:trPr>
          <w:cantSplit/>
        </w:trPr>
        <w:tc>
          <w:tcPr>
            <w:tcW w:w="1017" w:type="pct"/>
            <w:tcBorders>
              <w:left w:val="single" w:sz="4" w:space="0" w:color="A6A6A6"/>
            </w:tcBorders>
            <w:shd w:val="clear" w:color="auto" w:fill="F2F2F2"/>
          </w:tcPr>
          <w:p>
            <w:pPr>
              <w:spacing w:before="60" w:after="60" w:line="240" w:lineRule="auto"/>
              <w:jc w:val="both"/>
              <w:rPr>
                <w:rFonts w:ascii="Times New Roman" w:eastAsia="Times New Roman" w:hAnsi="Times New Roman" w:cs="Times New Roman"/>
                <w:b/>
                <w:noProof/>
              </w:rPr>
            </w:pPr>
            <w:r>
              <w:rPr>
                <w:rFonts w:ascii="Times New Roman" w:hAnsi="Times New Roman"/>
                <w:b/>
                <w:noProof/>
                <w:color w:val="000000"/>
              </w:rPr>
              <w:t>Lettonie</w:t>
            </w:r>
          </w:p>
        </w:tc>
        <w:tc>
          <w:tcPr>
            <w:tcW w:w="923"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180</w:t>
            </w:r>
          </w:p>
        </w:tc>
        <w:tc>
          <w:tcPr>
            <w:tcW w:w="927"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16 211</w:t>
            </w:r>
          </w:p>
        </w:tc>
        <w:tc>
          <w:tcPr>
            <w:tcW w:w="1089" w:type="pct"/>
            <w:shd w:val="clear" w:color="auto" w:fill="auto"/>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0</w:t>
            </w:r>
          </w:p>
        </w:tc>
        <w:tc>
          <w:tcPr>
            <w:tcW w:w="1044" w:type="pct"/>
            <w:shd w:val="clear" w:color="auto" w:fill="auto"/>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0</w:t>
            </w:r>
          </w:p>
        </w:tc>
      </w:tr>
      <w:tr>
        <w:trPr>
          <w:cantSplit/>
        </w:trPr>
        <w:tc>
          <w:tcPr>
            <w:tcW w:w="1017" w:type="pct"/>
            <w:tcBorders>
              <w:left w:val="single" w:sz="4" w:space="0" w:color="A6A6A6"/>
            </w:tcBorders>
            <w:shd w:val="clear" w:color="auto" w:fill="F2F2F2"/>
          </w:tcPr>
          <w:p>
            <w:pPr>
              <w:spacing w:before="60" w:after="60" w:line="240" w:lineRule="auto"/>
              <w:jc w:val="both"/>
              <w:rPr>
                <w:rFonts w:ascii="Times New Roman" w:eastAsia="Times New Roman" w:hAnsi="Times New Roman" w:cs="Times New Roman"/>
                <w:b/>
                <w:noProof/>
              </w:rPr>
            </w:pPr>
            <w:r>
              <w:rPr>
                <w:rFonts w:ascii="Times New Roman" w:hAnsi="Times New Roman"/>
                <w:b/>
                <w:noProof/>
                <w:color w:val="000000"/>
              </w:rPr>
              <w:t>Lituanie</w:t>
            </w:r>
          </w:p>
        </w:tc>
        <w:tc>
          <w:tcPr>
            <w:tcW w:w="923"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0</w:t>
            </w:r>
          </w:p>
        </w:tc>
        <w:tc>
          <w:tcPr>
            <w:tcW w:w="927"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1 250 par an</w:t>
            </w:r>
          </w:p>
        </w:tc>
        <w:tc>
          <w:tcPr>
            <w:tcW w:w="1089"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106 par an</w:t>
            </w:r>
          </w:p>
        </w:tc>
        <w:tc>
          <w:tcPr>
            <w:tcW w:w="1044" w:type="pct"/>
            <w:shd w:val="clear" w:color="auto" w:fill="auto"/>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0</w:t>
            </w:r>
          </w:p>
        </w:tc>
      </w:tr>
      <w:tr>
        <w:trPr>
          <w:cantSplit/>
        </w:trPr>
        <w:tc>
          <w:tcPr>
            <w:tcW w:w="1017" w:type="pct"/>
            <w:tcBorders>
              <w:left w:val="single" w:sz="4" w:space="0" w:color="A6A6A6"/>
            </w:tcBorders>
            <w:shd w:val="clear" w:color="auto" w:fill="F2F2F2"/>
          </w:tcPr>
          <w:p>
            <w:pPr>
              <w:spacing w:before="60" w:after="60" w:line="240" w:lineRule="auto"/>
              <w:jc w:val="both"/>
              <w:rPr>
                <w:rFonts w:ascii="Times New Roman" w:eastAsia="Times New Roman" w:hAnsi="Times New Roman" w:cs="Times New Roman"/>
                <w:b/>
                <w:noProof/>
              </w:rPr>
            </w:pPr>
            <w:r>
              <w:rPr>
                <w:rFonts w:ascii="Times New Roman" w:hAnsi="Times New Roman"/>
                <w:b/>
                <w:noProof/>
                <w:color w:val="000000"/>
              </w:rPr>
              <w:t>Luxembourg</w:t>
            </w:r>
          </w:p>
        </w:tc>
        <w:tc>
          <w:tcPr>
            <w:tcW w:w="923"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0</w:t>
            </w:r>
          </w:p>
        </w:tc>
        <w:tc>
          <w:tcPr>
            <w:tcW w:w="927"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1 160 127 m</w:t>
            </w:r>
            <w:r>
              <w:rPr>
                <w:rFonts w:ascii="Times New Roman" w:hAnsi="Times New Roman" w:cs="Times New Roman"/>
                <w:noProof/>
                <w:vertAlign w:val="superscript"/>
              </w:rPr>
              <w:t>3</w:t>
            </w:r>
          </w:p>
        </w:tc>
        <w:tc>
          <w:tcPr>
            <w:tcW w:w="1089"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14 593 544 m</w:t>
            </w:r>
            <w:r>
              <w:rPr>
                <w:rFonts w:ascii="Times New Roman" w:hAnsi="Times New Roman" w:cs="Times New Roman"/>
                <w:noProof/>
                <w:vertAlign w:val="superscript"/>
              </w:rPr>
              <w:t>3</w:t>
            </w:r>
          </w:p>
        </w:tc>
        <w:tc>
          <w:tcPr>
            <w:tcW w:w="1044"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0</w:t>
            </w:r>
          </w:p>
        </w:tc>
      </w:tr>
      <w:tr>
        <w:trPr>
          <w:cantSplit/>
        </w:trPr>
        <w:tc>
          <w:tcPr>
            <w:tcW w:w="1017" w:type="pct"/>
            <w:tcBorders>
              <w:left w:val="single" w:sz="4" w:space="0" w:color="A6A6A6"/>
            </w:tcBorders>
            <w:shd w:val="clear" w:color="auto" w:fill="F2F2F2"/>
          </w:tcPr>
          <w:p>
            <w:pPr>
              <w:spacing w:before="60" w:after="60" w:line="240" w:lineRule="auto"/>
              <w:jc w:val="both"/>
              <w:rPr>
                <w:rFonts w:ascii="Times New Roman" w:eastAsia="Times New Roman" w:hAnsi="Times New Roman" w:cs="Times New Roman"/>
                <w:b/>
                <w:noProof/>
              </w:rPr>
            </w:pPr>
            <w:r>
              <w:rPr>
                <w:rFonts w:ascii="Times New Roman" w:hAnsi="Times New Roman"/>
                <w:b/>
                <w:noProof/>
                <w:color w:val="000000"/>
              </w:rPr>
              <w:t>Malte</w:t>
            </w:r>
          </w:p>
        </w:tc>
        <w:tc>
          <w:tcPr>
            <w:tcW w:w="923"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0</w:t>
            </w:r>
          </w:p>
        </w:tc>
        <w:tc>
          <w:tcPr>
            <w:tcW w:w="927"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w:t>
            </w:r>
          </w:p>
        </w:tc>
        <w:tc>
          <w:tcPr>
            <w:tcW w:w="1089"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w:t>
            </w:r>
          </w:p>
        </w:tc>
        <w:tc>
          <w:tcPr>
            <w:tcW w:w="1044"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w:t>
            </w:r>
          </w:p>
        </w:tc>
      </w:tr>
      <w:tr>
        <w:trPr>
          <w:cantSplit/>
        </w:trPr>
        <w:tc>
          <w:tcPr>
            <w:tcW w:w="1017" w:type="pct"/>
            <w:tcBorders>
              <w:left w:val="single" w:sz="4" w:space="0" w:color="A6A6A6"/>
            </w:tcBorders>
            <w:shd w:val="clear" w:color="auto" w:fill="F2F2F2"/>
          </w:tcPr>
          <w:p>
            <w:pPr>
              <w:spacing w:before="60" w:after="60" w:line="240" w:lineRule="auto"/>
              <w:jc w:val="both"/>
              <w:rPr>
                <w:rFonts w:ascii="Times New Roman" w:eastAsia="Times New Roman" w:hAnsi="Times New Roman" w:cs="Times New Roman"/>
                <w:b/>
                <w:noProof/>
              </w:rPr>
            </w:pPr>
            <w:r>
              <w:rPr>
                <w:rFonts w:ascii="Times New Roman" w:hAnsi="Times New Roman"/>
                <w:b/>
                <w:noProof/>
                <w:color w:val="000000"/>
              </w:rPr>
              <w:t>Pays-Bas</w:t>
            </w:r>
            <w:r>
              <w:rPr>
                <w:rFonts w:ascii="Times New Roman" w:hAnsi="Times New Roman"/>
                <w:b/>
                <w:noProof/>
                <w:color w:val="000000"/>
                <w:vertAlign w:val="superscript"/>
              </w:rPr>
              <w:footnoteReference w:id="23"/>
            </w:r>
          </w:p>
        </w:tc>
        <w:tc>
          <w:tcPr>
            <w:tcW w:w="923"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w:t>
            </w:r>
          </w:p>
        </w:tc>
        <w:tc>
          <w:tcPr>
            <w:tcW w:w="927" w:type="pct"/>
            <w:shd w:val="clear" w:color="auto" w:fill="auto"/>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39 690 m</w:t>
            </w:r>
            <w:r>
              <w:rPr>
                <w:rFonts w:ascii="Times New Roman" w:hAnsi="Times New Roman" w:cs="Times New Roman"/>
                <w:noProof/>
                <w:vertAlign w:val="superscript"/>
              </w:rPr>
              <w:t>3</w:t>
            </w:r>
          </w:p>
        </w:tc>
        <w:tc>
          <w:tcPr>
            <w:tcW w:w="1089" w:type="pct"/>
            <w:shd w:val="clear" w:color="auto" w:fill="auto"/>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0</w:t>
            </w:r>
          </w:p>
        </w:tc>
        <w:tc>
          <w:tcPr>
            <w:tcW w:w="1044" w:type="pct"/>
            <w:shd w:val="clear" w:color="auto" w:fill="auto"/>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0</w:t>
            </w:r>
          </w:p>
        </w:tc>
      </w:tr>
      <w:tr>
        <w:trPr>
          <w:cantSplit/>
        </w:trPr>
        <w:tc>
          <w:tcPr>
            <w:tcW w:w="1017" w:type="pct"/>
            <w:tcBorders>
              <w:left w:val="single" w:sz="4" w:space="0" w:color="A6A6A6"/>
            </w:tcBorders>
            <w:shd w:val="clear" w:color="auto" w:fill="F2F2F2"/>
          </w:tcPr>
          <w:p>
            <w:pPr>
              <w:spacing w:before="60" w:after="60" w:line="240" w:lineRule="auto"/>
              <w:jc w:val="both"/>
              <w:rPr>
                <w:rFonts w:ascii="Times New Roman" w:eastAsia="Times New Roman" w:hAnsi="Times New Roman" w:cs="Times New Roman"/>
                <w:b/>
                <w:noProof/>
              </w:rPr>
            </w:pPr>
            <w:r>
              <w:rPr>
                <w:rFonts w:ascii="Times New Roman" w:hAnsi="Times New Roman"/>
                <w:b/>
                <w:noProof/>
                <w:color w:val="000000"/>
              </w:rPr>
              <w:t>Pologne</w:t>
            </w:r>
          </w:p>
        </w:tc>
        <w:tc>
          <w:tcPr>
            <w:tcW w:w="923"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w:t>
            </w:r>
          </w:p>
        </w:tc>
        <w:tc>
          <w:tcPr>
            <w:tcW w:w="927"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w:t>
            </w:r>
          </w:p>
        </w:tc>
        <w:tc>
          <w:tcPr>
            <w:tcW w:w="1089"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w:t>
            </w:r>
          </w:p>
        </w:tc>
        <w:tc>
          <w:tcPr>
            <w:tcW w:w="1044"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w:t>
            </w:r>
          </w:p>
        </w:tc>
      </w:tr>
      <w:tr>
        <w:trPr>
          <w:cantSplit/>
        </w:trPr>
        <w:tc>
          <w:tcPr>
            <w:tcW w:w="1017" w:type="pct"/>
            <w:tcBorders>
              <w:left w:val="single" w:sz="4" w:space="0" w:color="A6A6A6"/>
            </w:tcBorders>
            <w:shd w:val="clear" w:color="auto" w:fill="F2F2F2"/>
          </w:tcPr>
          <w:p>
            <w:pPr>
              <w:spacing w:before="60" w:after="60" w:line="240" w:lineRule="auto"/>
              <w:jc w:val="both"/>
              <w:rPr>
                <w:rFonts w:ascii="Times New Roman" w:eastAsia="Times New Roman" w:hAnsi="Times New Roman" w:cs="Times New Roman"/>
                <w:b/>
                <w:noProof/>
              </w:rPr>
            </w:pPr>
            <w:r>
              <w:rPr>
                <w:rFonts w:ascii="Times New Roman" w:hAnsi="Times New Roman"/>
                <w:b/>
                <w:noProof/>
                <w:color w:val="000000"/>
              </w:rPr>
              <w:t>Portugal</w:t>
            </w:r>
          </w:p>
        </w:tc>
        <w:tc>
          <w:tcPr>
            <w:tcW w:w="923"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1 670</w:t>
            </w:r>
          </w:p>
        </w:tc>
        <w:tc>
          <w:tcPr>
            <w:tcW w:w="927"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28 275</w:t>
            </w:r>
          </w:p>
        </w:tc>
        <w:tc>
          <w:tcPr>
            <w:tcW w:w="1089"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653</w:t>
            </w:r>
          </w:p>
        </w:tc>
        <w:tc>
          <w:tcPr>
            <w:tcW w:w="1044"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0</w:t>
            </w:r>
          </w:p>
        </w:tc>
      </w:tr>
      <w:tr>
        <w:trPr>
          <w:cantSplit/>
        </w:trPr>
        <w:tc>
          <w:tcPr>
            <w:tcW w:w="1017" w:type="pct"/>
            <w:tcBorders>
              <w:left w:val="single" w:sz="4" w:space="0" w:color="A6A6A6"/>
            </w:tcBorders>
            <w:shd w:val="clear" w:color="auto" w:fill="F2F2F2"/>
          </w:tcPr>
          <w:p>
            <w:pPr>
              <w:spacing w:before="60" w:after="60" w:line="240" w:lineRule="auto"/>
              <w:jc w:val="both"/>
              <w:rPr>
                <w:rFonts w:ascii="Times New Roman" w:eastAsia="Times New Roman" w:hAnsi="Times New Roman" w:cs="Times New Roman"/>
                <w:b/>
                <w:noProof/>
              </w:rPr>
            </w:pPr>
            <w:r>
              <w:rPr>
                <w:rFonts w:ascii="Times New Roman" w:hAnsi="Times New Roman"/>
                <w:b/>
                <w:noProof/>
                <w:color w:val="000000"/>
              </w:rPr>
              <w:t>République tchèque</w:t>
            </w:r>
          </w:p>
        </w:tc>
        <w:tc>
          <w:tcPr>
            <w:tcW w:w="923"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8 821</w:t>
            </w:r>
          </w:p>
        </w:tc>
        <w:tc>
          <w:tcPr>
            <w:tcW w:w="927"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33 584</w:t>
            </w:r>
          </w:p>
        </w:tc>
        <w:tc>
          <w:tcPr>
            <w:tcW w:w="1089"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9 830</w:t>
            </w:r>
          </w:p>
        </w:tc>
        <w:tc>
          <w:tcPr>
            <w:tcW w:w="1044" w:type="pct"/>
            <w:shd w:val="clear" w:color="auto" w:fill="auto"/>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0</w:t>
            </w:r>
          </w:p>
        </w:tc>
      </w:tr>
      <w:tr>
        <w:trPr>
          <w:cantSplit/>
        </w:trPr>
        <w:tc>
          <w:tcPr>
            <w:tcW w:w="1017" w:type="pct"/>
            <w:tcBorders>
              <w:left w:val="single" w:sz="4" w:space="0" w:color="A6A6A6"/>
            </w:tcBorders>
            <w:shd w:val="clear" w:color="auto" w:fill="F2F2F2"/>
          </w:tcPr>
          <w:p>
            <w:pPr>
              <w:spacing w:before="60" w:after="60" w:line="240" w:lineRule="auto"/>
              <w:jc w:val="both"/>
              <w:rPr>
                <w:rFonts w:ascii="Times New Roman" w:eastAsia="Times New Roman" w:hAnsi="Times New Roman" w:cs="Times New Roman"/>
                <w:b/>
                <w:noProof/>
              </w:rPr>
            </w:pPr>
            <w:r>
              <w:rPr>
                <w:rFonts w:ascii="Times New Roman" w:hAnsi="Times New Roman"/>
                <w:b/>
                <w:noProof/>
                <w:color w:val="000000"/>
              </w:rPr>
              <w:t>Roumanie</w:t>
            </w:r>
            <w:r>
              <w:rPr>
                <w:rFonts w:ascii="Times New Roman" w:hAnsi="Times New Roman"/>
                <w:b/>
                <w:noProof/>
                <w:color w:val="000000"/>
                <w:vertAlign w:val="superscript"/>
              </w:rPr>
              <w:footnoteReference w:id="24"/>
            </w:r>
          </w:p>
        </w:tc>
        <w:tc>
          <w:tcPr>
            <w:tcW w:w="923"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w:t>
            </w:r>
          </w:p>
        </w:tc>
        <w:tc>
          <w:tcPr>
            <w:tcW w:w="927"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w:t>
            </w:r>
          </w:p>
        </w:tc>
        <w:tc>
          <w:tcPr>
            <w:tcW w:w="1089"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w:t>
            </w:r>
          </w:p>
        </w:tc>
        <w:tc>
          <w:tcPr>
            <w:tcW w:w="1044"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w:t>
            </w:r>
          </w:p>
        </w:tc>
      </w:tr>
      <w:tr>
        <w:trPr>
          <w:cantSplit/>
        </w:trPr>
        <w:tc>
          <w:tcPr>
            <w:tcW w:w="1017" w:type="pct"/>
            <w:tcBorders>
              <w:left w:val="single" w:sz="4" w:space="0" w:color="A6A6A6"/>
            </w:tcBorders>
            <w:shd w:val="clear" w:color="auto" w:fill="F2F2F2"/>
          </w:tcPr>
          <w:p>
            <w:pPr>
              <w:spacing w:before="60" w:after="60" w:line="240" w:lineRule="auto"/>
              <w:jc w:val="both"/>
              <w:rPr>
                <w:rFonts w:ascii="Times New Roman" w:eastAsia="Times New Roman" w:hAnsi="Times New Roman" w:cs="Times New Roman"/>
                <w:b/>
                <w:noProof/>
                <w:color w:val="000000"/>
              </w:rPr>
            </w:pPr>
            <w:r>
              <w:rPr>
                <w:rFonts w:ascii="Times New Roman" w:hAnsi="Times New Roman"/>
                <w:b/>
                <w:noProof/>
                <w:color w:val="000000"/>
              </w:rPr>
              <w:t>Royaume-Uni</w:t>
            </w:r>
          </w:p>
        </w:tc>
        <w:tc>
          <w:tcPr>
            <w:tcW w:w="923"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18 545</w:t>
            </w:r>
          </w:p>
        </w:tc>
        <w:tc>
          <w:tcPr>
            <w:tcW w:w="927"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485 174</w:t>
            </w:r>
          </w:p>
        </w:tc>
        <w:tc>
          <w:tcPr>
            <w:tcW w:w="1089"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130 024</w:t>
            </w:r>
          </w:p>
        </w:tc>
        <w:tc>
          <w:tcPr>
            <w:tcW w:w="1044" w:type="pct"/>
            <w:shd w:val="clear" w:color="auto" w:fill="auto"/>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0</w:t>
            </w:r>
          </w:p>
        </w:tc>
      </w:tr>
      <w:tr>
        <w:trPr>
          <w:cantSplit/>
        </w:trPr>
        <w:tc>
          <w:tcPr>
            <w:tcW w:w="1017" w:type="pct"/>
            <w:tcBorders>
              <w:left w:val="single" w:sz="4" w:space="0" w:color="A6A6A6"/>
            </w:tcBorders>
            <w:shd w:val="clear" w:color="auto" w:fill="F2F2F2"/>
          </w:tcPr>
          <w:p>
            <w:pPr>
              <w:spacing w:before="60" w:after="60" w:line="240" w:lineRule="auto"/>
              <w:jc w:val="both"/>
              <w:rPr>
                <w:rFonts w:ascii="Times New Roman" w:eastAsia="Times New Roman" w:hAnsi="Times New Roman" w:cs="Times New Roman"/>
                <w:b/>
                <w:noProof/>
              </w:rPr>
            </w:pPr>
            <w:r>
              <w:rPr>
                <w:rFonts w:ascii="Times New Roman" w:hAnsi="Times New Roman"/>
                <w:b/>
                <w:noProof/>
                <w:color w:val="000000"/>
              </w:rPr>
              <w:t>Slovaquie</w:t>
            </w:r>
          </w:p>
        </w:tc>
        <w:tc>
          <w:tcPr>
            <w:tcW w:w="923"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813</w:t>
            </w:r>
          </w:p>
        </w:tc>
        <w:tc>
          <w:tcPr>
            <w:tcW w:w="927"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8 964</w:t>
            </w:r>
          </w:p>
        </w:tc>
        <w:tc>
          <w:tcPr>
            <w:tcW w:w="1089"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w:t>
            </w:r>
          </w:p>
        </w:tc>
        <w:tc>
          <w:tcPr>
            <w:tcW w:w="1044" w:type="pct"/>
            <w:shd w:val="clear" w:color="auto" w:fill="auto"/>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0</w:t>
            </w:r>
          </w:p>
        </w:tc>
      </w:tr>
      <w:tr>
        <w:trPr>
          <w:cantSplit/>
        </w:trPr>
        <w:tc>
          <w:tcPr>
            <w:tcW w:w="1017" w:type="pct"/>
            <w:tcBorders>
              <w:left w:val="single" w:sz="4" w:space="0" w:color="A6A6A6"/>
            </w:tcBorders>
            <w:shd w:val="clear" w:color="auto" w:fill="F2F2F2"/>
          </w:tcPr>
          <w:p>
            <w:pPr>
              <w:spacing w:before="60" w:after="60" w:line="240" w:lineRule="auto"/>
              <w:jc w:val="both"/>
              <w:rPr>
                <w:rFonts w:ascii="Times New Roman" w:eastAsia="Times New Roman" w:hAnsi="Times New Roman" w:cs="Times New Roman"/>
                <w:b/>
                <w:noProof/>
              </w:rPr>
            </w:pPr>
            <w:r>
              <w:rPr>
                <w:rFonts w:ascii="Times New Roman" w:hAnsi="Times New Roman"/>
                <w:b/>
                <w:noProof/>
                <w:color w:val="000000"/>
              </w:rPr>
              <w:t>Slovénie</w:t>
            </w:r>
          </w:p>
        </w:tc>
        <w:tc>
          <w:tcPr>
            <w:tcW w:w="923"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75</w:t>
            </w:r>
          </w:p>
        </w:tc>
        <w:tc>
          <w:tcPr>
            <w:tcW w:w="927"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6 464</w:t>
            </w:r>
          </w:p>
        </w:tc>
        <w:tc>
          <w:tcPr>
            <w:tcW w:w="1089"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609</w:t>
            </w:r>
          </w:p>
        </w:tc>
        <w:tc>
          <w:tcPr>
            <w:tcW w:w="1044" w:type="pct"/>
            <w:shd w:val="clear" w:color="auto" w:fill="auto"/>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0</w:t>
            </w:r>
          </w:p>
        </w:tc>
      </w:tr>
      <w:tr>
        <w:trPr>
          <w:cantSplit/>
        </w:trPr>
        <w:tc>
          <w:tcPr>
            <w:tcW w:w="1017" w:type="pct"/>
            <w:tcBorders>
              <w:left w:val="single" w:sz="4" w:space="0" w:color="A6A6A6"/>
            </w:tcBorders>
            <w:shd w:val="clear" w:color="auto" w:fill="F2F2F2"/>
          </w:tcPr>
          <w:p>
            <w:pPr>
              <w:spacing w:before="60" w:after="60" w:line="240" w:lineRule="auto"/>
              <w:jc w:val="both"/>
              <w:rPr>
                <w:rFonts w:ascii="Times New Roman" w:eastAsia="Times New Roman" w:hAnsi="Times New Roman" w:cs="Times New Roman"/>
                <w:b/>
                <w:noProof/>
                <w:color w:val="000000"/>
              </w:rPr>
            </w:pPr>
            <w:r>
              <w:rPr>
                <w:rFonts w:ascii="Times New Roman" w:hAnsi="Times New Roman"/>
                <w:b/>
                <w:noProof/>
                <w:color w:val="000000"/>
              </w:rPr>
              <w:t>Suède</w:t>
            </w:r>
          </w:p>
        </w:tc>
        <w:tc>
          <w:tcPr>
            <w:tcW w:w="923"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7 050</w:t>
            </w:r>
          </w:p>
        </w:tc>
        <w:tc>
          <w:tcPr>
            <w:tcW w:w="927"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34 726</w:t>
            </w:r>
          </w:p>
        </w:tc>
        <w:tc>
          <w:tcPr>
            <w:tcW w:w="1089"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637</w:t>
            </w:r>
          </w:p>
        </w:tc>
        <w:tc>
          <w:tcPr>
            <w:tcW w:w="1044" w:type="pct"/>
            <w:shd w:val="clear" w:color="auto" w:fill="auto"/>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0</w:t>
            </w:r>
          </w:p>
        </w:tc>
      </w:tr>
      <w:tr>
        <w:trPr>
          <w:cantSplit/>
        </w:trPr>
        <w:tc>
          <w:tcPr>
            <w:tcW w:w="1017" w:type="pct"/>
            <w:tcBorders>
              <w:left w:val="single" w:sz="4" w:space="0" w:color="A6A6A6"/>
            </w:tcBorders>
            <w:shd w:val="clear" w:color="auto" w:fill="F2F2F2"/>
          </w:tcPr>
          <w:p>
            <w:pPr>
              <w:spacing w:before="60" w:after="60" w:line="240" w:lineRule="auto"/>
              <w:jc w:val="both"/>
              <w:rPr>
                <w:rFonts w:ascii="Times New Roman" w:eastAsia="Times New Roman" w:hAnsi="Times New Roman" w:cs="Times New Roman"/>
                <w:b/>
                <w:noProof/>
                <w:color w:val="000000"/>
              </w:rPr>
            </w:pPr>
            <w:r>
              <w:rPr>
                <w:rFonts w:ascii="Times New Roman" w:hAnsi="Times New Roman"/>
                <w:b/>
                <w:noProof/>
                <w:color w:val="000000"/>
              </w:rPr>
              <w:t>UE-27</w:t>
            </w:r>
          </w:p>
        </w:tc>
        <w:tc>
          <w:tcPr>
            <w:tcW w:w="923"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551 120</w:t>
            </w:r>
            <w:r>
              <w:rPr>
                <w:rFonts w:ascii="Times New Roman" w:hAnsi="Times New Roman" w:cs="Times New Roman"/>
                <w:noProof/>
                <w:vertAlign w:val="superscript"/>
              </w:rPr>
              <w:footnoteReference w:id="25"/>
            </w:r>
          </w:p>
        </w:tc>
        <w:tc>
          <w:tcPr>
            <w:tcW w:w="927"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2 288 590</w:t>
            </w:r>
            <w:r>
              <w:rPr>
                <w:rFonts w:ascii="Times New Roman" w:hAnsi="Times New Roman" w:cs="Times New Roman"/>
                <w:noProof/>
                <w:vertAlign w:val="superscript"/>
              </w:rPr>
              <w:footnoteReference w:id="26"/>
            </w:r>
          </w:p>
        </w:tc>
        <w:tc>
          <w:tcPr>
            <w:tcW w:w="1089" w:type="pct"/>
            <w:shd w:val="clear" w:color="auto" w:fill="auto"/>
            <w:vAlign w:val="center"/>
          </w:tcPr>
          <w:p>
            <w:pPr>
              <w:spacing w:before="60" w:after="60" w:line="240" w:lineRule="auto"/>
              <w:jc w:val="center"/>
              <w:rPr>
                <w:rFonts w:ascii="Times New Roman" w:eastAsia="Times New Roman" w:hAnsi="Times New Roman" w:cs="Times New Roman"/>
                <w:noProof/>
              </w:rPr>
            </w:pPr>
            <w:r>
              <w:rPr>
                <w:rFonts w:ascii="Times New Roman" w:hAnsi="Times New Roman" w:cs="Times New Roman"/>
                <w:noProof/>
              </w:rPr>
              <w:t>978 550</w:t>
            </w:r>
            <w:r>
              <w:rPr>
                <w:rFonts w:ascii="Times New Roman" w:hAnsi="Times New Roman" w:cs="Times New Roman"/>
                <w:noProof/>
                <w:vertAlign w:val="superscript"/>
              </w:rPr>
              <w:footnoteReference w:id="27"/>
            </w:r>
          </w:p>
        </w:tc>
        <w:tc>
          <w:tcPr>
            <w:tcW w:w="1044" w:type="pct"/>
            <w:shd w:val="clear" w:color="auto" w:fill="auto"/>
            <w:vAlign w:val="center"/>
          </w:tcPr>
          <w:p>
            <w:pPr>
              <w:spacing w:before="60" w:after="60" w:line="240" w:lineRule="auto"/>
              <w:jc w:val="center"/>
              <w:rPr>
                <w:rFonts w:ascii="Times New Roman" w:eastAsia="Times New Roman" w:hAnsi="Times New Roman" w:cs="Times New Roman"/>
                <w:noProof/>
              </w:rPr>
            </w:pPr>
          </w:p>
        </w:tc>
      </w:tr>
    </w:tbl>
    <w:p>
      <w:pPr>
        <w:spacing w:before="120" w:after="120" w:line="240" w:lineRule="auto"/>
        <w:jc w:val="both"/>
        <w:rPr>
          <w:rFonts w:ascii="Times New Roman" w:eastAsia="Times New Roman" w:hAnsi="Times New Roman" w:cs="Times New Roman"/>
          <w:i/>
          <w:noProof/>
          <w:sz w:val="20"/>
          <w:szCs w:val="24"/>
        </w:rPr>
      </w:pPr>
      <w:r>
        <w:rPr>
          <w:rFonts w:ascii="Times New Roman" w:hAnsi="Times New Roman"/>
          <w:i/>
          <w:noProof/>
          <w:sz w:val="20"/>
        </w:rPr>
        <w:t>Sources: questionnaires relatifs à la mise en œuvre 2010-2012 et Eurostat 2015</w:t>
      </w:r>
      <w:r>
        <w:rPr>
          <w:rFonts w:ascii="Times New Roman" w:hAnsi="Times New Roman"/>
          <w:i/>
          <w:noProof/>
          <w:sz w:val="20"/>
          <w:vertAlign w:val="superscript"/>
        </w:rPr>
        <w:footnoteReference w:id="28"/>
      </w:r>
      <w:r>
        <w:rPr>
          <w:rFonts w:ascii="Times New Roman" w:hAnsi="Times New Roman"/>
          <w:i/>
          <w:noProof/>
          <w:sz w:val="20"/>
        </w:rPr>
        <w:t>.</w:t>
      </w:r>
    </w:p>
    <w:p>
      <w:pPr>
        <w:spacing w:after="0" w:line="240" w:lineRule="auto"/>
        <w:rPr>
          <w:rFonts w:ascii="Times New Roman" w:eastAsia="Times New Roman" w:hAnsi="Times New Roman" w:cs="Times New Roman"/>
          <w:noProof/>
          <w:sz w:val="20"/>
          <w:szCs w:val="20"/>
        </w:rPr>
      </w:pPr>
    </w:p>
    <w:p>
      <w:pPr>
        <w:spacing w:after="0" w:line="240" w:lineRule="auto"/>
        <w:rPr>
          <w:rFonts w:ascii="Times New Roman" w:eastAsia="Times New Roman" w:hAnsi="Times New Roman" w:cs="Times New Roman"/>
          <w:b/>
          <w:bCs/>
          <w:noProof/>
          <w:sz w:val="24"/>
          <w:szCs w:val="24"/>
        </w:rPr>
      </w:pPr>
      <w:r>
        <w:rPr>
          <w:noProof/>
        </w:rPr>
        <w:br w:type="page"/>
      </w:r>
    </w:p>
    <w:p>
      <w:pPr>
        <w:keepNext/>
        <w:spacing w:before="600" w:after="240" w:line="240" w:lineRule="auto"/>
        <w:ind w:left="1200" w:right="-1749" w:hanging="1200"/>
        <w:jc w:val="both"/>
        <w:outlineLvl w:val="0"/>
        <w:rPr>
          <w:rFonts w:ascii="Times New Roman" w:eastAsia="Times New Roman" w:hAnsi="Times New Roman" w:cs="Times New Roman"/>
          <w:b/>
          <w:bCs/>
          <w:smallCaps/>
          <w:noProof/>
          <w:sz w:val="24"/>
          <w:szCs w:val="24"/>
        </w:rPr>
      </w:pPr>
      <w:bookmarkStart w:id="88" w:name="_Toc442198313"/>
      <w:bookmarkStart w:id="89" w:name="_Toc447205590"/>
      <w:r>
        <w:rPr>
          <w:rFonts w:ascii="Times New Roman" w:hAnsi="Times New Roman"/>
          <w:b/>
          <w:smallCaps/>
          <w:noProof/>
          <w:sz w:val="24"/>
        </w:rPr>
        <w:t>ANNEXE 5:</w:t>
      </w:r>
      <w:bookmarkStart w:id="90" w:name="_Toc425752536"/>
      <w:bookmarkStart w:id="91" w:name="_Toc442187911"/>
      <w:bookmarkStart w:id="92" w:name="_Toc442187932"/>
      <w:bookmarkEnd w:id="76"/>
      <w:r>
        <w:rPr>
          <w:rFonts w:ascii="Times New Roman" w:hAnsi="Times New Roman"/>
          <w:b/>
          <w:smallCaps/>
          <w:noProof/>
          <w:sz w:val="24"/>
        </w:rPr>
        <w:t xml:space="preserve"> Emballages et déchets d’emballages</w:t>
      </w:r>
      <w:bookmarkEnd w:id="88"/>
      <w:bookmarkEnd w:id="89"/>
    </w:p>
    <w:p>
      <w:pPr>
        <w:keepNext/>
        <w:spacing w:before="600" w:after="240" w:line="240" w:lineRule="auto"/>
        <w:ind w:left="360" w:right="-1749" w:hanging="360"/>
        <w:jc w:val="both"/>
        <w:outlineLvl w:val="0"/>
        <w:rPr>
          <w:rFonts w:ascii="Times New Roman" w:eastAsia="Times New Roman" w:hAnsi="Times New Roman" w:cs="Times New Roman"/>
          <w:b/>
          <w:bCs/>
          <w:noProof/>
          <w:sz w:val="24"/>
          <w:szCs w:val="24"/>
        </w:rPr>
      </w:pPr>
      <w:bookmarkStart w:id="93" w:name="_Toc425752538"/>
      <w:bookmarkStart w:id="94" w:name="_Toc442187913"/>
      <w:bookmarkStart w:id="95" w:name="_Toc442187934"/>
      <w:bookmarkStart w:id="96" w:name="_Toc442198314"/>
      <w:bookmarkStart w:id="97" w:name="_Toc447205591"/>
      <w:r>
        <w:rPr>
          <w:rFonts w:ascii="Times New Roman" w:hAnsi="Times New Roman"/>
          <w:b/>
          <w:noProof/>
          <w:sz w:val="24"/>
        </w:rPr>
        <w:t xml:space="preserve">Emballages et déchets d’emballages produits, </w:t>
      </w:r>
      <w:bookmarkEnd w:id="93"/>
      <w:bookmarkEnd w:id="94"/>
      <w:bookmarkEnd w:id="95"/>
      <w:r>
        <w:rPr>
          <w:rFonts w:ascii="Times New Roman" w:hAnsi="Times New Roman"/>
          <w:b/>
          <w:noProof/>
          <w:sz w:val="24"/>
        </w:rPr>
        <w:t>par État membre</w:t>
      </w:r>
      <w:bookmarkEnd w:id="96"/>
      <w:r>
        <w:rPr>
          <w:rFonts w:ascii="Times New Roman" w:hAnsi="Times New Roman"/>
          <w:b/>
          <w:noProof/>
          <w:sz w:val="24"/>
        </w:rPr>
        <w:t xml:space="preserve"> (en tonnes)</w:t>
      </w:r>
      <w:bookmarkEnd w:id="97"/>
    </w:p>
    <w:p>
      <w:pPr>
        <w:spacing w:after="120" w:line="240" w:lineRule="auto"/>
        <w:ind w:left="-426"/>
        <w:rPr>
          <w:rFonts w:ascii="Times New Roman" w:eastAsia="Times New Roman" w:hAnsi="Times New Roman" w:cs="Times New Roman"/>
          <w:noProof/>
          <w:sz w:val="24"/>
          <w:szCs w:val="24"/>
        </w:rPr>
      </w:pPr>
      <w:r>
        <w:rPr>
          <w:noProof/>
          <w:lang w:val="en-US" w:eastAsia="en-US" w:bidi="ar-SA"/>
        </w:rPr>
        <w:drawing>
          <wp:inline distT="0" distB="0" distL="0" distR="0">
            <wp:extent cx="6248400" cy="4191000"/>
            <wp:effectExtent l="0" t="0" r="0" b="0"/>
            <wp:docPr id="290" name="Chart 29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spacing w:after="120" w:line="240" w:lineRule="auto"/>
        <w:rPr>
          <w:rFonts w:ascii="Times New Roman" w:eastAsia="Times New Roman" w:hAnsi="Times New Roman" w:cs="Times New Roman"/>
          <w:i/>
          <w:noProof/>
          <w:sz w:val="20"/>
          <w:szCs w:val="24"/>
        </w:rPr>
      </w:pPr>
      <w:r>
        <w:rPr>
          <w:rFonts w:ascii="Times New Roman" w:hAnsi="Times New Roman"/>
          <w:i/>
          <w:noProof/>
          <w:sz w:val="20"/>
        </w:rPr>
        <w:t>Source: Eurostat (code des données en ligne: t_</w:t>
      </w:r>
      <w:bookmarkStart w:id="98" w:name="_Toc442198315"/>
      <w:bookmarkStart w:id="99" w:name="_Toc447205593"/>
      <w:r>
        <w:rPr>
          <w:rFonts w:ascii="Times New Roman" w:hAnsi="Times New Roman"/>
          <w:i/>
          <w:noProof/>
          <w:sz w:val="20"/>
        </w:rPr>
        <w:t>env_wasst)</w:t>
      </w:r>
    </w:p>
    <w:p>
      <w:pPr>
        <w:rPr>
          <w:rFonts w:ascii="Times New Roman" w:eastAsia="Times New Roman" w:hAnsi="Times New Roman" w:cs="Times New Roman"/>
          <w:b/>
          <w:bCs/>
          <w:noProof/>
          <w:sz w:val="24"/>
          <w:szCs w:val="24"/>
        </w:rPr>
      </w:pPr>
      <w:r>
        <w:rPr>
          <w:noProof/>
        </w:rPr>
        <w:br w:type="page"/>
      </w:r>
    </w:p>
    <w:p>
      <w:pPr>
        <w:keepNext/>
        <w:spacing w:before="600" w:after="240" w:line="240" w:lineRule="auto"/>
        <w:ind w:left="360" w:right="-1749" w:hanging="360"/>
        <w:jc w:val="both"/>
        <w:outlineLvl w:val="0"/>
        <w:rPr>
          <w:rFonts w:ascii="Times New Roman" w:eastAsia="Times New Roman" w:hAnsi="Times New Roman" w:cs="Times New Roman"/>
          <w:b/>
          <w:bCs/>
          <w:noProof/>
          <w:sz w:val="24"/>
          <w:szCs w:val="24"/>
        </w:rPr>
      </w:pPr>
      <w:bookmarkStart w:id="100" w:name="_Toc425752537"/>
      <w:bookmarkStart w:id="101" w:name="_Toc442187912"/>
      <w:bookmarkStart w:id="102" w:name="_Toc442187933"/>
      <w:bookmarkStart w:id="103" w:name="_Toc442198316"/>
      <w:bookmarkStart w:id="104" w:name="_Toc447205594"/>
      <w:bookmarkEnd w:id="90"/>
      <w:bookmarkEnd w:id="91"/>
      <w:bookmarkEnd w:id="92"/>
      <w:bookmarkEnd w:id="98"/>
      <w:bookmarkEnd w:id="99"/>
      <w:r>
        <w:rPr>
          <w:rFonts w:ascii="Times New Roman" w:hAnsi="Times New Roman"/>
          <w:b/>
          <w:noProof/>
          <w:sz w:val="24"/>
        </w:rPr>
        <w:t xml:space="preserve">Valorisation des déchets d’emballages, par </w:t>
      </w:r>
      <w:bookmarkEnd w:id="100"/>
      <w:bookmarkEnd w:id="101"/>
      <w:bookmarkEnd w:id="102"/>
      <w:r>
        <w:rPr>
          <w:rFonts w:ascii="Times New Roman" w:hAnsi="Times New Roman"/>
          <w:b/>
          <w:noProof/>
          <w:sz w:val="24"/>
        </w:rPr>
        <w:t>État membre</w:t>
      </w:r>
      <w:bookmarkEnd w:id="103"/>
      <w:r>
        <w:rPr>
          <w:rFonts w:ascii="Times New Roman" w:hAnsi="Times New Roman"/>
          <w:b/>
          <w:noProof/>
          <w:sz w:val="24"/>
        </w:rPr>
        <w:t xml:space="preserve"> (en %)</w:t>
      </w:r>
      <w:bookmarkEnd w:id="104"/>
    </w:p>
    <w:p>
      <w:pPr>
        <w:spacing w:after="120" w:line="240" w:lineRule="auto"/>
        <w:rPr>
          <w:rFonts w:ascii="Times New Roman" w:eastAsia="Times New Roman" w:hAnsi="Times New Roman" w:cs="Times New Roman"/>
          <w:i/>
          <w:noProof/>
          <w:sz w:val="20"/>
          <w:szCs w:val="24"/>
        </w:rPr>
      </w:pPr>
      <w:r>
        <w:rPr>
          <w:rFonts w:ascii="Times New Roman" w:eastAsia="Times New Roman" w:hAnsi="Times New Roman" w:cs="Times New Roman"/>
          <w:i/>
          <w:noProof/>
          <w:sz w:val="20"/>
          <w:szCs w:val="24"/>
          <w:lang w:val="en-US" w:eastAsia="en-US" w:bidi="ar-SA"/>
        </w:rPr>
        <w:drawing>
          <wp:inline distT="0" distB="0" distL="0" distR="0">
            <wp:extent cx="5698800" cy="3492000"/>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98800" cy="3492000"/>
                    </a:xfrm>
                    <a:prstGeom prst="rect">
                      <a:avLst/>
                    </a:prstGeom>
                    <a:noFill/>
                  </pic:spPr>
                </pic:pic>
              </a:graphicData>
            </a:graphic>
          </wp:inline>
        </w:drawing>
      </w:r>
    </w:p>
    <w:p>
      <w:pPr>
        <w:spacing w:after="120" w:line="240" w:lineRule="auto"/>
        <w:rPr>
          <w:rFonts w:ascii="Times New Roman" w:eastAsia="Times New Roman" w:hAnsi="Times New Roman" w:cs="Times New Roman"/>
          <w:i/>
          <w:noProof/>
          <w:sz w:val="20"/>
          <w:szCs w:val="24"/>
        </w:rPr>
      </w:pPr>
      <w:r>
        <w:rPr>
          <w:rFonts w:ascii="Times New Roman" w:hAnsi="Times New Roman"/>
          <w:i/>
          <w:noProof/>
          <w:sz w:val="20"/>
        </w:rPr>
        <w:t>Source: Eurostat (code des données en ligne: t_env_wasst)</w:t>
      </w:r>
      <w:bookmarkStart w:id="105" w:name="_Ref411266237"/>
    </w:p>
    <w:p>
      <w:pPr>
        <w:spacing w:after="120" w:line="240" w:lineRule="auto"/>
        <w:rPr>
          <w:rFonts w:ascii="Times New Roman" w:eastAsia="Times New Roman" w:hAnsi="Times New Roman" w:cs="Times New Roman"/>
          <w:i/>
          <w:noProof/>
          <w:sz w:val="20"/>
          <w:szCs w:val="24"/>
        </w:rPr>
      </w:pPr>
    </w:p>
    <w:p>
      <w:pPr>
        <w:keepNext/>
        <w:spacing w:before="600" w:after="240" w:line="240" w:lineRule="auto"/>
        <w:ind w:right="-1749"/>
        <w:jc w:val="both"/>
        <w:outlineLvl w:val="0"/>
        <w:rPr>
          <w:rFonts w:ascii="Times New Roman" w:eastAsia="Times New Roman" w:hAnsi="Times New Roman" w:cs="Times New Roman"/>
          <w:b/>
          <w:bCs/>
          <w:noProof/>
          <w:sz w:val="24"/>
          <w:szCs w:val="24"/>
        </w:rPr>
      </w:pPr>
      <w:r>
        <w:rPr>
          <w:rFonts w:ascii="Times New Roman" w:hAnsi="Times New Roman"/>
          <w:b/>
          <w:noProof/>
          <w:sz w:val="24"/>
        </w:rPr>
        <w:t>Recyclage des déchets d’emballages, par État membre (en %)</w:t>
      </w:r>
    </w:p>
    <w:p>
      <w:pPr>
        <w:spacing w:after="120" w:line="240" w:lineRule="auto"/>
        <w:rPr>
          <w:rFonts w:ascii="Times New Roman" w:eastAsia="Times New Roman" w:hAnsi="Times New Roman" w:cs="Times New Roman"/>
          <w:i/>
          <w:noProof/>
          <w:sz w:val="20"/>
          <w:szCs w:val="24"/>
        </w:rPr>
      </w:pPr>
      <w:r>
        <w:rPr>
          <w:rFonts w:ascii="Times New Roman" w:eastAsia="Times New Roman" w:hAnsi="Times New Roman" w:cs="Times New Roman"/>
          <w:i/>
          <w:noProof/>
          <w:sz w:val="20"/>
          <w:szCs w:val="24"/>
          <w:lang w:val="en-US" w:eastAsia="en-US" w:bidi="ar-SA"/>
        </w:rPr>
        <w:drawing>
          <wp:inline distT="0" distB="0" distL="0" distR="0">
            <wp:extent cx="5720400" cy="3517200"/>
            <wp:effectExtent l="0" t="0" r="0" b="762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20400" cy="3517200"/>
                    </a:xfrm>
                    <a:prstGeom prst="rect">
                      <a:avLst/>
                    </a:prstGeom>
                    <a:noFill/>
                  </pic:spPr>
                </pic:pic>
              </a:graphicData>
            </a:graphic>
          </wp:inline>
        </w:drawing>
      </w:r>
    </w:p>
    <w:p>
      <w:pPr>
        <w:spacing w:after="120" w:line="240" w:lineRule="auto"/>
        <w:rPr>
          <w:rFonts w:ascii="Times New Roman" w:eastAsia="Times New Roman" w:hAnsi="Times New Roman" w:cs="Times New Roman"/>
          <w:i/>
          <w:noProof/>
          <w:sz w:val="20"/>
          <w:szCs w:val="24"/>
        </w:rPr>
      </w:pPr>
      <w:r>
        <w:rPr>
          <w:rFonts w:ascii="Times New Roman" w:hAnsi="Times New Roman"/>
          <w:i/>
          <w:noProof/>
          <w:sz w:val="20"/>
        </w:rPr>
        <w:t>Source: Eurostat (code des données en ligne: t_env_wasst)</w:t>
      </w:r>
      <w:r>
        <w:rPr>
          <w:noProof/>
        </w:rPr>
        <w:br w:type="page"/>
      </w:r>
    </w:p>
    <w:p>
      <w:pPr>
        <w:keepNext/>
        <w:spacing w:before="600" w:after="240" w:line="240" w:lineRule="auto"/>
        <w:ind w:left="1200" w:right="-1749" w:hanging="1200"/>
        <w:jc w:val="both"/>
        <w:outlineLvl w:val="0"/>
        <w:rPr>
          <w:rFonts w:ascii="Times New Roman" w:eastAsia="Times New Roman" w:hAnsi="Times New Roman" w:cs="Times New Roman"/>
          <w:b/>
          <w:bCs/>
          <w:smallCaps/>
          <w:noProof/>
          <w:sz w:val="24"/>
          <w:szCs w:val="24"/>
        </w:rPr>
      </w:pPr>
      <w:bookmarkStart w:id="106" w:name="_Toc442198317"/>
      <w:bookmarkStart w:id="107" w:name="_Toc447205595"/>
      <w:r>
        <w:rPr>
          <w:rFonts w:ascii="Times New Roman" w:hAnsi="Times New Roman"/>
          <w:b/>
          <w:smallCaps/>
          <w:noProof/>
          <w:sz w:val="24"/>
        </w:rPr>
        <w:t>Annexe 6: Déchets d’équipements électriques et électroniques</w:t>
      </w:r>
      <w:bookmarkEnd w:id="106"/>
      <w:bookmarkEnd w:id="107"/>
    </w:p>
    <w:p>
      <w:pPr>
        <w:keepNext/>
        <w:spacing w:before="600" w:after="240" w:line="240" w:lineRule="auto"/>
        <w:ind w:left="360" w:right="-1749" w:hanging="360"/>
        <w:jc w:val="both"/>
        <w:outlineLvl w:val="0"/>
        <w:rPr>
          <w:rFonts w:ascii="Times New Roman" w:eastAsia="Times New Roman" w:hAnsi="Times New Roman" w:cs="Times New Roman"/>
          <w:b/>
          <w:bCs/>
          <w:noProof/>
          <w:sz w:val="24"/>
          <w:szCs w:val="24"/>
        </w:rPr>
      </w:pPr>
      <w:bookmarkStart w:id="108" w:name="_Toc425752542"/>
      <w:bookmarkStart w:id="109" w:name="_Toc442187916"/>
      <w:bookmarkStart w:id="110" w:name="_Toc442187937"/>
      <w:bookmarkStart w:id="111" w:name="_Toc442198319"/>
      <w:bookmarkStart w:id="112" w:name="_Toc447205597"/>
      <w:r>
        <w:rPr>
          <w:rFonts w:ascii="Times New Roman" w:hAnsi="Times New Roman"/>
          <w:b/>
          <w:noProof/>
          <w:sz w:val="24"/>
        </w:rPr>
        <w:t>Quantité totale de DEEE collectés auprès de ménages, par État membre (en kg/personne)</w:t>
      </w:r>
      <w:bookmarkEnd w:id="108"/>
      <w:bookmarkEnd w:id="109"/>
      <w:bookmarkEnd w:id="110"/>
      <w:bookmarkEnd w:id="111"/>
      <w:bookmarkEnd w:id="112"/>
    </w:p>
    <w:p>
      <w:pPr>
        <w:spacing w:after="120" w:line="240" w:lineRule="auto"/>
        <w:rPr>
          <w:rFonts w:ascii="Times New Roman" w:eastAsia="Times New Roman" w:hAnsi="Times New Roman" w:cs="Times New Roman"/>
          <w:i/>
          <w:noProof/>
          <w:sz w:val="20"/>
          <w:szCs w:val="24"/>
        </w:rPr>
      </w:pPr>
      <w:r>
        <w:rPr>
          <w:rFonts w:ascii="Times New Roman" w:eastAsia="Times New Roman" w:hAnsi="Times New Roman" w:cs="Times New Roman"/>
          <w:i/>
          <w:noProof/>
          <w:sz w:val="20"/>
          <w:szCs w:val="24"/>
          <w:lang w:val="en-US" w:eastAsia="en-US" w:bidi="ar-SA"/>
        </w:rPr>
        <w:drawing>
          <wp:inline distT="0" distB="0" distL="0" distR="0">
            <wp:extent cx="5731200" cy="3398400"/>
            <wp:effectExtent l="0" t="0" r="3175"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1200" cy="3398400"/>
                    </a:xfrm>
                    <a:prstGeom prst="rect">
                      <a:avLst/>
                    </a:prstGeom>
                    <a:noFill/>
                  </pic:spPr>
                </pic:pic>
              </a:graphicData>
            </a:graphic>
          </wp:inline>
        </w:drawing>
      </w:r>
    </w:p>
    <w:p>
      <w:pPr>
        <w:spacing w:after="120" w:line="240" w:lineRule="auto"/>
        <w:rPr>
          <w:rFonts w:ascii="Times New Roman" w:eastAsia="Times New Roman" w:hAnsi="Times New Roman" w:cs="Times New Roman"/>
          <w:i/>
          <w:noProof/>
          <w:sz w:val="20"/>
          <w:szCs w:val="24"/>
        </w:rPr>
      </w:pPr>
      <w:r>
        <w:rPr>
          <w:rFonts w:ascii="Times New Roman" w:hAnsi="Times New Roman"/>
          <w:i/>
          <w:noProof/>
          <w:sz w:val="20"/>
        </w:rPr>
        <w:t>Source: Eurostat (code des données en ligne: env_waselee)</w:t>
      </w:r>
    </w:p>
    <w:p>
      <w:pPr>
        <w:spacing w:after="0" w:line="240" w:lineRule="auto"/>
        <w:rPr>
          <w:rFonts w:ascii="Times New Roman" w:eastAsia="Times New Roman" w:hAnsi="Times New Roman" w:cs="Times New Roman"/>
          <w:b/>
          <w:bCs/>
          <w:caps/>
          <w:noProof/>
          <w:sz w:val="24"/>
          <w:szCs w:val="24"/>
        </w:rPr>
      </w:pPr>
      <w:r>
        <w:rPr>
          <w:noProof/>
        </w:rPr>
        <w:br w:type="page"/>
      </w:r>
    </w:p>
    <w:p>
      <w:pPr>
        <w:keepNext/>
        <w:spacing w:before="600" w:after="0" w:line="240" w:lineRule="auto"/>
        <w:ind w:left="1202" w:right="-1746" w:hanging="1202"/>
        <w:jc w:val="both"/>
        <w:outlineLvl w:val="0"/>
        <w:rPr>
          <w:rFonts w:ascii="Times New Roman" w:eastAsia="Times New Roman" w:hAnsi="Times New Roman" w:cs="Times New Roman"/>
          <w:b/>
          <w:bCs/>
          <w:smallCaps/>
          <w:noProof/>
          <w:sz w:val="24"/>
          <w:szCs w:val="24"/>
        </w:rPr>
      </w:pPr>
      <w:bookmarkStart w:id="113" w:name="_Toc442198320"/>
      <w:bookmarkStart w:id="114" w:name="_Toc447205598"/>
      <w:r>
        <w:rPr>
          <w:rFonts w:ascii="Times New Roman" w:hAnsi="Times New Roman"/>
          <w:b/>
          <w:smallCaps/>
          <w:noProof/>
          <w:sz w:val="24"/>
        </w:rPr>
        <w:t>ANNEXE 7: Piles et accumulateurs</w:t>
      </w:r>
      <w:bookmarkEnd w:id="113"/>
      <w:bookmarkEnd w:id="114"/>
    </w:p>
    <w:p>
      <w:pPr>
        <w:keepNext/>
        <w:spacing w:before="240" w:after="120" w:line="240" w:lineRule="auto"/>
        <w:ind w:left="357" w:right="-1746" w:hanging="357"/>
        <w:jc w:val="both"/>
        <w:outlineLvl w:val="0"/>
        <w:rPr>
          <w:rFonts w:ascii="Times New Roman" w:eastAsia="Times New Roman" w:hAnsi="Times New Roman" w:cs="Times New Roman"/>
          <w:b/>
          <w:bCs/>
          <w:noProof/>
          <w:sz w:val="24"/>
          <w:szCs w:val="24"/>
        </w:rPr>
      </w:pPr>
      <w:bookmarkStart w:id="115" w:name="_Toc417638962"/>
      <w:bookmarkStart w:id="116" w:name="_Toc425752539"/>
      <w:bookmarkStart w:id="117" w:name="_Toc442187914"/>
      <w:bookmarkStart w:id="118" w:name="_Toc442187935"/>
      <w:bookmarkStart w:id="119" w:name="_Toc442198321"/>
      <w:bookmarkStart w:id="120" w:name="_Toc447205599"/>
      <w:r>
        <w:rPr>
          <w:rFonts w:ascii="Times New Roman" w:hAnsi="Times New Roman"/>
          <w:b/>
          <w:noProof/>
          <w:sz w:val="24"/>
        </w:rPr>
        <w:t>Collecte de déchets de piles et d'accumulateurs, par État membre (en %)</w:t>
      </w:r>
      <w:r>
        <w:rPr>
          <w:rFonts w:ascii="Times New Roman" w:hAnsi="Times New Roman"/>
          <w:b/>
          <w:noProof/>
          <w:sz w:val="24"/>
          <w:vertAlign w:val="superscript"/>
        </w:rPr>
        <w:footnoteReference w:id="29"/>
      </w:r>
      <w:bookmarkEnd w:id="115"/>
      <w:bookmarkEnd w:id="116"/>
      <w:bookmarkEnd w:id="117"/>
      <w:bookmarkEnd w:id="118"/>
      <w:bookmarkEnd w:id="119"/>
      <w:bookmarkEnd w:id="120"/>
    </w:p>
    <w:p>
      <w:pPr>
        <w:spacing w:after="0" w:line="240" w:lineRule="auto"/>
        <w:rPr>
          <w:rFonts w:ascii="Times New Roman" w:eastAsia="Times New Roman" w:hAnsi="Times New Roman" w:cs="Times New Roman"/>
          <w:b/>
          <w:noProof/>
          <w:sz w:val="24"/>
          <w:szCs w:val="24"/>
        </w:rPr>
      </w:pPr>
      <w:r>
        <w:rPr>
          <w:noProof/>
          <w:lang w:val="en-US" w:eastAsia="en-US" w:bidi="ar-SA"/>
        </w:rPr>
        <w:drawing>
          <wp:inline distT="0" distB="0" distL="0" distR="0">
            <wp:extent cx="5731510" cy="2923034"/>
            <wp:effectExtent l="0" t="0" r="21590" b="10795"/>
            <wp:docPr id="295" name="Chart 29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bookmarkEnd w:id="105"/>
    <w:p>
      <w:pPr>
        <w:spacing w:after="120" w:line="240" w:lineRule="auto"/>
        <w:rPr>
          <w:rFonts w:ascii="Times New Roman" w:eastAsia="Times New Roman" w:hAnsi="Times New Roman" w:cs="Times New Roman"/>
          <w:i/>
          <w:noProof/>
          <w:sz w:val="20"/>
          <w:szCs w:val="24"/>
        </w:rPr>
      </w:pPr>
      <w:r>
        <w:rPr>
          <w:rFonts w:ascii="Times New Roman" w:hAnsi="Times New Roman"/>
          <w:i/>
          <w:noProof/>
          <w:sz w:val="20"/>
        </w:rPr>
        <w:t>Source: données fournies par les États membres à la Commission européenne (CE, 2014)</w:t>
      </w:r>
    </w:p>
    <w:p>
      <w:pPr>
        <w:keepNext/>
        <w:spacing w:before="360" w:after="120" w:line="240" w:lineRule="auto"/>
        <w:ind w:left="357" w:right="-1746" w:hanging="357"/>
        <w:jc w:val="both"/>
        <w:outlineLvl w:val="0"/>
        <w:rPr>
          <w:rFonts w:ascii="Times New Roman" w:eastAsia="Times New Roman" w:hAnsi="Times New Roman" w:cs="Times New Roman"/>
          <w:b/>
          <w:bCs/>
          <w:noProof/>
          <w:sz w:val="24"/>
          <w:szCs w:val="24"/>
        </w:rPr>
      </w:pPr>
      <w:bookmarkStart w:id="121" w:name="_Toc425752540"/>
      <w:bookmarkStart w:id="122" w:name="_Toc442187915"/>
      <w:bookmarkStart w:id="123" w:name="_Toc442187936"/>
      <w:bookmarkStart w:id="124" w:name="_Toc442198322"/>
      <w:bookmarkStart w:id="125" w:name="_Toc447205600"/>
      <w:r>
        <w:rPr>
          <w:rFonts w:ascii="Times New Roman" w:hAnsi="Times New Roman"/>
          <w:b/>
          <w:noProof/>
          <w:sz w:val="24"/>
        </w:rPr>
        <w:t>Rendement de recyclage des déchets de piles et d’accumulateurs, par État membre (en %)</w:t>
      </w:r>
      <w:r>
        <w:rPr>
          <w:rFonts w:ascii="Times New Roman" w:hAnsi="Times New Roman"/>
          <w:b/>
          <w:noProof/>
          <w:sz w:val="24"/>
          <w:vertAlign w:val="superscript"/>
        </w:rPr>
        <w:footnoteReference w:id="30"/>
      </w:r>
      <w:bookmarkEnd w:id="121"/>
      <w:bookmarkEnd w:id="122"/>
      <w:bookmarkEnd w:id="123"/>
      <w:bookmarkEnd w:id="124"/>
      <w:bookmarkEnd w:id="125"/>
    </w:p>
    <w:p>
      <w:pPr>
        <w:spacing w:after="120" w:line="240" w:lineRule="auto"/>
        <w:rPr>
          <w:rFonts w:ascii="Times New Roman" w:eastAsia="Times New Roman" w:hAnsi="Times New Roman" w:cs="Times New Roman"/>
          <w:noProof/>
        </w:rPr>
      </w:pPr>
      <w:r>
        <w:rPr>
          <w:rFonts w:ascii="Times New Roman" w:eastAsia="Times New Roman" w:hAnsi="Times New Roman" w:cs="Times New Roman"/>
          <w:noProof/>
          <w:lang w:val="en-US" w:eastAsia="en-US" w:bidi="ar-SA"/>
        </w:rPr>
        <w:drawing>
          <wp:inline distT="0" distB="0" distL="0" distR="0">
            <wp:extent cx="5698800" cy="3103200"/>
            <wp:effectExtent l="0" t="0" r="0" b="254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98800" cy="3103200"/>
                    </a:xfrm>
                    <a:prstGeom prst="rect">
                      <a:avLst/>
                    </a:prstGeom>
                    <a:noFill/>
                  </pic:spPr>
                </pic:pic>
              </a:graphicData>
            </a:graphic>
          </wp:inline>
        </w:drawing>
      </w:r>
    </w:p>
    <w:p>
      <w:pPr>
        <w:rPr>
          <w:rFonts w:ascii="Times New Roman" w:eastAsia="Times New Roman" w:hAnsi="Times New Roman" w:cs="Times New Roman"/>
          <w:i/>
          <w:noProof/>
          <w:sz w:val="20"/>
          <w:szCs w:val="24"/>
        </w:rPr>
      </w:pPr>
      <w:r>
        <w:rPr>
          <w:rFonts w:ascii="Times New Roman" w:hAnsi="Times New Roman"/>
          <w:i/>
          <w:noProof/>
          <w:sz w:val="20"/>
        </w:rPr>
        <w:t>Source: données fournies par les États membres à la Commission européenne (CE, 2014).</w:t>
      </w:r>
    </w:p>
    <w:sectPr>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Arial"/>
    <w:charset w:val="00"/>
    <w:family w:val="swiss"/>
    <w:pitch w:val="variable"/>
    <w:sig w:usb0="00000001"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250494"/>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426" w:hanging="426"/>
      </w:pPr>
      <w:r>
        <w:rPr>
          <w:rStyle w:val="FootnoteReference"/>
        </w:rPr>
        <w:footnoteRef/>
      </w:r>
      <w:r>
        <w:t xml:space="preserve"> </w:t>
      </w:r>
      <w:r>
        <w:tab/>
        <w:t>La Croatie est devenue un État membre de l’Union européenne (UE) le 1</w:t>
      </w:r>
      <w:r>
        <w:rPr>
          <w:vertAlign w:val="superscript"/>
        </w:rPr>
        <w:t>er</w:t>
      </w:r>
      <w:r>
        <w:t xml:space="preserve"> juillet 2013. Elle n’était donc pas tenue de mettre en œuvre ces directives au cours de la période de référence. Toutefois, elle a répondu aux questionnaires relatifs à la mise en œuvre au cours de la période 2010-2012 pour ce qui est de la directive-cadre relative aux déchets, de la directive relative aux emballages et aux déchets d’emballage et de la directive relative aux boues d’épuration et les informations fournies sont reprises dans le présent rapport.</w:t>
      </w:r>
    </w:p>
  </w:footnote>
  <w:footnote w:id="2">
    <w:p>
      <w:pPr>
        <w:pStyle w:val="FootnoteText"/>
        <w:ind w:left="426" w:hanging="426"/>
      </w:pPr>
      <w:r>
        <w:rPr>
          <w:rStyle w:val="FootnoteReference"/>
        </w:rPr>
        <w:footnoteRef/>
      </w:r>
      <w:r>
        <w:t xml:space="preserve"> </w:t>
      </w:r>
      <w:r>
        <w:tab/>
      </w:r>
      <w:hyperlink r:id="rId1">
        <w:r>
          <w:rPr>
            <w:rStyle w:val="Hyperlink"/>
          </w:rPr>
          <w:t>http://ec.europa.eu/eurostat/web/environment/waste/database</w:t>
        </w:r>
      </w:hyperlink>
    </w:p>
  </w:footnote>
  <w:footnote w:id="3">
    <w:p>
      <w:pPr>
        <w:autoSpaceDE w:val="0"/>
        <w:autoSpaceDN w:val="0"/>
        <w:adjustRightInd w:val="0"/>
        <w:ind w:left="426" w:hanging="426"/>
      </w:pPr>
      <w:r>
        <w:rPr>
          <w:rStyle w:val="FootnoteReference"/>
          <w:rFonts w:ascii="Times New Roman" w:hAnsi="Times New Roman"/>
        </w:rPr>
        <w:footnoteRef/>
      </w:r>
      <w:r>
        <w:t xml:space="preserve"> </w:t>
      </w:r>
      <w:r>
        <w:tab/>
      </w:r>
      <w:r>
        <w:rPr>
          <w:rFonts w:ascii="Times New Roman" w:hAnsi="Times New Roman"/>
          <w:sz w:val="20"/>
        </w:rPr>
        <w:t xml:space="preserve">Selon ces exigences, les déchets sont collectés séparément, pour autant que cette opération soit </w:t>
      </w:r>
      <w:r>
        <w:rPr>
          <w:rFonts w:ascii="Times New Roman" w:hAnsi="Times New Roman"/>
          <w:b/>
          <w:sz w:val="20"/>
          <w:u w:val="single"/>
        </w:rPr>
        <w:t>r</w:t>
      </w:r>
      <w:r>
        <w:rPr>
          <w:rFonts w:ascii="Times New Roman" w:hAnsi="Times New Roman"/>
          <w:sz w:val="20"/>
        </w:rPr>
        <w:t xml:space="preserve">éalisable d'un point de vue </w:t>
      </w:r>
      <w:r>
        <w:rPr>
          <w:rFonts w:ascii="Times New Roman" w:hAnsi="Times New Roman"/>
          <w:b/>
          <w:sz w:val="20"/>
          <w:u w:val="single"/>
        </w:rPr>
        <w:t>t</w:t>
      </w:r>
      <w:r>
        <w:rPr>
          <w:rFonts w:ascii="Times New Roman" w:hAnsi="Times New Roman"/>
          <w:sz w:val="20"/>
        </w:rPr>
        <w:t xml:space="preserve">echnique, </w:t>
      </w:r>
      <w:r>
        <w:rPr>
          <w:rFonts w:ascii="Times New Roman" w:hAnsi="Times New Roman"/>
          <w:b/>
          <w:sz w:val="20"/>
          <w:u w:val="single"/>
        </w:rPr>
        <w:t>e</w:t>
      </w:r>
      <w:r>
        <w:rPr>
          <w:rFonts w:ascii="Times New Roman" w:hAnsi="Times New Roman"/>
          <w:sz w:val="20"/>
        </w:rPr>
        <w:t xml:space="preserve">nvironnemental et </w:t>
      </w:r>
      <w:r>
        <w:rPr>
          <w:rFonts w:ascii="Times New Roman" w:hAnsi="Times New Roman"/>
          <w:b/>
          <w:sz w:val="20"/>
          <w:u w:val="single"/>
        </w:rPr>
        <w:t>é</w:t>
      </w:r>
      <w:r>
        <w:rPr>
          <w:rFonts w:ascii="Times New Roman" w:hAnsi="Times New Roman"/>
          <w:sz w:val="20"/>
        </w:rPr>
        <w:t>conomique (article 10 de la directive-cadre relative aux déchets).</w:t>
      </w:r>
    </w:p>
  </w:footnote>
  <w:footnote w:id="4">
    <w:p>
      <w:pPr>
        <w:pStyle w:val="FootnoteText"/>
        <w:ind w:left="426" w:hanging="426"/>
      </w:pPr>
      <w:r>
        <w:rPr>
          <w:rStyle w:val="FootnoteReference"/>
        </w:rPr>
        <w:footnoteRef/>
      </w:r>
      <w:r>
        <w:t xml:space="preserve"> </w:t>
      </w:r>
      <w:r>
        <w:tab/>
      </w:r>
      <w:hyperlink r:id="rId2">
        <w:r>
          <w:rPr>
            <w:rStyle w:val="Hyperlink"/>
          </w:rPr>
          <w:t>http://ec.europa.eu/environment/waste/framework/support_implementation_1st_phase.htm</w:t>
        </w:r>
      </w:hyperlink>
      <w:r>
        <w:t>.</w:t>
      </w:r>
    </w:p>
  </w:footnote>
  <w:footnote w:id="5">
    <w:p>
      <w:pPr>
        <w:pStyle w:val="FootnoteText"/>
        <w:ind w:left="426" w:hanging="426"/>
      </w:pPr>
      <w:r>
        <w:rPr>
          <w:rStyle w:val="FootnoteReference"/>
        </w:rPr>
        <w:footnoteRef/>
      </w:r>
      <w:r>
        <w:t xml:space="preserve"> </w:t>
      </w:r>
      <w:r>
        <w:tab/>
        <w:t>En 2009, 26 États membres ont atteint les objectifs de réutilisation et de recyclage des déchets d’outils électriques et électroniques. En 2012, 25 États membres ont atteint ces objectifs. En 2009, 24 États membres ont atteint les objectifs de réutilisation et de recyclage des déchets de lampes à décharge. En 2012, 23 États membres ont atteint ces objectifs. En 2009, 26 États membres ont atteint les objectifs de valorisation des déchets d’outils électriques et électroniques. En 2012, 25 États membres ont atteint ces objectifs.</w:t>
      </w:r>
    </w:p>
  </w:footnote>
  <w:footnote w:id="6">
    <w:p>
      <w:pPr>
        <w:pStyle w:val="FootnoteText"/>
        <w:ind w:left="426" w:hanging="426"/>
      </w:pPr>
      <w:r>
        <w:rPr>
          <w:rStyle w:val="FootnoteReference"/>
        </w:rPr>
        <w:footnoteRef/>
      </w:r>
      <w:r>
        <w:t xml:space="preserve"> </w:t>
      </w:r>
      <w:r>
        <w:tab/>
      </w:r>
      <w:hyperlink r:id="rId3">
        <w:r>
          <w:rPr>
            <w:rStyle w:val="Hyperlink"/>
          </w:rPr>
          <w:t>http://ec.europa.eu/environment/waste/target_review.htm</w:t>
        </w:r>
      </w:hyperlink>
      <w:r>
        <w:t xml:space="preserve"> </w:t>
      </w:r>
    </w:p>
  </w:footnote>
  <w:footnote w:id="7">
    <w:p>
      <w:pPr>
        <w:pStyle w:val="FootnoteText"/>
      </w:pPr>
      <w:r>
        <w:rPr>
          <w:rStyle w:val="FootnoteReference"/>
        </w:rPr>
        <w:footnoteRef/>
      </w:r>
      <w:r>
        <w:t xml:space="preserve"> </w:t>
      </w:r>
      <w:r>
        <w:tab/>
        <w:t>Rapports reçus des Régions wallonne et flamande mais pas de la Région Bruxelles-Capitale.</w:t>
      </w:r>
    </w:p>
  </w:footnote>
  <w:footnote w:id="8">
    <w:p>
      <w:pPr>
        <w:pStyle w:val="FootnoteText"/>
      </w:pPr>
      <w:r>
        <w:rPr>
          <w:rStyle w:val="FootnoteReference"/>
        </w:rPr>
        <w:footnoteRef/>
      </w:r>
      <w:r>
        <w:t xml:space="preserve"> </w:t>
      </w:r>
      <w:r>
        <w:tab/>
      </w:r>
      <w:r>
        <w:fldChar w:fldCharType="begin"/>
      </w:r>
      <w:r>
        <w:instrText xml:space="preserve"> ADDIN ZOTERO_ITEM CSL_CITATION {"citationID":"1u3vkbg542","properties":{"formattedCitation":"Commission Decision of 18 November 2011 establishing rules and calculation methods for verifying compliance with the targets set in Article 11(2) of Directive 2008/98/EC of the European Parliament and of the Council (2011/753/EU) (OJ L310/11)","plainCitation":"Commission Decision of 18 November 2011 establishing rules and calculation methods for verifying compliance with the targets set in Article 11(2) of Directive 2008/98/EC of the European Parliament and of the Council (2011/753/EU) (OJ L310/11)"},"citationItems":[{"id":18597,"uris":["http://zotero.org/groups/162180/items/IZTT2E3X"],"uri":["http://zotero.org/groups/162180/items/IZTT2E3X"],"itemData":{"id":18597,"type":"bill","title":"Commission Decision of 18 November 2011 establishing rules and calculation methods for verifying compliance with the targets set in Article 11(2) of Directive 2008/98/EC of the European Parliament and of the Council (2011/753/EU) (OJ L310/11)","URL":"http://eur-lex.europa.eu/legal-content/EN/TXT/PDF/?uri=CELEX:32011D0753&amp;from=EN","accessed":{"date-parts":[["2015",6,30]]}},"label":"page"}],"schema":"https://github.com/citation-style-language/schema/raw/master/csl-citation.json"} </w:instrText>
      </w:r>
      <w:r>
        <w:fldChar w:fldCharType="separate"/>
      </w:r>
      <w:r>
        <w:t>Décision de la Commission du 18 novembre 2011 établissant des règles et méthodes de calcul permettant de vérifier le respect des objectifs fixés à l’article 11, paragraphe 2, de la directive 2008/98/CE du Parlement européen et du Conseil (2011/753/UE) (JO L 310 du 25.11.2011, p.11)</w:t>
      </w:r>
      <w:r>
        <w:fldChar w:fldCharType="end"/>
      </w:r>
      <w:r>
        <w:t>.</w:t>
      </w:r>
    </w:p>
  </w:footnote>
  <w:footnote w:id="9">
    <w:p>
      <w:pPr>
        <w:pStyle w:val="FootnoteText"/>
      </w:pPr>
      <w:r>
        <w:rPr>
          <w:rStyle w:val="FootnoteReference"/>
        </w:rPr>
        <w:footnoteRef/>
      </w:r>
      <w:r>
        <w:t xml:space="preserve"> </w:t>
      </w:r>
      <w:r>
        <w:tab/>
      </w:r>
      <w:r>
        <w:fldChar w:fldCharType="begin"/>
      </w:r>
      <w:r>
        <w:instrText xml:space="preserve"> ADDIN ZOTERO_ITEM CSL_CITATION {"citationID":"29g3cqgn1f","properties":{"formattedCitation":"Commission Decision of 18 November 2011 establishing rules and calculation methods for verifying compliance with the targets set in Article 11(2) of Directive 2008/98/EC of the European Parliament and of the Council (2011/753/EU) (OJ L310/11)","plainCitation":"Commission Decision of 18 November 2011 establishing rules and calculation methods for verifying compliance with the targets set in Article 11(2) of Directive 2008/98/EC of the European Parliament and of the Council (2011/753/EU) (OJ L310/11)"},"citationItems":[{"id":18597,"uris":["http://zotero.org/groups/162180/items/IZTT2E3X"],"uri":["http://zotero.org/groups/162180/items/IZTT2E3X"],"itemData":{"id":18597,"type":"bill","title":"Commission Decision of 18 November 2011 establishing rules and calculation methods for verifying compliance with the targets set in Article 11(2) of Directive 2008/98/EC of the European Parliament and of the Council (2011/753/EU) (OJ L310/11)","URL":"http://eur-lex.europa.eu/legal-content/EN/TXT/PDF/?uri=CELEX:32011D0753&amp;from=EN","accessed":{"date-parts":[["2015",6,30]]}},"locator":"753","label":"page"}],"schema":"https://github.com/citation-style-language/schema/raw/master/csl-citation.json"} </w:instrText>
      </w:r>
      <w:r>
        <w:fldChar w:fldCharType="separate"/>
      </w:r>
      <w:r>
        <w:t>Décision de la Commission du 18 novembre 2011 établissant des règles et méthodes de calcul permettant de vérifier le respect des objectifs fixés à l’article 11, paragraphe 2, de la directive 2008/98/CE du Parlement européen et du Conseil (2011/753/UE) (JO L 310 du 25.11.2011, p.11)</w:t>
      </w:r>
      <w:r>
        <w:fldChar w:fldCharType="end"/>
      </w:r>
      <w:r>
        <w:t>.</w:t>
      </w:r>
    </w:p>
  </w:footnote>
  <w:footnote w:id="10">
    <w:p>
      <w:pPr>
        <w:pStyle w:val="FootnoteText"/>
        <w:rPr>
          <w:lang w:val="en-US"/>
        </w:rPr>
      </w:pPr>
      <w:r>
        <w:rPr>
          <w:rStyle w:val="FootnoteReference"/>
        </w:rPr>
        <w:footnoteRef/>
      </w:r>
      <w:r>
        <w:rPr>
          <w:lang w:val="en-US"/>
        </w:rPr>
        <w:t xml:space="preserve"> </w:t>
      </w:r>
      <w:r>
        <w:rPr>
          <w:lang w:val="en-US"/>
        </w:rPr>
        <w:tab/>
      </w:r>
      <w:r>
        <w:fldChar w:fldCharType="begin"/>
      </w:r>
      <w:r>
        <w:rPr>
          <w:lang w:val="en-US"/>
        </w:rPr>
        <w:instrText xml:space="preserve"> ADDIN ZOTERO_ITEM CSL_CITATION {"citationID":"1nfptsj40","properties":{"formattedCitation":"{\\rtf ARGUS (2014) \\i Compliance Reporting on Waste Framework Directive - Recycling and Recovery Rates for 2010, 2011 and 2012: Report on the validation of household waste data (draft)\\i0{}, December 2014}","plainCitation":"ARGUS (2014) Compliance Reporting on Waste Framework Directive - Recycling and Recovery Rates for 2010, 2011 and 2012: Report on the validation of household waste data (draft), December 2014"},"citationItems":[{"id":18299,"uris":["http://zotero.org/groups/162180/items/3TX9SV67"],"uri":["http://zotero.org/groups/162180/items/3TX9SV67"],"itemData":{"id":18299,"type":"report","title":"Compliance Reporting on Waste Framework Directive - Recycling and Recovery Rates for 2010, 2011 and 2012: Report on the validation of household waste data (draft)","author":[{"family":"ARGUS","given":""}],"issued":{"date-parts":[["2014",12,20]]},"accessed":{"date-parts":[["2015",7,23]]}}}],"schema":"https://github.com/citation-style-language/schema/raw/master/csl-citation.json"} </w:instrText>
      </w:r>
      <w:r>
        <w:fldChar w:fldCharType="separate"/>
      </w:r>
      <w:r>
        <w:rPr>
          <w:lang w:val="en-US"/>
        </w:rPr>
        <w:t xml:space="preserve">ARGUS (2014), </w:t>
      </w:r>
      <w:r>
        <w:rPr>
          <w:i/>
          <w:iCs/>
          <w:lang w:val="en-US"/>
        </w:rPr>
        <w:t>Compliance Reporting on Waste Framework Directive — Recycling and Recovery Rates for 2010, 2011 and 2012: Report on the validation of household waste data (draft)</w:t>
      </w:r>
      <w:r>
        <w:rPr>
          <w:lang w:val="en-US"/>
        </w:rPr>
        <w:t>, décembre 2014</w:t>
      </w:r>
      <w:r>
        <w:fldChar w:fldCharType="end"/>
      </w:r>
      <w:r>
        <w:rPr>
          <w:lang w:val="en-US"/>
        </w:rPr>
        <w:t>.</w:t>
      </w:r>
    </w:p>
  </w:footnote>
  <w:footnote w:id="11">
    <w:p>
      <w:pPr>
        <w:pStyle w:val="FootnoteText"/>
        <w:rPr>
          <w:lang w:val="en-US"/>
        </w:rPr>
      </w:pPr>
      <w:r>
        <w:rPr>
          <w:rStyle w:val="FootnoteReference"/>
        </w:rPr>
        <w:footnoteRef/>
      </w:r>
      <w:r>
        <w:rPr>
          <w:lang w:val="en-US"/>
        </w:rPr>
        <w:t xml:space="preserve"> </w:t>
      </w:r>
      <w:r>
        <w:rPr>
          <w:lang w:val="en-US"/>
        </w:rPr>
        <w:tab/>
      </w:r>
      <w:r>
        <w:fldChar w:fldCharType="begin"/>
      </w:r>
      <w:r>
        <w:rPr>
          <w:lang w:val="en-US"/>
        </w:rPr>
        <w:instrText xml:space="preserve"> ADDIN ZOTERO_ITEM CSL_CITATION {"citationID":"1lq61s4doi","properties":{"formattedCitation":"{\\rtf ARGUS (2014) \\i Compliance Reporting on Waste Framework Directive - Recycling and Recovery Rates for 2010, 2011 and 2012: Report on the validation of construction and demolition waste data (draft)\\i0{}, October 2014}","plainCitation":"ARGUS (2014) Compliance Reporting on Waste Framework Directive - Recycling and Recovery Rates for 2010, 2011 and 2012: Report on the validation of construction and demolition waste data (draft), October 2014"},"citationItems":[{"id":18305,"uris":["http://zotero.org/groups/162180/items/AF5JGGG8"],"uri":["http://zotero.org/groups/162180/items/AF5JGGG8"],"itemData":{"id":18305,"type":"report","title":"Compliance Reporting on Waste Framework Directive - Recycling and Recovery Rates for 2010, 2011 and 2012: Report on the validation of construction and demolition waste data (draft)","author":[{"family":"ARGUS","given":""}],"issued":{"date-parts":[["2014",10,29]]},"accessed":{"date-parts":[["2015",7,23]]}}}],"schema":"https://github.com/citation-style-language/schema/raw/master/csl-citation.json"} </w:instrText>
      </w:r>
      <w:r>
        <w:fldChar w:fldCharType="separate"/>
      </w:r>
      <w:r>
        <w:rPr>
          <w:lang w:val="en-US"/>
        </w:rPr>
        <w:t xml:space="preserve">ARGUS (2014) </w:t>
      </w:r>
      <w:r>
        <w:rPr>
          <w:i/>
          <w:iCs/>
          <w:lang w:val="en-US"/>
        </w:rPr>
        <w:t>Compliance Reporting on Waste Framework Directive — Recycling and Recovery Rates for 2010, 2011 and 2012: Report on the validation of construction and demolition waste data (draft)</w:t>
      </w:r>
      <w:r>
        <w:rPr>
          <w:lang w:val="en-US"/>
        </w:rPr>
        <w:t>, octobre 2014</w:t>
      </w:r>
      <w:r>
        <w:fldChar w:fldCharType="end"/>
      </w:r>
      <w:r>
        <w:rPr>
          <w:lang w:val="en-US"/>
        </w:rPr>
        <w:t>.</w:t>
      </w:r>
    </w:p>
  </w:footnote>
  <w:footnote w:id="12">
    <w:p>
      <w:pPr>
        <w:pStyle w:val="FootnoteText"/>
      </w:pPr>
      <w:r>
        <w:rPr>
          <w:rStyle w:val="FootnoteReference"/>
        </w:rPr>
        <w:footnoteRef/>
      </w:r>
      <w:r>
        <w:t xml:space="preserve"> </w:t>
      </w:r>
      <w:r>
        <w:tab/>
        <w:t>Stockage souterrain et à long terme.</w:t>
      </w:r>
    </w:p>
  </w:footnote>
  <w:footnote w:id="13">
    <w:p>
      <w:pPr>
        <w:pStyle w:val="FootnoteText"/>
      </w:pPr>
      <w:r>
        <w:rPr>
          <w:rStyle w:val="FootnoteReference"/>
        </w:rPr>
        <w:footnoteRef/>
      </w:r>
      <w:r>
        <w:t xml:space="preserve"> </w:t>
      </w:r>
      <w:r>
        <w:tab/>
        <w:t>Décharges de déblais.</w:t>
      </w:r>
    </w:p>
  </w:footnote>
  <w:footnote w:id="14">
    <w:p>
      <w:pPr>
        <w:pStyle w:val="FootnoteText"/>
        <w:rPr>
          <w:lang w:val="ca-ES"/>
        </w:rPr>
      </w:pPr>
      <w:r>
        <w:rPr>
          <w:rStyle w:val="FootnoteReference"/>
        </w:rPr>
        <w:footnoteRef/>
      </w:r>
      <w:r>
        <w:t xml:space="preserve"> </w:t>
      </w:r>
      <w:r>
        <w:tab/>
        <w:t>La décharge a été construite avant la publication de la directive.</w:t>
      </w:r>
    </w:p>
  </w:footnote>
  <w:footnote w:id="15">
    <w:p>
      <w:pPr>
        <w:pStyle w:val="FootnoteText"/>
      </w:pPr>
      <w:r>
        <w:rPr>
          <w:rStyle w:val="FootnoteReference"/>
        </w:rPr>
        <w:footnoteRef/>
      </w:r>
      <w:r>
        <w:t xml:space="preserve"> </w:t>
      </w:r>
      <w:r>
        <w:tab/>
        <w:t>Déchets industriels non dangereux.</w:t>
      </w:r>
    </w:p>
  </w:footnote>
  <w:footnote w:id="16">
    <w:p>
      <w:pPr>
        <w:pStyle w:val="FootnoteText"/>
      </w:pPr>
      <w:r>
        <w:rPr>
          <w:rStyle w:val="FootnoteReference"/>
        </w:rPr>
        <w:footnoteRef/>
      </w:r>
      <w:r>
        <w:t xml:space="preserve"> Les chiffres soumis par les Pays-Bas dans le questionnaire relatif à la mise en œuvre 2010-2012 ne font pas de distinction entre les décharges de déchets dangereux, non dangereux ou inertes. </w:t>
      </w:r>
    </w:p>
  </w:footnote>
  <w:footnote w:id="17">
    <w:p>
      <w:pPr>
        <w:pStyle w:val="FootnoteText"/>
      </w:pPr>
      <w:r>
        <w:rPr>
          <w:rStyle w:val="FootnoteReference"/>
        </w:rPr>
        <w:footnoteRef/>
      </w:r>
      <w:r>
        <w:t xml:space="preserve"> Les chiffres soumis par la Roumanie dans le questionnaire relatif à la mise en œuvre 2010-2012 ne font pas de distinction entre les décharges de déchets dangereux, non dangereux ou inertes.</w:t>
      </w:r>
    </w:p>
  </w:footnote>
  <w:footnote w:id="18">
    <w:p>
      <w:pPr>
        <w:pStyle w:val="FootnoteText"/>
        <w:rPr>
          <w:lang w:val="ca-ES"/>
        </w:rPr>
      </w:pPr>
      <w:r>
        <w:rPr>
          <w:rStyle w:val="FootnoteReference"/>
        </w:rPr>
        <w:footnoteRef/>
      </w:r>
      <w:r>
        <w:t xml:space="preserve"> Estimation d’Eurostat (fermeture progressive des sites).</w:t>
      </w:r>
    </w:p>
  </w:footnote>
  <w:footnote w:id="19">
    <w:p>
      <w:pPr>
        <w:pStyle w:val="FootnoteText"/>
      </w:pPr>
      <w:r>
        <w:rPr>
          <w:rStyle w:val="FootnoteReference"/>
        </w:rPr>
        <w:footnoteRef/>
      </w:r>
      <w:r>
        <w:t xml:space="preserve"> Estimation d’Eurostat (fermeture progressive des sites).</w:t>
      </w:r>
    </w:p>
  </w:footnote>
  <w:footnote w:id="20">
    <w:p>
      <w:pPr>
        <w:pStyle w:val="FootnoteText"/>
      </w:pPr>
      <w:r>
        <w:rPr>
          <w:rStyle w:val="FootnoteReference"/>
        </w:rPr>
        <w:footnoteRef/>
      </w:r>
      <w:r>
        <w:t xml:space="preserve"> Estimation d’Eurostat (fermeture progressive des sites).</w:t>
      </w:r>
    </w:p>
  </w:footnote>
  <w:footnote w:id="21">
    <w:p>
      <w:pPr>
        <w:pStyle w:val="FootnoteText"/>
      </w:pPr>
      <w:r>
        <w:rPr>
          <w:rStyle w:val="FootnoteReference"/>
        </w:rPr>
        <w:footnoteRef/>
      </w:r>
      <w:r>
        <w:t xml:space="preserve"> Ces chiffres comprennent les décharges pour les déchets minéraux et les décharges pour les déchets mélangés.</w:t>
      </w:r>
    </w:p>
  </w:footnote>
  <w:footnote w:id="22">
    <w:p>
      <w:pPr>
        <w:pStyle w:val="FootnoteText"/>
        <w:rPr>
          <w:lang w:val="ca-ES"/>
        </w:rPr>
      </w:pPr>
      <w:r>
        <w:rPr>
          <w:rStyle w:val="FootnoteReference"/>
        </w:rPr>
        <w:footnoteRef/>
      </w:r>
      <w:r>
        <w:t xml:space="preserve"> Les données se réfèrent à l’un des deux sites.</w:t>
      </w:r>
    </w:p>
  </w:footnote>
  <w:footnote w:id="23">
    <w:p>
      <w:pPr>
        <w:pStyle w:val="FootnoteText"/>
      </w:pPr>
      <w:r>
        <w:rPr>
          <w:rStyle w:val="FootnoteReference"/>
        </w:rPr>
        <w:footnoteRef/>
      </w:r>
      <w:r>
        <w:t xml:space="preserve"> Les chiffres soumis par les Pays-Bas dans le questionnaire relatif à la mise en œuvre 2010-2012 ne font pas de distinction entre les décharges de déchets dangereux, non dangereux ou inertes.</w:t>
      </w:r>
    </w:p>
  </w:footnote>
  <w:footnote w:id="24">
    <w:p>
      <w:pPr>
        <w:pStyle w:val="FootnoteText"/>
      </w:pPr>
      <w:r>
        <w:rPr>
          <w:rStyle w:val="FootnoteReference"/>
        </w:rPr>
        <w:footnoteRef/>
      </w:r>
      <w:r>
        <w:t xml:space="preserve"> Les chiffres soumis par la Roumanie dans le questionnaire relatif à la mise en œuvre 2010-2012 ne font pas de distinction entre les décharges de déchets dangereux, non dangereux ou inertes.</w:t>
      </w:r>
    </w:p>
  </w:footnote>
  <w:footnote w:id="25">
    <w:p>
      <w:pPr>
        <w:pStyle w:val="FootnoteText"/>
        <w:rPr>
          <w:lang w:val="ca-ES"/>
        </w:rPr>
      </w:pPr>
      <w:r>
        <w:rPr>
          <w:rStyle w:val="FootnoteReference"/>
        </w:rPr>
        <w:footnoteRef/>
      </w:r>
      <w:r>
        <w:t xml:space="preserve"> Estimation d’Eurostat (fermeture progressive des sites).</w:t>
      </w:r>
    </w:p>
  </w:footnote>
  <w:footnote w:id="26">
    <w:p>
      <w:pPr>
        <w:pStyle w:val="FootnoteText"/>
      </w:pPr>
      <w:r>
        <w:rPr>
          <w:rStyle w:val="FootnoteReference"/>
        </w:rPr>
        <w:footnoteRef/>
      </w:r>
      <w:r>
        <w:t xml:space="preserve"> Estimation d’Eurostat (fermeture progressive des sites).</w:t>
      </w:r>
    </w:p>
  </w:footnote>
  <w:footnote w:id="27">
    <w:p>
      <w:pPr>
        <w:pStyle w:val="FootnoteText"/>
      </w:pPr>
      <w:r>
        <w:rPr>
          <w:rStyle w:val="FootnoteReference"/>
        </w:rPr>
        <w:footnoteRef/>
      </w:r>
      <w:r>
        <w:t xml:space="preserve"> Estimation d’Eurostat (fermeture progressive des sites).</w:t>
      </w:r>
    </w:p>
  </w:footnote>
  <w:footnote w:id="28">
    <w:p>
      <w:pPr>
        <w:pStyle w:val="FootnoteText"/>
      </w:pPr>
      <w:r>
        <w:rPr>
          <w:rStyle w:val="FootnoteReference"/>
        </w:rPr>
        <w:footnoteRef/>
      </w:r>
      <w:r>
        <w:rPr>
          <w:i/>
        </w:rPr>
        <w:t xml:space="preserve"> Base de données d’Eurostat.</w:t>
      </w:r>
      <w:r>
        <w:br/>
        <w:t xml:space="preserve">Disponible à l’adresse suivante: </w:t>
      </w:r>
      <w:hyperlink r:id="rId4">
        <w:r>
          <w:rPr>
            <w:rStyle w:val="Hyperlink"/>
            <w:rFonts w:ascii="Times New Roman" w:hAnsi="Times New Roman"/>
          </w:rPr>
          <w:t>http://ec.europa.eu/eurostat/web/environment/waste/database</w:t>
        </w:r>
      </w:hyperlink>
      <w:r>
        <w:t>. Le tableau reprend toutes les données disponibles au moment de la rédaction du présent rapport.</w:t>
      </w:r>
    </w:p>
  </w:footnote>
  <w:footnote w:id="29">
    <w:p>
      <w:pPr>
        <w:pStyle w:val="FootnoteText"/>
      </w:pPr>
      <w:r>
        <w:rPr>
          <w:rStyle w:val="FootnoteReference"/>
        </w:rPr>
        <w:footnoteRef/>
      </w:r>
      <w:r>
        <w:t xml:space="preserve"> À des fins de comparaison, les taux de collecte ont été calculés comme le taux moyen pour l’ensemble des types de piles et d’accumulateurs.</w:t>
      </w:r>
    </w:p>
  </w:footnote>
  <w:footnote w:id="30">
    <w:p>
      <w:pPr>
        <w:pStyle w:val="FootnoteText"/>
      </w:pPr>
      <w:r>
        <w:rPr>
          <w:rStyle w:val="FootnoteReference"/>
        </w:rPr>
        <w:footnoteRef/>
      </w:r>
      <w:r>
        <w:t xml:space="preserve"> L’année de données la plus récente de chaque État membre a été utilisée afin d’établir le rendement de recyclage pour l’ensemble des types de piles et d’accumulateurs entre 2010 et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50C4530"/>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B1D2727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6174D61"/>
    <w:multiLevelType w:val="multilevel"/>
    <w:tmpl w:val="F306DBE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nsid w:val="065A4DF6"/>
    <w:multiLevelType w:val="multilevel"/>
    <w:tmpl w:val="F8E622EE"/>
    <w:styleLink w:val="Style1"/>
    <w:lvl w:ilvl="0">
      <w:start w:val="1"/>
      <w:numFmt w:val="decimal"/>
      <w:lvlText w:val="%1)"/>
      <w:lvlJc w:val="left"/>
      <w:pPr>
        <w:ind w:left="720" w:hanging="360"/>
      </w:pPr>
      <w:rPr>
        <w:rFonts w:hint="default"/>
        <w:color w:val="F15D25"/>
      </w:rPr>
    </w:lvl>
    <w:lvl w:ilvl="1">
      <w:start w:val="1"/>
      <w:numFmt w:val="lowerLetter"/>
      <w:lvlText w:val="%2."/>
      <w:lvlJc w:val="left"/>
      <w:pPr>
        <w:ind w:left="1440" w:hanging="360"/>
      </w:pPr>
      <w:rPr>
        <w:rFonts w:hint="default"/>
        <w:color w:val="F15D25"/>
      </w:rPr>
    </w:lvl>
    <w:lvl w:ilvl="2">
      <w:start w:val="1"/>
      <w:numFmt w:val="lowerRoman"/>
      <w:lvlText w:val="%3."/>
      <w:lvlJc w:val="right"/>
      <w:pPr>
        <w:ind w:left="2160" w:hanging="180"/>
      </w:pPr>
      <w:rPr>
        <w:rFonts w:hint="default"/>
        <w:color w:val="F15D25"/>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77537A9"/>
    <w:multiLevelType w:val="multilevel"/>
    <w:tmpl w:val="0809001D"/>
    <w:styleLink w:val="EunomiaStyleBullets"/>
    <w:lvl w:ilvl="0">
      <w:start w:val="1"/>
      <w:numFmt w:val="bullet"/>
      <w:lvlText w:val=""/>
      <w:lvlJc w:val="left"/>
      <w:pPr>
        <w:ind w:left="360" w:hanging="360"/>
      </w:pPr>
      <w:rPr>
        <w:rFonts w:ascii="Symbol" w:hAnsi="Symbol" w:hint="default"/>
        <w:color w:val="F15D25"/>
      </w:rPr>
    </w:lvl>
    <w:lvl w:ilvl="1">
      <w:start w:val="1"/>
      <w:numFmt w:val="bullet"/>
      <w:lvlText w:val="o"/>
      <w:lvlJc w:val="left"/>
      <w:pPr>
        <w:ind w:left="720" w:hanging="360"/>
      </w:pPr>
      <w:rPr>
        <w:rFonts w:ascii="Symbol" w:hAnsi="Symbol" w:hint="default"/>
        <w:color w:val="F15D25"/>
      </w:rPr>
    </w:lvl>
    <w:lvl w:ilvl="2">
      <w:start w:val="1"/>
      <w:numFmt w:val="bullet"/>
      <w:lvlText w:val=""/>
      <w:lvlJc w:val="left"/>
      <w:pPr>
        <w:ind w:left="1080" w:hanging="360"/>
      </w:pPr>
      <w:rPr>
        <w:rFonts w:ascii="Wingdings" w:hAnsi="Wingdings" w:hint="default"/>
        <w:color w:val="F15D25"/>
      </w:rPr>
    </w:lvl>
    <w:lvl w:ilvl="3">
      <w:start w:val="1"/>
      <w:numFmt w:val="bullet"/>
      <w:lvlText w:val=""/>
      <w:lvlJc w:val="left"/>
      <w:pPr>
        <w:ind w:left="1440" w:hanging="360"/>
      </w:pPr>
      <w:rPr>
        <w:rFonts w:ascii="Symbol" w:hAnsi="Symbol" w:hint="default"/>
        <w:color w:val="F15D25"/>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C8F019A"/>
    <w:multiLevelType w:val="multilevel"/>
    <w:tmpl w:val="0409001D"/>
    <w:styleLink w:val="StyleNumbered"/>
    <w:lvl w:ilvl="0">
      <w:start w:val="1"/>
      <w:numFmt w:val="decimal"/>
      <w:lvlText w:val="%1)"/>
      <w:lvlJc w:val="left"/>
      <w:pPr>
        <w:tabs>
          <w:tab w:val="num" w:pos="360"/>
        </w:tabs>
        <w:ind w:left="360" w:hanging="360"/>
      </w:pPr>
      <w:rPr>
        <w:rFonts w:ascii="Franklin Gothic Book" w:hAnsi="Franklin Gothic Book"/>
        <w:color w:val="auto"/>
        <w:sz w:val="24"/>
      </w:rPr>
    </w:lvl>
    <w:lvl w:ilvl="1">
      <w:start w:val="1"/>
      <w:numFmt w:val="upperLetter"/>
      <w:lvlText w:val="%2)"/>
      <w:lvlJc w:val="left"/>
      <w:pPr>
        <w:tabs>
          <w:tab w:val="num" w:pos="720"/>
        </w:tabs>
        <w:ind w:left="720" w:hanging="360"/>
      </w:pPr>
      <w:rPr>
        <w:rFonts w:ascii="Franklin Gothic Book" w:hAnsi="Franklin Gothic Book"/>
        <w:color w:val="auto"/>
        <w:sz w:val="24"/>
      </w:rPr>
    </w:lvl>
    <w:lvl w:ilvl="2">
      <w:start w:val="1"/>
      <w:numFmt w:val="lowerRoman"/>
      <w:lvlText w:val="%3)"/>
      <w:lvlJc w:val="left"/>
      <w:pPr>
        <w:tabs>
          <w:tab w:val="num" w:pos="1080"/>
        </w:tabs>
        <w:ind w:left="1080" w:hanging="360"/>
      </w:pPr>
      <w:rPr>
        <w:rFonts w:ascii="Franklin Gothic Book" w:hAnsi="Franklin Gothic Book"/>
        <w:color w:val="auto"/>
        <w:sz w:val="24"/>
      </w:rPr>
    </w:lvl>
    <w:lvl w:ilvl="3">
      <w:start w:val="1"/>
      <w:numFmt w:val="lowerLetter"/>
      <w:lvlText w:val="(%4)"/>
      <w:lvlJc w:val="left"/>
      <w:pPr>
        <w:tabs>
          <w:tab w:val="num" w:pos="1440"/>
        </w:tabs>
        <w:ind w:left="1440" w:hanging="360"/>
      </w:pPr>
      <w:rPr>
        <w:rFonts w:ascii="Franklin Gothic Book" w:hAnsi="Franklin Gothic Book"/>
        <w:color w:val="auto"/>
        <w:sz w:val="24"/>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49C4A68"/>
    <w:multiLevelType w:val="hybridMultilevel"/>
    <w:tmpl w:val="F8E622EE"/>
    <w:lvl w:ilvl="0" w:tplc="FC944400">
      <w:start w:val="1"/>
      <w:numFmt w:val="decimal"/>
      <w:pStyle w:val="StyleNumbering"/>
      <w:lvlText w:val="%1)"/>
      <w:lvlJc w:val="left"/>
      <w:pPr>
        <w:ind w:left="720" w:hanging="360"/>
      </w:pPr>
      <w:rPr>
        <w:rFonts w:hint="default"/>
        <w:color w:val="F15D25"/>
      </w:rPr>
    </w:lvl>
    <w:lvl w:ilvl="1" w:tplc="CB60A54C">
      <w:start w:val="1"/>
      <w:numFmt w:val="lowerLetter"/>
      <w:lvlText w:val="%2."/>
      <w:lvlJc w:val="left"/>
      <w:pPr>
        <w:ind w:left="1440" w:hanging="360"/>
      </w:pPr>
      <w:rPr>
        <w:rFonts w:hint="default"/>
        <w:color w:val="F15D25"/>
      </w:rPr>
    </w:lvl>
    <w:lvl w:ilvl="2" w:tplc="93B29D46">
      <w:start w:val="1"/>
      <w:numFmt w:val="lowerRoman"/>
      <w:lvlText w:val="%3."/>
      <w:lvlJc w:val="right"/>
      <w:pPr>
        <w:ind w:left="2160" w:hanging="180"/>
      </w:pPr>
      <w:rPr>
        <w:rFonts w:hint="default"/>
        <w:color w:val="F15D25"/>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56B4C3C"/>
    <w:multiLevelType w:val="hybridMultilevel"/>
    <w:tmpl w:val="280A79BA"/>
    <w:lvl w:ilvl="0" w:tplc="4790B7EE">
      <w:start w:val="1"/>
      <w:numFmt w:val="bullet"/>
      <w:lvlText w:val=""/>
      <w:lvlJc w:val="left"/>
      <w:pPr>
        <w:ind w:left="360" w:hanging="360"/>
      </w:pPr>
      <w:rPr>
        <w:rFonts w:ascii="Wingdings 2" w:hAnsi="Wingdings 2" w:hint="default"/>
        <w:color w:val="FFC00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62362F8"/>
    <w:multiLevelType w:val="hybridMultilevel"/>
    <w:tmpl w:val="26B44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B4E095F"/>
    <w:multiLevelType w:val="hybridMultilevel"/>
    <w:tmpl w:val="50E4A4DE"/>
    <w:lvl w:ilvl="0" w:tplc="51A80522">
      <w:start w:val="1"/>
      <w:numFmt w:val="bullet"/>
      <w:lvlText w:val=""/>
      <w:lvlJc w:val="left"/>
      <w:pPr>
        <w:ind w:left="360" w:hanging="360"/>
      </w:pPr>
      <w:rPr>
        <w:rFonts w:ascii="Wingdings 2" w:hAnsi="Wingdings 2" w:hint="default"/>
        <w:color w:val="76923C" w:themeColor="accent3" w:themeShade="BF"/>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B18396D"/>
    <w:multiLevelType w:val="multilevel"/>
    <w:tmpl w:val="120CDC52"/>
    <w:styleLink w:val="StyleEunomiaBullets"/>
    <w:lvl w:ilvl="0">
      <w:start w:val="1"/>
      <w:numFmt w:val="bullet"/>
      <w:lvlText w:val=""/>
      <w:lvlJc w:val="left"/>
      <w:pPr>
        <w:ind w:left="1080" w:hanging="360"/>
      </w:pPr>
      <w:rPr>
        <w:rFonts w:ascii="Symbol" w:hAnsi="Symbol" w:hint="default"/>
        <w:color w:val="F15D25"/>
      </w:rPr>
    </w:lvl>
    <w:lvl w:ilvl="1">
      <w:start w:val="1"/>
      <w:numFmt w:val="bullet"/>
      <w:lvlText w:val="o"/>
      <w:lvlJc w:val="left"/>
      <w:pPr>
        <w:ind w:left="1800" w:hanging="360"/>
      </w:pPr>
      <w:rPr>
        <w:rFonts w:ascii="Courier New" w:hAnsi="Courier New" w:hint="default"/>
        <w:color w:val="F15D25"/>
      </w:rPr>
    </w:lvl>
    <w:lvl w:ilvl="2">
      <w:start w:val="1"/>
      <w:numFmt w:val="bullet"/>
      <w:lvlText w:val=""/>
      <w:lvlJc w:val="left"/>
      <w:pPr>
        <w:ind w:left="2520" w:hanging="360"/>
      </w:pPr>
      <w:rPr>
        <w:rFonts w:ascii="Wingdings" w:hAnsi="Wingdings" w:hint="default"/>
        <w:color w:val="F15D25"/>
      </w:rPr>
    </w:lvl>
    <w:lvl w:ilvl="3">
      <w:start w:val="1"/>
      <w:numFmt w:val="bullet"/>
      <w:lvlText w:val=""/>
      <w:lvlJc w:val="left"/>
      <w:pPr>
        <w:ind w:left="3240" w:hanging="360"/>
      </w:pPr>
      <w:rPr>
        <w:rFonts w:ascii="Symbol" w:hAnsi="Symbol" w:hint="default"/>
        <w:color w:val="F15D25"/>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nsid w:val="3EBC75DA"/>
    <w:multiLevelType w:val="multilevel"/>
    <w:tmpl w:val="2B3E734A"/>
    <w:styleLink w:val="StyleBulleted"/>
    <w:lvl w:ilvl="0">
      <w:start w:val="1"/>
      <w:numFmt w:val="bullet"/>
      <w:lvlText w:val=""/>
      <w:lvlJc w:val="left"/>
      <w:pPr>
        <w:tabs>
          <w:tab w:val="num" w:pos="720"/>
        </w:tabs>
        <w:ind w:left="720" w:hanging="360"/>
      </w:pPr>
      <w:rPr>
        <w:rFonts w:ascii="Wingdings" w:hAnsi="Wingdings" w:hint="default"/>
        <w:color w:val="808000"/>
        <w:sz w:val="24"/>
        <w:szCs w:val="24"/>
      </w:rPr>
    </w:lvl>
    <w:lvl w:ilvl="1">
      <w:start w:val="1"/>
      <w:numFmt w:val="bullet"/>
      <w:lvlText w:val=""/>
      <w:lvlJc w:val="left"/>
      <w:pPr>
        <w:tabs>
          <w:tab w:val="num" w:pos="1440"/>
        </w:tabs>
        <w:ind w:left="1440" w:hanging="360"/>
      </w:pPr>
      <w:rPr>
        <w:rFonts w:ascii="Symbol" w:hAnsi="Symbol" w:cs="Courier New"/>
        <w:color w:val="808000"/>
      </w:rPr>
    </w:lvl>
    <w:lvl w:ilvl="2">
      <w:start w:val="1"/>
      <w:numFmt w:val="bullet"/>
      <w:lvlText w:val="o"/>
      <w:lvlJc w:val="left"/>
      <w:pPr>
        <w:tabs>
          <w:tab w:val="num" w:pos="2160"/>
        </w:tabs>
        <w:ind w:left="2160" w:hanging="360"/>
      </w:pPr>
      <w:rPr>
        <w:rFonts w:ascii="Courier New" w:hAnsi="Courier New"/>
        <w:color w:val="808000"/>
      </w:rPr>
    </w:lvl>
    <w:lvl w:ilvl="3">
      <w:start w:val="1"/>
      <w:numFmt w:val="bullet"/>
      <w:lvlText w:val=""/>
      <w:lvlJc w:val="left"/>
      <w:pPr>
        <w:tabs>
          <w:tab w:val="num" w:pos="2880"/>
        </w:tabs>
        <w:ind w:left="2880" w:hanging="360"/>
      </w:pPr>
      <w:rPr>
        <w:rFonts w:ascii="Symbol" w:hAnsi="Symbol"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FD757FD"/>
    <w:multiLevelType w:val="multilevel"/>
    <w:tmpl w:val="750CCF96"/>
    <w:lvl w:ilvl="0">
      <w:start w:val="1"/>
      <w:numFmt w:val="decimal"/>
      <w:pStyle w:val="ExecSummHead1"/>
      <w:lvlText w:val="E.%1.0"/>
      <w:lvlJc w:val="left"/>
      <w:pPr>
        <w:tabs>
          <w:tab w:val="num" w:pos="432"/>
        </w:tabs>
        <w:ind w:left="432" w:hanging="432"/>
      </w:pPr>
      <w:rPr>
        <w:rFonts w:hint="default"/>
      </w:rPr>
    </w:lvl>
    <w:lvl w:ilvl="1">
      <w:start w:val="1"/>
      <w:numFmt w:val="decimal"/>
      <w:pStyle w:val="ExecSummHead2"/>
      <w:lvlText w:val="E.%1.%2"/>
      <w:lvlJc w:val="left"/>
      <w:pPr>
        <w:tabs>
          <w:tab w:val="num" w:pos="576"/>
        </w:tabs>
        <w:ind w:left="576" w:hanging="576"/>
      </w:pPr>
      <w:rPr>
        <w:rFonts w:hint="default"/>
      </w:rPr>
    </w:lvl>
    <w:lvl w:ilvl="2">
      <w:start w:val="1"/>
      <w:numFmt w:val="decimal"/>
      <w:pStyle w:val="ExecSummHead3"/>
      <w:lvlText w:val="%1.%2.%3"/>
      <w:lvlJc w:val="left"/>
      <w:pPr>
        <w:tabs>
          <w:tab w:val="num" w:pos="720"/>
        </w:tabs>
        <w:ind w:left="720" w:hanging="720"/>
      </w:pPr>
      <w:rPr>
        <w:rFonts w:hint="default"/>
      </w:rPr>
    </w:lvl>
    <w:lvl w:ilvl="3">
      <w:start w:val="1"/>
      <w:numFmt w:val="decimal"/>
      <w:pStyle w:val="ExecSummHead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42D82A2F"/>
    <w:multiLevelType w:val="hybridMultilevel"/>
    <w:tmpl w:val="D93C8F72"/>
    <w:lvl w:ilvl="0" w:tplc="6F7431E4">
      <w:start w:val="1"/>
      <w:numFmt w:val="bullet"/>
      <w:lvlText w:val=""/>
      <w:lvlJc w:val="left"/>
      <w:pPr>
        <w:ind w:left="360" w:hanging="360"/>
      </w:pPr>
      <w:rPr>
        <w:rFonts w:ascii="Wingdings 2" w:hAnsi="Wingdings 2" w:hint="default"/>
        <w:color w:val="E36C0A" w:themeColor="accent6" w:themeShade="BF"/>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6EB6DFD"/>
    <w:multiLevelType w:val="hybridMultilevel"/>
    <w:tmpl w:val="90F82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811074E"/>
    <w:multiLevelType w:val="hybridMultilevel"/>
    <w:tmpl w:val="D64228A6"/>
    <w:lvl w:ilvl="0" w:tplc="CFEC181E">
      <w:start w:val="1"/>
      <w:numFmt w:val="bullet"/>
      <w:lvlText w:val=""/>
      <w:lvlJc w:val="left"/>
      <w:pPr>
        <w:ind w:left="360" w:hanging="360"/>
      </w:pPr>
      <w:rPr>
        <w:rFonts w:ascii="Wingdings 2" w:hAnsi="Wingdings 2" w:hint="default"/>
        <w:color w:val="548DD4" w:themeColor="text2" w:themeTint="9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0A435D2"/>
    <w:multiLevelType w:val="hybridMultilevel"/>
    <w:tmpl w:val="6F3825EA"/>
    <w:lvl w:ilvl="0" w:tplc="EE524476">
      <w:start w:val="67"/>
      <w:numFmt w:val="bullet"/>
      <w:pStyle w:val="AppendixHeading3"/>
      <w:lvlText w:val="-"/>
      <w:lvlJc w:val="left"/>
      <w:pPr>
        <w:ind w:left="360" w:hanging="360"/>
      </w:pPr>
      <w:rPr>
        <w:rFonts w:ascii="Calibri" w:eastAsia="Times New Roman" w:hAnsi="Calibri" w:cs="Times New Roman" w:hint="default"/>
        <w:b w:val="0"/>
        <w:sz w:val="4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62E06460"/>
    <w:multiLevelType w:val="hybridMultilevel"/>
    <w:tmpl w:val="542A2E92"/>
    <w:lvl w:ilvl="0" w:tplc="5528470E">
      <w:start w:val="1"/>
      <w:numFmt w:val="bullet"/>
      <w:lvlText w:val=""/>
      <w:lvlJc w:val="left"/>
      <w:pPr>
        <w:ind w:left="357" w:hanging="360"/>
      </w:pPr>
      <w:rPr>
        <w:rFonts w:ascii="Wingdings 2" w:hAnsi="Wingdings 2" w:hint="default"/>
        <w:color w:val="76923C" w:themeColor="accent3" w:themeShade="BF"/>
        <w:sz w:val="24"/>
        <w:szCs w:val="24"/>
      </w:rPr>
    </w:lvl>
    <w:lvl w:ilvl="1" w:tplc="08090003" w:tentative="1">
      <w:start w:val="1"/>
      <w:numFmt w:val="bullet"/>
      <w:lvlText w:val="o"/>
      <w:lvlJc w:val="left"/>
      <w:pPr>
        <w:ind w:left="1077" w:hanging="360"/>
      </w:pPr>
      <w:rPr>
        <w:rFonts w:ascii="Courier New" w:hAnsi="Courier New" w:cs="Courier New"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18">
    <w:nsid w:val="69D02016"/>
    <w:multiLevelType w:val="hybridMultilevel"/>
    <w:tmpl w:val="F9EC5BD4"/>
    <w:lvl w:ilvl="0" w:tplc="61BA9E5E">
      <w:start w:val="1"/>
      <w:numFmt w:val="decimal"/>
      <w:pStyle w:val="NumberedParagraphs"/>
      <w:lvlText w:val="%1."/>
      <w:lvlJc w:val="left"/>
      <w:pPr>
        <w:ind w:left="36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CE4259E"/>
    <w:multiLevelType w:val="hybridMultilevel"/>
    <w:tmpl w:val="8FFAD5D0"/>
    <w:lvl w:ilvl="0" w:tplc="08090001">
      <w:start w:val="1"/>
      <w:numFmt w:val="bullet"/>
      <w:lvlText w:val=""/>
      <w:lvlJc w:val="left"/>
      <w:pPr>
        <w:ind w:left="720" w:hanging="360"/>
      </w:pPr>
      <w:rPr>
        <w:rFonts w:ascii="Symbol" w:hAnsi="Symbo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46F1241"/>
    <w:multiLevelType w:val="hybridMultilevel"/>
    <w:tmpl w:val="B1906720"/>
    <w:lvl w:ilvl="0" w:tplc="969C553E">
      <w:start w:val="1"/>
      <w:numFmt w:val="bullet"/>
      <w:lvlText w:val=""/>
      <w:lvlJc w:val="left"/>
      <w:pPr>
        <w:ind w:left="357" w:hanging="360"/>
      </w:pPr>
      <w:rPr>
        <w:rFonts w:ascii="Wingdings 2" w:hAnsi="Wingdings 2" w:hint="default"/>
        <w:color w:val="FFC000"/>
        <w:sz w:val="24"/>
        <w:szCs w:val="24"/>
      </w:rPr>
    </w:lvl>
    <w:lvl w:ilvl="1" w:tplc="08090003" w:tentative="1">
      <w:start w:val="1"/>
      <w:numFmt w:val="bullet"/>
      <w:lvlText w:val="o"/>
      <w:lvlJc w:val="left"/>
      <w:pPr>
        <w:ind w:left="1077" w:hanging="360"/>
      </w:pPr>
      <w:rPr>
        <w:rFonts w:ascii="Courier New" w:hAnsi="Courier New" w:cs="Courier New"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num w:numId="1">
    <w:abstractNumId w:val="12"/>
  </w:num>
  <w:num w:numId="2">
    <w:abstractNumId w:val="11"/>
  </w:num>
  <w:num w:numId="3">
    <w:abstractNumId w:val="5"/>
  </w:num>
  <w:num w:numId="4">
    <w:abstractNumId w:val="18"/>
  </w:num>
  <w:num w:numId="5">
    <w:abstractNumId w:val="2"/>
  </w:num>
  <w:num w:numId="6">
    <w:abstractNumId w:val="6"/>
  </w:num>
  <w:num w:numId="7">
    <w:abstractNumId w:val="0"/>
  </w:num>
  <w:num w:numId="8">
    <w:abstractNumId w:val="3"/>
  </w:num>
  <w:num w:numId="9">
    <w:abstractNumId w:val="10"/>
  </w:num>
  <w:num w:numId="10">
    <w:abstractNumId w:val="4"/>
  </w:num>
  <w:num w:numId="11">
    <w:abstractNumId w:val="16"/>
  </w:num>
  <w:num w:numId="12">
    <w:abstractNumId w:val="1"/>
  </w:num>
  <w:num w:numId="13">
    <w:abstractNumId w:val="19"/>
  </w:num>
  <w:num w:numId="14">
    <w:abstractNumId w:val="14"/>
  </w:num>
  <w:num w:numId="15">
    <w:abstractNumId w:val="8"/>
  </w:num>
  <w:num w:numId="16">
    <w:abstractNumId w:val="13"/>
  </w:num>
  <w:num w:numId="17">
    <w:abstractNumId w:val="15"/>
  </w:num>
  <w:num w:numId="18">
    <w:abstractNumId w:val="7"/>
  </w:num>
  <w:num w:numId="19">
    <w:abstractNumId w:val="9"/>
  </w:num>
  <w:num w:numId="20">
    <w:abstractNumId w:val="17"/>
  </w:num>
  <w:num w:numId="21">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8A784D1B43DC4ADF85A87BA282129D98"/>
    <w:docVar w:name="LW_CROSSREFERENCE" w:val="&lt;UNUSED&gt;"/>
    <w:docVar w:name="LW_DocType" w:val="NORMAL"/>
    <w:docVar w:name="LW_EMISSION" w:val="27.2.2017"/>
    <w:docVar w:name="LW_EMISSION_ISODATE" w:val="2017-02-27"/>
    <w:docVar w:name="LW_EMISSION_LOCATION" w:val="BRX"/>
    <w:docVar w:name="LW_EMISSION_PREFIX" w:val="Bruxelles, le "/>
    <w:docVar w:name="LW_EMISSION_SUFFIX" w:val=" "/>
    <w:docVar w:name="LW_ID_DOCTYPE_NONLW" w:val="CP-008"/>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88"/>
    <w:docVar w:name="LW_REF.INTERNE" w:val="&lt;UNUSED&gt;"/>
    <w:docVar w:name="LW_SOUS.TITRE.OBJ.CP" w:val="&lt;UNUSED&gt;"/>
    <w:docVar w:name="LW_SUPERTITRE" w:val="&lt;UNUSED&gt;"/>
    <w:docVar w:name="LW_TITRE.OBJ.CP" w:val="concernant la mise en \u339?uvre de la législation de l\u8217?Union européenne en matière de déchets au cours de la période 2010-2012_x000b__x000b_Mise en \u339?uvre de la directive 2008/98/CE relative aux déchets, de la directive 86/278/CEE relative aux boues d'épuration, de la directive 1999/31/CE concernant la mise en décharge, de la directive 94/62/CE relative aux emballages et aux déchets d'emballage, de la directive 2002/96/CE relative aux déchets d'équipements électriques et électroniques (DEEE) et de la directive 2006/66/CE relative aux piles et accumulateurs"/>
    <w:docVar w:name="LW_TYPE.DOC.CP" w:val="RAPPORT DE LA COMMISSION AU PARLEMENT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qFormat="1"/>
    <w:lsdException w:name="caption" w:uiPriority="0" w:qFormat="1"/>
    <w:lsdException w:name="footnote reference" w:uiPriority="0" w:qFormat="1"/>
    <w:lsdException w:name="page number" w:uiPriority="0"/>
    <w:lsdException w:name="endnote reference" w:uiPriority="0"/>
    <w:lsdException w:name="endnote text" w:uiPriority="0"/>
    <w:lsdException w:name="toa heading" w:uiPriority="0"/>
    <w:lsdException w:name="List" w:uiPriority="0"/>
    <w:lsdException w:name="List Bullet" w:uiPriority="0"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5"/>
      </w:numPr>
      <w:spacing w:before="600" w:after="240" w:line="240" w:lineRule="auto"/>
      <w:jc w:val="both"/>
      <w:outlineLvl w:val="0"/>
    </w:pPr>
    <w:rPr>
      <w:rFonts w:ascii="Times New Roman" w:eastAsia="Times New Roman" w:hAnsi="Times New Roman" w:cs="Times New Roman"/>
      <w:b/>
      <w:bCs/>
      <w:caps/>
      <w:noProof/>
      <w:sz w:val="24"/>
      <w:szCs w:val="24"/>
    </w:rPr>
  </w:style>
  <w:style w:type="paragraph" w:styleId="Heading2">
    <w:name w:val="heading 2"/>
    <w:basedOn w:val="Normal"/>
    <w:next w:val="Normal"/>
    <w:link w:val="Heading2Char"/>
    <w:qFormat/>
    <w:pPr>
      <w:keepNext/>
      <w:numPr>
        <w:ilvl w:val="1"/>
        <w:numId w:val="5"/>
      </w:numPr>
      <w:spacing w:before="240" w:after="120" w:line="240" w:lineRule="auto"/>
      <w:jc w:val="both"/>
      <w:outlineLvl w:val="1"/>
    </w:pPr>
    <w:rPr>
      <w:rFonts w:ascii="Times New Roman" w:eastAsia="Times New Roman" w:hAnsi="Times New Roman" w:cs="Times New Roman"/>
      <w:b/>
      <w:bCs/>
      <w:iCs/>
      <w:sz w:val="24"/>
      <w:szCs w:val="24"/>
    </w:rPr>
  </w:style>
  <w:style w:type="paragraph" w:styleId="Heading3">
    <w:name w:val="heading 3"/>
    <w:basedOn w:val="Normal"/>
    <w:next w:val="Normal"/>
    <w:link w:val="Heading3Char"/>
    <w:qFormat/>
    <w:pPr>
      <w:keepNext/>
      <w:numPr>
        <w:ilvl w:val="2"/>
        <w:numId w:val="5"/>
      </w:numPr>
      <w:tabs>
        <w:tab w:val="left" w:pos="1134"/>
      </w:tabs>
      <w:spacing w:before="240" w:after="120" w:line="240" w:lineRule="auto"/>
      <w:outlineLvl w:val="2"/>
    </w:pPr>
    <w:rPr>
      <w:rFonts w:ascii="Arial" w:eastAsia="Times New Roman" w:hAnsi="Arial" w:cs="Arial"/>
      <w:b/>
      <w:bCs/>
      <w:color w:val="00A79D"/>
      <w:sz w:val="26"/>
      <w:szCs w:val="26"/>
    </w:rPr>
  </w:style>
  <w:style w:type="paragraph" w:styleId="Heading4">
    <w:name w:val="heading 4"/>
    <w:basedOn w:val="Normal"/>
    <w:next w:val="Normal"/>
    <w:link w:val="Heading4Char"/>
    <w:autoRedefine/>
    <w:qFormat/>
    <w:pPr>
      <w:keepNext/>
      <w:numPr>
        <w:ilvl w:val="3"/>
        <w:numId w:val="5"/>
      </w:numPr>
      <w:tabs>
        <w:tab w:val="left" w:pos="1134"/>
      </w:tabs>
      <w:spacing w:before="240" w:after="120" w:line="240" w:lineRule="auto"/>
      <w:outlineLvl w:val="3"/>
    </w:pPr>
    <w:rPr>
      <w:rFonts w:ascii="Arial" w:eastAsia="Times New Roman" w:hAnsi="Arial" w:cs="Arial"/>
      <w:b/>
      <w:bCs/>
      <w:noProof/>
      <w:color w:val="00A79D"/>
      <w:sz w:val="24"/>
      <w:szCs w:val="28"/>
    </w:rPr>
  </w:style>
  <w:style w:type="paragraph" w:styleId="Heading5">
    <w:name w:val="heading 5"/>
    <w:basedOn w:val="Normal"/>
    <w:next w:val="Normal"/>
    <w:link w:val="Heading5Char"/>
    <w:autoRedefine/>
    <w:qFormat/>
    <w:pPr>
      <w:keepNext/>
      <w:spacing w:before="120" w:after="120" w:line="240" w:lineRule="auto"/>
      <w:outlineLvl w:val="4"/>
    </w:pPr>
    <w:rPr>
      <w:rFonts w:ascii="Arial" w:eastAsia="Times New Roman" w:hAnsi="Arial" w:cs="Arial"/>
      <w:b/>
      <w:color w:val="00A79D"/>
    </w:rPr>
  </w:style>
  <w:style w:type="paragraph" w:styleId="Heading6">
    <w:name w:val="heading 6"/>
    <w:basedOn w:val="Normal"/>
    <w:next w:val="Normal"/>
    <w:link w:val="Heading6Char"/>
    <w:autoRedefine/>
    <w:qFormat/>
    <w:pPr>
      <w:numPr>
        <w:ilvl w:val="5"/>
        <w:numId w:val="5"/>
      </w:numPr>
      <w:spacing w:before="240" w:after="60" w:line="240" w:lineRule="auto"/>
      <w:outlineLvl w:val="5"/>
    </w:pPr>
    <w:rPr>
      <w:rFonts w:ascii="Calibri" w:eastAsia="Times New Roman" w:hAnsi="Calibri" w:cs="Arial"/>
      <w:b/>
      <w:bCs/>
      <w:sz w:val="24"/>
    </w:rPr>
  </w:style>
  <w:style w:type="paragraph" w:styleId="Heading7">
    <w:name w:val="heading 7"/>
    <w:basedOn w:val="Normal"/>
    <w:next w:val="Normal"/>
    <w:link w:val="Heading7Char"/>
    <w:autoRedefine/>
    <w:qFormat/>
    <w:pPr>
      <w:numPr>
        <w:ilvl w:val="6"/>
        <w:numId w:val="5"/>
      </w:numPr>
      <w:spacing w:before="240" w:after="60" w:line="240" w:lineRule="auto"/>
      <w:outlineLvl w:val="6"/>
    </w:pPr>
    <w:rPr>
      <w:rFonts w:ascii="Calibri" w:eastAsia="Times New Roman" w:hAnsi="Calibri" w:cs="Arial"/>
      <w:sz w:val="24"/>
      <w:szCs w:val="24"/>
    </w:rPr>
  </w:style>
  <w:style w:type="paragraph" w:styleId="Heading8">
    <w:name w:val="heading 8"/>
    <w:basedOn w:val="Normal"/>
    <w:next w:val="Normal"/>
    <w:link w:val="Heading8Char"/>
    <w:autoRedefine/>
    <w:qFormat/>
    <w:pPr>
      <w:numPr>
        <w:ilvl w:val="7"/>
        <w:numId w:val="5"/>
      </w:numPr>
      <w:spacing w:before="240" w:after="60" w:line="240" w:lineRule="auto"/>
      <w:outlineLvl w:val="7"/>
    </w:pPr>
    <w:rPr>
      <w:rFonts w:ascii="Calibri" w:eastAsia="Times New Roman" w:hAnsi="Calibri" w:cs="Arial"/>
      <w:i/>
      <w:iCs/>
      <w:sz w:val="24"/>
      <w:szCs w:val="24"/>
    </w:rPr>
  </w:style>
  <w:style w:type="paragraph" w:styleId="Heading9">
    <w:name w:val="heading 9"/>
    <w:basedOn w:val="Normal"/>
    <w:next w:val="Normal"/>
    <w:link w:val="Heading9Char"/>
    <w:autoRedefine/>
    <w:qFormat/>
    <w:pPr>
      <w:numPr>
        <w:ilvl w:val="8"/>
        <w:numId w:val="5"/>
      </w:numPr>
      <w:spacing w:before="240" w:after="60" w:line="240" w:lineRule="auto"/>
      <w:outlineLvl w:val="8"/>
    </w:pPr>
    <w:rPr>
      <w:rFonts w:ascii="Calibri" w:eastAsia="Times New Roman" w:hAnsi="Calibri" w:cs="Arial"/>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caps/>
      <w:noProof/>
      <w:sz w:val="24"/>
      <w:szCs w:val="24"/>
      <w:lang w:eastAsia="fr-FR"/>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4"/>
      <w:lang w:eastAsia="fr-FR"/>
    </w:rPr>
  </w:style>
  <w:style w:type="character" w:customStyle="1" w:styleId="Heading3Char">
    <w:name w:val="Heading 3 Char"/>
    <w:basedOn w:val="DefaultParagraphFont"/>
    <w:link w:val="Heading3"/>
    <w:rPr>
      <w:rFonts w:ascii="Arial" w:eastAsia="Times New Roman" w:hAnsi="Arial" w:cs="Arial"/>
      <w:b/>
      <w:bCs/>
      <w:color w:val="00A79D"/>
      <w:sz w:val="26"/>
      <w:szCs w:val="26"/>
      <w:lang w:eastAsia="fr-FR"/>
    </w:rPr>
  </w:style>
  <w:style w:type="character" w:customStyle="1" w:styleId="Heading4Char">
    <w:name w:val="Heading 4 Char"/>
    <w:basedOn w:val="DefaultParagraphFont"/>
    <w:link w:val="Heading4"/>
    <w:rPr>
      <w:rFonts w:ascii="Arial" w:eastAsia="Times New Roman" w:hAnsi="Arial" w:cs="Arial"/>
      <w:b/>
      <w:bCs/>
      <w:noProof/>
      <w:color w:val="00A79D"/>
      <w:sz w:val="24"/>
      <w:szCs w:val="28"/>
      <w:lang w:eastAsia="fr-FR"/>
    </w:rPr>
  </w:style>
  <w:style w:type="character" w:customStyle="1" w:styleId="Heading5Char">
    <w:name w:val="Heading 5 Char"/>
    <w:basedOn w:val="DefaultParagraphFont"/>
    <w:link w:val="Heading5"/>
    <w:rPr>
      <w:rFonts w:ascii="Arial" w:eastAsia="Times New Roman" w:hAnsi="Arial" w:cs="Arial"/>
      <w:b/>
      <w:color w:val="00A79D"/>
      <w:lang w:eastAsia="fr-FR"/>
    </w:rPr>
  </w:style>
  <w:style w:type="character" w:customStyle="1" w:styleId="Heading6Char">
    <w:name w:val="Heading 6 Char"/>
    <w:basedOn w:val="DefaultParagraphFont"/>
    <w:link w:val="Heading6"/>
    <w:rPr>
      <w:rFonts w:ascii="Calibri" w:eastAsia="Times New Roman" w:hAnsi="Calibri" w:cs="Arial"/>
      <w:b/>
      <w:bCs/>
      <w:sz w:val="24"/>
      <w:lang w:eastAsia="fr-FR"/>
    </w:rPr>
  </w:style>
  <w:style w:type="character" w:customStyle="1" w:styleId="Heading7Char">
    <w:name w:val="Heading 7 Char"/>
    <w:basedOn w:val="DefaultParagraphFont"/>
    <w:link w:val="Heading7"/>
    <w:rPr>
      <w:rFonts w:ascii="Calibri" w:eastAsia="Times New Roman" w:hAnsi="Calibri" w:cs="Arial"/>
      <w:sz w:val="24"/>
      <w:szCs w:val="24"/>
      <w:lang w:eastAsia="fr-FR"/>
    </w:rPr>
  </w:style>
  <w:style w:type="character" w:customStyle="1" w:styleId="Heading8Char">
    <w:name w:val="Heading 8 Char"/>
    <w:basedOn w:val="DefaultParagraphFont"/>
    <w:link w:val="Heading8"/>
    <w:rPr>
      <w:rFonts w:ascii="Calibri" w:eastAsia="Times New Roman" w:hAnsi="Calibri" w:cs="Arial"/>
      <w:i/>
      <w:iCs/>
      <w:sz w:val="24"/>
      <w:szCs w:val="24"/>
      <w:lang w:eastAsia="fr-FR"/>
    </w:rPr>
  </w:style>
  <w:style w:type="character" w:customStyle="1" w:styleId="Heading9Char">
    <w:name w:val="Heading 9 Char"/>
    <w:basedOn w:val="DefaultParagraphFont"/>
    <w:link w:val="Heading9"/>
    <w:rPr>
      <w:rFonts w:ascii="Calibri" w:eastAsia="Times New Roman" w:hAnsi="Calibri" w:cs="Arial"/>
      <w:sz w:val="24"/>
      <w:lang w:eastAsia="fr-FR"/>
    </w:rPr>
  </w:style>
  <w:style w:type="numbering" w:customStyle="1" w:styleId="NoList1">
    <w:name w:val="No List1"/>
    <w:next w:val="NoList"/>
    <w:uiPriority w:val="99"/>
    <w:semiHidden/>
    <w:unhideWhenUsed/>
  </w:style>
  <w:style w:type="character" w:styleId="PageNumber">
    <w:name w:val="page number"/>
    <w:rPr>
      <w:rFonts w:ascii="Franklin Gothic Book" w:hAnsi="Franklin Gothic Book"/>
      <w:color w:val="808000"/>
    </w:rPr>
  </w:style>
  <w:style w:type="character" w:styleId="FollowedHyperlink">
    <w:name w:val="FollowedHyperlink"/>
    <w:rPr>
      <w:rFonts w:ascii="Franklin Gothic Book" w:hAnsi="Franklin Gothic Book"/>
      <w:color w:val="800080"/>
      <w:u w:val="single"/>
    </w:rPr>
  </w:style>
  <w:style w:type="paragraph" w:customStyle="1" w:styleId="ExecSummHead1">
    <w:name w:val="Exec Summ Head 1"/>
    <w:basedOn w:val="Heading1"/>
    <w:next w:val="Normal"/>
    <w:qFormat/>
    <w:pPr>
      <w:numPr>
        <w:numId w:val="1"/>
      </w:numPr>
      <w:tabs>
        <w:tab w:val="clear" w:pos="432"/>
      </w:tabs>
      <w:ind w:left="1134" w:hanging="1134"/>
    </w:pPr>
    <w:rPr>
      <w:sz w:val="36"/>
      <w:szCs w:val="36"/>
    </w:rPr>
  </w:style>
  <w:style w:type="paragraph" w:styleId="Caption">
    <w:name w:val="caption"/>
    <w:basedOn w:val="Normal"/>
    <w:next w:val="Normal"/>
    <w:link w:val="CaptionChar"/>
    <w:qFormat/>
    <w:pPr>
      <w:keepNext/>
      <w:spacing w:before="120" w:after="120" w:line="240" w:lineRule="auto"/>
    </w:pPr>
    <w:rPr>
      <w:rFonts w:ascii="Arial" w:eastAsia="Times New Roman" w:hAnsi="Arial" w:cs="Arial"/>
      <w:b/>
      <w:bCs/>
      <w:color w:val="00A79D"/>
      <w:sz w:val="24"/>
      <w:szCs w:val="20"/>
    </w:rPr>
  </w:style>
  <w:style w:type="paragraph" w:styleId="FootnoteText">
    <w:name w:val="footnote text"/>
    <w:basedOn w:val="Normal"/>
    <w:link w:val="FootnoteTextChar"/>
    <w:autoRedefine/>
    <w:qFormat/>
    <w:pPr>
      <w:spacing w:after="120" w:line="240" w:lineRule="auto"/>
      <w:ind w:right="44"/>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lang w:eastAsia="fr-FR"/>
    </w:rPr>
  </w:style>
  <w:style w:type="character" w:styleId="FootnoteReference">
    <w:name w:val="footnote reference"/>
    <w:aliases w:val="SUPERS,EN Footnote Reference,Footnote reference number,Footnote symbol,note TESI,-E Fußnotenzeichen,number,16 Point,Superscript 6 Point,Footnote text,Footnote Reference Superscript,stylish,BVI fnr,Footnote call,(Footnote Reference),ft"/>
    <w:qFormat/>
    <w:rPr>
      <w:vertAlign w:val="superscript"/>
    </w:rPr>
  </w:style>
  <w:style w:type="paragraph" w:styleId="EndnoteText">
    <w:name w:val="endnote text"/>
    <w:basedOn w:val="Normal"/>
    <w:link w:val="EndnoteTextChar"/>
    <w:semiHidden/>
    <w:pPr>
      <w:keepNext/>
      <w:spacing w:before="120" w:after="120" w:line="240" w:lineRule="auto"/>
    </w:pPr>
    <w:rPr>
      <w:rFonts w:ascii="Calibri" w:eastAsia="Times New Roman" w:hAnsi="Calibri" w:cs="Arial"/>
      <w:color w:val="808000"/>
      <w:sz w:val="24"/>
      <w:szCs w:val="20"/>
    </w:rPr>
  </w:style>
  <w:style w:type="character" w:customStyle="1" w:styleId="EndnoteTextChar">
    <w:name w:val="Endnote Text Char"/>
    <w:basedOn w:val="DefaultParagraphFont"/>
    <w:link w:val="EndnoteText"/>
    <w:semiHidden/>
    <w:rPr>
      <w:rFonts w:ascii="Calibri" w:eastAsia="Times New Roman" w:hAnsi="Calibri" w:cs="Arial"/>
      <w:color w:val="808000"/>
      <w:sz w:val="24"/>
      <w:szCs w:val="20"/>
      <w:lang w:eastAsia="fr-FR"/>
    </w:rPr>
  </w:style>
  <w:style w:type="character" w:styleId="EndnoteReference">
    <w:name w:val="endnote reference"/>
    <w:semiHidden/>
    <w:rPr>
      <w:vertAlign w:val="superscript"/>
    </w:rPr>
  </w:style>
  <w:style w:type="paragraph" w:customStyle="1" w:styleId="SectionHeading">
    <w:name w:val="Section Heading"/>
    <w:basedOn w:val="Normal"/>
    <w:next w:val="Normal"/>
    <w:autoRedefine/>
    <w:pPr>
      <w:spacing w:before="5400" w:after="120" w:line="240" w:lineRule="auto"/>
    </w:pPr>
    <w:rPr>
      <w:rFonts w:ascii="Calibri" w:eastAsia="Times New Roman" w:hAnsi="Calibri" w:cs="Arial"/>
      <w:color w:val="808000"/>
      <w:sz w:val="40"/>
      <w:szCs w:val="24"/>
    </w:rPr>
  </w:style>
  <w:style w:type="paragraph" w:styleId="TOC1">
    <w:name w:val="toc 1"/>
    <w:basedOn w:val="Normal"/>
    <w:next w:val="Normal"/>
    <w:autoRedefine/>
    <w:uiPriority w:val="39"/>
    <w:qFormat/>
    <w:pPr>
      <w:spacing w:before="120" w:after="120" w:line="240" w:lineRule="auto"/>
    </w:pPr>
    <w:rPr>
      <w:rFonts w:eastAsia="Times New Roman" w:cs="Arial"/>
      <w:b/>
      <w:bCs/>
      <w:caps/>
      <w:sz w:val="20"/>
      <w:szCs w:val="20"/>
    </w:rPr>
  </w:style>
  <w:style w:type="paragraph" w:styleId="TOC2">
    <w:name w:val="toc 2"/>
    <w:basedOn w:val="Normal"/>
    <w:next w:val="Normal"/>
    <w:uiPriority w:val="39"/>
    <w:qFormat/>
    <w:pPr>
      <w:spacing w:after="0" w:line="240" w:lineRule="auto"/>
      <w:ind w:left="240"/>
    </w:pPr>
    <w:rPr>
      <w:rFonts w:eastAsia="Times New Roman" w:cs="Arial"/>
      <w:smallCaps/>
      <w:sz w:val="20"/>
      <w:szCs w:val="20"/>
    </w:rPr>
  </w:style>
  <w:style w:type="paragraph" w:styleId="TOC3">
    <w:name w:val="toc 3"/>
    <w:basedOn w:val="Normal"/>
    <w:next w:val="Normal"/>
    <w:uiPriority w:val="39"/>
    <w:qFormat/>
    <w:pPr>
      <w:spacing w:after="0" w:line="240" w:lineRule="auto"/>
      <w:ind w:left="480"/>
    </w:pPr>
    <w:rPr>
      <w:rFonts w:eastAsia="Times New Roman" w:cs="Arial"/>
      <w:i/>
      <w:iCs/>
      <w:sz w:val="20"/>
      <w:szCs w:val="20"/>
    </w:rPr>
  </w:style>
  <w:style w:type="paragraph" w:styleId="TOC4">
    <w:name w:val="toc 4"/>
    <w:basedOn w:val="EXECSUMM"/>
    <w:next w:val="Normal"/>
    <w:autoRedefine/>
    <w:uiPriority w:val="39"/>
    <w:pPr>
      <w:pBdr>
        <w:bottom w:val="none" w:sz="0" w:space="0" w:color="auto"/>
      </w:pBdr>
      <w:spacing w:before="0" w:after="0" w:line="240" w:lineRule="auto"/>
      <w:ind w:left="720"/>
      <w:jc w:val="left"/>
    </w:pPr>
    <w:rPr>
      <w:rFonts w:asciiTheme="minorHAnsi" w:hAnsiTheme="minorHAnsi"/>
      <w:b w:val="0"/>
      <w:bCs w:val="0"/>
      <w:sz w:val="18"/>
      <w:szCs w:val="18"/>
    </w:rPr>
  </w:style>
  <w:style w:type="paragraph" w:styleId="TOC5">
    <w:name w:val="toc 5"/>
    <w:basedOn w:val="Normal"/>
    <w:next w:val="Normal"/>
    <w:autoRedefine/>
    <w:semiHidden/>
    <w:pPr>
      <w:spacing w:after="0" w:line="240" w:lineRule="auto"/>
      <w:ind w:left="960"/>
    </w:pPr>
    <w:rPr>
      <w:rFonts w:eastAsia="Times New Roman" w:cs="Arial"/>
      <w:sz w:val="18"/>
      <w:szCs w:val="18"/>
    </w:rPr>
  </w:style>
  <w:style w:type="paragraph" w:styleId="TOC6">
    <w:name w:val="toc 6"/>
    <w:basedOn w:val="Normal"/>
    <w:next w:val="Normal"/>
    <w:autoRedefine/>
    <w:semiHidden/>
    <w:pPr>
      <w:spacing w:after="0" w:line="240" w:lineRule="auto"/>
      <w:ind w:left="1200"/>
    </w:pPr>
    <w:rPr>
      <w:rFonts w:eastAsia="Times New Roman" w:cs="Arial"/>
      <w:sz w:val="18"/>
      <w:szCs w:val="18"/>
    </w:rPr>
  </w:style>
  <w:style w:type="paragraph" w:styleId="TOC7">
    <w:name w:val="toc 7"/>
    <w:basedOn w:val="Normal"/>
    <w:next w:val="Normal"/>
    <w:autoRedefine/>
    <w:semiHidden/>
    <w:pPr>
      <w:spacing w:after="0" w:line="240" w:lineRule="auto"/>
      <w:ind w:left="1440"/>
    </w:pPr>
    <w:rPr>
      <w:rFonts w:eastAsia="Times New Roman" w:cs="Arial"/>
      <w:sz w:val="18"/>
      <w:szCs w:val="18"/>
    </w:rPr>
  </w:style>
  <w:style w:type="paragraph" w:styleId="TOC8">
    <w:name w:val="toc 8"/>
    <w:basedOn w:val="Normal"/>
    <w:next w:val="Normal"/>
    <w:autoRedefine/>
    <w:semiHidden/>
    <w:pPr>
      <w:spacing w:after="0" w:line="240" w:lineRule="auto"/>
      <w:ind w:left="1680"/>
    </w:pPr>
    <w:rPr>
      <w:rFonts w:eastAsia="Times New Roman" w:cs="Arial"/>
      <w:sz w:val="18"/>
      <w:szCs w:val="18"/>
    </w:rPr>
  </w:style>
  <w:style w:type="paragraph" w:styleId="TOC9">
    <w:name w:val="toc 9"/>
    <w:basedOn w:val="Normal"/>
    <w:next w:val="Normal"/>
    <w:autoRedefine/>
    <w:semiHidden/>
    <w:pPr>
      <w:spacing w:after="0" w:line="240" w:lineRule="auto"/>
      <w:ind w:left="1920"/>
    </w:pPr>
    <w:rPr>
      <w:rFonts w:eastAsia="Times New Roman" w:cs="Arial"/>
      <w:sz w:val="18"/>
      <w:szCs w:val="18"/>
    </w:rPr>
  </w:style>
  <w:style w:type="character" w:styleId="Hyperlink">
    <w:name w:val="Hyperlink"/>
    <w:uiPriority w:val="99"/>
    <w:rPr>
      <w:rFonts w:ascii="Calibri" w:hAnsi="Calibri"/>
      <w:color w:val="0000FF"/>
      <w:u w:val="single"/>
    </w:rPr>
  </w:style>
  <w:style w:type="paragraph" w:customStyle="1" w:styleId="IntroHeading">
    <w:name w:val="Intro Heading"/>
    <w:basedOn w:val="Heading1"/>
    <w:next w:val="Normal"/>
    <w:autoRedefine/>
    <w:pPr>
      <w:numPr>
        <w:numId w:val="0"/>
      </w:numPr>
      <w:spacing w:before="120"/>
    </w:pPr>
  </w:style>
  <w:style w:type="paragraph" w:styleId="TableofFigures">
    <w:name w:val="table of figures"/>
    <w:basedOn w:val="Normal"/>
    <w:next w:val="Normal"/>
    <w:uiPriority w:val="99"/>
    <w:pPr>
      <w:spacing w:before="120" w:after="120" w:line="240" w:lineRule="auto"/>
      <w:ind w:left="400" w:hanging="400"/>
    </w:pPr>
    <w:rPr>
      <w:rFonts w:ascii="Calibri" w:eastAsia="Times New Roman" w:hAnsi="Calibri" w:cs="Arial"/>
      <w:sz w:val="24"/>
      <w:szCs w:val="24"/>
    </w:rPr>
  </w:style>
  <w:style w:type="table" w:customStyle="1" w:styleId="EunomiaTable-Text">
    <w:name w:val="Eunomia Table - Text"/>
    <w:basedOn w:val="TableNormal"/>
    <w:uiPriority w:val="99"/>
    <w:pPr>
      <w:spacing w:after="0" w:line="240" w:lineRule="auto"/>
    </w:pPr>
    <w:rPr>
      <w:rFonts w:ascii="Calibri" w:eastAsia="Times New Roman" w:hAnsi="Calibri" w:cs="Times New Roman"/>
      <w:sz w:val="24"/>
      <w:szCs w:val="20"/>
    </w:rPr>
    <w:tblPr>
      <w:tblStyleRowBandSize w:val="1"/>
      <w:tblInd w:w="0" w:type="dxa"/>
      <w:tblBorders>
        <w:insideV w:val="single" w:sz="4" w:space="0" w:color="00A79D"/>
      </w:tblBorders>
      <w:tblCellMar>
        <w:top w:w="0" w:type="dxa"/>
        <w:left w:w="108" w:type="dxa"/>
        <w:bottom w:w="0" w:type="dxa"/>
        <w:right w:w="108" w:type="dxa"/>
      </w:tblCellMar>
    </w:tblPr>
    <w:tblStylePr w:type="firstRow">
      <w:pPr>
        <w:jc w:val="center"/>
      </w:pPr>
      <w:rPr>
        <w:b/>
      </w:rPr>
      <w:tblPr/>
      <w:tcPr>
        <w:tcBorders>
          <w:top w:val="single" w:sz="4" w:space="0" w:color="A6A6A6"/>
        </w:tcBorders>
        <w:shd w:val="clear" w:color="auto" w:fill="BFBFBF"/>
      </w:tcPr>
    </w:tblStylePr>
    <w:tblStylePr w:type="lastRow">
      <w:tblPr/>
      <w:tcPr>
        <w:tcBorders>
          <w:top w:val="dotted" w:sz="4" w:space="0" w:color="A6A6A6"/>
          <w:bottom w:val="single" w:sz="4" w:space="0" w:color="A6A6A6"/>
        </w:tcBorders>
      </w:tcPr>
    </w:tblStylePr>
    <w:tblStylePr w:type="firstCol">
      <w:pPr>
        <w:jc w:val="left"/>
      </w:pPr>
      <w:rPr>
        <w:b/>
      </w:rPr>
      <w:tblPr/>
      <w:tcPr>
        <w:tcBorders>
          <w:left w:val="single" w:sz="4" w:space="0" w:color="A6A6A6"/>
        </w:tcBorders>
        <w:shd w:val="clear" w:color="auto" w:fill="F2F2F2"/>
        <w:vAlign w:val="center"/>
      </w:tcPr>
    </w:tblStylePr>
    <w:tblStylePr w:type="lastCol">
      <w:tblPr/>
      <w:tcPr>
        <w:tcBorders>
          <w:right w:val="single" w:sz="4" w:space="0" w:color="A6A6A6"/>
        </w:tcBorders>
      </w:tcPr>
    </w:tblStylePr>
    <w:tblStylePr w:type="band1Horz">
      <w:tblPr/>
      <w:tcPr>
        <w:tcBorders>
          <w:top w:val="dotted" w:sz="4" w:space="0" w:color="A6A6A6"/>
          <w:bottom w:val="dotted" w:sz="4" w:space="0" w:color="A6A6A6"/>
        </w:tcBorders>
      </w:tcPr>
    </w:tblStylePr>
    <w:tblStylePr w:type="nwCell">
      <w:pPr>
        <w:jc w:val="left"/>
      </w:pPr>
      <w:tblPr/>
      <w:tcPr>
        <w:vAlign w:val="top"/>
      </w:tcPr>
    </w:tblStylePr>
  </w:style>
  <w:style w:type="paragraph" w:customStyle="1" w:styleId="DocumentTitle">
    <w:name w:val="Document Title"/>
    <w:basedOn w:val="Normal"/>
    <w:link w:val="DocumentTitleChar"/>
    <w:autoRedefine/>
    <w:pPr>
      <w:spacing w:before="120" w:after="120" w:line="240" w:lineRule="auto"/>
    </w:pPr>
    <w:rPr>
      <w:rFonts w:ascii="Arial" w:eastAsia="Times New Roman" w:hAnsi="Arial" w:cs="Arial"/>
      <w:b/>
      <w:color w:val="FFFFFF"/>
      <w:sz w:val="56"/>
      <w:szCs w:val="56"/>
    </w:rPr>
  </w:style>
  <w:style w:type="paragraph" w:customStyle="1" w:styleId="Documentrecipient">
    <w:name w:val="Document recipient"/>
    <w:basedOn w:val="IntroHeading"/>
    <w:autoRedefine/>
  </w:style>
  <w:style w:type="paragraph" w:customStyle="1" w:styleId="preparedby">
    <w:name w:val="prepared by"/>
    <w:basedOn w:val="IntroHeading"/>
    <w:autoRedefine/>
    <w:rPr>
      <w:sz w:val="32"/>
    </w:rPr>
  </w:style>
  <w:style w:type="paragraph" w:customStyle="1" w:styleId="ExecSummHead2">
    <w:name w:val="Exec Summ Head 2"/>
    <w:basedOn w:val="Heading2"/>
    <w:next w:val="Normal"/>
    <w:link w:val="ExecSummHead2Char"/>
    <w:qFormat/>
    <w:pPr>
      <w:numPr>
        <w:numId w:val="1"/>
      </w:numPr>
      <w:tabs>
        <w:tab w:val="clear" w:pos="576"/>
      </w:tabs>
      <w:ind w:left="1134" w:hanging="1134"/>
    </w:pPr>
  </w:style>
  <w:style w:type="paragraph" w:customStyle="1" w:styleId="Reference">
    <w:name w:val="Reference"/>
    <w:basedOn w:val="Normal"/>
    <w:autoRedefine/>
    <w:pPr>
      <w:spacing w:before="120" w:after="120" w:line="240" w:lineRule="auto"/>
    </w:pPr>
    <w:rPr>
      <w:rFonts w:ascii="Calibri" w:eastAsia="Times New Roman" w:hAnsi="Calibri" w:cs="Arial"/>
      <w:sz w:val="24"/>
      <w:szCs w:val="24"/>
    </w:rPr>
  </w:style>
  <w:style w:type="paragraph" w:customStyle="1" w:styleId="AppendixHeading1">
    <w:name w:val="Appendix Heading1"/>
    <w:basedOn w:val="Heading1"/>
    <w:next w:val="Normal"/>
    <w:qFormat/>
    <w:pPr>
      <w:numPr>
        <w:numId w:val="0"/>
      </w:numPr>
      <w:ind w:left="1440" w:right="-1749" w:hanging="1440"/>
    </w:pPr>
  </w:style>
  <w:style w:type="numbering" w:customStyle="1" w:styleId="StyleBulleted">
    <w:name w:val="Style Bulleted"/>
    <w:basedOn w:val="NoList"/>
    <w:pPr>
      <w:numPr>
        <w:numId w:val="2"/>
      </w:numPr>
    </w:pPr>
  </w:style>
  <w:style w:type="paragraph" w:customStyle="1" w:styleId="AppendixHeading3">
    <w:name w:val="Appendix Heading3"/>
    <w:basedOn w:val="AppendixHeading1"/>
    <w:next w:val="Normal"/>
    <w:qFormat/>
    <w:pPr>
      <w:numPr>
        <w:numId w:val="11"/>
      </w:numPr>
    </w:pPr>
    <w:rPr>
      <w:caps w:val="0"/>
    </w:rPr>
  </w:style>
  <w:style w:type="paragraph" w:customStyle="1" w:styleId="AppendixHeading2">
    <w:name w:val="Appendix Heading2"/>
    <w:basedOn w:val="AppendixHeading1"/>
    <w:next w:val="Normal"/>
    <w:qFormat/>
    <w:pPr>
      <w:ind w:left="1200" w:hanging="1200"/>
    </w:pPr>
    <w:rPr>
      <w:caps w:val="0"/>
      <w:smallCaps/>
    </w:rPr>
  </w:style>
  <w:style w:type="numbering" w:customStyle="1" w:styleId="StyleNumbered">
    <w:name w:val="Style Numbered"/>
    <w:basedOn w:val="StyleBulleted"/>
    <w:pPr>
      <w:numPr>
        <w:numId w:val="3"/>
      </w:numPr>
    </w:pPr>
  </w:style>
  <w:style w:type="paragraph" w:customStyle="1" w:styleId="NumberedParagraphs">
    <w:name w:val="Numbered Paragraphs"/>
    <w:basedOn w:val="Normal"/>
    <w:next w:val="Normal"/>
    <w:pPr>
      <w:numPr>
        <w:numId w:val="4"/>
      </w:numPr>
      <w:tabs>
        <w:tab w:val="left" w:pos="397"/>
      </w:tabs>
      <w:spacing w:before="120" w:after="120" w:line="240" w:lineRule="auto"/>
    </w:pPr>
    <w:rPr>
      <w:rFonts w:ascii="Calibri" w:eastAsia="Times New Roman" w:hAnsi="Calibri" w:cs="Arial"/>
      <w:sz w:val="24"/>
      <w:szCs w:val="24"/>
    </w:rPr>
  </w:style>
  <w:style w:type="paragraph" w:customStyle="1" w:styleId="reference0">
    <w:name w:val="reference"/>
    <w:basedOn w:val="Normal"/>
    <w:pPr>
      <w:spacing w:before="120" w:after="120" w:line="240" w:lineRule="auto"/>
    </w:pPr>
    <w:rPr>
      <w:rFonts w:ascii="Calibri" w:eastAsia="Times New Roman" w:hAnsi="Calibri" w:cs="Arial"/>
      <w:sz w:val="20"/>
      <w:szCs w:val="20"/>
    </w:rPr>
  </w:style>
  <w:style w:type="paragraph" w:customStyle="1" w:styleId="EXECSUMM">
    <w:name w:val="EXEC SUMM"/>
    <w:basedOn w:val="StyleArial20ptBoldAccent3TopSinglesolidlineAccent"/>
    <w:next w:val="Normal"/>
    <w:link w:val="EXECSUMMChar"/>
    <w:qFormat/>
    <w:pPr>
      <w:spacing w:before="480"/>
    </w:pPr>
  </w:style>
  <w:style w:type="paragraph" w:customStyle="1" w:styleId="CaptionNotes">
    <w:name w:val="Caption Notes"/>
    <w:basedOn w:val="Normal"/>
    <w:next w:val="Normal"/>
    <w:link w:val="CaptionNotesCharChar"/>
    <w:qFormat/>
    <w:pPr>
      <w:spacing w:before="60" w:after="240" w:line="240" w:lineRule="auto"/>
    </w:pPr>
    <w:rPr>
      <w:rFonts w:ascii="Calibri" w:eastAsia="Times New Roman" w:hAnsi="Calibri" w:cs="Arial"/>
      <w:i/>
      <w:iCs/>
      <w:sz w:val="20"/>
      <w:szCs w:val="20"/>
    </w:rPr>
  </w:style>
  <w:style w:type="character" w:customStyle="1" w:styleId="CaptionNotesCharChar">
    <w:name w:val="Caption Notes Char Char"/>
    <w:link w:val="CaptionNotes"/>
    <w:rPr>
      <w:rFonts w:ascii="Calibri" w:eastAsia="Times New Roman" w:hAnsi="Calibri" w:cs="Arial"/>
      <w:i/>
      <w:iCs/>
      <w:sz w:val="20"/>
      <w:szCs w:val="20"/>
      <w:lang w:eastAsia="fr-FR"/>
    </w:rPr>
  </w:style>
  <w:style w:type="table" w:styleId="TableWeb1">
    <w:name w:val="Table Web 1"/>
    <w:basedOn w:val="TableNormal"/>
    <w:pPr>
      <w:spacing w:before="120" w:after="12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eastAsia="fr-FR"/>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pPr>
      <w:keepLines/>
      <w:numPr>
        <w:numId w:val="0"/>
      </w:numPr>
      <w:spacing w:after="0" w:line="276" w:lineRule="auto"/>
      <w:outlineLvl w:val="9"/>
    </w:pPr>
    <w:rPr>
      <w:b w:val="0"/>
      <w:sz w:val="28"/>
      <w:szCs w:val="28"/>
    </w:rPr>
  </w:style>
  <w:style w:type="paragraph" w:styleId="ListParagraph">
    <w:name w:val="List Paragraph"/>
    <w:aliases w:val="Style Bullet"/>
    <w:basedOn w:val="Normal"/>
    <w:link w:val="ListParagraphChar"/>
    <w:uiPriority w:val="34"/>
    <w:qFormat/>
    <w:pPr>
      <w:spacing w:before="120" w:after="120" w:line="240" w:lineRule="auto"/>
      <w:ind w:left="720"/>
      <w:contextualSpacing/>
    </w:pPr>
    <w:rPr>
      <w:rFonts w:ascii="Calibri" w:eastAsia="Times New Roman" w:hAnsi="Calibri" w:cs="Arial"/>
      <w:sz w:val="24"/>
      <w:szCs w:val="24"/>
    </w:rPr>
  </w:style>
  <w:style w:type="paragraph" w:styleId="NoSpacing">
    <w:name w:val="No Spacing"/>
    <w:uiPriority w:val="1"/>
    <w:pPr>
      <w:spacing w:after="0" w:line="240" w:lineRule="auto"/>
    </w:pPr>
    <w:rPr>
      <w:rFonts w:ascii="Franklin Gothic Book" w:eastAsia="Times New Roman" w:hAnsi="Franklin Gothic Book" w:cs="Times New Roman"/>
      <w:sz w:val="24"/>
      <w:szCs w:val="24"/>
    </w:rPr>
  </w:style>
  <w:style w:type="paragraph" w:customStyle="1" w:styleId="StyleArial20ptBoldAccent3TopSinglesolidlineAccent">
    <w:name w:val="Style Arial 20 pt Bold Accent 3 Top: (Single solid line Accent..."/>
    <w:basedOn w:val="Normal"/>
    <w:link w:val="StyleArial20ptBoldAccent3TopSinglesolidlineAccentChar"/>
    <w:autoRedefine/>
    <w:qFormat/>
    <w:pPr>
      <w:pBdr>
        <w:bottom w:val="thinThickLargeGap" w:sz="24" w:space="1" w:color="auto"/>
      </w:pBdr>
      <w:spacing w:before="120" w:after="120" w:line="300" w:lineRule="auto"/>
      <w:jc w:val="center"/>
    </w:pPr>
    <w:rPr>
      <w:rFonts w:ascii="Arial" w:eastAsia="Times New Roman" w:hAnsi="Arial" w:cs="Arial"/>
      <w:b/>
      <w:bCs/>
      <w:sz w:val="40"/>
      <w:szCs w:val="20"/>
    </w:rPr>
  </w:style>
  <w:style w:type="paragraph" w:customStyle="1" w:styleId="BoldNormalText">
    <w:name w:val="Bold Normal Text"/>
    <w:basedOn w:val="Normal"/>
    <w:link w:val="BoldNormalTextChar"/>
    <w:qFormat/>
    <w:pPr>
      <w:spacing w:before="120" w:after="120" w:line="240" w:lineRule="auto"/>
    </w:pPr>
    <w:rPr>
      <w:rFonts w:ascii="Calibri" w:eastAsia="Times New Roman" w:hAnsi="Calibri" w:cs="Arial"/>
      <w:b/>
      <w:sz w:val="24"/>
      <w:szCs w:val="24"/>
    </w:rPr>
  </w:style>
  <w:style w:type="paragraph" w:customStyle="1" w:styleId="Italicnormaltext">
    <w:name w:val="Italic normal text"/>
    <w:basedOn w:val="Normal"/>
    <w:link w:val="ItalicnormaltextChar"/>
    <w:qFormat/>
    <w:pPr>
      <w:spacing w:before="120" w:after="120" w:line="240" w:lineRule="auto"/>
    </w:pPr>
    <w:rPr>
      <w:rFonts w:ascii="Calibri" w:eastAsia="Times New Roman" w:hAnsi="Calibri" w:cs="Arial"/>
      <w:i/>
      <w:sz w:val="24"/>
      <w:szCs w:val="24"/>
    </w:rPr>
  </w:style>
  <w:style w:type="character" w:customStyle="1" w:styleId="BoldNormalTextChar">
    <w:name w:val="Bold Normal Text Char"/>
    <w:link w:val="BoldNormalText"/>
    <w:rPr>
      <w:rFonts w:ascii="Calibri" w:eastAsia="Times New Roman" w:hAnsi="Calibri" w:cs="Arial"/>
      <w:b/>
      <w:sz w:val="24"/>
      <w:szCs w:val="24"/>
      <w:lang w:eastAsia="fr-FR"/>
    </w:rPr>
  </w:style>
  <w:style w:type="paragraph" w:customStyle="1" w:styleId="StyleNumbering">
    <w:name w:val="Style Numbering"/>
    <w:basedOn w:val="ListParagraph"/>
    <w:link w:val="StyleNumberingChar"/>
    <w:qFormat/>
    <w:pPr>
      <w:numPr>
        <w:numId w:val="6"/>
      </w:numPr>
    </w:pPr>
  </w:style>
  <w:style w:type="character" w:customStyle="1" w:styleId="ItalicnormaltextChar">
    <w:name w:val="Italic normal text Char"/>
    <w:link w:val="Italicnormaltext"/>
    <w:rPr>
      <w:rFonts w:ascii="Calibri" w:eastAsia="Times New Roman" w:hAnsi="Calibri" w:cs="Arial"/>
      <w:i/>
      <w:sz w:val="24"/>
      <w:szCs w:val="24"/>
      <w:lang w:eastAsia="fr-FR"/>
    </w:rPr>
  </w:style>
  <w:style w:type="paragraph" w:styleId="ListBullet">
    <w:name w:val="List Bullet"/>
    <w:basedOn w:val="Normal"/>
    <w:qFormat/>
    <w:pPr>
      <w:numPr>
        <w:numId w:val="12"/>
      </w:numPr>
      <w:tabs>
        <w:tab w:val="clear" w:pos="360"/>
      </w:tabs>
      <w:spacing w:before="120" w:after="120" w:line="240" w:lineRule="auto"/>
      <w:ind w:left="1080"/>
      <w:contextualSpacing/>
    </w:pPr>
    <w:rPr>
      <w:rFonts w:ascii="Calibri" w:eastAsia="Times New Roman" w:hAnsi="Calibri" w:cs="Arial"/>
      <w:sz w:val="24"/>
      <w:szCs w:val="24"/>
    </w:rPr>
  </w:style>
  <w:style w:type="character" w:customStyle="1" w:styleId="ListParagraphChar">
    <w:name w:val="List Paragraph Char"/>
    <w:aliases w:val="Style Bullet Char"/>
    <w:link w:val="ListParagraph"/>
    <w:uiPriority w:val="34"/>
    <w:rPr>
      <w:rFonts w:ascii="Calibri" w:eastAsia="Times New Roman" w:hAnsi="Calibri" w:cs="Arial"/>
      <w:sz w:val="24"/>
      <w:szCs w:val="24"/>
      <w:lang w:eastAsia="fr-FR"/>
    </w:rPr>
  </w:style>
  <w:style w:type="character" w:customStyle="1" w:styleId="StyleNumberingChar">
    <w:name w:val="Style Numbering Char"/>
    <w:link w:val="StyleNumbering"/>
    <w:rPr>
      <w:rFonts w:ascii="Calibri" w:eastAsia="Times New Roman" w:hAnsi="Calibri" w:cs="Arial"/>
      <w:sz w:val="24"/>
      <w:szCs w:val="24"/>
      <w:lang w:eastAsia="fr-FR"/>
    </w:rPr>
  </w:style>
  <w:style w:type="paragraph" w:styleId="ListBullet2">
    <w:name w:val="List Bullet 2"/>
    <w:basedOn w:val="Normal"/>
    <w:pPr>
      <w:numPr>
        <w:numId w:val="7"/>
      </w:numPr>
      <w:spacing w:before="120" w:after="120" w:line="240" w:lineRule="auto"/>
      <w:contextualSpacing/>
    </w:pPr>
    <w:rPr>
      <w:rFonts w:ascii="Calibri" w:eastAsia="Times New Roman" w:hAnsi="Calibri" w:cs="Arial"/>
      <w:sz w:val="24"/>
      <w:szCs w:val="24"/>
    </w:rPr>
  </w:style>
  <w:style w:type="paragraph" w:styleId="List">
    <w:name w:val="List"/>
    <w:basedOn w:val="Normal"/>
    <w:pPr>
      <w:spacing w:before="120" w:after="120" w:line="240" w:lineRule="auto"/>
      <w:ind w:left="283" w:hanging="283"/>
      <w:contextualSpacing/>
    </w:pPr>
    <w:rPr>
      <w:rFonts w:ascii="Calibri" w:eastAsia="Times New Roman" w:hAnsi="Calibri" w:cs="Arial"/>
      <w:sz w:val="24"/>
      <w:szCs w:val="24"/>
    </w:rPr>
  </w:style>
  <w:style w:type="character" w:customStyle="1" w:styleId="StyleFootnoteReferenceArial">
    <w:name w:val="Style Footnote Reference + Arial"/>
    <w:rPr>
      <w:rFonts w:ascii="Calibri" w:hAnsi="Calibri"/>
      <w:sz w:val="20"/>
      <w:vertAlign w:val="superscript"/>
    </w:rPr>
  </w:style>
  <w:style w:type="paragraph" w:styleId="TOAHeading">
    <w:name w:val="toa heading"/>
    <w:basedOn w:val="Normal"/>
    <w:next w:val="Normal"/>
    <w:pPr>
      <w:spacing w:before="120" w:after="120" w:line="240" w:lineRule="auto"/>
    </w:pPr>
    <w:rPr>
      <w:rFonts w:ascii="Cambria" w:eastAsia="Times New Roman" w:hAnsi="Cambria" w:cs="Times New Roman"/>
      <w:b/>
      <w:bCs/>
      <w:sz w:val="24"/>
      <w:szCs w:val="24"/>
    </w:rPr>
  </w:style>
  <w:style w:type="table" w:customStyle="1" w:styleId="Eunomia-Totals">
    <w:name w:val="Eunomia - Totals"/>
    <w:basedOn w:val="Eunomia-NoTotals"/>
    <w:uiPriority w:val="99"/>
    <w:tblPr>
      <w:tblInd w:w="0" w:type="dxa"/>
      <w:tblBorders>
        <w:top w:val="single" w:sz="4" w:space="0" w:color="D9D9D9"/>
        <w:left w:val="single" w:sz="4" w:space="0" w:color="D9D9D9"/>
        <w:bottom w:val="single" w:sz="4" w:space="0" w:color="D9D9D9"/>
        <w:right w:val="single" w:sz="4" w:space="0" w:color="D9D9D9"/>
        <w:insideH w:val="dotted" w:sz="4" w:space="0" w:color="BFBFBF"/>
        <w:insideV w:val="single" w:sz="4" w:space="0" w:color="00A79D"/>
      </w:tblBorders>
      <w:tblCellMar>
        <w:top w:w="0" w:type="dxa"/>
        <w:left w:w="108" w:type="dxa"/>
        <w:bottom w:w="0" w:type="dxa"/>
        <w:right w:w="108" w:type="dxa"/>
      </w:tblCellMar>
    </w:tblPr>
    <w:trPr>
      <w:cantSplit/>
    </w:trPr>
    <w:tcPr>
      <w:vAlign w:val="center"/>
    </w:tcPr>
    <w:tblStylePr w:type="firstRow">
      <w:rPr>
        <w:b/>
      </w:rPr>
      <w:tblPr/>
      <w:tcPr>
        <w:tcBorders>
          <w:top w:val="single" w:sz="4" w:space="0" w:color="808080"/>
        </w:tcBorders>
        <w:shd w:val="clear" w:color="auto" w:fill="BFBFBF"/>
      </w:tcPr>
    </w:tblStylePr>
    <w:tblStylePr w:type="lastRow">
      <w:tblPr/>
      <w:tcPr>
        <w:tcBorders>
          <w:bottom w:val="single" w:sz="4" w:space="0" w:color="808080"/>
        </w:tcBorders>
        <w:shd w:val="clear" w:color="auto" w:fill="F2F2F2"/>
      </w:tcPr>
    </w:tblStylePr>
    <w:tblStylePr w:type="firstCol">
      <w:pPr>
        <w:jc w:val="left"/>
      </w:pPr>
      <w:rPr>
        <w:b/>
      </w:rPr>
      <w:tblPr/>
      <w:tcPr>
        <w:tcBorders>
          <w:left w:val="single" w:sz="4" w:space="0" w:color="808080"/>
        </w:tcBorders>
        <w:shd w:val="clear" w:color="auto" w:fill="F2F2F2"/>
      </w:tcPr>
    </w:tblStylePr>
    <w:tblStylePr w:type="lastCol">
      <w:tblPr/>
      <w:tcPr>
        <w:tcBorders>
          <w:right w:val="single" w:sz="4" w:space="0" w:color="808080"/>
        </w:tcBorders>
        <w:shd w:val="clear" w:color="auto" w:fill="F2F2F2"/>
      </w:tcPr>
    </w:tblStylePr>
  </w:style>
  <w:style w:type="paragraph" w:customStyle="1" w:styleId="WhiteArial12ptBold">
    <w:name w:val="White Arial 12pt Bold"/>
    <w:basedOn w:val="Normal"/>
    <w:link w:val="WhiteArial12ptBoldChar"/>
    <w:qFormat/>
    <w:pPr>
      <w:spacing w:before="120" w:after="120" w:line="240" w:lineRule="auto"/>
    </w:pPr>
    <w:rPr>
      <w:rFonts w:ascii="Arial" w:eastAsia="Times New Roman" w:hAnsi="Arial" w:cs="Arial"/>
      <w:b/>
      <w:color w:val="FFFFFF"/>
      <w:sz w:val="24"/>
      <w:szCs w:val="24"/>
    </w:rPr>
  </w:style>
  <w:style w:type="paragraph" w:customStyle="1" w:styleId="Authors">
    <w:name w:val="Authors"/>
    <w:basedOn w:val="Normal"/>
    <w:link w:val="AuthorsChar"/>
    <w:qFormat/>
    <w:pPr>
      <w:spacing w:before="120" w:after="120" w:line="240" w:lineRule="auto"/>
    </w:pPr>
    <w:rPr>
      <w:rFonts w:ascii="Arial" w:eastAsia="Times New Roman" w:hAnsi="Arial" w:cs="Arial"/>
      <w:b/>
      <w:color w:val="00A79D"/>
      <w:sz w:val="28"/>
      <w:szCs w:val="28"/>
    </w:rPr>
  </w:style>
  <w:style w:type="character" w:customStyle="1" w:styleId="WhiteArial12ptBoldChar">
    <w:name w:val="White Arial 12pt Bold Char"/>
    <w:link w:val="WhiteArial12ptBold"/>
    <w:rPr>
      <w:rFonts w:ascii="Arial" w:eastAsia="Times New Roman" w:hAnsi="Arial" w:cs="Arial"/>
      <w:b/>
      <w:color w:val="FFFFFF"/>
      <w:sz w:val="24"/>
      <w:szCs w:val="24"/>
      <w:lang w:eastAsia="fr-FR"/>
    </w:rPr>
  </w:style>
  <w:style w:type="paragraph" w:customStyle="1" w:styleId="DocumentMainDate">
    <w:name w:val="Document Main Date"/>
    <w:basedOn w:val="Authors"/>
    <w:rPr>
      <w:bCs/>
      <w:sz w:val="24"/>
    </w:rPr>
  </w:style>
  <w:style w:type="character" w:customStyle="1" w:styleId="AuthorsChar">
    <w:name w:val="Authors Char"/>
    <w:link w:val="Authors"/>
    <w:rPr>
      <w:rFonts w:ascii="Arial" w:eastAsia="Times New Roman" w:hAnsi="Arial" w:cs="Arial"/>
      <w:b/>
      <w:color w:val="00A79D"/>
      <w:sz w:val="28"/>
      <w:szCs w:val="28"/>
      <w:lang w:eastAsia="fr-FR"/>
    </w:rPr>
  </w:style>
  <w:style w:type="paragraph" w:customStyle="1" w:styleId="DocumentSubtitle">
    <w:name w:val="Document Subtitle"/>
    <w:basedOn w:val="Normal"/>
    <w:link w:val="DocumentSubtitleChar"/>
    <w:qFormat/>
    <w:pPr>
      <w:spacing w:before="120" w:after="120" w:line="240" w:lineRule="auto"/>
    </w:pPr>
    <w:rPr>
      <w:rFonts w:ascii="Arial" w:eastAsia="Times New Roman" w:hAnsi="Arial" w:cs="Arial"/>
      <w:color w:val="FFFFFF"/>
      <w:sz w:val="40"/>
      <w:szCs w:val="40"/>
    </w:rPr>
  </w:style>
  <w:style w:type="paragraph" w:customStyle="1" w:styleId="AppendixTitle">
    <w:name w:val="Appendix Title"/>
    <w:basedOn w:val="DocumentTitle"/>
    <w:link w:val="AppendixTitleChar"/>
    <w:qFormat/>
    <w:pPr>
      <w:spacing w:before="3600"/>
    </w:pPr>
    <w:rPr>
      <w:color w:val="00A79D"/>
    </w:rPr>
  </w:style>
  <w:style w:type="character" w:customStyle="1" w:styleId="DocumentSubtitleChar">
    <w:name w:val="Document Subtitle Char"/>
    <w:link w:val="DocumentSubtitle"/>
    <w:rPr>
      <w:rFonts w:ascii="Arial" w:eastAsia="Times New Roman" w:hAnsi="Arial" w:cs="Arial"/>
      <w:color w:val="FFFFFF"/>
      <w:sz w:val="40"/>
      <w:szCs w:val="40"/>
      <w:lang w:eastAsia="fr-FR"/>
    </w:rPr>
  </w:style>
  <w:style w:type="paragraph" w:styleId="Quote">
    <w:name w:val="Quote"/>
    <w:basedOn w:val="Normal"/>
    <w:next w:val="Normal"/>
    <w:link w:val="QuoteChar"/>
    <w:uiPriority w:val="29"/>
    <w:qFormat/>
    <w:pPr>
      <w:spacing w:before="120" w:after="120" w:line="240" w:lineRule="auto"/>
      <w:ind w:left="720"/>
    </w:pPr>
    <w:rPr>
      <w:rFonts w:ascii="Calibri" w:eastAsia="Times New Roman" w:hAnsi="Calibri" w:cs="Arial"/>
      <w:i/>
      <w:sz w:val="24"/>
      <w:szCs w:val="24"/>
    </w:rPr>
  </w:style>
  <w:style w:type="character" w:customStyle="1" w:styleId="QuoteChar">
    <w:name w:val="Quote Char"/>
    <w:basedOn w:val="DefaultParagraphFont"/>
    <w:link w:val="Quote"/>
    <w:uiPriority w:val="29"/>
    <w:rPr>
      <w:rFonts w:ascii="Calibri" w:eastAsia="Times New Roman" w:hAnsi="Calibri" w:cs="Arial"/>
      <w:i/>
      <w:sz w:val="24"/>
      <w:szCs w:val="24"/>
      <w:lang w:eastAsia="fr-FR"/>
    </w:rPr>
  </w:style>
  <w:style w:type="character" w:customStyle="1" w:styleId="DocumentTitleChar">
    <w:name w:val="Document Title Char"/>
    <w:link w:val="DocumentTitle"/>
    <w:rPr>
      <w:rFonts w:ascii="Arial" w:eastAsia="Times New Roman" w:hAnsi="Arial" w:cs="Arial"/>
      <w:b/>
      <w:color w:val="FFFFFF"/>
      <w:sz w:val="56"/>
      <w:szCs w:val="56"/>
      <w:lang w:eastAsia="fr-FR"/>
    </w:rPr>
  </w:style>
  <w:style w:type="character" w:customStyle="1" w:styleId="AppendixTitleChar">
    <w:name w:val="Appendix Title Char"/>
    <w:link w:val="AppendixTitle"/>
    <w:rPr>
      <w:rFonts w:ascii="Arial" w:eastAsia="Times New Roman" w:hAnsi="Arial" w:cs="Arial"/>
      <w:b/>
      <w:color w:val="00A79D"/>
      <w:sz w:val="56"/>
      <w:szCs w:val="56"/>
      <w:lang w:eastAsia="fr-FR"/>
    </w:rPr>
  </w:style>
  <w:style w:type="paragraph" w:customStyle="1" w:styleId="CONTENTS">
    <w:name w:val="CONTENTS"/>
    <w:basedOn w:val="EXECSUMM"/>
    <w:link w:val="CONTENTSChar"/>
    <w:qFormat/>
    <w:rPr>
      <w:sz w:val="36"/>
      <w:szCs w:val="36"/>
    </w:rPr>
  </w:style>
  <w:style w:type="character" w:styleId="CommentReference">
    <w:name w:val="annotation reference"/>
    <w:uiPriority w:val="99"/>
    <w:rPr>
      <w:sz w:val="16"/>
      <w:szCs w:val="16"/>
    </w:rPr>
  </w:style>
  <w:style w:type="character" w:customStyle="1" w:styleId="StyleArial20ptBoldAccent3TopSinglesolidlineAccentChar">
    <w:name w:val="Style Arial 20 pt Bold Accent 3 Top: (Single solid line Accent... Char"/>
    <w:link w:val="StyleArial20ptBoldAccent3TopSinglesolidlineAccent"/>
    <w:rPr>
      <w:rFonts w:ascii="Arial" w:eastAsia="Times New Roman" w:hAnsi="Arial" w:cs="Arial"/>
      <w:b/>
      <w:bCs/>
      <w:sz w:val="40"/>
      <w:szCs w:val="20"/>
      <w:lang w:eastAsia="fr-FR"/>
    </w:rPr>
  </w:style>
  <w:style w:type="character" w:customStyle="1" w:styleId="EXECSUMMChar">
    <w:name w:val="EXEC SUMM Char"/>
    <w:link w:val="EXECSUMM"/>
    <w:rPr>
      <w:rFonts w:ascii="Arial" w:eastAsia="Times New Roman" w:hAnsi="Arial" w:cs="Arial"/>
      <w:b/>
      <w:bCs/>
      <w:sz w:val="40"/>
      <w:szCs w:val="20"/>
      <w:lang w:eastAsia="fr-FR"/>
    </w:rPr>
  </w:style>
  <w:style w:type="character" w:customStyle="1" w:styleId="CONTENTSChar">
    <w:name w:val="CONTENTS Char"/>
    <w:link w:val="CONTENTS"/>
    <w:rPr>
      <w:rFonts w:ascii="Arial" w:eastAsia="Times New Roman" w:hAnsi="Arial" w:cs="Arial"/>
      <w:b/>
      <w:bCs/>
      <w:sz w:val="36"/>
      <w:szCs w:val="36"/>
      <w:lang w:val="fr-FR" w:eastAsia="fr-FR"/>
    </w:rPr>
  </w:style>
  <w:style w:type="paragraph" w:styleId="CommentText">
    <w:name w:val="annotation text"/>
    <w:basedOn w:val="Normal"/>
    <w:link w:val="CommentTextChar"/>
    <w:uiPriority w:val="99"/>
    <w:pPr>
      <w:spacing w:before="120" w:after="120" w:line="240" w:lineRule="auto"/>
    </w:pPr>
    <w:rPr>
      <w:rFonts w:ascii="Calibri" w:eastAsia="Times New Roman" w:hAnsi="Calibri" w:cs="Arial"/>
      <w:sz w:val="20"/>
      <w:szCs w:val="20"/>
    </w:rPr>
  </w:style>
  <w:style w:type="character" w:customStyle="1" w:styleId="CommentTextChar">
    <w:name w:val="Comment Text Char"/>
    <w:basedOn w:val="DefaultParagraphFont"/>
    <w:link w:val="CommentText"/>
    <w:uiPriority w:val="99"/>
    <w:rPr>
      <w:rFonts w:ascii="Calibri" w:eastAsia="Times New Roman" w:hAnsi="Calibri" w:cs="Arial"/>
      <w:sz w:val="20"/>
      <w:szCs w:val="20"/>
      <w:lang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Calibri" w:eastAsia="Times New Roman" w:hAnsi="Calibri" w:cs="Arial"/>
      <w:b/>
      <w:bCs/>
      <w:sz w:val="20"/>
      <w:szCs w:val="20"/>
      <w:lang w:eastAsia="fr-FR"/>
    </w:rPr>
  </w:style>
  <w:style w:type="table" w:customStyle="1" w:styleId="Eunomia-NoTotals">
    <w:name w:val="Eunomia - No Totals"/>
    <w:basedOn w:val="TableNormal"/>
    <w:uiPriority w:val="99"/>
    <w:pPr>
      <w:spacing w:before="60" w:after="60" w:line="240" w:lineRule="auto"/>
      <w:jc w:val="right"/>
    </w:pPr>
    <w:rPr>
      <w:rFonts w:ascii="Calibri" w:eastAsia="Times New Roman" w:hAnsi="Calibri" w:cs="Times New Roman"/>
      <w:sz w:val="24"/>
      <w:szCs w:val="20"/>
    </w:rPr>
    <w:tblPr>
      <w:tblInd w:w="0" w:type="dxa"/>
      <w:tblBorders>
        <w:top w:val="single" w:sz="4" w:space="0" w:color="D9D9D9"/>
        <w:left w:val="single" w:sz="4" w:space="0" w:color="D9D9D9"/>
        <w:bottom w:val="single" w:sz="4" w:space="0" w:color="D9D9D9"/>
        <w:right w:val="single" w:sz="4" w:space="0" w:color="D9D9D9"/>
        <w:insideH w:val="dotted" w:sz="4" w:space="0" w:color="BFBFBF"/>
        <w:insideV w:val="single" w:sz="4" w:space="0" w:color="00A79D"/>
      </w:tblBorders>
      <w:tblCellMar>
        <w:top w:w="0" w:type="dxa"/>
        <w:left w:w="108" w:type="dxa"/>
        <w:bottom w:w="0" w:type="dxa"/>
        <w:right w:w="108" w:type="dxa"/>
      </w:tblCellMar>
    </w:tblPr>
    <w:trPr>
      <w:cantSplit/>
    </w:trPr>
    <w:tcPr>
      <w:vAlign w:val="center"/>
    </w:tcPr>
    <w:tblStylePr w:type="firstRow">
      <w:rPr>
        <w:b/>
      </w:rPr>
      <w:tblPr/>
      <w:tcPr>
        <w:tcBorders>
          <w:top w:val="single" w:sz="4" w:space="0" w:color="A6A6A6"/>
        </w:tcBorders>
        <w:shd w:val="clear" w:color="auto" w:fill="BFBFBF"/>
      </w:tcPr>
    </w:tblStylePr>
    <w:tblStylePr w:type="lastRow">
      <w:tblPr/>
      <w:tcPr>
        <w:tcBorders>
          <w:bottom w:val="single" w:sz="4" w:space="0" w:color="A6A6A6"/>
        </w:tcBorders>
      </w:tcPr>
    </w:tblStylePr>
    <w:tblStylePr w:type="firstCol">
      <w:pPr>
        <w:jc w:val="left"/>
      </w:pPr>
      <w:rPr>
        <w:b/>
      </w:rPr>
      <w:tblPr/>
      <w:tcPr>
        <w:tcBorders>
          <w:left w:val="single" w:sz="4" w:space="0" w:color="A6A6A6"/>
        </w:tcBorders>
        <w:shd w:val="clear" w:color="auto" w:fill="F2F2F2"/>
      </w:tcPr>
    </w:tblStylePr>
    <w:tblStylePr w:type="lastCol">
      <w:tblPr/>
      <w:tcPr>
        <w:tcBorders>
          <w:right w:val="single" w:sz="4" w:space="0" w:color="A6A6A6"/>
        </w:tcBorders>
      </w:tcPr>
    </w:tblStylePr>
  </w:style>
  <w:style w:type="paragraph" w:customStyle="1" w:styleId="ExecSummHead3">
    <w:name w:val="Exec Summ Head 3"/>
    <w:basedOn w:val="ExecSummHead2"/>
    <w:link w:val="ExecSummHead3Char"/>
    <w:qFormat/>
    <w:pPr>
      <w:numPr>
        <w:ilvl w:val="2"/>
      </w:numPr>
    </w:pPr>
    <w:rPr>
      <w:sz w:val="26"/>
    </w:rPr>
  </w:style>
  <w:style w:type="paragraph" w:customStyle="1" w:styleId="ExecSummHead4">
    <w:name w:val="Exec Summ Head 4"/>
    <w:basedOn w:val="ExecSummHead3"/>
    <w:link w:val="ExecSummHead4Char"/>
    <w:qFormat/>
    <w:pPr>
      <w:numPr>
        <w:ilvl w:val="3"/>
      </w:numPr>
    </w:pPr>
    <w:rPr>
      <w:sz w:val="24"/>
    </w:rPr>
  </w:style>
  <w:style w:type="character" w:customStyle="1" w:styleId="ExecSummHead2Char">
    <w:name w:val="Exec Summ Head 2 Char"/>
    <w:link w:val="ExecSummHead2"/>
    <w:rPr>
      <w:rFonts w:ascii="Times New Roman" w:eastAsia="Times New Roman" w:hAnsi="Times New Roman" w:cs="Times New Roman"/>
      <w:b/>
      <w:bCs/>
      <w:iCs/>
      <w:sz w:val="24"/>
      <w:szCs w:val="24"/>
      <w:lang w:eastAsia="fr-FR"/>
    </w:rPr>
  </w:style>
  <w:style w:type="character" w:customStyle="1" w:styleId="ExecSummHead3Char">
    <w:name w:val="Exec Summ Head 3 Char"/>
    <w:link w:val="ExecSummHead3"/>
    <w:rPr>
      <w:rFonts w:ascii="Times New Roman" w:eastAsia="Times New Roman" w:hAnsi="Times New Roman" w:cs="Times New Roman"/>
      <w:b/>
      <w:bCs/>
      <w:iCs/>
      <w:sz w:val="26"/>
      <w:szCs w:val="24"/>
      <w:lang w:eastAsia="fr-FR"/>
    </w:rPr>
  </w:style>
  <w:style w:type="paragraph" w:customStyle="1" w:styleId="Normal-11pt">
    <w:name w:val="Normal - 11pt"/>
    <w:basedOn w:val="Normal"/>
    <w:link w:val="Normal-11ptChar"/>
    <w:qFormat/>
    <w:pPr>
      <w:spacing w:before="120" w:after="120" w:line="240" w:lineRule="auto"/>
    </w:pPr>
    <w:rPr>
      <w:rFonts w:ascii="Times New Roman" w:eastAsia="Times New Roman" w:hAnsi="Times New Roman" w:cs="Times New Roman"/>
      <w:sz w:val="24"/>
      <w:szCs w:val="24"/>
    </w:rPr>
  </w:style>
  <w:style w:type="character" w:customStyle="1" w:styleId="ExecSummHead4Char">
    <w:name w:val="Exec Summ Head 4 Char"/>
    <w:link w:val="ExecSummHead4"/>
    <w:rPr>
      <w:rFonts w:ascii="Times New Roman" w:eastAsia="Times New Roman" w:hAnsi="Times New Roman" w:cs="Times New Roman"/>
      <w:b/>
      <w:bCs/>
      <w:iCs/>
      <w:sz w:val="24"/>
      <w:szCs w:val="24"/>
      <w:lang w:eastAsia="fr-FR"/>
    </w:rPr>
  </w:style>
  <w:style w:type="paragraph" w:customStyle="1" w:styleId="Normal-11pt-table">
    <w:name w:val="Normal - 11pt - table"/>
    <w:basedOn w:val="Normal"/>
    <w:link w:val="Normal-11pt-tableChar"/>
    <w:qFormat/>
    <w:pPr>
      <w:spacing w:before="60" w:after="60" w:line="240" w:lineRule="auto"/>
    </w:pPr>
    <w:rPr>
      <w:rFonts w:ascii="Calibri" w:eastAsia="Times New Roman" w:hAnsi="Calibri" w:cs="Arial"/>
    </w:rPr>
  </w:style>
  <w:style w:type="character" w:customStyle="1" w:styleId="Normal-11ptChar">
    <w:name w:val="Normal - 11pt Char"/>
    <w:link w:val="Normal-11pt"/>
    <w:rPr>
      <w:rFonts w:ascii="Times New Roman" w:eastAsia="Times New Roman" w:hAnsi="Times New Roman" w:cs="Times New Roman"/>
      <w:sz w:val="24"/>
      <w:szCs w:val="24"/>
      <w:lang w:eastAsia="fr-FR"/>
    </w:rPr>
  </w:style>
  <w:style w:type="paragraph" w:customStyle="1" w:styleId="Normal-11pt-tableitalic">
    <w:name w:val="Normal - 11pt - table italic"/>
    <w:basedOn w:val="Normal"/>
    <w:link w:val="Normal-11pt-tableitalicChar"/>
    <w:qFormat/>
    <w:pPr>
      <w:spacing w:before="60" w:after="60" w:line="240" w:lineRule="auto"/>
    </w:pPr>
    <w:rPr>
      <w:rFonts w:ascii="Calibri" w:eastAsia="Times New Roman" w:hAnsi="Calibri" w:cs="Arial"/>
      <w:i/>
    </w:rPr>
  </w:style>
  <w:style w:type="character" w:customStyle="1" w:styleId="Normal-11pt-tableChar">
    <w:name w:val="Normal - 11pt - table Char"/>
    <w:link w:val="Normal-11pt-table"/>
    <w:rPr>
      <w:rFonts w:ascii="Calibri" w:eastAsia="Times New Roman" w:hAnsi="Calibri" w:cs="Arial"/>
      <w:lang w:eastAsia="fr-FR"/>
    </w:rPr>
  </w:style>
  <w:style w:type="paragraph" w:customStyle="1" w:styleId="Normal-11pt-TableBold">
    <w:name w:val="Normal - 11pt - Table Bold"/>
    <w:basedOn w:val="Normal"/>
    <w:link w:val="Normal-11pt-TableBoldChar"/>
    <w:qFormat/>
    <w:pPr>
      <w:spacing w:before="60" w:after="60" w:line="240" w:lineRule="auto"/>
    </w:pPr>
    <w:rPr>
      <w:rFonts w:ascii="Calibri" w:eastAsia="Times New Roman" w:hAnsi="Calibri" w:cs="Arial"/>
      <w:b/>
    </w:rPr>
  </w:style>
  <w:style w:type="character" w:customStyle="1" w:styleId="Normal-11pt-tableitalicChar">
    <w:name w:val="Normal - 11pt - table italic Char"/>
    <w:link w:val="Normal-11pt-tableitalic"/>
    <w:rPr>
      <w:rFonts w:ascii="Calibri" w:eastAsia="Times New Roman" w:hAnsi="Calibri" w:cs="Arial"/>
      <w:i/>
      <w:lang w:eastAsia="fr-FR"/>
    </w:rPr>
  </w:style>
  <w:style w:type="paragraph" w:customStyle="1" w:styleId="Normal-10pt-TableBold">
    <w:name w:val="Normal - 10pt - Table Bold"/>
    <w:basedOn w:val="Normal-11pt-TableBold"/>
    <w:link w:val="Normal-10pt-TableBoldChar"/>
    <w:qFormat/>
    <w:rPr>
      <w:sz w:val="20"/>
    </w:rPr>
  </w:style>
  <w:style w:type="character" w:customStyle="1" w:styleId="Normal-11pt-TableBoldChar">
    <w:name w:val="Normal - 11pt - Table Bold Char"/>
    <w:link w:val="Normal-11pt-TableBold"/>
    <w:rPr>
      <w:rFonts w:ascii="Calibri" w:eastAsia="Times New Roman" w:hAnsi="Calibri" w:cs="Arial"/>
      <w:b/>
      <w:lang w:eastAsia="fr-FR"/>
    </w:rPr>
  </w:style>
  <w:style w:type="paragraph" w:customStyle="1" w:styleId="Normal-10pt-TableItalic">
    <w:name w:val="Normal - 10pt - Table Italic"/>
    <w:basedOn w:val="Normal-11pt-tableitalic"/>
    <w:link w:val="Normal-10pt-TableItalicChar"/>
    <w:qFormat/>
    <w:rPr>
      <w:sz w:val="20"/>
    </w:rPr>
  </w:style>
  <w:style w:type="character" w:customStyle="1" w:styleId="Normal-10pt-TableBoldChar">
    <w:name w:val="Normal - 10pt - Table Bold Char"/>
    <w:link w:val="Normal-10pt-TableBold"/>
    <w:rPr>
      <w:rFonts w:ascii="Calibri" w:eastAsia="Times New Roman" w:hAnsi="Calibri" w:cs="Arial"/>
      <w:b/>
      <w:sz w:val="20"/>
      <w:lang w:eastAsia="fr-FR"/>
    </w:rPr>
  </w:style>
  <w:style w:type="paragraph" w:customStyle="1" w:styleId="Normal-10pt-Table">
    <w:name w:val="Normal - 10pt - Table"/>
    <w:basedOn w:val="Normal-11pt-table"/>
    <w:link w:val="Normal-10pt-TableChar"/>
    <w:qFormat/>
    <w:rPr>
      <w:sz w:val="20"/>
    </w:rPr>
  </w:style>
  <w:style w:type="character" w:customStyle="1" w:styleId="Normal-10pt-TableItalicChar">
    <w:name w:val="Normal - 10pt - Table Italic Char"/>
    <w:link w:val="Normal-10pt-TableItalic"/>
    <w:rPr>
      <w:rFonts w:ascii="Calibri" w:eastAsia="Times New Roman" w:hAnsi="Calibri" w:cs="Arial"/>
      <w:i/>
      <w:sz w:val="20"/>
      <w:lang w:eastAsia="fr-FR"/>
    </w:rPr>
  </w:style>
  <w:style w:type="paragraph" w:customStyle="1" w:styleId="Normal-Table">
    <w:name w:val="Normal - Table"/>
    <w:basedOn w:val="Normal"/>
    <w:link w:val="Normal-TableChar"/>
    <w:qFormat/>
    <w:pPr>
      <w:spacing w:before="60" w:after="60" w:line="240" w:lineRule="auto"/>
    </w:pPr>
    <w:rPr>
      <w:rFonts w:ascii="Calibri" w:eastAsia="Times New Roman" w:hAnsi="Calibri" w:cs="Arial"/>
      <w:sz w:val="24"/>
      <w:szCs w:val="24"/>
    </w:rPr>
  </w:style>
  <w:style w:type="character" w:customStyle="1" w:styleId="Normal-10pt-TableChar">
    <w:name w:val="Normal - 10pt - Table Char"/>
    <w:link w:val="Normal-10pt-Table"/>
    <w:rPr>
      <w:rFonts w:ascii="Calibri" w:eastAsia="Times New Roman" w:hAnsi="Calibri" w:cs="Arial"/>
      <w:sz w:val="20"/>
      <w:lang w:eastAsia="fr-FR"/>
    </w:rPr>
  </w:style>
  <w:style w:type="character" w:customStyle="1" w:styleId="Normal-TableChar">
    <w:name w:val="Normal - Table Char"/>
    <w:link w:val="Normal-Table"/>
    <w:rPr>
      <w:rFonts w:ascii="Calibri" w:eastAsia="Times New Roman" w:hAnsi="Calibri" w:cs="Arial"/>
      <w:sz w:val="24"/>
      <w:szCs w:val="24"/>
      <w:lang w:eastAsia="fr-FR"/>
    </w:rPr>
  </w:style>
  <w:style w:type="numbering" w:customStyle="1" w:styleId="Style1">
    <w:name w:val="Style1"/>
    <w:uiPriority w:val="99"/>
    <w:pPr>
      <w:numPr>
        <w:numId w:val="8"/>
      </w:numPr>
    </w:pPr>
  </w:style>
  <w:style w:type="numbering" w:customStyle="1" w:styleId="StyleEunomiaBullets">
    <w:name w:val="Style Eunomia Bullets"/>
    <w:uiPriority w:val="99"/>
    <w:pPr>
      <w:numPr>
        <w:numId w:val="9"/>
      </w:numPr>
    </w:pPr>
  </w:style>
  <w:style w:type="numbering" w:customStyle="1" w:styleId="EunomiaStyleBullets">
    <w:name w:val="Eunomia Style Bullets"/>
    <w:uiPriority w:val="99"/>
    <w:pPr>
      <w:numPr>
        <w:numId w:val="10"/>
      </w:numPr>
    </w:pPr>
  </w:style>
  <w:style w:type="paragraph" w:customStyle="1" w:styleId="Default">
    <w:name w:val="Default"/>
    <w:pPr>
      <w:autoSpaceDE w:val="0"/>
      <w:autoSpaceDN w:val="0"/>
      <w:adjustRightInd w:val="0"/>
      <w:spacing w:after="0" w:line="240" w:lineRule="auto"/>
    </w:pPr>
    <w:rPr>
      <w:rFonts w:ascii="Calibri" w:eastAsia="Times New Roman" w:hAnsi="Calibri" w:cs="Calibri"/>
      <w:color w:val="000000"/>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character" w:customStyle="1" w:styleId="bodyat12">
    <w:name w:val="body_at_12"/>
    <w:basedOn w:val="DefaultParagraphFont"/>
  </w:style>
  <w:style w:type="character" w:customStyle="1" w:styleId="CaptionChar">
    <w:name w:val="Caption Char"/>
    <w:link w:val="Caption"/>
    <w:rPr>
      <w:rFonts w:ascii="Arial" w:eastAsia="Times New Roman" w:hAnsi="Arial" w:cs="Arial"/>
      <w:b/>
      <w:bCs/>
      <w:color w:val="00A79D"/>
      <w:sz w:val="24"/>
      <w:szCs w:val="20"/>
      <w:lang w:eastAsia="fr-FR"/>
    </w:rPr>
  </w:style>
  <w:style w:type="paragraph" w:styleId="Revision">
    <w:name w:val="Revision"/>
    <w:hidden/>
    <w:uiPriority w:val="71"/>
    <w:pPr>
      <w:spacing w:after="0" w:line="240" w:lineRule="auto"/>
    </w:pPr>
    <w:rPr>
      <w:rFonts w:ascii="Calibri" w:eastAsia="Times New Roman" w:hAnsi="Calibri" w:cs="Arial"/>
      <w:sz w:val="24"/>
      <w:szCs w:val="24"/>
    </w:rPr>
  </w:style>
  <w:style w:type="character" w:styleId="Strong">
    <w:name w:val="Strong"/>
    <w:basedOn w:val="DefaultParagraphFont"/>
    <w:uiPriority w:val="22"/>
    <w:qFormat/>
    <w:rPr>
      <w:b/>
      <w:bCs/>
    </w:rPr>
  </w:style>
  <w:style w:type="character" w:customStyle="1" w:styleId="st1">
    <w:name w:val="st1"/>
    <w:basedOn w:val="DefaultParagraphFont"/>
  </w:style>
  <w:style w:type="character" w:styleId="Emphasis">
    <w:name w:val="Emphasis"/>
    <w:basedOn w:val="DefaultParagraphFont"/>
    <w:uiPriority w:val="20"/>
    <w:qFormat/>
    <w:rPr>
      <w:i/>
      <w:iCs/>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cs="Times New Roman"/>
      <w:b/>
      <w:sz w:val="24"/>
    </w:rPr>
  </w:style>
  <w:style w:type="numbering" w:customStyle="1" w:styleId="NoList2">
    <w:name w:val="No List2"/>
    <w:next w:val="NoList"/>
    <w:uiPriority w:val="99"/>
    <w:semiHidden/>
    <w:unhideWhenUsed/>
  </w:style>
  <w:style w:type="numbering" w:customStyle="1" w:styleId="NoList11">
    <w:name w:val="No List11"/>
    <w:next w:val="NoList"/>
    <w:uiPriority w:val="99"/>
    <w:semiHidden/>
    <w:unhideWhenUsed/>
  </w:style>
  <w:style w:type="table" w:customStyle="1" w:styleId="EunomiaTable-Text1">
    <w:name w:val="Eunomia Table - Text1"/>
    <w:basedOn w:val="TableNormal"/>
    <w:uiPriority w:val="99"/>
    <w:pPr>
      <w:spacing w:after="0" w:line="240" w:lineRule="auto"/>
    </w:pPr>
    <w:rPr>
      <w:rFonts w:ascii="Calibri" w:eastAsia="Times New Roman" w:hAnsi="Calibri" w:cs="Times New Roman"/>
      <w:sz w:val="24"/>
      <w:szCs w:val="20"/>
    </w:rPr>
    <w:tblPr>
      <w:tblStyleRowBandSize w:val="1"/>
      <w:tblInd w:w="0" w:type="dxa"/>
      <w:tblBorders>
        <w:insideV w:val="single" w:sz="4" w:space="0" w:color="00A79D"/>
      </w:tblBorders>
      <w:tblCellMar>
        <w:top w:w="0" w:type="dxa"/>
        <w:left w:w="108" w:type="dxa"/>
        <w:bottom w:w="0" w:type="dxa"/>
        <w:right w:w="108" w:type="dxa"/>
      </w:tblCellMar>
    </w:tblPr>
    <w:tblStylePr w:type="firstRow">
      <w:pPr>
        <w:jc w:val="center"/>
      </w:pPr>
      <w:rPr>
        <w:b/>
      </w:rPr>
      <w:tblPr/>
      <w:tcPr>
        <w:tcBorders>
          <w:top w:val="single" w:sz="4" w:space="0" w:color="A6A6A6"/>
        </w:tcBorders>
        <w:shd w:val="clear" w:color="auto" w:fill="BFBFBF"/>
      </w:tcPr>
    </w:tblStylePr>
    <w:tblStylePr w:type="lastRow">
      <w:tblPr/>
      <w:tcPr>
        <w:tcBorders>
          <w:top w:val="dotted" w:sz="4" w:space="0" w:color="A6A6A6"/>
          <w:bottom w:val="single" w:sz="4" w:space="0" w:color="A6A6A6"/>
        </w:tcBorders>
      </w:tcPr>
    </w:tblStylePr>
    <w:tblStylePr w:type="firstCol">
      <w:pPr>
        <w:jc w:val="left"/>
      </w:pPr>
      <w:rPr>
        <w:b/>
      </w:rPr>
      <w:tblPr/>
      <w:tcPr>
        <w:tcBorders>
          <w:left w:val="single" w:sz="4" w:space="0" w:color="A6A6A6"/>
        </w:tcBorders>
        <w:shd w:val="clear" w:color="auto" w:fill="F2F2F2"/>
        <w:vAlign w:val="center"/>
      </w:tcPr>
    </w:tblStylePr>
    <w:tblStylePr w:type="lastCol">
      <w:tblPr/>
      <w:tcPr>
        <w:tcBorders>
          <w:right w:val="single" w:sz="4" w:space="0" w:color="A6A6A6"/>
        </w:tcBorders>
      </w:tcPr>
    </w:tblStylePr>
    <w:tblStylePr w:type="band1Horz">
      <w:tblPr/>
      <w:tcPr>
        <w:tcBorders>
          <w:top w:val="dotted" w:sz="4" w:space="0" w:color="A6A6A6"/>
          <w:bottom w:val="dotted" w:sz="4" w:space="0" w:color="A6A6A6"/>
        </w:tcBorders>
      </w:tcPr>
    </w:tblStylePr>
    <w:tblStylePr w:type="nwCell">
      <w:pPr>
        <w:jc w:val="left"/>
      </w:pPr>
      <w:tblPr/>
      <w:tcPr>
        <w:vAlign w:val="top"/>
      </w:tcPr>
    </w:tblStylePr>
  </w:style>
  <w:style w:type="table" w:customStyle="1" w:styleId="TableWeb11">
    <w:name w:val="Table Web 11"/>
    <w:basedOn w:val="TableNormal"/>
    <w:next w:val="TableWeb1"/>
    <w:pPr>
      <w:spacing w:before="120" w:after="12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Eunomia-Totals1">
    <w:name w:val="Eunomia - Totals1"/>
    <w:basedOn w:val="Eunomia-NoTotals"/>
    <w:uiPriority w:val="99"/>
    <w:tblPr>
      <w:tblInd w:w="0" w:type="dxa"/>
      <w:tblBorders>
        <w:top w:val="single" w:sz="4" w:space="0" w:color="D9D9D9"/>
        <w:left w:val="single" w:sz="4" w:space="0" w:color="D9D9D9"/>
        <w:bottom w:val="single" w:sz="4" w:space="0" w:color="D9D9D9"/>
        <w:right w:val="single" w:sz="4" w:space="0" w:color="D9D9D9"/>
        <w:insideH w:val="dotted" w:sz="4" w:space="0" w:color="BFBFBF"/>
        <w:insideV w:val="single" w:sz="4" w:space="0" w:color="00A79D"/>
      </w:tblBorders>
      <w:tblCellMar>
        <w:top w:w="0" w:type="dxa"/>
        <w:left w:w="108" w:type="dxa"/>
        <w:bottom w:w="0" w:type="dxa"/>
        <w:right w:w="108" w:type="dxa"/>
      </w:tblCellMar>
    </w:tblPr>
    <w:trPr>
      <w:cantSplit/>
    </w:trPr>
    <w:tcPr>
      <w:vAlign w:val="center"/>
    </w:tcPr>
    <w:tblStylePr w:type="firstRow">
      <w:rPr>
        <w:b/>
      </w:rPr>
      <w:tblPr/>
      <w:tcPr>
        <w:tcBorders>
          <w:top w:val="single" w:sz="4" w:space="0" w:color="808080"/>
        </w:tcBorders>
        <w:shd w:val="clear" w:color="auto" w:fill="BFBFBF"/>
      </w:tcPr>
    </w:tblStylePr>
    <w:tblStylePr w:type="lastRow">
      <w:tblPr/>
      <w:tcPr>
        <w:tcBorders>
          <w:bottom w:val="single" w:sz="4" w:space="0" w:color="808080"/>
        </w:tcBorders>
        <w:shd w:val="clear" w:color="auto" w:fill="F2F2F2"/>
      </w:tcPr>
    </w:tblStylePr>
    <w:tblStylePr w:type="firstCol">
      <w:pPr>
        <w:jc w:val="left"/>
      </w:pPr>
      <w:rPr>
        <w:b/>
      </w:rPr>
      <w:tblPr/>
      <w:tcPr>
        <w:tcBorders>
          <w:left w:val="single" w:sz="4" w:space="0" w:color="808080"/>
        </w:tcBorders>
        <w:shd w:val="clear" w:color="auto" w:fill="F2F2F2"/>
      </w:tcPr>
    </w:tblStylePr>
    <w:tblStylePr w:type="lastCol">
      <w:tblPr/>
      <w:tcPr>
        <w:tcBorders>
          <w:right w:val="single" w:sz="4" w:space="0" w:color="808080"/>
        </w:tcBorders>
        <w:shd w:val="clear" w:color="auto" w:fill="F2F2F2"/>
      </w:tcPr>
    </w:tblStylePr>
  </w:style>
  <w:style w:type="table" w:customStyle="1" w:styleId="Eunomia-NoTotals1">
    <w:name w:val="Eunomia - No Totals1"/>
    <w:basedOn w:val="TableNormal"/>
    <w:uiPriority w:val="99"/>
    <w:pPr>
      <w:spacing w:before="60" w:after="60" w:line="240" w:lineRule="auto"/>
      <w:jc w:val="right"/>
    </w:pPr>
    <w:rPr>
      <w:rFonts w:ascii="Calibri" w:eastAsia="Times New Roman" w:hAnsi="Calibri" w:cs="Times New Roman"/>
      <w:sz w:val="24"/>
      <w:szCs w:val="20"/>
    </w:rPr>
    <w:tblPr>
      <w:tblInd w:w="0" w:type="dxa"/>
      <w:tblBorders>
        <w:top w:val="single" w:sz="4" w:space="0" w:color="D9D9D9"/>
        <w:left w:val="single" w:sz="4" w:space="0" w:color="D9D9D9"/>
        <w:bottom w:val="single" w:sz="4" w:space="0" w:color="D9D9D9"/>
        <w:right w:val="single" w:sz="4" w:space="0" w:color="D9D9D9"/>
        <w:insideH w:val="dotted" w:sz="4" w:space="0" w:color="BFBFBF"/>
        <w:insideV w:val="single" w:sz="4" w:space="0" w:color="00A79D"/>
      </w:tblBorders>
      <w:tblCellMar>
        <w:top w:w="0" w:type="dxa"/>
        <w:left w:w="108" w:type="dxa"/>
        <w:bottom w:w="0" w:type="dxa"/>
        <w:right w:w="108" w:type="dxa"/>
      </w:tblCellMar>
    </w:tblPr>
    <w:trPr>
      <w:cantSplit/>
    </w:trPr>
    <w:tcPr>
      <w:vAlign w:val="center"/>
    </w:tcPr>
    <w:tblStylePr w:type="firstRow">
      <w:rPr>
        <w:b/>
      </w:rPr>
      <w:tblPr/>
      <w:tcPr>
        <w:tcBorders>
          <w:top w:val="single" w:sz="4" w:space="0" w:color="A6A6A6"/>
        </w:tcBorders>
        <w:shd w:val="clear" w:color="auto" w:fill="BFBFBF"/>
      </w:tcPr>
    </w:tblStylePr>
    <w:tblStylePr w:type="lastRow">
      <w:tblPr/>
      <w:tcPr>
        <w:tcBorders>
          <w:bottom w:val="single" w:sz="4" w:space="0" w:color="A6A6A6"/>
        </w:tcBorders>
      </w:tcPr>
    </w:tblStylePr>
    <w:tblStylePr w:type="firstCol">
      <w:pPr>
        <w:jc w:val="left"/>
      </w:pPr>
      <w:rPr>
        <w:b/>
      </w:rPr>
      <w:tblPr/>
      <w:tcPr>
        <w:tcBorders>
          <w:left w:val="single" w:sz="4" w:space="0" w:color="A6A6A6"/>
        </w:tcBorders>
        <w:shd w:val="clear" w:color="auto" w:fill="F2F2F2"/>
      </w:tcPr>
    </w:tblStylePr>
    <w:tblStylePr w:type="lastCol">
      <w:tblPr/>
      <w:tcPr>
        <w:tcBorders>
          <w:right w:val="single" w:sz="4" w:space="0" w:color="A6A6A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qFormat="1"/>
    <w:lsdException w:name="caption" w:uiPriority="0" w:qFormat="1"/>
    <w:lsdException w:name="footnote reference" w:uiPriority="0" w:qFormat="1"/>
    <w:lsdException w:name="page number" w:uiPriority="0"/>
    <w:lsdException w:name="endnote reference" w:uiPriority="0"/>
    <w:lsdException w:name="endnote text" w:uiPriority="0"/>
    <w:lsdException w:name="toa heading" w:uiPriority="0"/>
    <w:lsdException w:name="List" w:uiPriority="0"/>
    <w:lsdException w:name="List Bullet" w:uiPriority="0"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5"/>
      </w:numPr>
      <w:spacing w:before="600" w:after="240" w:line="240" w:lineRule="auto"/>
      <w:jc w:val="both"/>
      <w:outlineLvl w:val="0"/>
    </w:pPr>
    <w:rPr>
      <w:rFonts w:ascii="Times New Roman" w:eastAsia="Times New Roman" w:hAnsi="Times New Roman" w:cs="Times New Roman"/>
      <w:b/>
      <w:bCs/>
      <w:caps/>
      <w:noProof/>
      <w:sz w:val="24"/>
      <w:szCs w:val="24"/>
    </w:rPr>
  </w:style>
  <w:style w:type="paragraph" w:styleId="Heading2">
    <w:name w:val="heading 2"/>
    <w:basedOn w:val="Normal"/>
    <w:next w:val="Normal"/>
    <w:link w:val="Heading2Char"/>
    <w:qFormat/>
    <w:pPr>
      <w:keepNext/>
      <w:numPr>
        <w:ilvl w:val="1"/>
        <w:numId w:val="5"/>
      </w:numPr>
      <w:spacing w:before="240" w:after="120" w:line="240" w:lineRule="auto"/>
      <w:jc w:val="both"/>
      <w:outlineLvl w:val="1"/>
    </w:pPr>
    <w:rPr>
      <w:rFonts w:ascii="Times New Roman" w:eastAsia="Times New Roman" w:hAnsi="Times New Roman" w:cs="Times New Roman"/>
      <w:b/>
      <w:bCs/>
      <w:iCs/>
      <w:sz w:val="24"/>
      <w:szCs w:val="24"/>
    </w:rPr>
  </w:style>
  <w:style w:type="paragraph" w:styleId="Heading3">
    <w:name w:val="heading 3"/>
    <w:basedOn w:val="Normal"/>
    <w:next w:val="Normal"/>
    <w:link w:val="Heading3Char"/>
    <w:qFormat/>
    <w:pPr>
      <w:keepNext/>
      <w:numPr>
        <w:ilvl w:val="2"/>
        <w:numId w:val="5"/>
      </w:numPr>
      <w:tabs>
        <w:tab w:val="left" w:pos="1134"/>
      </w:tabs>
      <w:spacing w:before="240" w:after="120" w:line="240" w:lineRule="auto"/>
      <w:outlineLvl w:val="2"/>
    </w:pPr>
    <w:rPr>
      <w:rFonts w:ascii="Arial" w:eastAsia="Times New Roman" w:hAnsi="Arial" w:cs="Arial"/>
      <w:b/>
      <w:bCs/>
      <w:color w:val="00A79D"/>
      <w:sz w:val="26"/>
      <w:szCs w:val="26"/>
    </w:rPr>
  </w:style>
  <w:style w:type="paragraph" w:styleId="Heading4">
    <w:name w:val="heading 4"/>
    <w:basedOn w:val="Normal"/>
    <w:next w:val="Normal"/>
    <w:link w:val="Heading4Char"/>
    <w:autoRedefine/>
    <w:qFormat/>
    <w:pPr>
      <w:keepNext/>
      <w:numPr>
        <w:ilvl w:val="3"/>
        <w:numId w:val="5"/>
      </w:numPr>
      <w:tabs>
        <w:tab w:val="left" w:pos="1134"/>
      </w:tabs>
      <w:spacing w:before="240" w:after="120" w:line="240" w:lineRule="auto"/>
      <w:outlineLvl w:val="3"/>
    </w:pPr>
    <w:rPr>
      <w:rFonts w:ascii="Arial" w:eastAsia="Times New Roman" w:hAnsi="Arial" w:cs="Arial"/>
      <w:b/>
      <w:bCs/>
      <w:noProof/>
      <w:color w:val="00A79D"/>
      <w:sz w:val="24"/>
      <w:szCs w:val="28"/>
    </w:rPr>
  </w:style>
  <w:style w:type="paragraph" w:styleId="Heading5">
    <w:name w:val="heading 5"/>
    <w:basedOn w:val="Normal"/>
    <w:next w:val="Normal"/>
    <w:link w:val="Heading5Char"/>
    <w:autoRedefine/>
    <w:qFormat/>
    <w:pPr>
      <w:keepNext/>
      <w:spacing w:before="120" w:after="120" w:line="240" w:lineRule="auto"/>
      <w:outlineLvl w:val="4"/>
    </w:pPr>
    <w:rPr>
      <w:rFonts w:ascii="Arial" w:eastAsia="Times New Roman" w:hAnsi="Arial" w:cs="Arial"/>
      <w:b/>
      <w:color w:val="00A79D"/>
    </w:rPr>
  </w:style>
  <w:style w:type="paragraph" w:styleId="Heading6">
    <w:name w:val="heading 6"/>
    <w:basedOn w:val="Normal"/>
    <w:next w:val="Normal"/>
    <w:link w:val="Heading6Char"/>
    <w:autoRedefine/>
    <w:qFormat/>
    <w:pPr>
      <w:numPr>
        <w:ilvl w:val="5"/>
        <w:numId w:val="5"/>
      </w:numPr>
      <w:spacing w:before="240" w:after="60" w:line="240" w:lineRule="auto"/>
      <w:outlineLvl w:val="5"/>
    </w:pPr>
    <w:rPr>
      <w:rFonts w:ascii="Calibri" w:eastAsia="Times New Roman" w:hAnsi="Calibri" w:cs="Arial"/>
      <w:b/>
      <w:bCs/>
      <w:sz w:val="24"/>
    </w:rPr>
  </w:style>
  <w:style w:type="paragraph" w:styleId="Heading7">
    <w:name w:val="heading 7"/>
    <w:basedOn w:val="Normal"/>
    <w:next w:val="Normal"/>
    <w:link w:val="Heading7Char"/>
    <w:autoRedefine/>
    <w:qFormat/>
    <w:pPr>
      <w:numPr>
        <w:ilvl w:val="6"/>
        <w:numId w:val="5"/>
      </w:numPr>
      <w:spacing w:before="240" w:after="60" w:line="240" w:lineRule="auto"/>
      <w:outlineLvl w:val="6"/>
    </w:pPr>
    <w:rPr>
      <w:rFonts w:ascii="Calibri" w:eastAsia="Times New Roman" w:hAnsi="Calibri" w:cs="Arial"/>
      <w:sz w:val="24"/>
      <w:szCs w:val="24"/>
    </w:rPr>
  </w:style>
  <w:style w:type="paragraph" w:styleId="Heading8">
    <w:name w:val="heading 8"/>
    <w:basedOn w:val="Normal"/>
    <w:next w:val="Normal"/>
    <w:link w:val="Heading8Char"/>
    <w:autoRedefine/>
    <w:qFormat/>
    <w:pPr>
      <w:numPr>
        <w:ilvl w:val="7"/>
        <w:numId w:val="5"/>
      </w:numPr>
      <w:spacing w:before="240" w:after="60" w:line="240" w:lineRule="auto"/>
      <w:outlineLvl w:val="7"/>
    </w:pPr>
    <w:rPr>
      <w:rFonts w:ascii="Calibri" w:eastAsia="Times New Roman" w:hAnsi="Calibri" w:cs="Arial"/>
      <w:i/>
      <w:iCs/>
      <w:sz w:val="24"/>
      <w:szCs w:val="24"/>
    </w:rPr>
  </w:style>
  <w:style w:type="paragraph" w:styleId="Heading9">
    <w:name w:val="heading 9"/>
    <w:basedOn w:val="Normal"/>
    <w:next w:val="Normal"/>
    <w:link w:val="Heading9Char"/>
    <w:autoRedefine/>
    <w:qFormat/>
    <w:pPr>
      <w:numPr>
        <w:ilvl w:val="8"/>
        <w:numId w:val="5"/>
      </w:numPr>
      <w:spacing w:before="240" w:after="60" w:line="240" w:lineRule="auto"/>
      <w:outlineLvl w:val="8"/>
    </w:pPr>
    <w:rPr>
      <w:rFonts w:ascii="Calibri" w:eastAsia="Times New Roman" w:hAnsi="Calibri" w:cs="Arial"/>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caps/>
      <w:noProof/>
      <w:sz w:val="24"/>
      <w:szCs w:val="24"/>
      <w:lang w:eastAsia="fr-FR"/>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4"/>
      <w:lang w:eastAsia="fr-FR"/>
    </w:rPr>
  </w:style>
  <w:style w:type="character" w:customStyle="1" w:styleId="Heading3Char">
    <w:name w:val="Heading 3 Char"/>
    <w:basedOn w:val="DefaultParagraphFont"/>
    <w:link w:val="Heading3"/>
    <w:rPr>
      <w:rFonts w:ascii="Arial" w:eastAsia="Times New Roman" w:hAnsi="Arial" w:cs="Arial"/>
      <w:b/>
      <w:bCs/>
      <w:color w:val="00A79D"/>
      <w:sz w:val="26"/>
      <w:szCs w:val="26"/>
      <w:lang w:eastAsia="fr-FR"/>
    </w:rPr>
  </w:style>
  <w:style w:type="character" w:customStyle="1" w:styleId="Heading4Char">
    <w:name w:val="Heading 4 Char"/>
    <w:basedOn w:val="DefaultParagraphFont"/>
    <w:link w:val="Heading4"/>
    <w:rPr>
      <w:rFonts w:ascii="Arial" w:eastAsia="Times New Roman" w:hAnsi="Arial" w:cs="Arial"/>
      <w:b/>
      <w:bCs/>
      <w:noProof/>
      <w:color w:val="00A79D"/>
      <w:sz w:val="24"/>
      <w:szCs w:val="28"/>
      <w:lang w:eastAsia="fr-FR"/>
    </w:rPr>
  </w:style>
  <w:style w:type="character" w:customStyle="1" w:styleId="Heading5Char">
    <w:name w:val="Heading 5 Char"/>
    <w:basedOn w:val="DefaultParagraphFont"/>
    <w:link w:val="Heading5"/>
    <w:rPr>
      <w:rFonts w:ascii="Arial" w:eastAsia="Times New Roman" w:hAnsi="Arial" w:cs="Arial"/>
      <w:b/>
      <w:color w:val="00A79D"/>
      <w:lang w:eastAsia="fr-FR"/>
    </w:rPr>
  </w:style>
  <w:style w:type="character" w:customStyle="1" w:styleId="Heading6Char">
    <w:name w:val="Heading 6 Char"/>
    <w:basedOn w:val="DefaultParagraphFont"/>
    <w:link w:val="Heading6"/>
    <w:rPr>
      <w:rFonts w:ascii="Calibri" w:eastAsia="Times New Roman" w:hAnsi="Calibri" w:cs="Arial"/>
      <w:b/>
      <w:bCs/>
      <w:sz w:val="24"/>
      <w:lang w:eastAsia="fr-FR"/>
    </w:rPr>
  </w:style>
  <w:style w:type="character" w:customStyle="1" w:styleId="Heading7Char">
    <w:name w:val="Heading 7 Char"/>
    <w:basedOn w:val="DefaultParagraphFont"/>
    <w:link w:val="Heading7"/>
    <w:rPr>
      <w:rFonts w:ascii="Calibri" w:eastAsia="Times New Roman" w:hAnsi="Calibri" w:cs="Arial"/>
      <w:sz w:val="24"/>
      <w:szCs w:val="24"/>
      <w:lang w:eastAsia="fr-FR"/>
    </w:rPr>
  </w:style>
  <w:style w:type="character" w:customStyle="1" w:styleId="Heading8Char">
    <w:name w:val="Heading 8 Char"/>
    <w:basedOn w:val="DefaultParagraphFont"/>
    <w:link w:val="Heading8"/>
    <w:rPr>
      <w:rFonts w:ascii="Calibri" w:eastAsia="Times New Roman" w:hAnsi="Calibri" w:cs="Arial"/>
      <w:i/>
      <w:iCs/>
      <w:sz w:val="24"/>
      <w:szCs w:val="24"/>
      <w:lang w:eastAsia="fr-FR"/>
    </w:rPr>
  </w:style>
  <w:style w:type="character" w:customStyle="1" w:styleId="Heading9Char">
    <w:name w:val="Heading 9 Char"/>
    <w:basedOn w:val="DefaultParagraphFont"/>
    <w:link w:val="Heading9"/>
    <w:rPr>
      <w:rFonts w:ascii="Calibri" w:eastAsia="Times New Roman" w:hAnsi="Calibri" w:cs="Arial"/>
      <w:sz w:val="24"/>
      <w:lang w:eastAsia="fr-FR"/>
    </w:rPr>
  </w:style>
  <w:style w:type="numbering" w:customStyle="1" w:styleId="NoList1">
    <w:name w:val="No List1"/>
    <w:next w:val="NoList"/>
    <w:uiPriority w:val="99"/>
    <w:semiHidden/>
    <w:unhideWhenUsed/>
  </w:style>
  <w:style w:type="character" w:styleId="PageNumber">
    <w:name w:val="page number"/>
    <w:rPr>
      <w:rFonts w:ascii="Franklin Gothic Book" w:hAnsi="Franklin Gothic Book"/>
      <w:color w:val="808000"/>
    </w:rPr>
  </w:style>
  <w:style w:type="character" w:styleId="FollowedHyperlink">
    <w:name w:val="FollowedHyperlink"/>
    <w:rPr>
      <w:rFonts w:ascii="Franklin Gothic Book" w:hAnsi="Franklin Gothic Book"/>
      <w:color w:val="800080"/>
      <w:u w:val="single"/>
    </w:rPr>
  </w:style>
  <w:style w:type="paragraph" w:customStyle="1" w:styleId="ExecSummHead1">
    <w:name w:val="Exec Summ Head 1"/>
    <w:basedOn w:val="Heading1"/>
    <w:next w:val="Normal"/>
    <w:qFormat/>
    <w:pPr>
      <w:numPr>
        <w:numId w:val="1"/>
      </w:numPr>
      <w:tabs>
        <w:tab w:val="clear" w:pos="432"/>
      </w:tabs>
      <w:ind w:left="1134" w:hanging="1134"/>
    </w:pPr>
    <w:rPr>
      <w:sz w:val="36"/>
      <w:szCs w:val="36"/>
    </w:rPr>
  </w:style>
  <w:style w:type="paragraph" w:styleId="Caption">
    <w:name w:val="caption"/>
    <w:basedOn w:val="Normal"/>
    <w:next w:val="Normal"/>
    <w:link w:val="CaptionChar"/>
    <w:qFormat/>
    <w:pPr>
      <w:keepNext/>
      <w:spacing w:before="120" w:after="120" w:line="240" w:lineRule="auto"/>
    </w:pPr>
    <w:rPr>
      <w:rFonts w:ascii="Arial" w:eastAsia="Times New Roman" w:hAnsi="Arial" w:cs="Arial"/>
      <w:b/>
      <w:bCs/>
      <w:color w:val="00A79D"/>
      <w:sz w:val="24"/>
      <w:szCs w:val="20"/>
    </w:rPr>
  </w:style>
  <w:style w:type="paragraph" w:styleId="FootnoteText">
    <w:name w:val="footnote text"/>
    <w:basedOn w:val="Normal"/>
    <w:link w:val="FootnoteTextChar"/>
    <w:autoRedefine/>
    <w:qFormat/>
    <w:pPr>
      <w:spacing w:after="120" w:line="240" w:lineRule="auto"/>
      <w:ind w:right="44"/>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lang w:eastAsia="fr-FR"/>
    </w:rPr>
  </w:style>
  <w:style w:type="character" w:styleId="FootnoteReference">
    <w:name w:val="footnote reference"/>
    <w:aliases w:val="SUPERS,EN Footnote Reference,Footnote reference number,Footnote symbol,note TESI,-E Fußnotenzeichen,number,16 Point,Superscript 6 Point,Footnote text,Footnote Reference Superscript,stylish,BVI fnr,Footnote call,(Footnote Reference),ft"/>
    <w:qFormat/>
    <w:rPr>
      <w:vertAlign w:val="superscript"/>
    </w:rPr>
  </w:style>
  <w:style w:type="paragraph" w:styleId="EndnoteText">
    <w:name w:val="endnote text"/>
    <w:basedOn w:val="Normal"/>
    <w:link w:val="EndnoteTextChar"/>
    <w:semiHidden/>
    <w:pPr>
      <w:keepNext/>
      <w:spacing w:before="120" w:after="120" w:line="240" w:lineRule="auto"/>
    </w:pPr>
    <w:rPr>
      <w:rFonts w:ascii="Calibri" w:eastAsia="Times New Roman" w:hAnsi="Calibri" w:cs="Arial"/>
      <w:color w:val="808000"/>
      <w:sz w:val="24"/>
      <w:szCs w:val="20"/>
    </w:rPr>
  </w:style>
  <w:style w:type="character" w:customStyle="1" w:styleId="EndnoteTextChar">
    <w:name w:val="Endnote Text Char"/>
    <w:basedOn w:val="DefaultParagraphFont"/>
    <w:link w:val="EndnoteText"/>
    <w:semiHidden/>
    <w:rPr>
      <w:rFonts w:ascii="Calibri" w:eastAsia="Times New Roman" w:hAnsi="Calibri" w:cs="Arial"/>
      <w:color w:val="808000"/>
      <w:sz w:val="24"/>
      <w:szCs w:val="20"/>
      <w:lang w:eastAsia="fr-FR"/>
    </w:rPr>
  </w:style>
  <w:style w:type="character" w:styleId="EndnoteReference">
    <w:name w:val="endnote reference"/>
    <w:semiHidden/>
    <w:rPr>
      <w:vertAlign w:val="superscript"/>
    </w:rPr>
  </w:style>
  <w:style w:type="paragraph" w:customStyle="1" w:styleId="SectionHeading">
    <w:name w:val="Section Heading"/>
    <w:basedOn w:val="Normal"/>
    <w:next w:val="Normal"/>
    <w:autoRedefine/>
    <w:pPr>
      <w:spacing w:before="5400" w:after="120" w:line="240" w:lineRule="auto"/>
    </w:pPr>
    <w:rPr>
      <w:rFonts w:ascii="Calibri" w:eastAsia="Times New Roman" w:hAnsi="Calibri" w:cs="Arial"/>
      <w:color w:val="808000"/>
      <w:sz w:val="40"/>
      <w:szCs w:val="24"/>
    </w:rPr>
  </w:style>
  <w:style w:type="paragraph" w:styleId="TOC1">
    <w:name w:val="toc 1"/>
    <w:basedOn w:val="Normal"/>
    <w:next w:val="Normal"/>
    <w:autoRedefine/>
    <w:uiPriority w:val="39"/>
    <w:qFormat/>
    <w:pPr>
      <w:spacing w:before="120" w:after="120" w:line="240" w:lineRule="auto"/>
    </w:pPr>
    <w:rPr>
      <w:rFonts w:eastAsia="Times New Roman" w:cs="Arial"/>
      <w:b/>
      <w:bCs/>
      <w:caps/>
      <w:sz w:val="20"/>
      <w:szCs w:val="20"/>
    </w:rPr>
  </w:style>
  <w:style w:type="paragraph" w:styleId="TOC2">
    <w:name w:val="toc 2"/>
    <w:basedOn w:val="Normal"/>
    <w:next w:val="Normal"/>
    <w:uiPriority w:val="39"/>
    <w:qFormat/>
    <w:pPr>
      <w:spacing w:after="0" w:line="240" w:lineRule="auto"/>
      <w:ind w:left="240"/>
    </w:pPr>
    <w:rPr>
      <w:rFonts w:eastAsia="Times New Roman" w:cs="Arial"/>
      <w:smallCaps/>
      <w:sz w:val="20"/>
      <w:szCs w:val="20"/>
    </w:rPr>
  </w:style>
  <w:style w:type="paragraph" w:styleId="TOC3">
    <w:name w:val="toc 3"/>
    <w:basedOn w:val="Normal"/>
    <w:next w:val="Normal"/>
    <w:uiPriority w:val="39"/>
    <w:qFormat/>
    <w:pPr>
      <w:spacing w:after="0" w:line="240" w:lineRule="auto"/>
      <w:ind w:left="480"/>
    </w:pPr>
    <w:rPr>
      <w:rFonts w:eastAsia="Times New Roman" w:cs="Arial"/>
      <w:i/>
      <w:iCs/>
      <w:sz w:val="20"/>
      <w:szCs w:val="20"/>
    </w:rPr>
  </w:style>
  <w:style w:type="paragraph" w:styleId="TOC4">
    <w:name w:val="toc 4"/>
    <w:basedOn w:val="EXECSUMM"/>
    <w:next w:val="Normal"/>
    <w:autoRedefine/>
    <w:uiPriority w:val="39"/>
    <w:pPr>
      <w:pBdr>
        <w:bottom w:val="none" w:sz="0" w:space="0" w:color="auto"/>
      </w:pBdr>
      <w:spacing w:before="0" w:after="0" w:line="240" w:lineRule="auto"/>
      <w:ind w:left="720"/>
      <w:jc w:val="left"/>
    </w:pPr>
    <w:rPr>
      <w:rFonts w:asciiTheme="minorHAnsi" w:hAnsiTheme="minorHAnsi"/>
      <w:b w:val="0"/>
      <w:bCs w:val="0"/>
      <w:sz w:val="18"/>
      <w:szCs w:val="18"/>
    </w:rPr>
  </w:style>
  <w:style w:type="paragraph" w:styleId="TOC5">
    <w:name w:val="toc 5"/>
    <w:basedOn w:val="Normal"/>
    <w:next w:val="Normal"/>
    <w:autoRedefine/>
    <w:semiHidden/>
    <w:pPr>
      <w:spacing w:after="0" w:line="240" w:lineRule="auto"/>
      <w:ind w:left="960"/>
    </w:pPr>
    <w:rPr>
      <w:rFonts w:eastAsia="Times New Roman" w:cs="Arial"/>
      <w:sz w:val="18"/>
      <w:szCs w:val="18"/>
    </w:rPr>
  </w:style>
  <w:style w:type="paragraph" w:styleId="TOC6">
    <w:name w:val="toc 6"/>
    <w:basedOn w:val="Normal"/>
    <w:next w:val="Normal"/>
    <w:autoRedefine/>
    <w:semiHidden/>
    <w:pPr>
      <w:spacing w:after="0" w:line="240" w:lineRule="auto"/>
      <w:ind w:left="1200"/>
    </w:pPr>
    <w:rPr>
      <w:rFonts w:eastAsia="Times New Roman" w:cs="Arial"/>
      <w:sz w:val="18"/>
      <w:szCs w:val="18"/>
    </w:rPr>
  </w:style>
  <w:style w:type="paragraph" w:styleId="TOC7">
    <w:name w:val="toc 7"/>
    <w:basedOn w:val="Normal"/>
    <w:next w:val="Normal"/>
    <w:autoRedefine/>
    <w:semiHidden/>
    <w:pPr>
      <w:spacing w:after="0" w:line="240" w:lineRule="auto"/>
      <w:ind w:left="1440"/>
    </w:pPr>
    <w:rPr>
      <w:rFonts w:eastAsia="Times New Roman" w:cs="Arial"/>
      <w:sz w:val="18"/>
      <w:szCs w:val="18"/>
    </w:rPr>
  </w:style>
  <w:style w:type="paragraph" w:styleId="TOC8">
    <w:name w:val="toc 8"/>
    <w:basedOn w:val="Normal"/>
    <w:next w:val="Normal"/>
    <w:autoRedefine/>
    <w:semiHidden/>
    <w:pPr>
      <w:spacing w:after="0" w:line="240" w:lineRule="auto"/>
      <w:ind w:left="1680"/>
    </w:pPr>
    <w:rPr>
      <w:rFonts w:eastAsia="Times New Roman" w:cs="Arial"/>
      <w:sz w:val="18"/>
      <w:szCs w:val="18"/>
    </w:rPr>
  </w:style>
  <w:style w:type="paragraph" w:styleId="TOC9">
    <w:name w:val="toc 9"/>
    <w:basedOn w:val="Normal"/>
    <w:next w:val="Normal"/>
    <w:autoRedefine/>
    <w:semiHidden/>
    <w:pPr>
      <w:spacing w:after="0" w:line="240" w:lineRule="auto"/>
      <w:ind w:left="1920"/>
    </w:pPr>
    <w:rPr>
      <w:rFonts w:eastAsia="Times New Roman" w:cs="Arial"/>
      <w:sz w:val="18"/>
      <w:szCs w:val="18"/>
    </w:rPr>
  </w:style>
  <w:style w:type="character" w:styleId="Hyperlink">
    <w:name w:val="Hyperlink"/>
    <w:uiPriority w:val="99"/>
    <w:rPr>
      <w:rFonts w:ascii="Calibri" w:hAnsi="Calibri"/>
      <w:color w:val="0000FF"/>
      <w:u w:val="single"/>
    </w:rPr>
  </w:style>
  <w:style w:type="paragraph" w:customStyle="1" w:styleId="IntroHeading">
    <w:name w:val="Intro Heading"/>
    <w:basedOn w:val="Heading1"/>
    <w:next w:val="Normal"/>
    <w:autoRedefine/>
    <w:pPr>
      <w:numPr>
        <w:numId w:val="0"/>
      </w:numPr>
      <w:spacing w:before="120"/>
    </w:pPr>
  </w:style>
  <w:style w:type="paragraph" w:styleId="TableofFigures">
    <w:name w:val="table of figures"/>
    <w:basedOn w:val="Normal"/>
    <w:next w:val="Normal"/>
    <w:uiPriority w:val="99"/>
    <w:pPr>
      <w:spacing w:before="120" w:after="120" w:line="240" w:lineRule="auto"/>
      <w:ind w:left="400" w:hanging="400"/>
    </w:pPr>
    <w:rPr>
      <w:rFonts w:ascii="Calibri" w:eastAsia="Times New Roman" w:hAnsi="Calibri" w:cs="Arial"/>
      <w:sz w:val="24"/>
      <w:szCs w:val="24"/>
    </w:rPr>
  </w:style>
  <w:style w:type="table" w:customStyle="1" w:styleId="EunomiaTable-Text">
    <w:name w:val="Eunomia Table - Text"/>
    <w:basedOn w:val="TableNormal"/>
    <w:uiPriority w:val="99"/>
    <w:pPr>
      <w:spacing w:after="0" w:line="240" w:lineRule="auto"/>
    </w:pPr>
    <w:rPr>
      <w:rFonts w:ascii="Calibri" w:eastAsia="Times New Roman" w:hAnsi="Calibri" w:cs="Times New Roman"/>
      <w:sz w:val="24"/>
      <w:szCs w:val="20"/>
    </w:rPr>
    <w:tblPr>
      <w:tblStyleRowBandSize w:val="1"/>
      <w:tblInd w:w="0" w:type="dxa"/>
      <w:tblBorders>
        <w:insideV w:val="single" w:sz="4" w:space="0" w:color="00A79D"/>
      </w:tblBorders>
      <w:tblCellMar>
        <w:top w:w="0" w:type="dxa"/>
        <w:left w:w="108" w:type="dxa"/>
        <w:bottom w:w="0" w:type="dxa"/>
        <w:right w:w="108" w:type="dxa"/>
      </w:tblCellMar>
    </w:tblPr>
    <w:tblStylePr w:type="firstRow">
      <w:pPr>
        <w:jc w:val="center"/>
      </w:pPr>
      <w:rPr>
        <w:b/>
      </w:rPr>
      <w:tblPr/>
      <w:tcPr>
        <w:tcBorders>
          <w:top w:val="single" w:sz="4" w:space="0" w:color="A6A6A6"/>
        </w:tcBorders>
        <w:shd w:val="clear" w:color="auto" w:fill="BFBFBF"/>
      </w:tcPr>
    </w:tblStylePr>
    <w:tblStylePr w:type="lastRow">
      <w:tblPr/>
      <w:tcPr>
        <w:tcBorders>
          <w:top w:val="dotted" w:sz="4" w:space="0" w:color="A6A6A6"/>
          <w:bottom w:val="single" w:sz="4" w:space="0" w:color="A6A6A6"/>
        </w:tcBorders>
      </w:tcPr>
    </w:tblStylePr>
    <w:tblStylePr w:type="firstCol">
      <w:pPr>
        <w:jc w:val="left"/>
      </w:pPr>
      <w:rPr>
        <w:b/>
      </w:rPr>
      <w:tblPr/>
      <w:tcPr>
        <w:tcBorders>
          <w:left w:val="single" w:sz="4" w:space="0" w:color="A6A6A6"/>
        </w:tcBorders>
        <w:shd w:val="clear" w:color="auto" w:fill="F2F2F2"/>
        <w:vAlign w:val="center"/>
      </w:tcPr>
    </w:tblStylePr>
    <w:tblStylePr w:type="lastCol">
      <w:tblPr/>
      <w:tcPr>
        <w:tcBorders>
          <w:right w:val="single" w:sz="4" w:space="0" w:color="A6A6A6"/>
        </w:tcBorders>
      </w:tcPr>
    </w:tblStylePr>
    <w:tblStylePr w:type="band1Horz">
      <w:tblPr/>
      <w:tcPr>
        <w:tcBorders>
          <w:top w:val="dotted" w:sz="4" w:space="0" w:color="A6A6A6"/>
          <w:bottom w:val="dotted" w:sz="4" w:space="0" w:color="A6A6A6"/>
        </w:tcBorders>
      </w:tcPr>
    </w:tblStylePr>
    <w:tblStylePr w:type="nwCell">
      <w:pPr>
        <w:jc w:val="left"/>
      </w:pPr>
      <w:tblPr/>
      <w:tcPr>
        <w:vAlign w:val="top"/>
      </w:tcPr>
    </w:tblStylePr>
  </w:style>
  <w:style w:type="paragraph" w:customStyle="1" w:styleId="DocumentTitle">
    <w:name w:val="Document Title"/>
    <w:basedOn w:val="Normal"/>
    <w:link w:val="DocumentTitleChar"/>
    <w:autoRedefine/>
    <w:pPr>
      <w:spacing w:before="120" w:after="120" w:line="240" w:lineRule="auto"/>
    </w:pPr>
    <w:rPr>
      <w:rFonts w:ascii="Arial" w:eastAsia="Times New Roman" w:hAnsi="Arial" w:cs="Arial"/>
      <w:b/>
      <w:color w:val="FFFFFF"/>
      <w:sz w:val="56"/>
      <w:szCs w:val="56"/>
    </w:rPr>
  </w:style>
  <w:style w:type="paragraph" w:customStyle="1" w:styleId="Documentrecipient">
    <w:name w:val="Document recipient"/>
    <w:basedOn w:val="IntroHeading"/>
    <w:autoRedefine/>
  </w:style>
  <w:style w:type="paragraph" w:customStyle="1" w:styleId="preparedby">
    <w:name w:val="prepared by"/>
    <w:basedOn w:val="IntroHeading"/>
    <w:autoRedefine/>
    <w:rPr>
      <w:sz w:val="32"/>
    </w:rPr>
  </w:style>
  <w:style w:type="paragraph" w:customStyle="1" w:styleId="ExecSummHead2">
    <w:name w:val="Exec Summ Head 2"/>
    <w:basedOn w:val="Heading2"/>
    <w:next w:val="Normal"/>
    <w:link w:val="ExecSummHead2Char"/>
    <w:qFormat/>
    <w:pPr>
      <w:numPr>
        <w:numId w:val="1"/>
      </w:numPr>
      <w:tabs>
        <w:tab w:val="clear" w:pos="576"/>
      </w:tabs>
      <w:ind w:left="1134" w:hanging="1134"/>
    </w:pPr>
  </w:style>
  <w:style w:type="paragraph" w:customStyle="1" w:styleId="Reference">
    <w:name w:val="Reference"/>
    <w:basedOn w:val="Normal"/>
    <w:autoRedefine/>
    <w:pPr>
      <w:spacing w:before="120" w:after="120" w:line="240" w:lineRule="auto"/>
    </w:pPr>
    <w:rPr>
      <w:rFonts w:ascii="Calibri" w:eastAsia="Times New Roman" w:hAnsi="Calibri" w:cs="Arial"/>
      <w:sz w:val="24"/>
      <w:szCs w:val="24"/>
    </w:rPr>
  </w:style>
  <w:style w:type="paragraph" w:customStyle="1" w:styleId="AppendixHeading1">
    <w:name w:val="Appendix Heading1"/>
    <w:basedOn w:val="Heading1"/>
    <w:next w:val="Normal"/>
    <w:qFormat/>
    <w:pPr>
      <w:numPr>
        <w:numId w:val="0"/>
      </w:numPr>
      <w:ind w:left="1440" w:right="-1749" w:hanging="1440"/>
    </w:pPr>
  </w:style>
  <w:style w:type="numbering" w:customStyle="1" w:styleId="StyleBulleted">
    <w:name w:val="Style Bulleted"/>
    <w:basedOn w:val="NoList"/>
    <w:pPr>
      <w:numPr>
        <w:numId w:val="2"/>
      </w:numPr>
    </w:pPr>
  </w:style>
  <w:style w:type="paragraph" w:customStyle="1" w:styleId="AppendixHeading3">
    <w:name w:val="Appendix Heading3"/>
    <w:basedOn w:val="AppendixHeading1"/>
    <w:next w:val="Normal"/>
    <w:qFormat/>
    <w:pPr>
      <w:numPr>
        <w:numId w:val="11"/>
      </w:numPr>
    </w:pPr>
    <w:rPr>
      <w:caps w:val="0"/>
    </w:rPr>
  </w:style>
  <w:style w:type="paragraph" w:customStyle="1" w:styleId="AppendixHeading2">
    <w:name w:val="Appendix Heading2"/>
    <w:basedOn w:val="AppendixHeading1"/>
    <w:next w:val="Normal"/>
    <w:qFormat/>
    <w:pPr>
      <w:ind w:left="1200" w:hanging="1200"/>
    </w:pPr>
    <w:rPr>
      <w:caps w:val="0"/>
      <w:smallCaps/>
    </w:rPr>
  </w:style>
  <w:style w:type="numbering" w:customStyle="1" w:styleId="StyleNumbered">
    <w:name w:val="Style Numbered"/>
    <w:basedOn w:val="StyleBulleted"/>
    <w:pPr>
      <w:numPr>
        <w:numId w:val="3"/>
      </w:numPr>
    </w:pPr>
  </w:style>
  <w:style w:type="paragraph" w:customStyle="1" w:styleId="NumberedParagraphs">
    <w:name w:val="Numbered Paragraphs"/>
    <w:basedOn w:val="Normal"/>
    <w:next w:val="Normal"/>
    <w:pPr>
      <w:numPr>
        <w:numId w:val="4"/>
      </w:numPr>
      <w:tabs>
        <w:tab w:val="left" w:pos="397"/>
      </w:tabs>
      <w:spacing w:before="120" w:after="120" w:line="240" w:lineRule="auto"/>
    </w:pPr>
    <w:rPr>
      <w:rFonts w:ascii="Calibri" w:eastAsia="Times New Roman" w:hAnsi="Calibri" w:cs="Arial"/>
      <w:sz w:val="24"/>
      <w:szCs w:val="24"/>
    </w:rPr>
  </w:style>
  <w:style w:type="paragraph" w:customStyle="1" w:styleId="reference0">
    <w:name w:val="reference"/>
    <w:basedOn w:val="Normal"/>
    <w:pPr>
      <w:spacing w:before="120" w:after="120" w:line="240" w:lineRule="auto"/>
    </w:pPr>
    <w:rPr>
      <w:rFonts w:ascii="Calibri" w:eastAsia="Times New Roman" w:hAnsi="Calibri" w:cs="Arial"/>
      <w:sz w:val="20"/>
      <w:szCs w:val="20"/>
    </w:rPr>
  </w:style>
  <w:style w:type="paragraph" w:customStyle="1" w:styleId="EXECSUMM">
    <w:name w:val="EXEC SUMM"/>
    <w:basedOn w:val="StyleArial20ptBoldAccent3TopSinglesolidlineAccent"/>
    <w:next w:val="Normal"/>
    <w:link w:val="EXECSUMMChar"/>
    <w:qFormat/>
    <w:pPr>
      <w:spacing w:before="480"/>
    </w:pPr>
  </w:style>
  <w:style w:type="paragraph" w:customStyle="1" w:styleId="CaptionNotes">
    <w:name w:val="Caption Notes"/>
    <w:basedOn w:val="Normal"/>
    <w:next w:val="Normal"/>
    <w:link w:val="CaptionNotesCharChar"/>
    <w:qFormat/>
    <w:pPr>
      <w:spacing w:before="60" w:after="240" w:line="240" w:lineRule="auto"/>
    </w:pPr>
    <w:rPr>
      <w:rFonts w:ascii="Calibri" w:eastAsia="Times New Roman" w:hAnsi="Calibri" w:cs="Arial"/>
      <w:i/>
      <w:iCs/>
      <w:sz w:val="20"/>
      <w:szCs w:val="20"/>
    </w:rPr>
  </w:style>
  <w:style w:type="character" w:customStyle="1" w:styleId="CaptionNotesCharChar">
    <w:name w:val="Caption Notes Char Char"/>
    <w:link w:val="CaptionNotes"/>
    <w:rPr>
      <w:rFonts w:ascii="Calibri" w:eastAsia="Times New Roman" w:hAnsi="Calibri" w:cs="Arial"/>
      <w:i/>
      <w:iCs/>
      <w:sz w:val="20"/>
      <w:szCs w:val="20"/>
      <w:lang w:eastAsia="fr-FR"/>
    </w:rPr>
  </w:style>
  <w:style w:type="table" w:styleId="TableWeb1">
    <w:name w:val="Table Web 1"/>
    <w:basedOn w:val="TableNormal"/>
    <w:pPr>
      <w:spacing w:before="120" w:after="12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eastAsia="fr-FR"/>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pPr>
      <w:keepLines/>
      <w:numPr>
        <w:numId w:val="0"/>
      </w:numPr>
      <w:spacing w:after="0" w:line="276" w:lineRule="auto"/>
      <w:outlineLvl w:val="9"/>
    </w:pPr>
    <w:rPr>
      <w:b w:val="0"/>
      <w:sz w:val="28"/>
      <w:szCs w:val="28"/>
    </w:rPr>
  </w:style>
  <w:style w:type="paragraph" w:styleId="ListParagraph">
    <w:name w:val="List Paragraph"/>
    <w:aliases w:val="Style Bullet"/>
    <w:basedOn w:val="Normal"/>
    <w:link w:val="ListParagraphChar"/>
    <w:uiPriority w:val="34"/>
    <w:qFormat/>
    <w:pPr>
      <w:spacing w:before="120" w:after="120" w:line="240" w:lineRule="auto"/>
      <w:ind w:left="720"/>
      <w:contextualSpacing/>
    </w:pPr>
    <w:rPr>
      <w:rFonts w:ascii="Calibri" w:eastAsia="Times New Roman" w:hAnsi="Calibri" w:cs="Arial"/>
      <w:sz w:val="24"/>
      <w:szCs w:val="24"/>
    </w:rPr>
  </w:style>
  <w:style w:type="paragraph" w:styleId="NoSpacing">
    <w:name w:val="No Spacing"/>
    <w:uiPriority w:val="1"/>
    <w:pPr>
      <w:spacing w:after="0" w:line="240" w:lineRule="auto"/>
    </w:pPr>
    <w:rPr>
      <w:rFonts w:ascii="Franklin Gothic Book" w:eastAsia="Times New Roman" w:hAnsi="Franklin Gothic Book" w:cs="Times New Roman"/>
      <w:sz w:val="24"/>
      <w:szCs w:val="24"/>
    </w:rPr>
  </w:style>
  <w:style w:type="paragraph" w:customStyle="1" w:styleId="StyleArial20ptBoldAccent3TopSinglesolidlineAccent">
    <w:name w:val="Style Arial 20 pt Bold Accent 3 Top: (Single solid line Accent..."/>
    <w:basedOn w:val="Normal"/>
    <w:link w:val="StyleArial20ptBoldAccent3TopSinglesolidlineAccentChar"/>
    <w:autoRedefine/>
    <w:qFormat/>
    <w:pPr>
      <w:pBdr>
        <w:bottom w:val="thinThickLargeGap" w:sz="24" w:space="1" w:color="auto"/>
      </w:pBdr>
      <w:spacing w:before="120" w:after="120" w:line="300" w:lineRule="auto"/>
      <w:jc w:val="center"/>
    </w:pPr>
    <w:rPr>
      <w:rFonts w:ascii="Arial" w:eastAsia="Times New Roman" w:hAnsi="Arial" w:cs="Arial"/>
      <w:b/>
      <w:bCs/>
      <w:sz w:val="40"/>
      <w:szCs w:val="20"/>
    </w:rPr>
  </w:style>
  <w:style w:type="paragraph" w:customStyle="1" w:styleId="BoldNormalText">
    <w:name w:val="Bold Normal Text"/>
    <w:basedOn w:val="Normal"/>
    <w:link w:val="BoldNormalTextChar"/>
    <w:qFormat/>
    <w:pPr>
      <w:spacing w:before="120" w:after="120" w:line="240" w:lineRule="auto"/>
    </w:pPr>
    <w:rPr>
      <w:rFonts w:ascii="Calibri" w:eastAsia="Times New Roman" w:hAnsi="Calibri" w:cs="Arial"/>
      <w:b/>
      <w:sz w:val="24"/>
      <w:szCs w:val="24"/>
    </w:rPr>
  </w:style>
  <w:style w:type="paragraph" w:customStyle="1" w:styleId="Italicnormaltext">
    <w:name w:val="Italic normal text"/>
    <w:basedOn w:val="Normal"/>
    <w:link w:val="ItalicnormaltextChar"/>
    <w:qFormat/>
    <w:pPr>
      <w:spacing w:before="120" w:after="120" w:line="240" w:lineRule="auto"/>
    </w:pPr>
    <w:rPr>
      <w:rFonts w:ascii="Calibri" w:eastAsia="Times New Roman" w:hAnsi="Calibri" w:cs="Arial"/>
      <w:i/>
      <w:sz w:val="24"/>
      <w:szCs w:val="24"/>
    </w:rPr>
  </w:style>
  <w:style w:type="character" w:customStyle="1" w:styleId="BoldNormalTextChar">
    <w:name w:val="Bold Normal Text Char"/>
    <w:link w:val="BoldNormalText"/>
    <w:rPr>
      <w:rFonts w:ascii="Calibri" w:eastAsia="Times New Roman" w:hAnsi="Calibri" w:cs="Arial"/>
      <w:b/>
      <w:sz w:val="24"/>
      <w:szCs w:val="24"/>
      <w:lang w:eastAsia="fr-FR"/>
    </w:rPr>
  </w:style>
  <w:style w:type="paragraph" w:customStyle="1" w:styleId="StyleNumbering">
    <w:name w:val="Style Numbering"/>
    <w:basedOn w:val="ListParagraph"/>
    <w:link w:val="StyleNumberingChar"/>
    <w:qFormat/>
    <w:pPr>
      <w:numPr>
        <w:numId w:val="6"/>
      </w:numPr>
    </w:pPr>
  </w:style>
  <w:style w:type="character" w:customStyle="1" w:styleId="ItalicnormaltextChar">
    <w:name w:val="Italic normal text Char"/>
    <w:link w:val="Italicnormaltext"/>
    <w:rPr>
      <w:rFonts w:ascii="Calibri" w:eastAsia="Times New Roman" w:hAnsi="Calibri" w:cs="Arial"/>
      <w:i/>
      <w:sz w:val="24"/>
      <w:szCs w:val="24"/>
      <w:lang w:eastAsia="fr-FR"/>
    </w:rPr>
  </w:style>
  <w:style w:type="paragraph" w:styleId="ListBullet">
    <w:name w:val="List Bullet"/>
    <w:basedOn w:val="Normal"/>
    <w:qFormat/>
    <w:pPr>
      <w:numPr>
        <w:numId w:val="12"/>
      </w:numPr>
      <w:tabs>
        <w:tab w:val="clear" w:pos="360"/>
      </w:tabs>
      <w:spacing w:before="120" w:after="120" w:line="240" w:lineRule="auto"/>
      <w:ind w:left="1080"/>
      <w:contextualSpacing/>
    </w:pPr>
    <w:rPr>
      <w:rFonts w:ascii="Calibri" w:eastAsia="Times New Roman" w:hAnsi="Calibri" w:cs="Arial"/>
      <w:sz w:val="24"/>
      <w:szCs w:val="24"/>
    </w:rPr>
  </w:style>
  <w:style w:type="character" w:customStyle="1" w:styleId="ListParagraphChar">
    <w:name w:val="List Paragraph Char"/>
    <w:aliases w:val="Style Bullet Char"/>
    <w:link w:val="ListParagraph"/>
    <w:uiPriority w:val="34"/>
    <w:rPr>
      <w:rFonts w:ascii="Calibri" w:eastAsia="Times New Roman" w:hAnsi="Calibri" w:cs="Arial"/>
      <w:sz w:val="24"/>
      <w:szCs w:val="24"/>
      <w:lang w:eastAsia="fr-FR"/>
    </w:rPr>
  </w:style>
  <w:style w:type="character" w:customStyle="1" w:styleId="StyleNumberingChar">
    <w:name w:val="Style Numbering Char"/>
    <w:link w:val="StyleNumbering"/>
    <w:rPr>
      <w:rFonts w:ascii="Calibri" w:eastAsia="Times New Roman" w:hAnsi="Calibri" w:cs="Arial"/>
      <w:sz w:val="24"/>
      <w:szCs w:val="24"/>
      <w:lang w:eastAsia="fr-FR"/>
    </w:rPr>
  </w:style>
  <w:style w:type="paragraph" w:styleId="ListBullet2">
    <w:name w:val="List Bullet 2"/>
    <w:basedOn w:val="Normal"/>
    <w:pPr>
      <w:numPr>
        <w:numId w:val="7"/>
      </w:numPr>
      <w:spacing w:before="120" w:after="120" w:line="240" w:lineRule="auto"/>
      <w:contextualSpacing/>
    </w:pPr>
    <w:rPr>
      <w:rFonts w:ascii="Calibri" w:eastAsia="Times New Roman" w:hAnsi="Calibri" w:cs="Arial"/>
      <w:sz w:val="24"/>
      <w:szCs w:val="24"/>
    </w:rPr>
  </w:style>
  <w:style w:type="paragraph" w:styleId="List">
    <w:name w:val="List"/>
    <w:basedOn w:val="Normal"/>
    <w:pPr>
      <w:spacing w:before="120" w:after="120" w:line="240" w:lineRule="auto"/>
      <w:ind w:left="283" w:hanging="283"/>
      <w:contextualSpacing/>
    </w:pPr>
    <w:rPr>
      <w:rFonts w:ascii="Calibri" w:eastAsia="Times New Roman" w:hAnsi="Calibri" w:cs="Arial"/>
      <w:sz w:val="24"/>
      <w:szCs w:val="24"/>
    </w:rPr>
  </w:style>
  <w:style w:type="character" w:customStyle="1" w:styleId="StyleFootnoteReferenceArial">
    <w:name w:val="Style Footnote Reference + Arial"/>
    <w:rPr>
      <w:rFonts w:ascii="Calibri" w:hAnsi="Calibri"/>
      <w:sz w:val="20"/>
      <w:vertAlign w:val="superscript"/>
    </w:rPr>
  </w:style>
  <w:style w:type="paragraph" w:styleId="TOAHeading">
    <w:name w:val="toa heading"/>
    <w:basedOn w:val="Normal"/>
    <w:next w:val="Normal"/>
    <w:pPr>
      <w:spacing w:before="120" w:after="120" w:line="240" w:lineRule="auto"/>
    </w:pPr>
    <w:rPr>
      <w:rFonts w:ascii="Cambria" w:eastAsia="Times New Roman" w:hAnsi="Cambria" w:cs="Times New Roman"/>
      <w:b/>
      <w:bCs/>
      <w:sz w:val="24"/>
      <w:szCs w:val="24"/>
    </w:rPr>
  </w:style>
  <w:style w:type="table" w:customStyle="1" w:styleId="Eunomia-Totals">
    <w:name w:val="Eunomia - Totals"/>
    <w:basedOn w:val="Eunomia-NoTotals"/>
    <w:uiPriority w:val="99"/>
    <w:tblPr>
      <w:tblInd w:w="0" w:type="dxa"/>
      <w:tblBorders>
        <w:top w:val="single" w:sz="4" w:space="0" w:color="D9D9D9"/>
        <w:left w:val="single" w:sz="4" w:space="0" w:color="D9D9D9"/>
        <w:bottom w:val="single" w:sz="4" w:space="0" w:color="D9D9D9"/>
        <w:right w:val="single" w:sz="4" w:space="0" w:color="D9D9D9"/>
        <w:insideH w:val="dotted" w:sz="4" w:space="0" w:color="BFBFBF"/>
        <w:insideV w:val="single" w:sz="4" w:space="0" w:color="00A79D"/>
      </w:tblBorders>
      <w:tblCellMar>
        <w:top w:w="0" w:type="dxa"/>
        <w:left w:w="108" w:type="dxa"/>
        <w:bottom w:w="0" w:type="dxa"/>
        <w:right w:w="108" w:type="dxa"/>
      </w:tblCellMar>
    </w:tblPr>
    <w:trPr>
      <w:cantSplit/>
    </w:trPr>
    <w:tcPr>
      <w:vAlign w:val="center"/>
    </w:tcPr>
    <w:tblStylePr w:type="firstRow">
      <w:rPr>
        <w:b/>
      </w:rPr>
      <w:tblPr/>
      <w:tcPr>
        <w:tcBorders>
          <w:top w:val="single" w:sz="4" w:space="0" w:color="808080"/>
        </w:tcBorders>
        <w:shd w:val="clear" w:color="auto" w:fill="BFBFBF"/>
      </w:tcPr>
    </w:tblStylePr>
    <w:tblStylePr w:type="lastRow">
      <w:tblPr/>
      <w:tcPr>
        <w:tcBorders>
          <w:bottom w:val="single" w:sz="4" w:space="0" w:color="808080"/>
        </w:tcBorders>
        <w:shd w:val="clear" w:color="auto" w:fill="F2F2F2"/>
      </w:tcPr>
    </w:tblStylePr>
    <w:tblStylePr w:type="firstCol">
      <w:pPr>
        <w:jc w:val="left"/>
      </w:pPr>
      <w:rPr>
        <w:b/>
      </w:rPr>
      <w:tblPr/>
      <w:tcPr>
        <w:tcBorders>
          <w:left w:val="single" w:sz="4" w:space="0" w:color="808080"/>
        </w:tcBorders>
        <w:shd w:val="clear" w:color="auto" w:fill="F2F2F2"/>
      </w:tcPr>
    </w:tblStylePr>
    <w:tblStylePr w:type="lastCol">
      <w:tblPr/>
      <w:tcPr>
        <w:tcBorders>
          <w:right w:val="single" w:sz="4" w:space="0" w:color="808080"/>
        </w:tcBorders>
        <w:shd w:val="clear" w:color="auto" w:fill="F2F2F2"/>
      </w:tcPr>
    </w:tblStylePr>
  </w:style>
  <w:style w:type="paragraph" w:customStyle="1" w:styleId="WhiteArial12ptBold">
    <w:name w:val="White Arial 12pt Bold"/>
    <w:basedOn w:val="Normal"/>
    <w:link w:val="WhiteArial12ptBoldChar"/>
    <w:qFormat/>
    <w:pPr>
      <w:spacing w:before="120" w:after="120" w:line="240" w:lineRule="auto"/>
    </w:pPr>
    <w:rPr>
      <w:rFonts w:ascii="Arial" w:eastAsia="Times New Roman" w:hAnsi="Arial" w:cs="Arial"/>
      <w:b/>
      <w:color w:val="FFFFFF"/>
      <w:sz w:val="24"/>
      <w:szCs w:val="24"/>
    </w:rPr>
  </w:style>
  <w:style w:type="paragraph" w:customStyle="1" w:styleId="Authors">
    <w:name w:val="Authors"/>
    <w:basedOn w:val="Normal"/>
    <w:link w:val="AuthorsChar"/>
    <w:qFormat/>
    <w:pPr>
      <w:spacing w:before="120" w:after="120" w:line="240" w:lineRule="auto"/>
    </w:pPr>
    <w:rPr>
      <w:rFonts w:ascii="Arial" w:eastAsia="Times New Roman" w:hAnsi="Arial" w:cs="Arial"/>
      <w:b/>
      <w:color w:val="00A79D"/>
      <w:sz w:val="28"/>
      <w:szCs w:val="28"/>
    </w:rPr>
  </w:style>
  <w:style w:type="character" w:customStyle="1" w:styleId="WhiteArial12ptBoldChar">
    <w:name w:val="White Arial 12pt Bold Char"/>
    <w:link w:val="WhiteArial12ptBold"/>
    <w:rPr>
      <w:rFonts w:ascii="Arial" w:eastAsia="Times New Roman" w:hAnsi="Arial" w:cs="Arial"/>
      <w:b/>
      <w:color w:val="FFFFFF"/>
      <w:sz w:val="24"/>
      <w:szCs w:val="24"/>
      <w:lang w:eastAsia="fr-FR"/>
    </w:rPr>
  </w:style>
  <w:style w:type="paragraph" w:customStyle="1" w:styleId="DocumentMainDate">
    <w:name w:val="Document Main Date"/>
    <w:basedOn w:val="Authors"/>
    <w:rPr>
      <w:bCs/>
      <w:sz w:val="24"/>
    </w:rPr>
  </w:style>
  <w:style w:type="character" w:customStyle="1" w:styleId="AuthorsChar">
    <w:name w:val="Authors Char"/>
    <w:link w:val="Authors"/>
    <w:rPr>
      <w:rFonts w:ascii="Arial" w:eastAsia="Times New Roman" w:hAnsi="Arial" w:cs="Arial"/>
      <w:b/>
      <w:color w:val="00A79D"/>
      <w:sz w:val="28"/>
      <w:szCs w:val="28"/>
      <w:lang w:eastAsia="fr-FR"/>
    </w:rPr>
  </w:style>
  <w:style w:type="paragraph" w:customStyle="1" w:styleId="DocumentSubtitle">
    <w:name w:val="Document Subtitle"/>
    <w:basedOn w:val="Normal"/>
    <w:link w:val="DocumentSubtitleChar"/>
    <w:qFormat/>
    <w:pPr>
      <w:spacing w:before="120" w:after="120" w:line="240" w:lineRule="auto"/>
    </w:pPr>
    <w:rPr>
      <w:rFonts w:ascii="Arial" w:eastAsia="Times New Roman" w:hAnsi="Arial" w:cs="Arial"/>
      <w:color w:val="FFFFFF"/>
      <w:sz w:val="40"/>
      <w:szCs w:val="40"/>
    </w:rPr>
  </w:style>
  <w:style w:type="paragraph" w:customStyle="1" w:styleId="AppendixTitle">
    <w:name w:val="Appendix Title"/>
    <w:basedOn w:val="DocumentTitle"/>
    <w:link w:val="AppendixTitleChar"/>
    <w:qFormat/>
    <w:pPr>
      <w:spacing w:before="3600"/>
    </w:pPr>
    <w:rPr>
      <w:color w:val="00A79D"/>
    </w:rPr>
  </w:style>
  <w:style w:type="character" w:customStyle="1" w:styleId="DocumentSubtitleChar">
    <w:name w:val="Document Subtitle Char"/>
    <w:link w:val="DocumentSubtitle"/>
    <w:rPr>
      <w:rFonts w:ascii="Arial" w:eastAsia="Times New Roman" w:hAnsi="Arial" w:cs="Arial"/>
      <w:color w:val="FFFFFF"/>
      <w:sz w:val="40"/>
      <w:szCs w:val="40"/>
      <w:lang w:eastAsia="fr-FR"/>
    </w:rPr>
  </w:style>
  <w:style w:type="paragraph" w:styleId="Quote">
    <w:name w:val="Quote"/>
    <w:basedOn w:val="Normal"/>
    <w:next w:val="Normal"/>
    <w:link w:val="QuoteChar"/>
    <w:uiPriority w:val="29"/>
    <w:qFormat/>
    <w:pPr>
      <w:spacing w:before="120" w:after="120" w:line="240" w:lineRule="auto"/>
      <w:ind w:left="720"/>
    </w:pPr>
    <w:rPr>
      <w:rFonts w:ascii="Calibri" w:eastAsia="Times New Roman" w:hAnsi="Calibri" w:cs="Arial"/>
      <w:i/>
      <w:sz w:val="24"/>
      <w:szCs w:val="24"/>
    </w:rPr>
  </w:style>
  <w:style w:type="character" w:customStyle="1" w:styleId="QuoteChar">
    <w:name w:val="Quote Char"/>
    <w:basedOn w:val="DefaultParagraphFont"/>
    <w:link w:val="Quote"/>
    <w:uiPriority w:val="29"/>
    <w:rPr>
      <w:rFonts w:ascii="Calibri" w:eastAsia="Times New Roman" w:hAnsi="Calibri" w:cs="Arial"/>
      <w:i/>
      <w:sz w:val="24"/>
      <w:szCs w:val="24"/>
      <w:lang w:eastAsia="fr-FR"/>
    </w:rPr>
  </w:style>
  <w:style w:type="character" w:customStyle="1" w:styleId="DocumentTitleChar">
    <w:name w:val="Document Title Char"/>
    <w:link w:val="DocumentTitle"/>
    <w:rPr>
      <w:rFonts w:ascii="Arial" w:eastAsia="Times New Roman" w:hAnsi="Arial" w:cs="Arial"/>
      <w:b/>
      <w:color w:val="FFFFFF"/>
      <w:sz w:val="56"/>
      <w:szCs w:val="56"/>
      <w:lang w:eastAsia="fr-FR"/>
    </w:rPr>
  </w:style>
  <w:style w:type="character" w:customStyle="1" w:styleId="AppendixTitleChar">
    <w:name w:val="Appendix Title Char"/>
    <w:link w:val="AppendixTitle"/>
    <w:rPr>
      <w:rFonts w:ascii="Arial" w:eastAsia="Times New Roman" w:hAnsi="Arial" w:cs="Arial"/>
      <w:b/>
      <w:color w:val="00A79D"/>
      <w:sz w:val="56"/>
      <w:szCs w:val="56"/>
      <w:lang w:eastAsia="fr-FR"/>
    </w:rPr>
  </w:style>
  <w:style w:type="paragraph" w:customStyle="1" w:styleId="CONTENTS">
    <w:name w:val="CONTENTS"/>
    <w:basedOn w:val="EXECSUMM"/>
    <w:link w:val="CONTENTSChar"/>
    <w:qFormat/>
    <w:rPr>
      <w:sz w:val="36"/>
      <w:szCs w:val="36"/>
    </w:rPr>
  </w:style>
  <w:style w:type="character" w:styleId="CommentReference">
    <w:name w:val="annotation reference"/>
    <w:uiPriority w:val="99"/>
    <w:rPr>
      <w:sz w:val="16"/>
      <w:szCs w:val="16"/>
    </w:rPr>
  </w:style>
  <w:style w:type="character" w:customStyle="1" w:styleId="StyleArial20ptBoldAccent3TopSinglesolidlineAccentChar">
    <w:name w:val="Style Arial 20 pt Bold Accent 3 Top: (Single solid line Accent... Char"/>
    <w:link w:val="StyleArial20ptBoldAccent3TopSinglesolidlineAccent"/>
    <w:rPr>
      <w:rFonts w:ascii="Arial" w:eastAsia="Times New Roman" w:hAnsi="Arial" w:cs="Arial"/>
      <w:b/>
      <w:bCs/>
      <w:sz w:val="40"/>
      <w:szCs w:val="20"/>
      <w:lang w:eastAsia="fr-FR"/>
    </w:rPr>
  </w:style>
  <w:style w:type="character" w:customStyle="1" w:styleId="EXECSUMMChar">
    <w:name w:val="EXEC SUMM Char"/>
    <w:link w:val="EXECSUMM"/>
    <w:rPr>
      <w:rFonts w:ascii="Arial" w:eastAsia="Times New Roman" w:hAnsi="Arial" w:cs="Arial"/>
      <w:b/>
      <w:bCs/>
      <w:sz w:val="40"/>
      <w:szCs w:val="20"/>
      <w:lang w:eastAsia="fr-FR"/>
    </w:rPr>
  </w:style>
  <w:style w:type="character" w:customStyle="1" w:styleId="CONTENTSChar">
    <w:name w:val="CONTENTS Char"/>
    <w:link w:val="CONTENTS"/>
    <w:rPr>
      <w:rFonts w:ascii="Arial" w:eastAsia="Times New Roman" w:hAnsi="Arial" w:cs="Arial"/>
      <w:b/>
      <w:bCs/>
      <w:sz w:val="36"/>
      <w:szCs w:val="36"/>
      <w:lang w:val="fr-FR" w:eastAsia="fr-FR"/>
    </w:rPr>
  </w:style>
  <w:style w:type="paragraph" w:styleId="CommentText">
    <w:name w:val="annotation text"/>
    <w:basedOn w:val="Normal"/>
    <w:link w:val="CommentTextChar"/>
    <w:uiPriority w:val="99"/>
    <w:pPr>
      <w:spacing w:before="120" w:after="120" w:line="240" w:lineRule="auto"/>
    </w:pPr>
    <w:rPr>
      <w:rFonts w:ascii="Calibri" w:eastAsia="Times New Roman" w:hAnsi="Calibri" w:cs="Arial"/>
      <w:sz w:val="20"/>
      <w:szCs w:val="20"/>
    </w:rPr>
  </w:style>
  <w:style w:type="character" w:customStyle="1" w:styleId="CommentTextChar">
    <w:name w:val="Comment Text Char"/>
    <w:basedOn w:val="DefaultParagraphFont"/>
    <w:link w:val="CommentText"/>
    <w:uiPriority w:val="99"/>
    <w:rPr>
      <w:rFonts w:ascii="Calibri" w:eastAsia="Times New Roman" w:hAnsi="Calibri" w:cs="Arial"/>
      <w:sz w:val="20"/>
      <w:szCs w:val="20"/>
      <w:lang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Calibri" w:eastAsia="Times New Roman" w:hAnsi="Calibri" w:cs="Arial"/>
      <w:b/>
      <w:bCs/>
      <w:sz w:val="20"/>
      <w:szCs w:val="20"/>
      <w:lang w:eastAsia="fr-FR"/>
    </w:rPr>
  </w:style>
  <w:style w:type="table" w:customStyle="1" w:styleId="Eunomia-NoTotals">
    <w:name w:val="Eunomia - No Totals"/>
    <w:basedOn w:val="TableNormal"/>
    <w:uiPriority w:val="99"/>
    <w:pPr>
      <w:spacing w:before="60" w:after="60" w:line="240" w:lineRule="auto"/>
      <w:jc w:val="right"/>
    </w:pPr>
    <w:rPr>
      <w:rFonts w:ascii="Calibri" w:eastAsia="Times New Roman" w:hAnsi="Calibri" w:cs="Times New Roman"/>
      <w:sz w:val="24"/>
      <w:szCs w:val="20"/>
    </w:rPr>
    <w:tblPr>
      <w:tblInd w:w="0" w:type="dxa"/>
      <w:tblBorders>
        <w:top w:val="single" w:sz="4" w:space="0" w:color="D9D9D9"/>
        <w:left w:val="single" w:sz="4" w:space="0" w:color="D9D9D9"/>
        <w:bottom w:val="single" w:sz="4" w:space="0" w:color="D9D9D9"/>
        <w:right w:val="single" w:sz="4" w:space="0" w:color="D9D9D9"/>
        <w:insideH w:val="dotted" w:sz="4" w:space="0" w:color="BFBFBF"/>
        <w:insideV w:val="single" w:sz="4" w:space="0" w:color="00A79D"/>
      </w:tblBorders>
      <w:tblCellMar>
        <w:top w:w="0" w:type="dxa"/>
        <w:left w:w="108" w:type="dxa"/>
        <w:bottom w:w="0" w:type="dxa"/>
        <w:right w:w="108" w:type="dxa"/>
      </w:tblCellMar>
    </w:tblPr>
    <w:trPr>
      <w:cantSplit/>
    </w:trPr>
    <w:tcPr>
      <w:vAlign w:val="center"/>
    </w:tcPr>
    <w:tblStylePr w:type="firstRow">
      <w:rPr>
        <w:b/>
      </w:rPr>
      <w:tblPr/>
      <w:tcPr>
        <w:tcBorders>
          <w:top w:val="single" w:sz="4" w:space="0" w:color="A6A6A6"/>
        </w:tcBorders>
        <w:shd w:val="clear" w:color="auto" w:fill="BFBFBF"/>
      </w:tcPr>
    </w:tblStylePr>
    <w:tblStylePr w:type="lastRow">
      <w:tblPr/>
      <w:tcPr>
        <w:tcBorders>
          <w:bottom w:val="single" w:sz="4" w:space="0" w:color="A6A6A6"/>
        </w:tcBorders>
      </w:tcPr>
    </w:tblStylePr>
    <w:tblStylePr w:type="firstCol">
      <w:pPr>
        <w:jc w:val="left"/>
      </w:pPr>
      <w:rPr>
        <w:b/>
      </w:rPr>
      <w:tblPr/>
      <w:tcPr>
        <w:tcBorders>
          <w:left w:val="single" w:sz="4" w:space="0" w:color="A6A6A6"/>
        </w:tcBorders>
        <w:shd w:val="clear" w:color="auto" w:fill="F2F2F2"/>
      </w:tcPr>
    </w:tblStylePr>
    <w:tblStylePr w:type="lastCol">
      <w:tblPr/>
      <w:tcPr>
        <w:tcBorders>
          <w:right w:val="single" w:sz="4" w:space="0" w:color="A6A6A6"/>
        </w:tcBorders>
      </w:tcPr>
    </w:tblStylePr>
  </w:style>
  <w:style w:type="paragraph" w:customStyle="1" w:styleId="ExecSummHead3">
    <w:name w:val="Exec Summ Head 3"/>
    <w:basedOn w:val="ExecSummHead2"/>
    <w:link w:val="ExecSummHead3Char"/>
    <w:qFormat/>
    <w:pPr>
      <w:numPr>
        <w:ilvl w:val="2"/>
      </w:numPr>
    </w:pPr>
    <w:rPr>
      <w:sz w:val="26"/>
    </w:rPr>
  </w:style>
  <w:style w:type="paragraph" w:customStyle="1" w:styleId="ExecSummHead4">
    <w:name w:val="Exec Summ Head 4"/>
    <w:basedOn w:val="ExecSummHead3"/>
    <w:link w:val="ExecSummHead4Char"/>
    <w:qFormat/>
    <w:pPr>
      <w:numPr>
        <w:ilvl w:val="3"/>
      </w:numPr>
    </w:pPr>
    <w:rPr>
      <w:sz w:val="24"/>
    </w:rPr>
  </w:style>
  <w:style w:type="character" w:customStyle="1" w:styleId="ExecSummHead2Char">
    <w:name w:val="Exec Summ Head 2 Char"/>
    <w:link w:val="ExecSummHead2"/>
    <w:rPr>
      <w:rFonts w:ascii="Times New Roman" w:eastAsia="Times New Roman" w:hAnsi="Times New Roman" w:cs="Times New Roman"/>
      <w:b/>
      <w:bCs/>
      <w:iCs/>
      <w:sz w:val="24"/>
      <w:szCs w:val="24"/>
      <w:lang w:eastAsia="fr-FR"/>
    </w:rPr>
  </w:style>
  <w:style w:type="character" w:customStyle="1" w:styleId="ExecSummHead3Char">
    <w:name w:val="Exec Summ Head 3 Char"/>
    <w:link w:val="ExecSummHead3"/>
    <w:rPr>
      <w:rFonts w:ascii="Times New Roman" w:eastAsia="Times New Roman" w:hAnsi="Times New Roman" w:cs="Times New Roman"/>
      <w:b/>
      <w:bCs/>
      <w:iCs/>
      <w:sz w:val="26"/>
      <w:szCs w:val="24"/>
      <w:lang w:eastAsia="fr-FR"/>
    </w:rPr>
  </w:style>
  <w:style w:type="paragraph" w:customStyle="1" w:styleId="Normal-11pt">
    <w:name w:val="Normal - 11pt"/>
    <w:basedOn w:val="Normal"/>
    <w:link w:val="Normal-11ptChar"/>
    <w:qFormat/>
    <w:pPr>
      <w:spacing w:before="120" w:after="120" w:line="240" w:lineRule="auto"/>
    </w:pPr>
    <w:rPr>
      <w:rFonts w:ascii="Times New Roman" w:eastAsia="Times New Roman" w:hAnsi="Times New Roman" w:cs="Times New Roman"/>
      <w:sz w:val="24"/>
      <w:szCs w:val="24"/>
    </w:rPr>
  </w:style>
  <w:style w:type="character" w:customStyle="1" w:styleId="ExecSummHead4Char">
    <w:name w:val="Exec Summ Head 4 Char"/>
    <w:link w:val="ExecSummHead4"/>
    <w:rPr>
      <w:rFonts w:ascii="Times New Roman" w:eastAsia="Times New Roman" w:hAnsi="Times New Roman" w:cs="Times New Roman"/>
      <w:b/>
      <w:bCs/>
      <w:iCs/>
      <w:sz w:val="24"/>
      <w:szCs w:val="24"/>
      <w:lang w:eastAsia="fr-FR"/>
    </w:rPr>
  </w:style>
  <w:style w:type="paragraph" w:customStyle="1" w:styleId="Normal-11pt-table">
    <w:name w:val="Normal - 11pt - table"/>
    <w:basedOn w:val="Normal"/>
    <w:link w:val="Normal-11pt-tableChar"/>
    <w:qFormat/>
    <w:pPr>
      <w:spacing w:before="60" w:after="60" w:line="240" w:lineRule="auto"/>
    </w:pPr>
    <w:rPr>
      <w:rFonts w:ascii="Calibri" w:eastAsia="Times New Roman" w:hAnsi="Calibri" w:cs="Arial"/>
    </w:rPr>
  </w:style>
  <w:style w:type="character" w:customStyle="1" w:styleId="Normal-11ptChar">
    <w:name w:val="Normal - 11pt Char"/>
    <w:link w:val="Normal-11pt"/>
    <w:rPr>
      <w:rFonts w:ascii="Times New Roman" w:eastAsia="Times New Roman" w:hAnsi="Times New Roman" w:cs="Times New Roman"/>
      <w:sz w:val="24"/>
      <w:szCs w:val="24"/>
      <w:lang w:eastAsia="fr-FR"/>
    </w:rPr>
  </w:style>
  <w:style w:type="paragraph" w:customStyle="1" w:styleId="Normal-11pt-tableitalic">
    <w:name w:val="Normal - 11pt - table italic"/>
    <w:basedOn w:val="Normal"/>
    <w:link w:val="Normal-11pt-tableitalicChar"/>
    <w:qFormat/>
    <w:pPr>
      <w:spacing w:before="60" w:after="60" w:line="240" w:lineRule="auto"/>
    </w:pPr>
    <w:rPr>
      <w:rFonts w:ascii="Calibri" w:eastAsia="Times New Roman" w:hAnsi="Calibri" w:cs="Arial"/>
      <w:i/>
    </w:rPr>
  </w:style>
  <w:style w:type="character" w:customStyle="1" w:styleId="Normal-11pt-tableChar">
    <w:name w:val="Normal - 11pt - table Char"/>
    <w:link w:val="Normal-11pt-table"/>
    <w:rPr>
      <w:rFonts w:ascii="Calibri" w:eastAsia="Times New Roman" w:hAnsi="Calibri" w:cs="Arial"/>
      <w:lang w:eastAsia="fr-FR"/>
    </w:rPr>
  </w:style>
  <w:style w:type="paragraph" w:customStyle="1" w:styleId="Normal-11pt-TableBold">
    <w:name w:val="Normal - 11pt - Table Bold"/>
    <w:basedOn w:val="Normal"/>
    <w:link w:val="Normal-11pt-TableBoldChar"/>
    <w:qFormat/>
    <w:pPr>
      <w:spacing w:before="60" w:after="60" w:line="240" w:lineRule="auto"/>
    </w:pPr>
    <w:rPr>
      <w:rFonts w:ascii="Calibri" w:eastAsia="Times New Roman" w:hAnsi="Calibri" w:cs="Arial"/>
      <w:b/>
    </w:rPr>
  </w:style>
  <w:style w:type="character" w:customStyle="1" w:styleId="Normal-11pt-tableitalicChar">
    <w:name w:val="Normal - 11pt - table italic Char"/>
    <w:link w:val="Normal-11pt-tableitalic"/>
    <w:rPr>
      <w:rFonts w:ascii="Calibri" w:eastAsia="Times New Roman" w:hAnsi="Calibri" w:cs="Arial"/>
      <w:i/>
      <w:lang w:eastAsia="fr-FR"/>
    </w:rPr>
  </w:style>
  <w:style w:type="paragraph" w:customStyle="1" w:styleId="Normal-10pt-TableBold">
    <w:name w:val="Normal - 10pt - Table Bold"/>
    <w:basedOn w:val="Normal-11pt-TableBold"/>
    <w:link w:val="Normal-10pt-TableBoldChar"/>
    <w:qFormat/>
    <w:rPr>
      <w:sz w:val="20"/>
    </w:rPr>
  </w:style>
  <w:style w:type="character" w:customStyle="1" w:styleId="Normal-11pt-TableBoldChar">
    <w:name w:val="Normal - 11pt - Table Bold Char"/>
    <w:link w:val="Normal-11pt-TableBold"/>
    <w:rPr>
      <w:rFonts w:ascii="Calibri" w:eastAsia="Times New Roman" w:hAnsi="Calibri" w:cs="Arial"/>
      <w:b/>
      <w:lang w:eastAsia="fr-FR"/>
    </w:rPr>
  </w:style>
  <w:style w:type="paragraph" w:customStyle="1" w:styleId="Normal-10pt-TableItalic">
    <w:name w:val="Normal - 10pt - Table Italic"/>
    <w:basedOn w:val="Normal-11pt-tableitalic"/>
    <w:link w:val="Normal-10pt-TableItalicChar"/>
    <w:qFormat/>
    <w:rPr>
      <w:sz w:val="20"/>
    </w:rPr>
  </w:style>
  <w:style w:type="character" w:customStyle="1" w:styleId="Normal-10pt-TableBoldChar">
    <w:name w:val="Normal - 10pt - Table Bold Char"/>
    <w:link w:val="Normal-10pt-TableBold"/>
    <w:rPr>
      <w:rFonts w:ascii="Calibri" w:eastAsia="Times New Roman" w:hAnsi="Calibri" w:cs="Arial"/>
      <w:b/>
      <w:sz w:val="20"/>
      <w:lang w:eastAsia="fr-FR"/>
    </w:rPr>
  </w:style>
  <w:style w:type="paragraph" w:customStyle="1" w:styleId="Normal-10pt-Table">
    <w:name w:val="Normal - 10pt - Table"/>
    <w:basedOn w:val="Normal-11pt-table"/>
    <w:link w:val="Normal-10pt-TableChar"/>
    <w:qFormat/>
    <w:rPr>
      <w:sz w:val="20"/>
    </w:rPr>
  </w:style>
  <w:style w:type="character" w:customStyle="1" w:styleId="Normal-10pt-TableItalicChar">
    <w:name w:val="Normal - 10pt - Table Italic Char"/>
    <w:link w:val="Normal-10pt-TableItalic"/>
    <w:rPr>
      <w:rFonts w:ascii="Calibri" w:eastAsia="Times New Roman" w:hAnsi="Calibri" w:cs="Arial"/>
      <w:i/>
      <w:sz w:val="20"/>
      <w:lang w:eastAsia="fr-FR"/>
    </w:rPr>
  </w:style>
  <w:style w:type="paragraph" w:customStyle="1" w:styleId="Normal-Table">
    <w:name w:val="Normal - Table"/>
    <w:basedOn w:val="Normal"/>
    <w:link w:val="Normal-TableChar"/>
    <w:qFormat/>
    <w:pPr>
      <w:spacing w:before="60" w:after="60" w:line="240" w:lineRule="auto"/>
    </w:pPr>
    <w:rPr>
      <w:rFonts w:ascii="Calibri" w:eastAsia="Times New Roman" w:hAnsi="Calibri" w:cs="Arial"/>
      <w:sz w:val="24"/>
      <w:szCs w:val="24"/>
    </w:rPr>
  </w:style>
  <w:style w:type="character" w:customStyle="1" w:styleId="Normal-10pt-TableChar">
    <w:name w:val="Normal - 10pt - Table Char"/>
    <w:link w:val="Normal-10pt-Table"/>
    <w:rPr>
      <w:rFonts w:ascii="Calibri" w:eastAsia="Times New Roman" w:hAnsi="Calibri" w:cs="Arial"/>
      <w:sz w:val="20"/>
      <w:lang w:eastAsia="fr-FR"/>
    </w:rPr>
  </w:style>
  <w:style w:type="character" w:customStyle="1" w:styleId="Normal-TableChar">
    <w:name w:val="Normal - Table Char"/>
    <w:link w:val="Normal-Table"/>
    <w:rPr>
      <w:rFonts w:ascii="Calibri" w:eastAsia="Times New Roman" w:hAnsi="Calibri" w:cs="Arial"/>
      <w:sz w:val="24"/>
      <w:szCs w:val="24"/>
      <w:lang w:eastAsia="fr-FR"/>
    </w:rPr>
  </w:style>
  <w:style w:type="numbering" w:customStyle="1" w:styleId="Style1">
    <w:name w:val="Style1"/>
    <w:uiPriority w:val="99"/>
    <w:pPr>
      <w:numPr>
        <w:numId w:val="8"/>
      </w:numPr>
    </w:pPr>
  </w:style>
  <w:style w:type="numbering" w:customStyle="1" w:styleId="StyleEunomiaBullets">
    <w:name w:val="Style Eunomia Bullets"/>
    <w:uiPriority w:val="99"/>
    <w:pPr>
      <w:numPr>
        <w:numId w:val="9"/>
      </w:numPr>
    </w:pPr>
  </w:style>
  <w:style w:type="numbering" w:customStyle="1" w:styleId="EunomiaStyleBullets">
    <w:name w:val="Eunomia Style Bullets"/>
    <w:uiPriority w:val="99"/>
    <w:pPr>
      <w:numPr>
        <w:numId w:val="10"/>
      </w:numPr>
    </w:pPr>
  </w:style>
  <w:style w:type="paragraph" w:customStyle="1" w:styleId="Default">
    <w:name w:val="Default"/>
    <w:pPr>
      <w:autoSpaceDE w:val="0"/>
      <w:autoSpaceDN w:val="0"/>
      <w:adjustRightInd w:val="0"/>
      <w:spacing w:after="0" w:line="240" w:lineRule="auto"/>
    </w:pPr>
    <w:rPr>
      <w:rFonts w:ascii="Calibri" w:eastAsia="Times New Roman" w:hAnsi="Calibri" w:cs="Calibri"/>
      <w:color w:val="000000"/>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character" w:customStyle="1" w:styleId="bodyat12">
    <w:name w:val="body_at_12"/>
    <w:basedOn w:val="DefaultParagraphFont"/>
  </w:style>
  <w:style w:type="character" w:customStyle="1" w:styleId="CaptionChar">
    <w:name w:val="Caption Char"/>
    <w:link w:val="Caption"/>
    <w:rPr>
      <w:rFonts w:ascii="Arial" w:eastAsia="Times New Roman" w:hAnsi="Arial" w:cs="Arial"/>
      <w:b/>
      <w:bCs/>
      <w:color w:val="00A79D"/>
      <w:sz w:val="24"/>
      <w:szCs w:val="20"/>
      <w:lang w:eastAsia="fr-FR"/>
    </w:rPr>
  </w:style>
  <w:style w:type="paragraph" w:styleId="Revision">
    <w:name w:val="Revision"/>
    <w:hidden/>
    <w:uiPriority w:val="71"/>
    <w:pPr>
      <w:spacing w:after="0" w:line="240" w:lineRule="auto"/>
    </w:pPr>
    <w:rPr>
      <w:rFonts w:ascii="Calibri" w:eastAsia="Times New Roman" w:hAnsi="Calibri" w:cs="Arial"/>
      <w:sz w:val="24"/>
      <w:szCs w:val="24"/>
    </w:rPr>
  </w:style>
  <w:style w:type="character" w:styleId="Strong">
    <w:name w:val="Strong"/>
    <w:basedOn w:val="DefaultParagraphFont"/>
    <w:uiPriority w:val="22"/>
    <w:qFormat/>
    <w:rPr>
      <w:b/>
      <w:bCs/>
    </w:rPr>
  </w:style>
  <w:style w:type="character" w:customStyle="1" w:styleId="st1">
    <w:name w:val="st1"/>
    <w:basedOn w:val="DefaultParagraphFont"/>
  </w:style>
  <w:style w:type="character" w:styleId="Emphasis">
    <w:name w:val="Emphasis"/>
    <w:basedOn w:val="DefaultParagraphFont"/>
    <w:uiPriority w:val="20"/>
    <w:qFormat/>
    <w:rPr>
      <w:i/>
      <w:iCs/>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cs="Times New Roman"/>
      <w:b/>
      <w:sz w:val="24"/>
    </w:rPr>
  </w:style>
  <w:style w:type="numbering" w:customStyle="1" w:styleId="NoList2">
    <w:name w:val="No List2"/>
    <w:next w:val="NoList"/>
    <w:uiPriority w:val="99"/>
    <w:semiHidden/>
    <w:unhideWhenUsed/>
  </w:style>
  <w:style w:type="numbering" w:customStyle="1" w:styleId="NoList11">
    <w:name w:val="No List11"/>
    <w:next w:val="NoList"/>
    <w:uiPriority w:val="99"/>
    <w:semiHidden/>
    <w:unhideWhenUsed/>
  </w:style>
  <w:style w:type="table" w:customStyle="1" w:styleId="EunomiaTable-Text1">
    <w:name w:val="Eunomia Table - Text1"/>
    <w:basedOn w:val="TableNormal"/>
    <w:uiPriority w:val="99"/>
    <w:pPr>
      <w:spacing w:after="0" w:line="240" w:lineRule="auto"/>
    </w:pPr>
    <w:rPr>
      <w:rFonts w:ascii="Calibri" w:eastAsia="Times New Roman" w:hAnsi="Calibri" w:cs="Times New Roman"/>
      <w:sz w:val="24"/>
      <w:szCs w:val="20"/>
    </w:rPr>
    <w:tblPr>
      <w:tblStyleRowBandSize w:val="1"/>
      <w:tblInd w:w="0" w:type="dxa"/>
      <w:tblBorders>
        <w:insideV w:val="single" w:sz="4" w:space="0" w:color="00A79D"/>
      </w:tblBorders>
      <w:tblCellMar>
        <w:top w:w="0" w:type="dxa"/>
        <w:left w:w="108" w:type="dxa"/>
        <w:bottom w:w="0" w:type="dxa"/>
        <w:right w:w="108" w:type="dxa"/>
      </w:tblCellMar>
    </w:tblPr>
    <w:tblStylePr w:type="firstRow">
      <w:pPr>
        <w:jc w:val="center"/>
      </w:pPr>
      <w:rPr>
        <w:b/>
      </w:rPr>
      <w:tblPr/>
      <w:tcPr>
        <w:tcBorders>
          <w:top w:val="single" w:sz="4" w:space="0" w:color="A6A6A6"/>
        </w:tcBorders>
        <w:shd w:val="clear" w:color="auto" w:fill="BFBFBF"/>
      </w:tcPr>
    </w:tblStylePr>
    <w:tblStylePr w:type="lastRow">
      <w:tblPr/>
      <w:tcPr>
        <w:tcBorders>
          <w:top w:val="dotted" w:sz="4" w:space="0" w:color="A6A6A6"/>
          <w:bottom w:val="single" w:sz="4" w:space="0" w:color="A6A6A6"/>
        </w:tcBorders>
      </w:tcPr>
    </w:tblStylePr>
    <w:tblStylePr w:type="firstCol">
      <w:pPr>
        <w:jc w:val="left"/>
      </w:pPr>
      <w:rPr>
        <w:b/>
      </w:rPr>
      <w:tblPr/>
      <w:tcPr>
        <w:tcBorders>
          <w:left w:val="single" w:sz="4" w:space="0" w:color="A6A6A6"/>
        </w:tcBorders>
        <w:shd w:val="clear" w:color="auto" w:fill="F2F2F2"/>
        <w:vAlign w:val="center"/>
      </w:tcPr>
    </w:tblStylePr>
    <w:tblStylePr w:type="lastCol">
      <w:tblPr/>
      <w:tcPr>
        <w:tcBorders>
          <w:right w:val="single" w:sz="4" w:space="0" w:color="A6A6A6"/>
        </w:tcBorders>
      </w:tcPr>
    </w:tblStylePr>
    <w:tblStylePr w:type="band1Horz">
      <w:tblPr/>
      <w:tcPr>
        <w:tcBorders>
          <w:top w:val="dotted" w:sz="4" w:space="0" w:color="A6A6A6"/>
          <w:bottom w:val="dotted" w:sz="4" w:space="0" w:color="A6A6A6"/>
        </w:tcBorders>
      </w:tcPr>
    </w:tblStylePr>
    <w:tblStylePr w:type="nwCell">
      <w:pPr>
        <w:jc w:val="left"/>
      </w:pPr>
      <w:tblPr/>
      <w:tcPr>
        <w:vAlign w:val="top"/>
      </w:tcPr>
    </w:tblStylePr>
  </w:style>
  <w:style w:type="table" w:customStyle="1" w:styleId="TableWeb11">
    <w:name w:val="Table Web 11"/>
    <w:basedOn w:val="TableNormal"/>
    <w:next w:val="TableWeb1"/>
    <w:pPr>
      <w:spacing w:before="120" w:after="12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Eunomia-Totals1">
    <w:name w:val="Eunomia - Totals1"/>
    <w:basedOn w:val="Eunomia-NoTotals"/>
    <w:uiPriority w:val="99"/>
    <w:tblPr>
      <w:tblInd w:w="0" w:type="dxa"/>
      <w:tblBorders>
        <w:top w:val="single" w:sz="4" w:space="0" w:color="D9D9D9"/>
        <w:left w:val="single" w:sz="4" w:space="0" w:color="D9D9D9"/>
        <w:bottom w:val="single" w:sz="4" w:space="0" w:color="D9D9D9"/>
        <w:right w:val="single" w:sz="4" w:space="0" w:color="D9D9D9"/>
        <w:insideH w:val="dotted" w:sz="4" w:space="0" w:color="BFBFBF"/>
        <w:insideV w:val="single" w:sz="4" w:space="0" w:color="00A79D"/>
      </w:tblBorders>
      <w:tblCellMar>
        <w:top w:w="0" w:type="dxa"/>
        <w:left w:w="108" w:type="dxa"/>
        <w:bottom w:w="0" w:type="dxa"/>
        <w:right w:w="108" w:type="dxa"/>
      </w:tblCellMar>
    </w:tblPr>
    <w:trPr>
      <w:cantSplit/>
    </w:trPr>
    <w:tcPr>
      <w:vAlign w:val="center"/>
    </w:tcPr>
    <w:tblStylePr w:type="firstRow">
      <w:rPr>
        <w:b/>
      </w:rPr>
      <w:tblPr/>
      <w:tcPr>
        <w:tcBorders>
          <w:top w:val="single" w:sz="4" w:space="0" w:color="808080"/>
        </w:tcBorders>
        <w:shd w:val="clear" w:color="auto" w:fill="BFBFBF"/>
      </w:tcPr>
    </w:tblStylePr>
    <w:tblStylePr w:type="lastRow">
      <w:tblPr/>
      <w:tcPr>
        <w:tcBorders>
          <w:bottom w:val="single" w:sz="4" w:space="0" w:color="808080"/>
        </w:tcBorders>
        <w:shd w:val="clear" w:color="auto" w:fill="F2F2F2"/>
      </w:tcPr>
    </w:tblStylePr>
    <w:tblStylePr w:type="firstCol">
      <w:pPr>
        <w:jc w:val="left"/>
      </w:pPr>
      <w:rPr>
        <w:b/>
      </w:rPr>
      <w:tblPr/>
      <w:tcPr>
        <w:tcBorders>
          <w:left w:val="single" w:sz="4" w:space="0" w:color="808080"/>
        </w:tcBorders>
        <w:shd w:val="clear" w:color="auto" w:fill="F2F2F2"/>
      </w:tcPr>
    </w:tblStylePr>
    <w:tblStylePr w:type="lastCol">
      <w:tblPr/>
      <w:tcPr>
        <w:tcBorders>
          <w:right w:val="single" w:sz="4" w:space="0" w:color="808080"/>
        </w:tcBorders>
        <w:shd w:val="clear" w:color="auto" w:fill="F2F2F2"/>
      </w:tcPr>
    </w:tblStylePr>
  </w:style>
  <w:style w:type="table" w:customStyle="1" w:styleId="Eunomia-NoTotals1">
    <w:name w:val="Eunomia - No Totals1"/>
    <w:basedOn w:val="TableNormal"/>
    <w:uiPriority w:val="99"/>
    <w:pPr>
      <w:spacing w:before="60" w:after="60" w:line="240" w:lineRule="auto"/>
      <w:jc w:val="right"/>
    </w:pPr>
    <w:rPr>
      <w:rFonts w:ascii="Calibri" w:eastAsia="Times New Roman" w:hAnsi="Calibri" w:cs="Times New Roman"/>
      <w:sz w:val="24"/>
      <w:szCs w:val="20"/>
    </w:rPr>
    <w:tblPr>
      <w:tblInd w:w="0" w:type="dxa"/>
      <w:tblBorders>
        <w:top w:val="single" w:sz="4" w:space="0" w:color="D9D9D9"/>
        <w:left w:val="single" w:sz="4" w:space="0" w:color="D9D9D9"/>
        <w:bottom w:val="single" w:sz="4" w:space="0" w:color="D9D9D9"/>
        <w:right w:val="single" w:sz="4" w:space="0" w:color="D9D9D9"/>
        <w:insideH w:val="dotted" w:sz="4" w:space="0" w:color="BFBFBF"/>
        <w:insideV w:val="single" w:sz="4" w:space="0" w:color="00A79D"/>
      </w:tblBorders>
      <w:tblCellMar>
        <w:top w:w="0" w:type="dxa"/>
        <w:left w:w="108" w:type="dxa"/>
        <w:bottom w:w="0" w:type="dxa"/>
        <w:right w:w="108" w:type="dxa"/>
      </w:tblCellMar>
    </w:tblPr>
    <w:trPr>
      <w:cantSplit/>
    </w:trPr>
    <w:tcPr>
      <w:vAlign w:val="center"/>
    </w:tcPr>
    <w:tblStylePr w:type="firstRow">
      <w:rPr>
        <w:b/>
      </w:rPr>
      <w:tblPr/>
      <w:tcPr>
        <w:tcBorders>
          <w:top w:val="single" w:sz="4" w:space="0" w:color="A6A6A6"/>
        </w:tcBorders>
        <w:shd w:val="clear" w:color="auto" w:fill="BFBFBF"/>
      </w:tcPr>
    </w:tblStylePr>
    <w:tblStylePr w:type="lastRow">
      <w:tblPr/>
      <w:tcPr>
        <w:tcBorders>
          <w:bottom w:val="single" w:sz="4" w:space="0" w:color="A6A6A6"/>
        </w:tcBorders>
      </w:tcPr>
    </w:tblStylePr>
    <w:tblStylePr w:type="firstCol">
      <w:pPr>
        <w:jc w:val="left"/>
      </w:pPr>
      <w:rPr>
        <w:b/>
      </w:rPr>
      <w:tblPr/>
      <w:tcPr>
        <w:tcBorders>
          <w:left w:val="single" w:sz="4" w:space="0" w:color="A6A6A6"/>
        </w:tcBorders>
        <w:shd w:val="clear" w:color="auto" w:fill="F2F2F2"/>
      </w:tcPr>
    </w:tblStylePr>
    <w:tblStylePr w:type="lastCol">
      <w:tblPr/>
      <w:tcPr>
        <w:tcBorders>
          <w:right w:val="single" w:sz="4" w:space="0" w:color="A6A6A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chart" Target="charts/chart2.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chart" Target="charts/chart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c.europa.eu/environment/waste/reporting/index.htm." TargetMode="External"/><Relationship Id="rId20" Type="http://schemas.openxmlformats.org/officeDocument/2006/relationships/image" Target="media/image4.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7.png"/><Relationship Id="rId32"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6.png"/><Relationship Id="rId28" Type="http://schemas.openxmlformats.org/officeDocument/2006/relationships/header" Target="header5.xml"/><Relationship Id="rId10" Type="http://schemas.openxmlformats.org/officeDocument/2006/relationships/header" Target="header1.xml"/><Relationship Id="rId19" Type="http://schemas.openxmlformats.org/officeDocument/2006/relationships/image" Target="media/image3.png"/><Relationship Id="rId31"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5.png"/><Relationship Id="rId27" Type="http://schemas.openxmlformats.org/officeDocument/2006/relationships/header" Target="header4.xml"/><Relationship Id="rId30"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waste/target_review.htm" TargetMode="External"/><Relationship Id="rId2" Type="http://schemas.openxmlformats.org/officeDocument/2006/relationships/hyperlink" Target="http://ec.europa.eu/environment/waste/framework/support_implementation_1st_phase.htm" TargetMode="External"/><Relationship Id="rId1" Type="http://schemas.openxmlformats.org/officeDocument/2006/relationships/hyperlink" Target="http://ec.europa.eu/eurostat/web/environment/waste/database" TargetMode="External"/><Relationship Id="rId4" Type="http://schemas.openxmlformats.org/officeDocument/2006/relationships/hyperlink" Target="http://ec.europa.eu/eurostat/web/environment/waste/database"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net1.cec.eu.int\ENV\B\3\53.01%20GENERAL\4_IMPLEMENTATION%20OF%20LEGISLATION\4.1%20MS%20Implementation%20Reports\Report%202010-2012\COMMISSION%20REPORT\Reference%20for%20graphics%20-%20implementation%20report%202010-2012.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mulleme\AppData\Local\Microsoft\Windows\Temporary%20Internet%20Files\Content.IE5\EENZZ6IS\env_waspac.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net1.cec.eu.int\ENV\B\3\53.01%20GENERAL\4_IMPLEMENTATION%20OF%20LEGISLATION\4.1%20MS%20Implementation%20Reports\Report%202010-2012\COMMISSION%20REPORT\Reference%20for%20graphics%20-%20implementation%20report%202010-2012.xls"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729237032621919E-2"/>
          <c:y val="3.3080137020206984E-2"/>
          <c:w val="0.91656554882830876"/>
          <c:h val="0.89227805595719067"/>
        </c:manualLayout>
      </c:layout>
      <c:barChart>
        <c:barDir val="col"/>
        <c:grouping val="clustered"/>
        <c:varyColors val="0"/>
        <c:ser>
          <c:idx val="0"/>
          <c:order val="0"/>
          <c:tx>
            <c:strRef>
              <c:f>Data!$B$3</c:f>
              <c:strCache>
                <c:ptCount val="1"/>
                <c:pt idx="0">
                  <c:v>2010</c:v>
                </c:pt>
              </c:strCache>
            </c:strRef>
          </c:tx>
          <c:spPr>
            <a:solidFill>
              <a:schemeClr val="tx2">
                <a:lumMod val="60000"/>
                <a:lumOff val="40000"/>
              </a:schemeClr>
            </a:solidFill>
            <a:ln>
              <a:solidFill>
                <a:schemeClr val="tx2">
                  <a:lumMod val="60000"/>
                  <a:lumOff val="40000"/>
                </a:schemeClr>
              </a:solidFill>
            </a:ln>
          </c:spPr>
          <c:invertIfNegative val="0"/>
          <c:cat>
            <c:strRef>
              <c:f>Data!$A$4:$A$31</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Data!$B$4:$B$31</c:f>
              <c:numCache>
                <c:formatCode>#,##0</c:formatCode>
                <c:ptCount val="28"/>
                <c:pt idx="0">
                  <c:v>4701</c:v>
                </c:pt>
                <c:pt idx="1">
                  <c:v>4973</c:v>
                </c:pt>
                <c:pt idx="2">
                  <c:v>4094</c:v>
                </c:pt>
                <c:pt idx="3">
                  <c:v>571</c:v>
                </c:pt>
                <c:pt idx="4">
                  <c:v>3334</c:v>
                </c:pt>
                <c:pt idx="5">
                  <c:v>49237</c:v>
                </c:pt>
                <c:pt idx="6">
                  <c:v>3732</c:v>
                </c:pt>
                <c:pt idx="7">
                  <c:v>406</c:v>
                </c:pt>
                <c:pt idx="8">
                  <c:v>5917</c:v>
                </c:pt>
                <c:pt idx="9">
                  <c:v>23774</c:v>
                </c:pt>
                <c:pt idx="10">
                  <c:v>2519</c:v>
                </c:pt>
                <c:pt idx="11">
                  <c:v>34535</c:v>
                </c:pt>
                <c:pt idx="12">
                  <c:v>1630</c:v>
                </c:pt>
                <c:pt idx="13">
                  <c:v>4033</c:v>
                </c:pt>
                <c:pt idx="14">
                  <c:v>2846</c:v>
                </c:pt>
                <c:pt idx="15">
                  <c:v>32440</c:v>
                </c:pt>
                <c:pt idx="16">
                  <c:v>1253</c:v>
                </c:pt>
                <c:pt idx="17">
                  <c:v>344</c:v>
                </c:pt>
                <c:pt idx="18">
                  <c:v>680</c:v>
                </c:pt>
                <c:pt idx="19">
                  <c:v>249</c:v>
                </c:pt>
                <c:pt idx="20">
                  <c:v>9484</c:v>
                </c:pt>
                <c:pt idx="21">
                  <c:v>12032</c:v>
                </c:pt>
                <c:pt idx="22">
                  <c:v>5457</c:v>
                </c:pt>
                <c:pt idx="23">
                  <c:v>6343</c:v>
                </c:pt>
                <c:pt idx="24">
                  <c:v>4115</c:v>
                </c:pt>
                <c:pt idx="25">
                  <c:v>1004</c:v>
                </c:pt>
                <c:pt idx="26">
                  <c:v>1719</c:v>
                </c:pt>
                <c:pt idx="27">
                  <c:v>31955</c:v>
                </c:pt>
              </c:numCache>
            </c:numRef>
          </c:val>
        </c:ser>
        <c:ser>
          <c:idx val="1"/>
          <c:order val="1"/>
          <c:tx>
            <c:strRef>
              <c:f>Data!$C$3</c:f>
              <c:strCache>
                <c:ptCount val="1"/>
                <c:pt idx="0">
                  <c:v>2011</c:v>
                </c:pt>
              </c:strCache>
            </c:strRef>
          </c:tx>
          <c:spPr>
            <a:solidFill>
              <a:srgbClr val="FFC000"/>
            </a:solidFill>
            <a:ln>
              <a:solidFill>
                <a:srgbClr val="FFC000"/>
              </a:solidFill>
            </a:ln>
          </c:spPr>
          <c:invertIfNegative val="0"/>
          <c:cat>
            <c:strRef>
              <c:f>Data!$A$4:$A$31</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Data!$C$4:$C$31</c:f>
              <c:numCache>
                <c:formatCode>#,##0</c:formatCode>
                <c:ptCount val="28"/>
                <c:pt idx="0">
                  <c:v>4807</c:v>
                </c:pt>
                <c:pt idx="1">
                  <c:v>5035</c:v>
                </c:pt>
                <c:pt idx="2">
                  <c:v>3732</c:v>
                </c:pt>
                <c:pt idx="3">
                  <c:v>572</c:v>
                </c:pt>
                <c:pt idx="4">
                  <c:v>3358</c:v>
                </c:pt>
                <c:pt idx="5">
                  <c:v>50237</c:v>
                </c:pt>
                <c:pt idx="6">
                  <c:v>4349</c:v>
                </c:pt>
                <c:pt idx="7">
                  <c:v>399</c:v>
                </c:pt>
                <c:pt idx="8">
                  <c:v>5586</c:v>
                </c:pt>
                <c:pt idx="9">
                  <c:v>22672</c:v>
                </c:pt>
                <c:pt idx="10">
                  <c:v>2719</c:v>
                </c:pt>
                <c:pt idx="11">
                  <c:v>35019</c:v>
                </c:pt>
                <c:pt idx="12">
                  <c:v>1645</c:v>
                </c:pt>
                <c:pt idx="13">
                  <c:v>3809</c:v>
                </c:pt>
                <c:pt idx="14">
                  <c:v>2823</c:v>
                </c:pt>
                <c:pt idx="15">
                  <c:v>31386</c:v>
                </c:pt>
                <c:pt idx="16">
                  <c:v>1339</c:v>
                </c:pt>
                <c:pt idx="17">
                  <c:v>345</c:v>
                </c:pt>
                <c:pt idx="18">
                  <c:v>721</c:v>
                </c:pt>
                <c:pt idx="19">
                  <c:v>245</c:v>
                </c:pt>
                <c:pt idx="20">
                  <c:v>9479</c:v>
                </c:pt>
                <c:pt idx="21">
                  <c:v>12129</c:v>
                </c:pt>
                <c:pt idx="22">
                  <c:v>5178</c:v>
                </c:pt>
                <c:pt idx="23">
                  <c:v>5216</c:v>
                </c:pt>
                <c:pt idx="24">
                  <c:v>4246</c:v>
                </c:pt>
                <c:pt idx="25">
                  <c:v>852</c:v>
                </c:pt>
                <c:pt idx="26">
                  <c:v>1679</c:v>
                </c:pt>
                <c:pt idx="27">
                  <c:v>31066</c:v>
                </c:pt>
              </c:numCache>
            </c:numRef>
          </c:val>
        </c:ser>
        <c:ser>
          <c:idx val="2"/>
          <c:order val="2"/>
          <c:tx>
            <c:strRef>
              <c:f>Data!$D$3</c:f>
              <c:strCache>
                <c:ptCount val="1"/>
                <c:pt idx="0">
                  <c:v>2012</c:v>
                </c:pt>
              </c:strCache>
            </c:strRef>
          </c:tx>
          <c:spPr>
            <a:solidFill>
              <a:schemeClr val="accent3">
                <a:lumMod val="75000"/>
              </a:schemeClr>
            </a:solidFill>
            <a:ln>
              <a:solidFill>
                <a:schemeClr val="accent3">
                  <a:lumMod val="75000"/>
                </a:schemeClr>
              </a:solidFill>
            </a:ln>
          </c:spPr>
          <c:invertIfNegative val="0"/>
          <c:cat>
            <c:strRef>
              <c:f>Data!$A$4:$A$31</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Data!$D$4:$D$31</c:f>
              <c:numCache>
                <c:formatCode>#,##0</c:formatCode>
                <c:ptCount val="28"/>
                <c:pt idx="0">
                  <c:v>4883</c:v>
                </c:pt>
                <c:pt idx="1">
                  <c:v>4970</c:v>
                </c:pt>
                <c:pt idx="2">
                  <c:v>3364</c:v>
                </c:pt>
                <c:pt idx="3">
                  <c:v>568</c:v>
                </c:pt>
                <c:pt idx="4">
                  <c:v>3233</c:v>
                </c:pt>
                <c:pt idx="5">
                  <c:v>49759</c:v>
                </c:pt>
                <c:pt idx="6">
                  <c:v>4196</c:v>
                </c:pt>
                <c:pt idx="7">
                  <c:v>371</c:v>
                </c:pt>
                <c:pt idx="8">
                  <c:v>5585</c:v>
                </c:pt>
                <c:pt idx="9">
                  <c:v>21896</c:v>
                </c:pt>
                <c:pt idx="10">
                  <c:v>2738</c:v>
                </c:pt>
                <c:pt idx="11">
                  <c:v>35198</c:v>
                </c:pt>
                <c:pt idx="12">
                  <c:v>1670</c:v>
                </c:pt>
                <c:pt idx="13">
                  <c:v>3988</c:v>
                </c:pt>
                <c:pt idx="14">
                  <c:v>2693</c:v>
                </c:pt>
                <c:pt idx="15">
                  <c:v>29994</c:v>
                </c:pt>
                <c:pt idx="16">
                  <c:v>1330</c:v>
                </c:pt>
                <c:pt idx="17">
                  <c:v>346</c:v>
                </c:pt>
                <c:pt idx="18">
                  <c:v>613</c:v>
                </c:pt>
                <c:pt idx="19">
                  <c:v>247</c:v>
                </c:pt>
                <c:pt idx="20">
                  <c:v>9203</c:v>
                </c:pt>
                <c:pt idx="21">
                  <c:v>12084</c:v>
                </c:pt>
                <c:pt idx="22">
                  <c:v>4766</c:v>
                </c:pt>
                <c:pt idx="23">
                  <c:v>5044</c:v>
                </c:pt>
                <c:pt idx="24">
                  <c:v>4285</c:v>
                </c:pt>
                <c:pt idx="25">
                  <c:v>744</c:v>
                </c:pt>
                <c:pt idx="26">
                  <c:v>1657</c:v>
                </c:pt>
                <c:pt idx="27">
                  <c:v>30413</c:v>
                </c:pt>
              </c:numCache>
            </c:numRef>
          </c:val>
        </c:ser>
        <c:dLbls>
          <c:showLegendKey val="0"/>
          <c:showVal val="0"/>
          <c:showCatName val="0"/>
          <c:showSerName val="0"/>
          <c:showPercent val="0"/>
          <c:showBubbleSize val="0"/>
        </c:dLbls>
        <c:gapWidth val="150"/>
        <c:axId val="6902144"/>
        <c:axId val="6903680"/>
      </c:barChart>
      <c:catAx>
        <c:axId val="6902144"/>
        <c:scaling>
          <c:orientation val="minMax"/>
        </c:scaling>
        <c:delete val="0"/>
        <c:axPos val="b"/>
        <c:numFmt formatCode="General" sourceLinked="1"/>
        <c:majorTickMark val="out"/>
        <c:minorTickMark val="none"/>
        <c:tickLblPos val="nextTo"/>
        <c:crossAx val="6903680"/>
        <c:crosses val="autoZero"/>
        <c:auto val="1"/>
        <c:lblAlgn val="ctr"/>
        <c:lblOffset val="100"/>
        <c:noMultiLvlLbl val="0"/>
      </c:catAx>
      <c:valAx>
        <c:axId val="6903680"/>
        <c:scaling>
          <c:orientation val="minMax"/>
        </c:scaling>
        <c:delete val="0"/>
        <c:axPos val="l"/>
        <c:majorGridlines/>
        <c:numFmt formatCode="#,##0" sourceLinked="1"/>
        <c:majorTickMark val="out"/>
        <c:minorTickMark val="none"/>
        <c:tickLblPos val="nextTo"/>
        <c:crossAx val="6902144"/>
        <c:crosses val="autoZero"/>
        <c:crossBetween val="between"/>
      </c:valAx>
    </c:plotArea>
    <c:legend>
      <c:legendPos val="r"/>
      <c:layout>
        <c:manualLayout>
          <c:xMode val="edge"/>
          <c:yMode val="edge"/>
          <c:x val="0.25938113384362521"/>
          <c:y val="7.9517566328305353E-2"/>
          <c:w val="0.49095084871713218"/>
          <c:h val="9.6085760364291797E-2"/>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7051640419947506"/>
          <c:y val="5.1400554097404488E-2"/>
          <c:w val="0.81177077865266845"/>
          <c:h val="0.8326195683872849"/>
        </c:manualLayout>
      </c:layout>
      <c:barChart>
        <c:barDir val="col"/>
        <c:grouping val="clustered"/>
        <c:varyColors val="0"/>
        <c:ser>
          <c:idx val="0"/>
          <c:order val="0"/>
          <c:tx>
            <c:strRef>
              <c:f>Data!$B$50</c:f>
              <c:strCache>
                <c:ptCount val="1"/>
                <c:pt idx="0">
                  <c:v>2010</c:v>
                </c:pt>
              </c:strCache>
            </c:strRef>
          </c:tx>
          <c:spPr>
            <a:solidFill>
              <a:schemeClr val="tx2">
                <a:lumMod val="60000"/>
                <a:lumOff val="40000"/>
              </a:schemeClr>
            </a:solidFill>
          </c:spPr>
          <c:invertIfNegative val="0"/>
          <c:cat>
            <c:strRef>
              <c:f>Data!$A$51:$A$78</c:f>
              <c:strCache>
                <c:ptCount val="28"/>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pt idx="27">
                  <c:v>UK</c:v>
                </c:pt>
              </c:strCache>
            </c:strRef>
          </c:cat>
          <c:val>
            <c:numRef>
              <c:f>Data!$B$51:$B$78</c:f>
              <c:numCache>
                <c:formatCode>#,##0</c:formatCode>
                <c:ptCount val="28"/>
                <c:pt idx="0">
                  <c:v>1685954</c:v>
                </c:pt>
                <c:pt idx="1">
                  <c:v>321197</c:v>
                </c:pt>
                <c:pt idx="2">
                  <c:v>922726</c:v>
                </c:pt>
                <c:pt idx="3">
                  <c:v>693950</c:v>
                </c:pt>
                <c:pt idx="4">
                  <c:v>16002600</c:v>
                </c:pt>
                <c:pt idx="5">
                  <c:v>157907</c:v>
                </c:pt>
                <c:pt idx="6">
                  <c:v>863714</c:v>
                </c:pt>
                <c:pt idx="7">
                  <c:v>927400</c:v>
                </c:pt>
                <c:pt idx="8">
                  <c:v>7389590</c:v>
                </c:pt>
                <c:pt idx="9">
                  <c:v>12515928</c:v>
                </c:pt>
                <c:pt idx="10" formatCode="General">
                  <c:v>0</c:v>
                </c:pt>
                <c:pt idx="11">
                  <c:v>11411000</c:v>
                </c:pt>
                <c:pt idx="12">
                  <c:v>79528</c:v>
                </c:pt>
                <c:pt idx="13">
                  <c:v>213905</c:v>
                </c:pt>
                <c:pt idx="14">
                  <c:v>272478</c:v>
                </c:pt>
                <c:pt idx="15">
                  <c:v>102489</c:v>
                </c:pt>
                <c:pt idx="16">
                  <c:v>880773</c:v>
                </c:pt>
                <c:pt idx="17">
                  <c:v>45747</c:v>
                </c:pt>
                <c:pt idx="18">
                  <c:v>2724000</c:v>
                </c:pt>
                <c:pt idx="19">
                  <c:v>1230852</c:v>
                </c:pt>
                <c:pt idx="20">
                  <c:v>4292969</c:v>
                </c:pt>
                <c:pt idx="21">
                  <c:v>1664296</c:v>
                </c:pt>
                <c:pt idx="22">
                  <c:v>974940</c:v>
                </c:pt>
                <c:pt idx="23">
                  <c:v>203763</c:v>
                </c:pt>
                <c:pt idx="24">
                  <c:v>436342</c:v>
                </c:pt>
                <c:pt idx="25">
                  <c:v>708241</c:v>
                </c:pt>
                <c:pt idx="26">
                  <c:v>990876</c:v>
                </c:pt>
                <c:pt idx="27">
                  <c:v>10824820</c:v>
                </c:pt>
              </c:numCache>
            </c:numRef>
          </c:val>
        </c:ser>
        <c:ser>
          <c:idx val="1"/>
          <c:order val="1"/>
          <c:tx>
            <c:strRef>
              <c:f>Data!$C$50</c:f>
              <c:strCache>
                <c:ptCount val="1"/>
                <c:pt idx="0">
                  <c:v>2011</c:v>
                </c:pt>
              </c:strCache>
            </c:strRef>
          </c:tx>
          <c:spPr>
            <a:solidFill>
              <a:srgbClr val="FFC000"/>
            </a:solidFill>
          </c:spPr>
          <c:invertIfNegative val="0"/>
          <c:cat>
            <c:strRef>
              <c:f>Data!$A$51:$A$78</c:f>
              <c:strCache>
                <c:ptCount val="28"/>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pt idx="27">
                  <c:v>UK</c:v>
                </c:pt>
              </c:strCache>
            </c:strRef>
          </c:cat>
          <c:val>
            <c:numRef>
              <c:f>Data!$C$51:$C$78</c:f>
              <c:numCache>
                <c:formatCode>#,##0</c:formatCode>
                <c:ptCount val="28"/>
                <c:pt idx="0">
                  <c:v>1702505</c:v>
                </c:pt>
                <c:pt idx="1">
                  <c:v>314639</c:v>
                </c:pt>
                <c:pt idx="2">
                  <c:v>945316</c:v>
                </c:pt>
                <c:pt idx="3">
                  <c:v>883096</c:v>
                </c:pt>
                <c:pt idx="4">
                  <c:v>16486200</c:v>
                </c:pt>
                <c:pt idx="5">
                  <c:v>193029</c:v>
                </c:pt>
                <c:pt idx="6">
                  <c:v>863596</c:v>
                </c:pt>
                <c:pt idx="7">
                  <c:v>870420</c:v>
                </c:pt>
                <c:pt idx="8">
                  <c:v>7146841</c:v>
                </c:pt>
                <c:pt idx="9">
                  <c:v>12810715</c:v>
                </c:pt>
                <c:pt idx="10" formatCode="General">
                  <c:v>0</c:v>
                </c:pt>
                <c:pt idx="11">
                  <c:v>11637700</c:v>
                </c:pt>
                <c:pt idx="12">
                  <c:v>75554</c:v>
                </c:pt>
                <c:pt idx="13">
                  <c:v>216089</c:v>
                </c:pt>
                <c:pt idx="14">
                  <c:v>292348</c:v>
                </c:pt>
                <c:pt idx="15">
                  <c:v>104679</c:v>
                </c:pt>
                <c:pt idx="16">
                  <c:v>838449</c:v>
                </c:pt>
                <c:pt idx="17">
                  <c:v>53253</c:v>
                </c:pt>
                <c:pt idx="18">
                  <c:v>2748000</c:v>
                </c:pt>
                <c:pt idx="19">
                  <c:v>1232059</c:v>
                </c:pt>
                <c:pt idx="20">
                  <c:v>4611056</c:v>
                </c:pt>
                <c:pt idx="21">
                  <c:v>1565838</c:v>
                </c:pt>
                <c:pt idx="22">
                  <c:v>992510</c:v>
                </c:pt>
                <c:pt idx="23">
                  <c:v>207396</c:v>
                </c:pt>
                <c:pt idx="24">
                  <c:v>443673</c:v>
                </c:pt>
                <c:pt idx="25">
                  <c:v>709643</c:v>
                </c:pt>
                <c:pt idx="26">
                  <c:v>1031198</c:v>
                </c:pt>
                <c:pt idx="27">
                  <c:v>10929657</c:v>
                </c:pt>
              </c:numCache>
            </c:numRef>
          </c:val>
        </c:ser>
        <c:ser>
          <c:idx val="2"/>
          <c:order val="2"/>
          <c:tx>
            <c:strRef>
              <c:f>Data!$D$50</c:f>
              <c:strCache>
                <c:ptCount val="1"/>
                <c:pt idx="0">
                  <c:v>2012</c:v>
                </c:pt>
              </c:strCache>
            </c:strRef>
          </c:tx>
          <c:spPr>
            <a:solidFill>
              <a:schemeClr val="accent3">
                <a:lumMod val="75000"/>
              </a:schemeClr>
            </a:solidFill>
          </c:spPr>
          <c:invertIfNegative val="0"/>
          <c:cat>
            <c:strRef>
              <c:f>Data!$A$51:$A$78</c:f>
              <c:strCache>
                <c:ptCount val="28"/>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pt idx="27">
                  <c:v>UK</c:v>
                </c:pt>
              </c:strCache>
            </c:strRef>
          </c:cat>
          <c:val>
            <c:numRef>
              <c:f>Data!$D$51:$D$78</c:f>
              <c:numCache>
                <c:formatCode>#,##0</c:formatCode>
                <c:ptCount val="28"/>
                <c:pt idx="0">
                  <c:v>1715569</c:v>
                </c:pt>
                <c:pt idx="1">
                  <c:v>328797</c:v>
                </c:pt>
                <c:pt idx="2">
                  <c:v>962346</c:v>
                </c:pt>
                <c:pt idx="3">
                  <c:v>894913</c:v>
                </c:pt>
                <c:pt idx="4">
                  <c:v>16586600</c:v>
                </c:pt>
                <c:pt idx="5">
                  <c:v>197286</c:v>
                </c:pt>
                <c:pt idx="6">
                  <c:v>809501</c:v>
                </c:pt>
                <c:pt idx="7">
                  <c:v>773370</c:v>
                </c:pt>
                <c:pt idx="8">
                  <c:v>6722712</c:v>
                </c:pt>
                <c:pt idx="9">
                  <c:v>12256790</c:v>
                </c:pt>
                <c:pt idx="10">
                  <c:v>198606</c:v>
                </c:pt>
                <c:pt idx="11">
                  <c:v>11345342</c:v>
                </c:pt>
                <c:pt idx="12">
                  <c:v>74945</c:v>
                </c:pt>
                <c:pt idx="13">
                  <c:v>213877</c:v>
                </c:pt>
                <c:pt idx="14">
                  <c:v>302137</c:v>
                </c:pt>
                <c:pt idx="15">
                  <c:v>107607</c:v>
                </c:pt>
                <c:pt idx="16">
                  <c:v>1012824</c:v>
                </c:pt>
                <c:pt idx="17">
                  <c:v>52553</c:v>
                </c:pt>
                <c:pt idx="18">
                  <c:v>2749000</c:v>
                </c:pt>
                <c:pt idx="19">
                  <c:v>1253574</c:v>
                </c:pt>
                <c:pt idx="20">
                  <c:v>4669892</c:v>
                </c:pt>
                <c:pt idx="21">
                  <c:v>1528181</c:v>
                </c:pt>
                <c:pt idx="22">
                  <c:v>1059557</c:v>
                </c:pt>
                <c:pt idx="23">
                  <c:v>202021</c:v>
                </c:pt>
                <c:pt idx="24">
                  <c:v>448323</c:v>
                </c:pt>
                <c:pt idx="25">
                  <c:v>715744</c:v>
                </c:pt>
                <c:pt idx="26">
                  <c:v>1058283</c:v>
                </c:pt>
                <c:pt idx="27">
                  <c:v>10655339</c:v>
                </c:pt>
              </c:numCache>
            </c:numRef>
          </c:val>
        </c:ser>
        <c:dLbls>
          <c:showLegendKey val="0"/>
          <c:showVal val="0"/>
          <c:showCatName val="0"/>
          <c:showSerName val="0"/>
          <c:showPercent val="0"/>
          <c:showBubbleSize val="0"/>
        </c:dLbls>
        <c:gapWidth val="150"/>
        <c:axId val="61892096"/>
        <c:axId val="61893632"/>
      </c:barChart>
      <c:catAx>
        <c:axId val="61892096"/>
        <c:scaling>
          <c:orientation val="minMax"/>
        </c:scaling>
        <c:delete val="0"/>
        <c:axPos val="b"/>
        <c:majorTickMark val="out"/>
        <c:minorTickMark val="none"/>
        <c:tickLblPos val="nextTo"/>
        <c:crossAx val="61893632"/>
        <c:crosses val="autoZero"/>
        <c:auto val="1"/>
        <c:lblAlgn val="ctr"/>
        <c:lblOffset val="100"/>
        <c:noMultiLvlLbl val="0"/>
      </c:catAx>
      <c:valAx>
        <c:axId val="61893632"/>
        <c:scaling>
          <c:orientation val="minMax"/>
        </c:scaling>
        <c:delete val="0"/>
        <c:axPos val="l"/>
        <c:majorGridlines/>
        <c:numFmt formatCode="#,##0" sourceLinked="1"/>
        <c:majorTickMark val="out"/>
        <c:minorTickMark val="none"/>
        <c:tickLblPos val="nextTo"/>
        <c:crossAx val="61892096"/>
        <c:crosses val="autoZero"/>
        <c:crossBetween val="between"/>
      </c:valAx>
    </c:plotArea>
    <c:legend>
      <c:legendPos val="r"/>
      <c:layout>
        <c:manualLayout>
          <c:xMode val="edge"/>
          <c:yMode val="edge"/>
          <c:x val="0.6264783878546728"/>
          <c:y val="5.0107512444013923E-2"/>
          <c:w val="0.37045627680686255"/>
          <c:h val="0.11051720656933799"/>
        </c:manualLayout>
      </c:layout>
      <c:overlay val="0"/>
    </c:legend>
    <c:plotVisOnly val="1"/>
    <c:dispBlanksAs val="gap"/>
    <c:showDLblsOverMax val="0"/>
  </c:chart>
  <c:spPr>
    <a:noFill/>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3004688006610627E-2"/>
          <c:y val="3.7811896794830192E-2"/>
          <c:w val="0.91909499359602709"/>
          <c:h val="0.876869584058945"/>
        </c:manualLayout>
      </c:layout>
      <c:barChart>
        <c:barDir val="col"/>
        <c:grouping val="clustered"/>
        <c:varyColors val="0"/>
        <c:ser>
          <c:idx val="0"/>
          <c:order val="0"/>
          <c:tx>
            <c:strRef>
              <c:f>Data!$B$257</c:f>
              <c:strCache>
                <c:ptCount val="1"/>
                <c:pt idx="0">
                  <c:v>2010</c:v>
                </c:pt>
              </c:strCache>
            </c:strRef>
          </c:tx>
          <c:spPr>
            <a:ln>
              <a:solidFill>
                <a:schemeClr val="tx2">
                  <a:lumMod val="60000"/>
                  <a:lumOff val="40000"/>
                </a:schemeClr>
              </a:solidFill>
            </a:ln>
          </c:spPr>
          <c:invertIfNegative val="0"/>
          <c:cat>
            <c:strRef>
              <c:f>Data!$A$258:$A$285</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Data!$B$258:$B$285</c:f>
              <c:numCache>
                <c:formatCode>General</c:formatCode>
                <c:ptCount val="28"/>
                <c:pt idx="0">
                  <c:v>0</c:v>
                </c:pt>
                <c:pt idx="1">
                  <c:v>0</c:v>
                </c:pt>
                <c:pt idx="2">
                  <c:v>0</c:v>
                </c:pt>
                <c:pt idx="3">
                  <c:v>0</c:v>
                </c:pt>
                <c:pt idx="4">
                  <c:v>0</c:v>
                </c:pt>
                <c:pt idx="5" formatCode="0.00%">
                  <c:v>0.85880000000000001</c:v>
                </c:pt>
                <c:pt idx="6">
                  <c:v>0</c:v>
                </c:pt>
                <c:pt idx="7">
                  <c:v>0</c:v>
                </c:pt>
                <c:pt idx="8">
                  <c:v>0</c:v>
                </c:pt>
                <c:pt idx="9">
                  <c:v>0</c:v>
                </c:pt>
                <c:pt idx="10">
                  <c:v>0</c:v>
                </c:pt>
                <c:pt idx="11" formatCode="0.00%">
                  <c:v>0.34399999999999997</c:v>
                </c:pt>
                <c:pt idx="12">
                  <c:v>0</c:v>
                </c:pt>
                <c:pt idx="13">
                  <c:v>0</c:v>
                </c:pt>
                <c:pt idx="14" formatCode="0%">
                  <c:v>0.14000000000000001</c:v>
                </c:pt>
                <c:pt idx="15">
                  <c:v>0</c:v>
                </c:pt>
                <c:pt idx="16">
                  <c:v>0</c:v>
                </c:pt>
                <c:pt idx="17">
                  <c:v>0</c:v>
                </c:pt>
                <c:pt idx="18">
                  <c:v>0</c:v>
                </c:pt>
                <c:pt idx="19">
                  <c:v>0</c:v>
                </c:pt>
                <c:pt idx="20">
                  <c:v>0</c:v>
                </c:pt>
                <c:pt idx="21" formatCode="0%">
                  <c:v>0.18</c:v>
                </c:pt>
                <c:pt idx="22">
                  <c:v>0</c:v>
                </c:pt>
                <c:pt idx="23">
                  <c:v>0</c:v>
                </c:pt>
                <c:pt idx="24" formatCode="0%">
                  <c:v>1.0900000000000001</c:v>
                </c:pt>
                <c:pt idx="25">
                  <c:v>0</c:v>
                </c:pt>
                <c:pt idx="26">
                  <c:v>0</c:v>
                </c:pt>
                <c:pt idx="27">
                  <c:v>0</c:v>
                </c:pt>
              </c:numCache>
            </c:numRef>
          </c:val>
        </c:ser>
        <c:ser>
          <c:idx val="1"/>
          <c:order val="1"/>
          <c:tx>
            <c:strRef>
              <c:f>Data!$C$257</c:f>
              <c:strCache>
                <c:ptCount val="1"/>
                <c:pt idx="0">
                  <c:v>2011</c:v>
                </c:pt>
              </c:strCache>
            </c:strRef>
          </c:tx>
          <c:spPr>
            <a:solidFill>
              <a:srgbClr val="FFC000"/>
            </a:solidFill>
            <a:ln>
              <a:solidFill>
                <a:srgbClr val="FFC000"/>
              </a:solidFill>
            </a:ln>
          </c:spPr>
          <c:invertIfNegative val="0"/>
          <c:cat>
            <c:strRef>
              <c:f>Data!$A$258:$A$285</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Data!$C$258:$C$285</c:f>
              <c:numCache>
                <c:formatCode>0.00%</c:formatCode>
                <c:ptCount val="28"/>
                <c:pt idx="0">
                  <c:v>0.495</c:v>
                </c:pt>
                <c:pt idx="1">
                  <c:v>0.52100000000000002</c:v>
                </c:pt>
                <c:pt idx="2">
                  <c:v>0.1467</c:v>
                </c:pt>
                <c:pt idx="3" formatCode="General">
                  <c:v>0</c:v>
                </c:pt>
                <c:pt idx="4">
                  <c:v>0.75700000000000001</c:v>
                </c:pt>
                <c:pt idx="5">
                  <c:v>0.80549999999999999</c:v>
                </c:pt>
                <c:pt idx="6" formatCode="General">
                  <c:v>0</c:v>
                </c:pt>
                <c:pt idx="7" formatCode="0%">
                  <c:v>4.0599999999999996</c:v>
                </c:pt>
                <c:pt idx="8" formatCode="0%">
                  <c:v>0.59</c:v>
                </c:pt>
                <c:pt idx="9">
                  <c:v>0.29849999999999999</c:v>
                </c:pt>
                <c:pt idx="10" formatCode="0%">
                  <c:v>0.68</c:v>
                </c:pt>
                <c:pt idx="11">
                  <c:v>0.36199999999999999</c:v>
                </c:pt>
                <c:pt idx="12" formatCode="General">
                  <c:v>0</c:v>
                </c:pt>
                <c:pt idx="13">
                  <c:v>0.249</c:v>
                </c:pt>
                <c:pt idx="14" formatCode="0%">
                  <c:v>0.28999999999999998</c:v>
                </c:pt>
                <c:pt idx="15">
                  <c:v>0.255</c:v>
                </c:pt>
                <c:pt idx="16">
                  <c:v>0.28094999999999998</c:v>
                </c:pt>
                <c:pt idx="17">
                  <c:v>0.71599999999999997</c:v>
                </c:pt>
                <c:pt idx="18" formatCode="0%">
                  <c:v>0.3</c:v>
                </c:pt>
                <c:pt idx="19">
                  <c:v>0.1792</c:v>
                </c:pt>
                <c:pt idx="20" formatCode="0%">
                  <c:v>0.42</c:v>
                </c:pt>
                <c:pt idx="21">
                  <c:v>0.34200000000000003</c:v>
                </c:pt>
                <c:pt idx="22">
                  <c:v>0.21460000000000001</c:v>
                </c:pt>
                <c:pt idx="23" formatCode="0%">
                  <c:v>0.11</c:v>
                </c:pt>
                <c:pt idx="24" formatCode="0%">
                  <c:v>1.72</c:v>
                </c:pt>
                <c:pt idx="25" formatCode="0%">
                  <c:v>0.28999999999999998</c:v>
                </c:pt>
                <c:pt idx="26" formatCode="0%">
                  <c:v>0.44</c:v>
                </c:pt>
                <c:pt idx="27">
                  <c:v>0.186</c:v>
                </c:pt>
              </c:numCache>
            </c:numRef>
          </c:val>
        </c:ser>
        <c:ser>
          <c:idx val="2"/>
          <c:order val="2"/>
          <c:tx>
            <c:strRef>
              <c:f>Data!$D$257</c:f>
              <c:strCache>
                <c:ptCount val="1"/>
                <c:pt idx="0">
                  <c:v>2012</c:v>
                </c:pt>
              </c:strCache>
            </c:strRef>
          </c:tx>
          <c:spPr>
            <a:solidFill>
              <a:schemeClr val="accent3">
                <a:lumMod val="75000"/>
              </a:schemeClr>
            </a:solidFill>
            <a:ln>
              <a:solidFill>
                <a:schemeClr val="accent3">
                  <a:lumMod val="75000"/>
                </a:schemeClr>
              </a:solidFill>
            </a:ln>
          </c:spPr>
          <c:invertIfNegative val="0"/>
          <c:cat>
            <c:strRef>
              <c:f>Data!$A$258:$A$285</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Data!$D$258:$D$285</c:f>
              <c:numCache>
                <c:formatCode>0.00%</c:formatCode>
                <c:ptCount val="28"/>
                <c:pt idx="0" formatCode="General">
                  <c:v>0</c:v>
                </c:pt>
                <c:pt idx="1">
                  <c:v>0.52300000000000002</c:v>
                </c:pt>
                <c:pt idx="2" formatCode="General">
                  <c:v>0</c:v>
                </c:pt>
                <c:pt idx="3">
                  <c:v>0.13300000000000001</c:v>
                </c:pt>
                <c:pt idx="4">
                  <c:v>0.67700000000000005</c:v>
                </c:pt>
                <c:pt idx="5">
                  <c:v>0.8528</c:v>
                </c:pt>
                <c:pt idx="6" formatCode="General">
                  <c:v>0</c:v>
                </c:pt>
                <c:pt idx="7">
                  <c:v>1.7763</c:v>
                </c:pt>
                <c:pt idx="8" formatCode="General">
                  <c:v>0</c:v>
                </c:pt>
                <c:pt idx="9">
                  <c:v>0.34079999999999999</c:v>
                </c:pt>
                <c:pt idx="10" formatCode="General">
                  <c:v>0</c:v>
                </c:pt>
                <c:pt idx="11">
                  <c:v>0.35399999999999998</c:v>
                </c:pt>
                <c:pt idx="12" formatCode="General">
                  <c:v>0</c:v>
                </c:pt>
                <c:pt idx="13">
                  <c:v>0.28100000000000003</c:v>
                </c:pt>
                <c:pt idx="14" formatCode="0%">
                  <c:v>0.28000000000000003</c:v>
                </c:pt>
                <c:pt idx="15">
                  <c:v>0.27100000000000002</c:v>
                </c:pt>
                <c:pt idx="16" formatCode="General">
                  <c:v>0</c:v>
                </c:pt>
                <c:pt idx="17">
                  <c:v>0.72799999999999998</c:v>
                </c:pt>
                <c:pt idx="18" formatCode="0%">
                  <c:v>0.25</c:v>
                </c:pt>
                <c:pt idx="19">
                  <c:v>0.2039</c:v>
                </c:pt>
                <c:pt idx="20" formatCode="General">
                  <c:v>0</c:v>
                </c:pt>
                <c:pt idx="21">
                  <c:v>0.3886</c:v>
                </c:pt>
                <c:pt idx="22" formatCode="General">
                  <c:v>0</c:v>
                </c:pt>
                <c:pt idx="23" formatCode="General">
                  <c:v>0</c:v>
                </c:pt>
                <c:pt idx="24" formatCode="0%">
                  <c:v>2.3199999999999998</c:v>
                </c:pt>
                <c:pt idx="25" formatCode="0%">
                  <c:v>0.33</c:v>
                </c:pt>
                <c:pt idx="26" formatCode="0%">
                  <c:v>0.6</c:v>
                </c:pt>
                <c:pt idx="27" formatCode="General">
                  <c:v>0</c:v>
                </c:pt>
              </c:numCache>
            </c:numRef>
          </c:val>
        </c:ser>
        <c:dLbls>
          <c:showLegendKey val="0"/>
          <c:showVal val="0"/>
          <c:showCatName val="0"/>
          <c:showSerName val="0"/>
          <c:showPercent val="0"/>
          <c:showBubbleSize val="0"/>
        </c:dLbls>
        <c:gapWidth val="150"/>
        <c:axId val="61936000"/>
        <c:axId val="61937536"/>
      </c:barChart>
      <c:catAx>
        <c:axId val="61936000"/>
        <c:scaling>
          <c:orientation val="minMax"/>
        </c:scaling>
        <c:delete val="0"/>
        <c:axPos val="b"/>
        <c:majorTickMark val="out"/>
        <c:minorTickMark val="none"/>
        <c:tickLblPos val="nextTo"/>
        <c:crossAx val="61937536"/>
        <c:crosses val="autoZero"/>
        <c:auto val="1"/>
        <c:lblAlgn val="ctr"/>
        <c:lblOffset val="100"/>
        <c:noMultiLvlLbl val="0"/>
      </c:catAx>
      <c:valAx>
        <c:axId val="61937536"/>
        <c:scaling>
          <c:orientation val="minMax"/>
        </c:scaling>
        <c:delete val="0"/>
        <c:axPos val="l"/>
        <c:majorGridlines/>
        <c:numFmt formatCode="0%" sourceLinked="0"/>
        <c:majorTickMark val="out"/>
        <c:minorTickMark val="none"/>
        <c:tickLblPos val="nextTo"/>
        <c:crossAx val="61936000"/>
        <c:crosses val="autoZero"/>
        <c:crossBetween val="between"/>
      </c:valAx>
    </c:plotArea>
    <c:legend>
      <c:legendPos val="r"/>
      <c:layout>
        <c:manualLayout>
          <c:xMode val="edge"/>
          <c:yMode val="edge"/>
          <c:x val="0.33732560233748382"/>
          <c:y val="0.13563444068671557"/>
          <c:w val="0.55566301280206709"/>
          <c:h val="0.11664107472222059"/>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54567-E813-4040-BF39-5997C013E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28</Pages>
  <Words>5331</Words>
  <Characters>26018</Characters>
  <Application>Microsoft Office Word</Application>
  <DocSecurity>0</DocSecurity>
  <Lines>1369</Lines>
  <Paragraphs>1161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2017-02-08T15:48:00Z</dcterms:created>
  <dcterms:modified xsi:type="dcterms:W3CDTF">2017-02-16T07:46:00Z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