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60FE74DAC9B4F9D87B2AED80E4134C5"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NormalCentered"/>
        <w:rPr>
          <w:b/>
          <w:noProof/>
        </w:rPr>
      </w:pPr>
      <w:bookmarkStart w:id="0" w:name="_GoBack"/>
      <w:bookmarkEnd w:id="0"/>
      <w:r>
        <w:rPr>
          <w:b/>
          <w:noProof/>
        </w:rPr>
        <w:t>ПРИЛОЖЕНИЕ</w:t>
      </w:r>
    </w:p>
    <w:p>
      <w:pPr>
        <w:pStyle w:val="NormalCentered"/>
        <w:rPr>
          <w:noProof/>
        </w:rPr>
      </w:pPr>
    </w:p>
    <w:p>
      <w:pPr>
        <w:pStyle w:val="NormalCentered"/>
        <w:rPr>
          <w:b/>
          <w:noProof/>
        </w:rPr>
      </w:pPr>
      <w:r>
        <w:rPr>
          <w:b/>
          <w:noProof/>
        </w:rPr>
        <w:t xml:space="preserve">РЕШЕНИЕ НА СЪВМЕСТНИЯ КОМИТЕТ НА РЕГИОНАЛНАТА КОНВЕНЦИЯ за паневросредиземноморските преференциални правила за произход </w:t>
      </w:r>
    </w:p>
    <w:p>
      <w:pPr>
        <w:pStyle w:val="NormalCentered"/>
        <w:rPr>
          <w:b/>
          <w:noProof/>
        </w:rPr>
      </w:pPr>
      <w:r>
        <w:rPr>
          <w:b/>
          <w:noProof/>
        </w:rPr>
        <w:t>№</w:t>
      </w:r>
    </w:p>
    <w:p>
      <w:pPr>
        <w:pStyle w:val="NormalCentered"/>
        <w:rPr>
          <w:b/>
          <w:noProof/>
        </w:rPr>
      </w:pPr>
      <w:r>
        <w:rPr>
          <w:b/>
          <w:noProof/>
        </w:rPr>
        <w:t>от [...] година</w:t>
      </w:r>
    </w:p>
    <w:p>
      <w:pPr>
        <w:pStyle w:val="NormalCentered"/>
        <w:rPr>
          <w:b/>
          <w:noProof/>
        </w:rPr>
      </w:pPr>
      <w:r>
        <w:rPr>
          <w:b/>
          <w:noProof/>
        </w:rPr>
        <w:t xml:space="preserve">за изменение на разпоредбите на допълнение II към Регионалната конвенция за паневросредиземноморските преференциални правила за произход чрез въвеждане на възможност за възстановяване на мита и за пълна кумулация в търговията в рамките на Централноевропейското споразумение за свободна търговия (ЦЕФТА), в което са включени Република Молдова и участниците в процеса на Европейския съюз на стабилизиране и асоцииране </w:t>
      </w:r>
    </w:p>
    <w:p>
      <w:pPr>
        <w:keepNext/>
        <w:spacing w:before="360" w:after="240"/>
        <w:rPr>
          <w:rFonts w:eastAsia="Times New Roman"/>
          <w:caps/>
          <w:noProof/>
          <w:szCs w:val="20"/>
        </w:rPr>
      </w:pPr>
      <w:r>
        <w:rPr>
          <w:caps/>
          <w:noProof/>
        </w:rPr>
        <w:t>Съвместният комитет,</w:t>
      </w:r>
    </w:p>
    <w:p>
      <w:pPr>
        <w:spacing w:before="0" w:after="240"/>
        <w:rPr>
          <w:rFonts w:eastAsia="Times New Roman"/>
          <w:noProof/>
          <w:szCs w:val="20"/>
        </w:rPr>
      </w:pPr>
      <w:r>
        <w:rPr>
          <w:noProof/>
        </w:rPr>
        <w:t>като взе предвид Регионалната конвенция за паневросредиземноморските преференциални правила за произход</w:t>
      </w:r>
      <w:r>
        <w:rPr>
          <w:rStyle w:val="FootnoteReference"/>
          <w:noProof/>
        </w:rPr>
        <w:footnoteReference w:id="1"/>
      </w:r>
      <w:r>
        <w:rPr>
          <w:noProof/>
        </w:rPr>
        <w:t>, наричана по-нататък „Конвенцията“,</w:t>
      </w:r>
    </w:p>
    <w:p>
      <w:pPr>
        <w:spacing w:before="0" w:after="240"/>
        <w:rPr>
          <w:rFonts w:eastAsia="Times New Roman"/>
          <w:noProof/>
          <w:szCs w:val="20"/>
        </w:rPr>
      </w:pPr>
      <w:r>
        <w:rPr>
          <w:noProof/>
        </w:rPr>
        <w:t>като има предвид, че:</w:t>
      </w:r>
    </w:p>
    <w:p>
      <w:pPr>
        <w:pStyle w:val="Considrant"/>
        <w:numPr>
          <w:ilvl w:val="0"/>
          <w:numId w:val="9"/>
        </w:numPr>
        <w:rPr>
          <w:noProof/>
        </w:rPr>
      </w:pPr>
      <w:r>
        <w:rPr>
          <w:noProof/>
        </w:rPr>
        <w:t>В член 1, параграф 2 от Конвенцията се предвижда, че в допълнение II са установени особените разпоредби, които се прилагат между някои договарящи страни и представляват дерогация от разпоредбите, предвидени в допълнение I.</w:t>
      </w:r>
    </w:p>
    <w:p>
      <w:pPr>
        <w:pStyle w:val="Considrant"/>
        <w:rPr>
          <w:noProof/>
        </w:rPr>
      </w:pPr>
      <w:r>
        <w:rPr>
          <w:noProof/>
        </w:rPr>
        <w:t>В член 1 от допълнение II към Конвенцията се предвижда договарящите страни да могат да прилагат в своите двустранни търговски взаимоотношения особени разпоредби за дерогация от разпоредбите, предвидени в допълнение I. Тези особени разпоредби се съдържат в приложенията към допълнение II.</w:t>
      </w:r>
    </w:p>
    <w:p>
      <w:pPr>
        <w:pStyle w:val="Considrant"/>
        <w:rPr>
          <w:noProof/>
        </w:rPr>
      </w:pPr>
      <w:r>
        <w:rPr>
          <w:noProof/>
        </w:rPr>
        <w:t>Република Сърбия, в качеството си на председател на подкомитета на ЦЕФТА за митниците и правилата за произход в рамките на Централноевропейското споразумение за свободна търговия (ЦЕФТА), в което са включени Република Молдова и участниците в процеса на Европейския съюз на стабилизиране и асоцииране (наричани по-нататък „страни по ЦЕФТА“), уведоми секретариата на Съвместния комитет на Конвенцията за Решение № 3/2015 от 26 ноември 2015 г. на Смесения комитет на Централноевропейското споразумение за свободна търговия, с което се въвежда възможност за възстановяване на мита и за пълна кумулация в търговията между  Република Молдова и участниците в процеса на Европейския съюз на стабилизиране и асоцииране в рамките на ЦЕФТА.</w:t>
      </w:r>
    </w:p>
    <w:p>
      <w:pPr>
        <w:pStyle w:val="Considrant"/>
        <w:rPr>
          <w:noProof/>
        </w:rPr>
      </w:pPr>
      <w:r>
        <w:rPr>
          <w:noProof/>
        </w:rPr>
        <w:t>В член 4, параграф 3, буква а) от Конвенцията се предвижда Съвместният комитет да приема с единодушие измененията на Конвенцията, включително измененията на допълненията,</w:t>
      </w:r>
    </w:p>
    <w:p>
      <w:pPr>
        <w:spacing w:before="0" w:after="240"/>
        <w:rPr>
          <w:rFonts w:eastAsia="Times New Roman"/>
          <w:noProof/>
          <w:szCs w:val="20"/>
        </w:rPr>
      </w:pPr>
      <w:r>
        <w:rPr>
          <w:noProof/>
        </w:rPr>
        <w:t>ПРИЕ НАСТОЯЩОТО РЕШЕНИЕ:</w:t>
      </w:r>
    </w:p>
    <w:p>
      <w:pPr>
        <w:keepNext/>
        <w:spacing w:before="360"/>
        <w:jc w:val="center"/>
        <w:rPr>
          <w:rFonts w:eastAsia="Calibri"/>
          <w:i/>
          <w:noProof/>
          <w:szCs w:val="20"/>
        </w:rPr>
      </w:pPr>
      <w:r>
        <w:rPr>
          <w:i/>
          <w:noProof/>
        </w:rPr>
        <w:t>Член 1</w:t>
      </w:r>
    </w:p>
    <w:p>
      <w:pPr>
        <w:spacing w:before="0" w:after="240"/>
        <w:rPr>
          <w:rFonts w:eastAsia="Times New Roman"/>
          <w:noProof/>
          <w:szCs w:val="20"/>
        </w:rPr>
      </w:pPr>
      <w:r>
        <w:rPr>
          <w:noProof/>
        </w:rPr>
        <w:t xml:space="preserve">Допълнение II към Конвенцията, съдържащо дерогациите от разпоредбите на допълнение I към Конвенцията, се изменя и допълва с приложения XIII, Ж и З към допълнение II към Конвенцията, съдържащи се в приложенията към настоящото решение. </w:t>
      </w:r>
    </w:p>
    <w:p>
      <w:pPr>
        <w:keepNext/>
        <w:spacing w:before="360"/>
        <w:jc w:val="center"/>
        <w:rPr>
          <w:rFonts w:eastAsia="Calibri"/>
          <w:i/>
          <w:noProof/>
          <w:szCs w:val="20"/>
        </w:rPr>
      </w:pPr>
      <w:r>
        <w:rPr>
          <w:i/>
          <w:noProof/>
        </w:rPr>
        <w:t>Член 2</w:t>
      </w:r>
    </w:p>
    <w:p>
      <w:pPr>
        <w:spacing w:before="0" w:after="240"/>
        <w:rPr>
          <w:rFonts w:eastAsia="Times New Roman"/>
          <w:noProof/>
          <w:szCs w:val="20"/>
        </w:rPr>
      </w:pPr>
      <w:r>
        <w:rPr>
          <w:noProof/>
        </w:rPr>
        <w:t>В приложения XIII, Ж и З към допълнение II към Конвенцията, съдържащи се в приложенията към настоящото решение, се уточняват условията за прилагането на забраната на възстановяването на мита и на пълната кумулация в търговията между страните по ЦЕФТА.</w:t>
      </w:r>
    </w:p>
    <w:p>
      <w:pPr>
        <w:spacing w:before="0" w:after="240"/>
        <w:jc w:val="center"/>
        <w:rPr>
          <w:rFonts w:eastAsia="Times New Roman"/>
          <w:noProof/>
          <w:szCs w:val="20"/>
        </w:rPr>
      </w:pPr>
      <w:r>
        <w:rPr>
          <w:i/>
          <w:noProof/>
        </w:rPr>
        <w:t>Член 3</w:t>
      </w:r>
    </w:p>
    <w:p>
      <w:pPr>
        <w:spacing w:before="0" w:after="240"/>
        <w:rPr>
          <w:rFonts w:eastAsia="Times New Roman"/>
          <w:noProof/>
          <w:szCs w:val="20"/>
        </w:rPr>
      </w:pPr>
      <w:r>
        <w:rPr>
          <w:noProof/>
        </w:rPr>
        <w:t>Приложенията съставляват неразделна част от настоящото решение.</w:t>
      </w:r>
    </w:p>
    <w:p>
      <w:pPr>
        <w:keepNext/>
        <w:spacing w:before="360"/>
        <w:jc w:val="center"/>
        <w:rPr>
          <w:rFonts w:eastAsia="Calibri"/>
          <w:i/>
          <w:noProof/>
          <w:szCs w:val="20"/>
        </w:rPr>
      </w:pPr>
      <w:r>
        <w:rPr>
          <w:i/>
          <w:noProof/>
        </w:rPr>
        <w:t>Член 4</w:t>
      </w:r>
    </w:p>
    <w:p>
      <w:pPr>
        <w:spacing w:before="0" w:after="240"/>
        <w:rPr>
          <w:rFonts w:eastAsia="Times New Roman"/>
          <w:noProof/>
          <w:szCs w:val="20"/>
        </w:rPr>
      </w:pPr>
      <w:r>
        <w:rPr>
          <w:noProof/>
        </w:rPr>
        <w:t>Настоящото решение влиза в сила в деня на приемането му от Съвместния комитет.</w:t>
      </w:r>
    </w:p>
    <w:p>
      <w:pPr>
        <w:spacing w:before="0" w:after="240"/>
        <w:rPr>
          <w:rFonts w:eastAsia="Times New Roman"/>
          <w:noProof/>
          <w:szCs w:val="20"/>
        </w:rPr>
      </w:pPr>
      <w:r>
        <w:rPr>
          <w:noProof/>
        </w:rPr>
        <w:t>То се прилага от [...] година.</w:t>
      </w:r>
    </w:p>
    <w:p>
      <w:pPr>
        <w:keepNext/>
        <w:spacing w:before="0" w:after="0"/>
        <w:rPr>
          <w:rFonts w:eastAsia="Times New Roman"/>
          <w:noProof/>
          <w:szCs w:val="20"/>
        </w:rPr>
      </w:pPr>
      <w:r>
        <w:rPr>
          <w:noProof/>
        </w:rPr>
        <w:t>Съставено в Брюксел на [...] година.</w:t>
      </w:r>
    </w:p>
    <w:p>
      <w:pPr>
        <w:keepNext/>
        <w:tabs>
          <w:tab w:val="left" w:pos="4252"/>
        </w:tabs>
        <w:spacing w:before="720" w:after="0"/>
        <w:rPr>
          <w:rFonts w:eastAsia="Times New Roman"/>
          <w:i/>
          <w:noProof/>
          <w:szCs w:val="20"/>
        </w:rPr>
      </w:pPr>
      <w:r>
        <w:rPr>
          <w:noProof/>
        </w:rPr>
        <w:tab/>
      </w:r>
      <w:r>
        <w:rPr>
          <w:i/>
          <w:noProof/>
        </w:rPr>
        <w:t>За Съвместния комитет</w:t>
      </w:r>
    </w:p>
    <w:p>
      <w:pPr>
        <w:tabs>
          <w:tab w:val="left" w:pos="4252"/>
        </w:tabs>
        <w:spacing w:before="0" w:after="0"/>
        <w:jc w:val="left"/>
        <w:rPr>
          <w:rFonts w:eastAsia="Times New Roman"/>
          <w:i/>
          <w:noProof/>
          <w:szCs w:val="20"/>
        </w:rPr>
      </w:pPr>
      <w:r>
        <w:rPr>
          <w:noProof/>
        </w:rPr>
        <w:tab/>
      </w:r>
      <w:r>
        <w:rPr>
          <w:i/>
          <w:noProof/>
        </w:rPr>
        <w:t>Председател</w:t>
      </w:r>
    </w:p>
    <w:p>
      <w:pPr>
        <w:tabs>
          <w:tab w:val="left" w:pos="4252"/>
        </w:tabs>
        <w:spacing w:before="0" w:after="0"/>
        <w:jc w:val="left"/>
        <w:rPr>
          <w:rFonts w:eastAsia="Times New Roman"/>
          <w:i/>
          <w:noProof/>
          <w:szCs w:val="20"/>
        </w:rPr>
      </w:pPr>
    </w:p>
    <w:p>
      <w:pPr>
        <w:autoSpaceDE w:val="0"/>
        <w:autoSpaceDN w:val="0"/>
        <w:adjustRightInd w:val="0"/>
        <w:spacing w:before="0" w:after="0"/>
        <w:jc w:val="center"/>
        <w:rPr>
          <w:rFonts w:eastAsia="Times New Roman"/>
          <w:bCs/>
          <w:noProof/>
          <w:color w:val="000000"/>
          <w:szCs w:val="24"/>
        </w:rPr>
      </w:pPr>
      <w:r>
        <w:rPr>
          <w:noProof/>
        </w:rPr>
        <w:br w:type="page"/>
      </w:r>
      <w:r>
        <w:rPr>
          <w:noProof/>
          <w:color w:val="000000"/>
        </w:rPr>
        <w:t>Приложение I</w:t>
      </w:r>
    </w:p>
    <w:p>
      <w:pPr>
        <w:autoSpaceDE w:val="0"/>
        <w:autoSpaceDN w:val="0"/>
        <w:adjustRightInd w:val="0"/>
        <w:spacing w:before="0" w:after="0"/>
        <w:jc w:val="center"/>
        <w:rPr>
          <w:rFonts w:eastAsia="Times New Roman"/>
          <w:bCs/>
          <w:noProof/>
          <w:color w:val="000000"/>
          <w:szCs w:val="24"/>
        </w:rPr>
      </w:pPr>
    </w:p>
    <w:p>
      <w:pPr>
        <w:autoSpaceDE w:val="0"/>
        <w:autoSpaceDN w:val="0"/>
        <w:adjustRightInd w:val="0"/>
        <w:spacing w:before="0" w:after="0"/>
        <w:jc w:val="center"/>
        <w:rPr>
          <w:rFonts w:eastAsia="Times New Roman"/>
          <w:bCs/>
          <w:i/>
          <w:noProof/>
          <w:color w:val="000000"/>
          <w:szCs w:val="24"/>
        </w:rPr>
      </w:pPr>
      <w:r>
        <w:rPr>
          <w:i/>
          <w:noProof/>
          <w:color w:val="000000"/>
        </w:rPr>
        <w:t>Приложение XIII към допълнение II</w:t>
      </w:r>
    </w:p>
    <w:p>
      <w:pPr>
        <w:autoSpaceDE w:val="0"/>
        <w:autoSpaceDN w:val="0"/>
        <w:adjustRightInd w:val="0"/>
        <w:spacing w:before="0" w:after="0"/>
        <w:rPr>
          <w:rFonts w:eastAsia="Times New Roman"/>
          <w:b/>
          <w:noProof/>
          <w:color w:val="000000"/>
          <w:szCs w:val="24"/>
        </w:rPr>
      </w:pPr>
    </w:p>
    <w:p>
      <w:pPr>
        <w:autoSpaceDE w:val="0"/>
        <w:autoSpaceDN w:val="0"/>
        <w:adjustRightInd w:val="0"/>
        <w:spacing w:before="0" w:after="0"/>
        <w:jc w:val="center"/>
        <w:rPr>
          <w:rFonts w:eastAsia="Times New Roman"/>
          <w:noProof/>
          <w:color w:val="000000"/>
          <w:szCs w:val="24"/>
        </w:rPr>
      </w:pPr>
      <w:r>
        <w:rPr>
          <w:b/>
          <w:noProof/>
          <w:color w:val="000000"/>
        </w:rPr>
        <w:t xml:space="preserve">Търговията в рамките на Централноевропейското споразумение за свободна търговия (ЦЕФТА), в което са включени Република Молдова и участниците в процеса на Европейския съюз на стабилизиране и асоцииране </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1</w:t>
      </w:r>
    </w:p>
    <w:p>
      <w:pPr>
        <w:autoSpaceDE w:val="0"/>
        <w:autoSpaceDN w:val="0"/>
        <w:adjustRightInd w:val="0"/>
        <w:spacing w:before="0" w:after="0"/>
        <w:jc w:val="center"/>
        <w:rPr>
          <w:rFonts w:eastAsia="Times New Roman"/>
          <w:noProof/>
          <w:color w:val="000000"/>
          <w:szCs w:val="24"/>
        </w:rPr>
      </w:pPr>
      <w:r>
        <w:rPr>
          <w:b/>
          <w:noProof/>
          <w:color w:val="000000"/>
        </w:rPr>
        <w:t>Изключване от кумулацията на произход</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Продуктите, придобили произход чрез прилагане на разпоредбите, предвидени в настоящото приложение, се изключват от кумулацията, предвидена в член 3 от допълнение I. </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2</w:t>
      </w:r>
    </w:p>
    <w:p>
      <w:pPr>
        <w:autoSpaceDE w:val="0"/>
        <w:autoSpaceDN w:val="0"/>
        <w:adjustRightInd w:val="0"/>
        <w:spacing w:before="0" w:after="0"/>
        <w:jc w:val="center"/>
        <w:rPr>
          <w:rFonts w:eastAsia="Times New Roman"/>
          <w:noProof/>
          <w:color w:val="000000"/>
          <w:szCs w:val="24"/>
        </w:rPr>
      </w:pPr>
      <w:r>
        <w:rPr>
          <w:b/>
          <w:noProof/>
          <w:color w:val="000000"/>
        </w:rPr>
        <w:t>Кумулация на произход</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За целите на прилагането на член 2, параграф 1, буква б) от допълнение I обработката или преработката, извършена в Република Молдова или в участниците в процеса на Европейския съюз на стабилизиране и асоцииране (наричани по-долу „страни по ЦЕФТА“), се счита за извършена в която и да е друга страна по ЦЕФТА, когато получените продукти претърпят допълнителна обработка или преработка във въпросната страна. Когато съгласно настоящата разпоредба продуктите с произход са получени в две или повече от въпросните страни, те се считат за продукти с произход от въпросната страна по ЦЕФТА само ако обработката или преработката надхвърля операциите по член 6 от допълнение I. </w:t>
      </w:r>
    </w:p>
    <w:p>
      <w:pPr>
        <w:autoSpaceDE w:val="0"/>
        <w:autoSpaceDN w:val="0"/>
        <w:adjustRightInd w:val="0"/>
        <w:spacing w:before="0" w:after="0"/>
        <w:rPr>
          <w:rFonts w:eastAsia="Times New Roman"/>
          <w:noProof/>
          <w:color w:val="000000"/>
          <w:szCs w:val="24"/>
        </w:rPr>
      </w:pPr>
      <w:r>
        <w:rPr>
          <w:noProof/>
          <w:color w:val="000000"/>
        </w:rPr>
        <w:t xml:space="preserve">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3</w:t>
      </w:r>
    </w:p>
    <w:p>
      <w:pPr>
        <w:autoSpaceDE w:val="0"/>
        <w:autoSpaceDN w:val="0"/>
        <w:adjustRightInd w:val="0"/>
        <w:spacing w:before="0" w:after="0"/>
        <w:jc w:val="center"/>
        <w:rPr>
          <w:rFonts w:eastAsia="Times New Roman"/>
          <w:b/>
          <w:bCs/>
          <w:noProof/>
          <w:color w:val="000000"/>
          <w:szCs w:val="24"/>
        </w:rPr>
      </w:pPr>
      <w:r>
        <w:rPr>
          <w:b/>
          <w:noProof/>
          <w:color w:val="000000"/>
        </w:rPr>
        <w:t>Доказателства за произход</w:t>
      </w:r>
    </w:p>
    <w:p>
      <w:pPr>
        <w:autoSpaceDE w:val="0"/>
        <w:autoSpaceDN w:val="0"/>
        <w:adjustRightInd w:val="0"/>
        <w:spacing w:before="0" w:after="0"/>
        <w:jc w:val="center"/>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1. Без да се засяга член 16, параграфи 4 и 5 от допълнение I, сертификат за движение EUR.1 се издава от митническите органи на страна по ЦЕФТА, ако въпросните продукти могат да бъдат считани за продукти с произход от страна по ЦЕФТА, като се прилага кумулацията, предвидена в член 2 от настоящото приложение, и ако изпълняват другите изисквания на допълнение I.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2. Без да се засяга член 21, параграфи 2 и 3 от допълнение I, декларация за произход може да бъде изготвена, ако въпросните продукти могат да бъдат считани за продукти с произход от страна по ЦЕФТА, като се прилага кумулацията, предвидена в член 2 от настоящото приложение, и ако изпълняват другите изисквания на допълнение I.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4</w:t>
      </w:r>
    </w:p>
    <w:p>
      <w:pPr>
        <w:autoSpaceDE w:val="0"/>
        <w:autoSpaceDN w:val="0"/>
        <w:adjustRightInd w:val="0"/>
        <w:spacing w:before="0" w:after="0"/>
        <w:jc w:val="center"/>
        <w:rPr>
          <w:rFonts w:eastAsia="Times New Roman"/>
          <w:noProof/>
          <w:color w:val="000000"/>
          <w:szCs w:val="24"/>
        </w:rPr>
      </w:pPr>
      <w:r>
        <w:rPr>
          <w:b/>
          <w:noProof/>
          <w:color w:val="000000"/>
        </w:rPr>
        <w:t>Декларации на доставчика</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1. Когато е издаден сертификат за движение на стоките EUR.1 или е изготвена декларация за произход в страна по ЦЕФТА за продукти с произход, </w:t>
      </w:r>
      <w:r>
        <w:rPr>
          <w:noProof/>
        </w:rPr>
        <w:t xml:space="preserve">за производството на които са използвани стоки с произход от други страни по ЦЕФТА, които са претърпели в посочените страни обработка или преработка, без да са придобили статус на стоки с преференциален произход, се взема предвид декларацията на доставчика за тези стоки съгласно настоящия член.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2. Посочената в параграф 1 декларация на доставчика служи за доказателство за обработката или преработката, претърпяна от въпросните стоки в страните по ЦЕФТА, с цел да се определи дали продуктите, за чието производство са използвани въпросните стоки, могат да бъдат считани за стоки с произход от страните по ЦЕФТА и дали изпълняват другите изисквания на допълнение I.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3. Освен в случаите, предвидени в параграф 4 от настоящия член, доставчикът изготвя отделна декларация на доставчика за всяка пратка стоки в определената в приложение Ж към настоящото допълнение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4. Когато даден доставчик редовно доставя стоки на определен клиент, чиято обработка или преработка в страна по ЦЕФТА се очаква да остане постоянна за дълъг период от време, той може да представи единна декларация на доставчика (наричана по-нататък „дългосрочна декларация на доставчика“), която да покрива следващите пратки от тези стоки.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В общия случай дългосрочната декларация на доставчика може да бъде валидна за срок до една година от датата на изготвянето ѝ. Митническите органи на страната по ЦЕФТА, в която е изготвена декларацията, определят условията, съгласно които могат да бъдат използвани по-дълги срокове.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Дългосрочната декларация на доставчика се изготвя от доставчика в определената в приложение З към настоящото допълнение форма и описва въпросните стоки в достатъчно подробен вид,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Доставчикът незабавно уведомява своя клиент, ако дългосрочната декларация на доставчика е престанала да се прилага по отношение на доставяните стоки.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5. Декларациите на доставчика, посочени в параграфи 3 и 4 от настоящия член, се напечатват на пишеща машина или се разпечатват на принтер на английски език в съответствие с разпоредбите на националното законодателство на въпросната страна по ЦЕФТА, в която са изготвени декларациите, и съдържат оригиналния собственоръчен подпис на доставчика. Декларацията може също така да бъде написана на ръка; в такъв случай тя се написва с мастило и с печатни букви.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6. Доставчикът, който изготвя декларация, е готов да представи по всяко време по искане на митническите органи на страната по ЦЕФТА, в която се изготвя декларацията, всички необходими документи, доказващи, че представената в тази декларация информация е вярна.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5</w:t>
      </w:r>
    </w:p>
    <w:p>
      <w:pPr>
        <w:autoSpaceDE w:val="0"/>
        <w:autoSpaceDN w:val="0"/>
        <w:adjustRightInd w:val="0"/>
        <w:spacing w:before="0" w:after="0"/>
        <w:jc w:val="center"/>
        <w:rPr>
          <w:rFonts w:eastAsia="Times New Roman"/>
          <w:b/>
          <w:bCs/>
          <w:noProof/>
          <w:color w:val="000000"/>
          <w:szCs w:val="24"/>
        </w:rPr>
      </w:pPr>
      <w:r>
        <w:rPr>
          <w:b/>
          <w:noProof/>
          <w:color w:val="000000"/>
        </w:rPr>
        <w:t>Подкрепящи документи</w:t>
      </w:r>
    </w:p>
    <w:p>
      <w:pPr>
        <w:autoSpaceDE w:val="0"/>
        <w:autoSpaceDN w:val="0"/>
        <w:adjustRightInd w:val="0"/>
        <w:spacing w:before="0" w:after="0"/>
        <w:jc w:val="center"/>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Декларациите на доставчика, които доказват обработката или преработката, претърпяна от използваните материали в страните по ЦЕФТА, и които са изготвени в една от тези страни, се считат за документ, посочен в член 16, параграф 3 и член 21, параграф 5 от допълнение I и член 4, параграф 6 от настоящото приложение, използван с цел доказване, че продуктите, обхванати от сертификат за движение EUR.1 или от декларация за произход EUR-MED, могат да бъдат считани за продукти с произход от страна по ЦЕФТА и изпълняват другите изисквания на допълнение 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bCs/>
          <w:i/>
          <w:noProof/>
          <w:color w:val="000000"/>
          <w:szCs w:val="24"/>
        </w:rPr>
      </w:pPr>
    </w:p>
    <w:p>
      <w:pPr>
        <w:autoSpaceDE w:val="0"/>
        <w:autoSpaceDN w:val="0"/>
        <w:adjustRightInd w:val="0"/>
        <w:spacing w:before="0" w:after="0"/>
        <w:jc w:val="center"/>
        <w:rPr>
          <w:rFonts w:eastAsia="Times New Roman"/>
          <w:bCs/>
          <w:i/>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6</w:t>
      </w:r>
    </w:p>
    <w:p>
      <w:pPr>
        <w:autoSpaceDE w:val="0"/>
        <w:autoSpaceDN w:val="0"/>
        <w:adjustRightInd w:val="0"/>
        <w:spacing w:before="0" w:after="0"/>
        <w:jc w:val="center"/>
        <w:rPr>
          <w:rFonts w:eastAsia="Times New Roman"/>
          <w:noProof/>
          <w:color w:val="000000"/>
          <w:szCs w:val="24"/>
        </w:rPr>
      </w:pPr>
      <w:r>
        <w:rPr>
          <w:b/>
          <w:noProof/>
          <w:color w:val="000000"/>
        </w:rPr>
        <w:t>Съхранение на декларациите на доставчика</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4, параграф 6 от настоящото приложение.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такава декларация, които са изпратени на въпросния клиент, както и документите, посочени в член 4, параграф 6 от настоящото приложение. Този срок започва да тече от датата на изтичане на валидността на дългосрочната декларация на доставчика.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7</w:t>
      </w:r>
    </w:p>
    <w:p>
      <w:pPr>
        <w:autoSpaceDE w:val="0"/>
        <w:autoSpaceDN w:val="0"/>
        <w:adjustRightInd w:val="0"/>
        <w:spacing w:before="0" w:after="0"/>
        <w:jc w:val="center"/>
        <w:rPr>
          <w:rFonts w:eastAsia="Times New Roman"/>
          <w:noProof/>
          <w:color w:val="000000"/>
          <w:szCs w:val="24"/>
        </w:rPr>
      </w:pPr>
      <w:r>
        <w:rPr>
          <w:b/>
          <w:noProof/>
          <w:color w:val="000000"/>
        </w:rPr>
        <w:t>Административно сътрудничество</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Без да се засягат членове 31 и 32 от допълнение I, с цел да се осигури правилното прилагане на настоящото приложение, страните по ЦЕФТА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 </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8</w:t>
      </w:r>
    </w:p>
    <w:p>
      <w:pPr>
        <w:autoSpaceDE w:val="0"/>
        <w:autoSpaceDN w:val="0"/>
        <w:adjustRightInd w:val="0"/>
        <w:spacing w:before="0" w:after="0"/>
        <w:jc w:val="center"/>
        <w:rPr>
          <w:rFonts w:eastAsia="Times New Roman"/>
          <w:noProof/>
          <w:color w:val="000000"/>
          <w:szCs w:val="24"/>
        </w:rPr>
      </w:pPr>
      <w:r>
        <w:rPr>
          <w:b/>
          <w:noProof/>
          <w:color w:val="000000"/>
        </w:rPr>
        <w:t>Проверка на декларациите на доставчика</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1. Последващи проверки на декларациите на доставчика или на дългосрочните декларации на доставчика могат да бъдат извършвани на случаен принцип или когато митническите органи на страната, в която такива декларации са били взети предвид при използването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2. За целите на прилагането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фактурите, известията за доставка или другите търговски документи относно стоките, обхванати от такава декларация, на митническите органи на страната, в която е била изготвена декларацията, като посочват при необходимост материалните или формалните съображения за искането за проверка.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3. Проверката се извършва от митническите органи на страната, в която е изготвена декларацията на доставчика или дългосрочната декларация на доставчика. За тази цел те имат правото да изискват всички доказателства и да извършват всякакви проверки на счетоводните документи на доставчика или всякакви други проверки, които сметнат за необходими.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4. Поискалите проверката митнически органи биват информирани във възможно най-кратък срок за резултатите от нея. В тези резултати се посочва ясно дали информацията, дадена в декларацията на доставчика или в дългосрочната декларация на доставчика, е вярна, и те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9</w:t>
      </w:r>
    </w:p>
    <w:p>
      <w:pPr>
        <w:autoSpaceDE w:val="0"/>
        <w:autoSpaceDN w:val="0"/>
        <w:adjustRightInd w:val="0"/>
        <w:spacing w:before="0" w:after="0"/>
        <w:jc w:val="center"/>
        <w:rPr>
          <w:rFonts w:eastAsia="Times New Roman"/>
          <w:noProof/>
          <w:color w:val="000000"/>
          <w:szCs w:val="24"/>
        </w:rPr>
      </w:pPr>
      <w:r>
        <w:rPr>
          <w:b/>
          <w:noProof/>
          <w:color w:val="000000"/>
        </w:rPr>
        <w:t>Санкции</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На всяко лице, което съставя или става причина да бъде съставен документ, съдържащ невярна информация, с цел получаване на преференциално третиране на продукти, се налагат санкции.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Член 10</w:t>
      </w:r>
    </w:p>
    <w:p>
      <w:pPr>
        <w:autoSpaceDE w:val="0"/>
        <w:autoSpaceDN w:val="0"/>
        <w:adjustRightInd w:val="0"/>
        <w:spacing w:before="0" w:after="0"/>
        <w:jc w:val="center"/>
        <w:rPr>
          <w:rFonts w:eastAsia="Times New Roman"/>
          <w:noProof/>
          <w:color w:val="000000"/>
          <w:szCs w:val="24"/>
        </w:rPr>
      </w:pPr>
      <w:r>
        <w:rPr>
          <w:b/>
          <w:noProof/>
          <w:color w:val="000000"/>
        </w:rPr>
        <w:t>Забрана за възстановяване на мита или за освобождаване от мита</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Забраната по член 14, параграф 1 от допълнение I не се прилага при двустранната търговия между страните по ЦЕФТА.</w:t>
      </w:r>
    </w:p>
    <w:p>
      <w:pPr>
        <w:autoSpaceDE w:val="0"/>
        <w:autoSpaceDN w:val="0"/>
        <w:adjustRightInd w:val="0"/>
        <w:spacing w:before="0" w:after="0"/>
        <w:jc w:val="center"/>
        <w:rPr>
          <w:rFonts w:eastAsia="Times New Roman"/>
          <w:noProof/>
          <w:color w:val="000000"/>
          <w:szCs w:val="24"/>
        </w:rPr>
        <w:sectPr>
          <w:footerReference w:type="default" r:id="rId16"/>
          <w:footerReference w:type="first" r:id="rId17"/>
          <w:pgSz w:w="11907" w:h="16839"/>
          <w:pgMar w:top="1134" w:right="1417" w:bottom="1134" w:left="1417" w:header="709" w:footer="709" w:gutter="0"/>
          <w:cols w:space="720"/>
          <w:docGrid w:linePitch="360"/>
        </w:sectPr>
      </w:pPr>
    </w:p>
    <w:p>
      <w:pPr>
        <w:autoSpaceDE w:val="0"/>
        <w:autoSpaceDN w:val="0"/>
        <w:adjustRightInd w:val="0"/>
        <w:spacing w:before="0" w:after="0"/>
        <w:jc w:val="center"/>
        <w:rPr>
          <w:rFonts w:eastAsia="Times New Roman"/>
          <w:noProof/>
          <w:color w:val="000000"/>
          <w:szCs w:val="24"/>
        </w:rPr>
      </w:pPr>
      <w:r>
        <w:rPr>
          <w:noProof/>
          <w:color w:val="000000"/>
        </w:rPr>
        <w:t>ПРИЛОЖЕНИЕ II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Приложение Ж към допълнение II</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b/>
          <w:bCs/>
          <w:noProof/>
          <w:color w:val="000000"/>
          <w:szCs w:val="24"/>
        </w:rPr>
      </w:pPr>
      <w:r>
        <w:rPr>
          <w:b/>
          <w:noProof/>
          <w:color w:val="000000"/>
        </w:rPr>
        <w:t>Декларация на доставчика за стоки, които са претърпели обработка или преработка в страните по ЦЕФТА, без да са придобили статус на стоки с преференциален произход</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Декларацията на доставчика, текстът на която е даден по-долу, трябва да бъде изготвена в съответствие с бележките под линия. Не е необходимо обаче бележките под линия да бъдат възпроизвеждани. </w:t>
      </w:r>
    </w:p>
    <w:p>
      <w:pPr>
        <w:autoSpaceDE w:val="0"/>
        <w:autoSpaceDN w:val="0"/>
        <w:adjustRightInd w:val="0"/>
        <w:spacing w:before="0" w:after="0"/>
        <w:rPr>
          <w:rFonts w:eastAsia="Times New Roman"/>
          <w:b/>
          <w:bCs/>
          <w:noProof/>
          <w:color w:val="000000"/>
          <w:szCs w:val="24"/>
        </w:rPr>
      </w:pPr>
    </w:p>
    <w:p>
      <w:pPr>
        <w:autoSpaceDE w:val="0"/>
        <w:autoSpaceDN w:val="0"/>
        <w:adjustRightInd w:val="0"/>
        <w:spacing w:before="0" w:after="0"/>
        <w:jc w:val="center"/>
        <w:rPr>
          <w:rFonts w:eastAsia="Times New Roman"/>
          <w:b/>
          <w:bCs/>
          <w:noProof/>
          <w:color w:val="000000"/>
          <w:szCs w:val="24"/>
        </w:rPr>
      </w:pPr>
      <w:r>
        <w:rPr>
          <w:b/>
          <w:noProof/>
          <w:color w:val="000000"/>
        </w:rPr>
        <w:t>ДЕКЛАРАЦИЯ НА ДОСТАВЧИКА</w:t>
      </w:r>
    </w:p>
    <w:p>
      <w:pPr>
        <w:autoSpaceDE w:val="0"/>
        <w:autoSpaceDN w:val="0"/>
        <w:adjustRightInd w:val="0"/>
        <w:spacing w:before="0" w:after="0"/>
        <w:jc w:val="center"/>
        <w:rPr>
          <w:rFonts w:eastAsia="Times New Roman"/>
          <w:bCs/>
          <w:noProof/>
          <w:color w:val="000000"/>
          <w:szCs w:val="24"/>
        </w:rPr>
      </w:pPr>
      <w:r>
        <w:rPr>
          <w:noProof/>
          <w:color w:val="000000"/>
        </w:rPr>
        <w:t>за стоки, които са претърпели обработка или преработка в страните по ЦЕФТА, без да са придобили статус на стоки с преференциален произход</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Долуподписаният доставчик на стоките, обхванати от приложения документ, декларирам, че:</w:t>
      </w:r>
    </w:p>
    <w:p>
      <w:pPr>
        <w:autoSpaceDE w:val="0"/>
        <w:autoSpaceDN w:val="0"/>
        <w:adjustRightInd w:val="0"/>
        <w:spacing w:before="0" w:after="0"/>
        <w:jc w:val="left"/>
        <w:rPr>
          <w:rFonts w:eastAsia="Times New Roman"/>
          <w:noProof/>
          <w:color w:val="000000"/>
          <w:szCs w:val="24"/>
        </w:rPr>
      </w:pPr>
    </w:p>
    <w:p>
      <w:pPr>
        <w:autoSpaceDE w:val="0"/>
        <w:autoSpaceDN w:val="0"/>
        <w:adjustRightInd w:val="0"/>
        <w:spacing w:before="0" w:after="0"/>
        <w:jc w:val="left"/>
        <w:rPr>
          <w:rFonts w:eastAsia="Times New Roman"/>
          <w:noProof/>
          <w:color w:val="000000"/>
          <w:szCs w:val="24"/>
        </w:rPr>
      </w:pPr>
      <w:r>
        <w:rPr>
          <w:noProof/>
          <w:color w:val="000000"/>
        </w:rPr>
        <w:t xml:space="preserve">1. Следните материали, които не са с произход от страните по ЦЕФТА, са използвани в страните по ЦЕФТА за производството на посочените стоки: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contextualSpacing/>
        <w:mirrorIndents/>
        <w:rPr>
          <w:rFonts w:eastAsia="Times New Roman"/>
          <w:noProof/>
          <w:color w:val="000000"/>
          <w:szCs w:val="24"/>
        </w:rPr>
      </w:pPr>
    </w:p>
    <w:p>
      <w:pPr>
        <w:autoSpaceDE w:val="0"/>
        <w:autoSpaceDN w:val="0"/>
        <w:adjustRightInd w:val="0"/>
        <w:spacing w:before="0" w:after="0"/>
        <w:contextualSpacing/>
        <w:mirrorIndents/>
        <w:jc w:val="left"/>
        <w:rPr>
          <w:rFonts w:eastAsia="Times New Roman"/>
          <w:noProof/>
          <w:color w:val="000000"/>
          <w:szCs w:val="24"/>
        </w:rPr>
        <w:sectPr>
          <w:pgSz w:w="11907" w:h="16839"/>
          <w:pgMar w:top="1134" w:right="1417" w:bottom="1134" w:left="1417" w:header="709" w:footer="709"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r>
              <w:rPr>
                <w:noProof/>
                <w:color w:val="000000"/>
              </w:rPr>
              <w:t xml:space="preserve">Описание на </w:t>
            </w:r>
          </w:p>
          <w:p>
            <w:pPr>
              <w:autoSpaceDE w:val="0"/>
              <w:autoSpaceDN w:val="0"/>
              <w:adjustRightInd w:val="0"/>
              <w:spacing w:before="0" w:after="0"/>
              <w:contextualSpacing/>
              <w:mirrorIndents/>
              <w:rPr>
                <w:rFonts w:eastAsia="Times New Roman"/>
                <w:noProof/>
                <w:color w:val="000000"/>
                <w:szCs w:val="24"/>
              </w:rPr>
            </w:pPr>
            <w:r>
              <w:rPr>
                <w:noProof/>
                <w:color w:val="000000"/>
              </w:rPr>
              <w:t>доставяните стоки (</w:t>
            </w:r>
            <w:r>
              <w:rPr>
                <w:rStyle w:val="FootnoteReference"/>
                <w:noProof/>
              </w:rPr>
              <w:footnoteReference w:id="2"/>
            </w:r>
            <w:r>
              <w:rPr>
                <w:noProof/>
                <w:color w:val="000000"/>
              </w:rPr>
              <w:t>)</w:t>
            </w:r>
          </w:p>
        </w:tc>
        <w:tc>
          <w:tcPr>
            <w:tcW w:w="2106" w:type="dxa"/>
          </w:tcPr>
          <w:p>
            <w:pPr>
              <w:autoSpaceDE w:val="0"/>
              <w:autoSpaceDN w:val="0"/>
              <w:adjustRightInd w:val="0"/>
              <w:spacing w:before="0" w:after="0"/>
              <w:contextualSpacing/>
              <w:mirrorIndents/>
              <w:rPr>
                <w:rFonts w:eastAsia="Times New Roman"/>
                <w:noProof/>
                <w:color w:val="000000"/>
                <w:szCs w:val="24"/>
              </w:rPr>
            </w:pPr>
            <w:r>
              <w:rPr>
                <w:noProof/>
                <w:color w:val="000000"/>
              </w:rPr>
              <w:t xml:space="preserve">Описание на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използваните материали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без произход </w:t>
            </w:r>
          </w:p>
        </w:tc>
        <w:tc>
          <w:tcPr>
            <w:tcW w:w="2106" w:type="dxa"/>
          </w:tcPr>
          <w:p>
            <w:pPr>
              <w:autoSpaceDE w:val="0"/>
              <w:autoSpaceDN w:val="0"/>
              <w:adjustRightInd w:val="0"/>
              <w:spacing w:before="0" w:after="0"/>
              <w:contextualSpacing/>
              <w:mirrorIndents/>
              <w:rPr>
                <w:rFonts w:eastAsia="Times New Roman"/>
                <w:noProof/>
                <w:color w:val="000000"/>
                <w:szCs w:val="24"/>
              </w:rPr>
            </w:pPr>
            <w:r>
              <w:rPr>
                <w:noProof/>
                <w:color w:val="000000"/>
              </w:rPr>
              <w:t xml:space="preserve">Позиция на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използваните материали </w:t>
            </w:r>
          </w:p>
          <w:p>
            <w:pPr>
              <w:autoSpaceDE w:val="0"/>
              <w:autoSpaceDN w:val="0"/>
              <w:adjustRightInd w:val="0"/>
              <w:spacing w:before="0" w:after="0"/>
              <w:contextualSpacing/>
              <w:mirrorIndents/>
              <w:rPr>
                <w:rFonts w:eastAsia="Times New Roman"/>
                <w:noProof/>
                <w:color w:val="000000"/>
                <w:szCs w:val="24"/>
              </w:rPr>
            </w:pPr>
            <w:r>
              <w:rPr>
                <w:noProof/>
                <w:color w:val="000000"/>
              </w:rPr>
              <w:t>без произход (</w:t>
            </w:r>
            <w:r>
              <w:rPr>
                <w:rStyle w:val="FootnoteReference"/>
                <w:noProof/>
              </w:rPr>
              <w:footnoteReference w:id="3"/>
            </w:r>
            <w:r>
              <w:rPr>
                <w:noProof/>
                <w:color w:val="000000"/>
              </w:rPr>
              <w:t xml:space="preserve">) </w:t>
            </w:r>
          </w:p>
        </w:tc>
        <w:tc>
          <w:tcPr>
            <w:tcW w:w="2108" w:type="dxa"/>
          </w:tcPr>
          <w:p>
            <w:pPr>
              <w:autoSpaceDE w:val="0"/>
              <w:autoSpaceDN w:val="0"/>
              <w:adjustRightInd w:val="0"/>
              <w:spacing w:before="0" w:after="0"/>
              <w:contextualSpacing/>
              <w:mirrorIndents/>
              <w:rPr>
                <w:rFonts w:eastAsia="Times New Roman"/>
                <w:noProof/>
                <w:color w:val="000000"/>
                <w:szCs w:val="24"/>
              </w:rPr>
            </w:pPr>
            <w:r>
              <w:rPr>
                <w:noProof/>
                <w:color w:val="000000"/>
              </w:rPr>
              <w:t xml:space="preserve">Стойност на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използваните материали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без произход </w:t>
            </w:r>
            <w:r>
              <w:rPr>
                <w:noProof/>
                <w:color w:val="000000"/>
                <w:vertAlign w:val="superscript"/>
              </w:rPr>
              <w:t>(</w:t>
            </w:r>
            <w:r>
              <w:rPr>
                <w:rStyle w:val="FootnoteReference"/>
                <w:noProof/>
              </w:rPr>
              <w:footnoteReference w:id="4"/>
            </w:r>
            <w:r>
              <w:rPr>
                <w:noProof/>
                <w:color w:val="000000"/>
                <w:vertAlign w:val="superscript"/>
              </w:rPr>
              <w:t>)</w:t>
            </w:r>
            <w:r>
              <w:rPr>
                <w:noProof/>
                <w:color w:val="000000"/>
              </w:rPr>
              <w:t xml:space="preserve"> </w:t>
            </w: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6318" w:type="dxa"/>
            <w:gridSpan w:val="3"/>
          </w:tcPr>
          <w:p>
            <w:pPr>
              <w:autoSpaceDE w:val="0"/>
              <w:autoSpaceDN w:val="0"/>
              <w:adjustRightInd w:val="0"/>
              <w:spacing w:before="0" w:after="0"/>
              <w:contextualSpacing/>
              <w:mirrorIndents/>
              <w:jc w:val="right"/>
              <w:rPr>
                <w:rFonts w:eastAsia="Times New Roman"/>
                <w:b/>
                <w:noProof/>
                <w:color w:val="000000"/>
                <w:szCs w:val="24"/>
              </w:rPr>
            </w:pPr>
            <w:r>
              <w:rPr>
                <w:b/>
                <w:noProof/>
                <w:color w:val="000000"/>
              </w:rPr>
              <w:t>Обща стойност</w:t>
            </w:r>
          </w:p>
        </w:tc>
        <w:tc>
          <w:tcPr>
            <w:tcW w:w="2108" w:type="dxa"/>
          </w:tcPr>
          <w:p>
            <w:pPr>
              <w:autoSpaceDE w:val="0"/>
              <w:autoSpaceDN w:val="0"/>
              <w:adjustRightInd w:val="0"/>
              <w:spacing w:before="0" w:after="0"/>
              <w:contextualSpacing/>
              <w:mirrorIndents/>
              <w:rPr>
                <w:rFonts w:eastAsia="Times New Roman"/>
                <w:noProof/>
                <w:color w:val="000000"/>
                <w:szCs w:val="24"/>
              </w:rPr>
            </w:pPr>
          </w:p>
        </w:tc>
      </w:tr>
    </w:tbl>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r>
        <w:rPr>
          <w:noProof/>
        </w:rPr>
        <w:t>2. Всички други материали, използвани в страна по ЦЕФТА за производството на посочените стоки, са с произход от страна по ЦЕФТА;</w:t>
      </w: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r>
        <w:rPr>
          <w:noProof/>
        </w:rPr>
        <w:t>3. Следните стоки са претърпели обработка или преработка извън страна по ЦЕФТА в съответствие с член 11 от допълнение I към Регионалната конвенция за паневросредиземноморските преференциални правила за произход и са придобили следната обща добавена стойност там:</w:t>
      </w: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bl>
      <w:tblPr>
        <w:tblW w:w="0" w:type="auto"/>
        <w:tblLook w:val="04A0" w:firstRow="1" w:lastRow="0" w:firstColumn="1" w:lastColumn="0" w:noHBand="0" w:noVBand="1"/>
      </w:tblPr>
      <w:tblGrid>
        <w:gridCol w:w="4417"/>
        <w:gridCol w:w="4417"/>
      </w:tblGrid>
      <w:tr>
        <w:tc>
          <w:tcPr>
            <w:tcW w:w="4417" w:type="dxa"/>
            <w:shd w:val="clear" w:color="auto" w:fill="auto"/>
          </w:tcPr>
          <w:p>
            <w:pPr>
              <w:tabs>
                <w:tab w:val="left" w:pos="4252"/>
              </w:tabs>
              <w:spacing w:before="0" w:after="0"/>
              <w:contextualSpacing/>
              <w:mirrorIndents/>
              <w:rPr>
                <w:rFonts w:eastAsia="Times New Roman"/>
                <w:noProof/>
                <w:szCs w:val="24"/>
              </w:rPr>
            </w:pPr>
            <w:r>
              <w:rPr>
                <w:noProof/>
              </w:rPr>
              <w:t xml:space="preserve">Описание на доставяните стоки </w:t>
            </w: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p>
        </w:tc>
        <w:tc>
          <w:tcPr>
            <w:tcW w:w="4417" w:type="dxa"/>
            <w:shd w:val="clear" w:color="auto" w:fill="auto"/>
          </w:tcPr>
          <w:p>
            <w:pPr>
              <w:tabs>
                <w:tab w:val="left" w:pos="4252"/>
              </w:tabs>
              <w:spacing w:before="0" w:after="0"/>
              <w:contextualSpacing/>
              <w:mirrorIndents/>
              <w:rPr>
                <w:rFonts w:eastAsia="Times New Roman"/>
                <w:noProof/>
                <w:szCs w:val="24"/>
              </w:rPr>
            </w:pPr>
            <w:r>
              <w:rPr>
                <w:noProof/>
              </w:rPr>
              <w:t>Обща добавена стойност, придобита извън</w:t>
            </w:r>
          </w:p>
          <w:p>
            <w:pPr>
              <w:tabs>
                <w:tab w:val="left" w:pos="4252"/>
              </w:tabs>
              <w:spacing w:before="0" w:after="0"/>
              <w:contextualSpacing/>
              <w:mirrorIndents/>
              <w:rPr>
                <w:rFonts w:eastAsia="Times New Roman"/>
                <w:noProof/>
                <w:szCs w:val="24"/>
              </w:rPr>
            </w:pPr>
            <w:r>
              <w:rPr>
                <w:noProof/>
              </w:rPr>
              <w:t>страните по ЦЕФТА</w:t>
            </w:r>
            <w:r>
              <w:rPr>
                <w:rStyle w:val="FootnoteReference"/>
                <w:noProof/>
              </w:rPr>
              <w:footnoteReference w:id="5"/>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p>
        </w:tc>
      </w:tr>
      <w:tr>
        <w:tc>
          <w:tcPr>
            <w:tcW w:w="4417" w:type="dxa"/>
            <w:shd w:val="clear" w:color="auto" w:fill="auto"/>
          </w:tcPr>
          <w:p>
            <w:pPr>
              <w:tabs>
                <w:tab w:val="left" w:pos="4252"/>
              </w:tabs>
              <w:spacing w:before="0" w:after="0"/>
              <w:contextualSpacing/>
              <w:mirrorIndents/>
              <w:rPr>
                <w:rFonts w:eastAsia="Times New Roman"/>
                <w:noProof/>
                <w:szCs w:val="24"/>
              </w:rPr>
            </w:pPr>
          </w:p>
        </w:tc>
        <w:tc>
          <w:tcPr>
            <w:tcW w:w="4417" w:type="dxa"/>
            <w:shd w:val="clear" w:color="auto" w:fill="auto"/>
          </w:tcPr>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jc w:val="center"/>
              <w:rPr>
                <w:rFonts w:eastAsia="Times New Roman"/>
                <w:i/>
                <w:noProof/>
                <w:szCs w:val="24"/>
              </w:rPr>
            </w:pPr>
            <w:r>
              <w:rPr>
                <w:i/>
                <w:noProof/>
              </w:rPr>
              <w:t>(Място и дата)</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rPr>
                <w:rFonts w:eastAsia="Times New Roman"/>
                <w:noProof/>
                <w:szCs w:val="24"/>
              </w:rPr>
            </w:pPr>
            <w:r>
              <w:rPr>
                <w:noProof/>
              </w:rPr>
              <w:t>………………………………………….</w:t>
            </w:r>
          </w:p>
          <w:p>
            <w:pPr>
              <w:tabs>
                <w:tab w:val="left" w:pos="4252"/>
              </w:tabs>
              <w:spacing w:before="0" w:after="0"/>
              <w:contextualSpacing/>
              <w:mirrorIndents/>
              <w:jc w:val="center"/>
              <w:rPr>
                <w:rFonts w:eastAsia="Times New Roman"/>
                <w:i/>
                <w:noProof/>
                <w:szCs w:val="24"/>
              </w:rPr>
            </w:pPr>
          </w:p>
          <w:p>
            <w:pPr>
              <w:tabs>
                <w:tab w:val="left" w:pos="4252"/>
              </w:tabs>
              <w:spacing w:before="0" w:after="0"/>
              <w:contextualSpacing/>
              <w:mirrorIndents/>
              <w:jc w:val="center"/>
              <w:rPr>
                <w:rFonts w:eastAsia="Times New Roman"/>
                <w:i/>
                <w:noProof/>
                <w:szCs w:val="24"/>
              </w:rPr>
            </w:pPr>
            <w:r>
              <w:rPr>
                <w:i/>
                <w:noProof/>
              </w:rPr>
              <w:t>(Адрес и подпис на доставчика; име на лицето, което подписва декларацията, изписано четливо)</w:t>
            </w:r>
          </w:p>
          <w:p>
            <w:pPr>
              <w:tabs>
                <w:tab w:val="left" w:pos="4252"/>
              </w:tabs>
              <w:spacing w:before="0" w:after="0"/>
              <w:contextualSpacing/>
              <w:mirrorIndents/>
              <w:rPr>
                <w:rFonts w:eastAsia="Times New Roman"/>
                <w:noProof/>
                <w:szCs w:val="24"/>
              </w:rPr>
            </w:pPr>
          </w:p>
        </w:tc>
      </w:tr>
    </w:tbl>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p>
      <w:pPr>
        <w:autoSpaceDE w:val="0"/>
        <w:autoSpaceDN w:val="0"/>
        <w:adjustRightInd w:val="0"/>
        <w:spacing w:before="0" w:after="0"/>
        <w:contextualSpacing/>
        <w:mirrorIndents/>
        <w:rPr>
          <w:rFonts w:eastAsia="Times New Roman"/>
          <w:noProof/>
          <w:color w:val="000000"/>
          <w:szCs w:val="24"/>
        </w:rPr>
      </w:pPr>
    </w:p>
    <w:p>
      <w:pPr>
        <w:autoSpaceDE w:val="0"/>
        <w:autoSpaceDN w:val="0"/>
        <w:adjustRightInd w:val="0"/>
        <w:spacing w:before="0" w:after="0"/>
        <w:contextualSpacing/>
        <w:mirrorIndents/>
        <w:jc w:val="left"/>
        <w:rPr>
          <w:rFonts w:eastAsia="Times New Roman"/>
          <w:noProof/>
          <w:color w:val="000000"/>
          <w:szCs w:val="24"/>
        </w:rPr>
        <w:sectPr>
          <w:pgSz w:w="11907" w:h="16839"/>
          <w:pgMar w:top="1134" w:right="1417" w:bottom="1134" w:left="1417" w:header="709" w:footer="709" w:gutter="0"/>
          <w:cols w:space="720"/>
          <w:docGrid w:linePitch="360"/>
        </w:sectPr>
      </w:pPr>
    </w:p>
    <w:p>
      <w:pPr>
        <w:tabs>
          <w:tab w:val="left" w:pos="4252"/>
        </w:tabs>
        <w:spacing w:before="0" w:after="240"/>
        <w:contextualSpacing/>
        <w:mirrorIndents/>
        <w:jc w:val="center"/>
        <w:rPr>
          <w:rFonts w:eastAsia="Times New Roman"/>
          <w:noProof/>
          <w:szCs w:val="24"/>
        </w:rPr>
      </w:pPr>
      <w:r>
        <w:rPr>
          <w:noProof/>
        </w:rPr>
        <w:t>ПРИЛОЖЕНИЕ III</w:t>
      </w:r>
    </w:p>
    <w:p>
      <w:pPr>
        <w:tabs>
          <w:tab w:val="left" w:pos="4252"/>
        </w:tabs>
        <w:spacing w:before="0" w:after="240"/>
        <w:contextualSpacing/>
        <w:mirrorIndents/>
        <w:jc w:val="center"/>
        <w:rPr>
          <w:rFonts w:eastAsia="Times New Roman"/>
          <w:b/>
          <w:bCs/>
          <w:noProof/>
          <w:szCs w:val="24"/>
        </w:rPr>
      </w:pPr>
      <w:r>
        <w:rPr>
          <w:rFonts w:eastAsia="Times New Roman"/>
          <w:i/>
          <w:noProof/>
          <w:szCs w:val="24"/>
        </w:rPr>
        <w:br/>
      </w:r>
      <w:r>
        <w:rPr>
          <w:i/>
          <w:noProof/>
        </w:rPr>
        <w:t>Приложение З към допълнение II</w:t>
      </w:r>
      <w:r>
        <w:rPr>
          <w:b/>
          <w:noProof/>
        </w:rPr>
        <w:t xml:space="preserve"> </w:t>
      </w:r>
    </w:p>
    <w:p>
      <w:pPr>
        <w:tabs>
          <w:tab w:val="left" w:pos="4252"/>
        </w:tabs>
        <w:spacing w:before="0" w:after="240"/>
        <w:contextualSpacing/>
        <w:mirrorIndents/>
        <w:jc w:val="center"/>
        <w:rPr>
          <w:rFonts w:eastAsia="Times New Roman"/>
          <w:b/>
          <w:bCs/>
          <w:noProof/>
          <w:szCs w:val="24"/>
        </w:rPr>
      </w:pPr>
    </w:p>
    <w:p>
      <w:pPr>
        <w:tabs>
          <w:tab w:val="left" w:pos="4252"/>
        </w:tabs>
        <w:spacing w:before="0" w:after="240"/>
        <w:contextualSpacing/>
        <w:mirrorIndents/>
        <w:jc w:val="center"/>
        <w:rPr>
          <w:rFonts w:eastAsia="Times New Roman"/>
          <w:b/>
          <w:bCs/>
          <w:noProof/>
          <w:szCs w:val="24"/>
        </w:rPr>
      </w:pPr>
      <w:r>
        <w:rPr>
          <w:b/>
          <w:noProof/>
        </w:rPr>
        <w:t>Дългосрочна декларация на доставчика за стоки, които са претърпели обработка или преработка в страните по ЦЕФТА, без да са придобили статус на стоки с преференциален произход</w:t>
      </w:r>
    </w:p>
    <w:p>
      <w:pPr>
        <w:tabs>
          <w:tab w:val="left" w:pos="4252"/>
        </w:tabs>
        <w:spacing w:before="0" w:after="240"/>
        <w:jc w:val="center"/>
        <w:rPr>
          <w:rFonts w:eastAsia="Times New Roman"/>
          <w:i/>
          <w:noProof/>
          <w:szCs w:val="24"/>
        </w:rPr>
      </w:pPr>
    </w:p>
    <w:p>
      <w:pPr>
        <w:tabs>
          <w:tab w:val="left" w:pos="4252"/>
        </w:tabs>
        <w:spacing w:before="0" w:after="240"/>
        <w:rPr>
          <w:rFonts w:eastAsia="Times New Roman"/>
          <w:noProof/>
          <w:szCs w:val="24"/>
        </w:rPr>
      </w:pPr>
      <w:r>
        <w:rPr>
          <w:noProof/>
        </w:rPr>
        <w:t>Дългосрочната декларация на доставчика, текстът на която е даден по-долу, трябва да бъде изготвена в съответствие с бележките под линия. Не е необходимо обаче бележките под линия да бъдат възпроизвеждани.</w:t>
      </w:r>
    </w:p>
    <w:p>
      <w:pPr>
        <w:tabs>
          <w:tab w:val="left" w:pos="4252"/>
        </w:tabs>
        <w:spacing w:before="0" w:after="240"/>
        <w:jc w:val="center"/>
        <w:rPr>
          <w:rFonts w:eastAsia="Times New Roman"/>
          <w:b/>
          <w:noProof/>
          <w:szCs w:val="24"/>
        </w:rPr>
      </w:pPr>
      <w:r>
        <w:rPr>
          <w:b/>
          <w:noProof/>
        </w:rPr>
        <w:t>ДЪЛГОСРОЧНА ДЕКЛАРАЦИЯ НА ДОСТАВЧИКА</w:t>
      </w:r>
    </w:p>
    <w:p>
      <w:pPr>
        <w:tabs>
          <w:tab w:val="left" w:pos="4252"/>
        </w:tabs>
        <w:spacing w:before="0" w:after="240"/>
        <w:jc w:val="center"/>
        <w:rPr>
          <w:rFonts w:eastAsia="Times New Roman"/>
          <w:noProof/>
          <w:szCs w:val="24"/>
        </w:rPr>
      </w:pPr>
      <w:r>
        <w:rPr>
          <w:noProof/>
        </w:rPr>
        <w:t>за стоки, които са претърпели обработка или преработка в страните по ЦЕФТА, без да са придобили статус на стоки с преференциален произход</w:t>
      </w:r>
    </w:p>
    <w:p>
      <w:pPr>
        <w:tabs>
          <w:tab w:val="left" w:pos="4252"/>
        </w:tabs>
        <w:spacing w:before="0" w:after="240"/>
        <w:rPr>
          <w:rFonts w:eastAsia="Times New Roman"/>
          <w:noProof/>
          <w:szCs w:val="24"/>
        </w:rPr>
      </w:pPr>
    </w:p>
    <w:p>
      <w:pPr>
        <w:tabs>
          <w:tab w:val="left" w:pos="4252"/>
        </w:tabs>
        <w:spacing w:before="0" w:after="240"/>
        <w:rPr>
          <w:rFonts w:eastAsia="Times New Roman"/>
          <w:noProof/>
          <w:szCs w:val="24"/>
        </w:rPr>
      </w:pPr>
      <w:r>
        <w:rPr>
          <w:noProof/>
        </w:rPr>
        <w:t>Долуподписаният доставчик на стоките, обхванати от настоящия документ, които се доставят редовно на …………………………………</w:t>
      </w:r>
      <w:r>
        <w:rPr>
          <w:rStyle w:val="FootnoteReference"/>
          <w:noProof/>
        </w:rPr>
        <w:footnoteReference w:id="6"/>
      </w:r>
      <w:r>
        <w:rPr>
          <w:noProof/>
        </w:rPr>
        <w:t>, декларирам, че:</w:t>
      </w:r>
    </w:p>
    <w:p>
      <w:pPr>
        <w:tabs>
          <w:tab w:val="left" w:pos="4252"/>
        </w:tabs>
        <w:spacing w:before="0" w:after="240"/>
        <w:rPr>
          <w:rFonts w:eastAsia="Times New Roman"/>
          <w:noProof/>
          <w:szCs w:val="24"/>
        </w:rPr>
      </w:pPr>
      <w:r>
        <w:rPr>
          <w:noProof/>
        </w:rPr>
        <w:t>1. Следните материали, които не са с произход от страните по ЦЕФТА, са използвани в страните по ЦЕФТА за производството на посочените стоки: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r>
              <w:rPr>
                <w:noProof/>
                <w:color w:val="000000"/>
              </w:rPr>
              <w:t xml:space="preserve">Описание на </w:t>
            </w:r>
          </w:p>
          <w:p>
            <w:pPr>
              <w:autoSpaceDE w:val="0"/>
              <w:autoSpaceDN w:val="0"/>
              <w:adjustRightInd w:val="0"/>
              <w:spacing w:before="0" w:after="0"/>
              <w:contextualSpacing/>
              <w:mirrorIndents/>
              <w:rPr>
                <w:rFonts w:eastAsia="Times New Roman"/>
                <w:noProof/>
                <w:color w:val="000000"/>
                <w:szCs w:val="24"/>
              </w:rPr>
            </w:pPr>
            <w:r>
              <w:rPr>
                <w:noProof/>
                <w:color w:val="000000"/>
              </w:rPr>
              <w:t>доставяните стоки (</w:t>
            </w:r>
            <w:r>
              <w:rPr>
                <w:rStyle w:val="FootnoteReference"/>
                <w:noProof/>
              </w:rPr>
              <w:footnoteReference w:id="7"/>
            </w:r>
            <w:r>
              <w:rPr>
                <w:noProof/>
                <w:color w:val="000000"/>
              </w:rPr>
              <w:t>)</w:t>
            </w:r>
          </w:p>
        </w:tc>
        <w:tc>
          <w:tcPr>
            <w:tcW w:w="2106" w:type="dxa"/>
          </w:tcPr>
          <w:p>
            <w:pPr>
              <w:autoSpaceDE w:val="0"/>
              <w:autoSpaceDN w:val="0"/>
              <w:adjustRightInd w:val="0"/>
              <w:spacing w:before="0" w:after="0"/>
              <w:contextualSpacing/>
              <w:mirrorIndents/>
              <w:rPr>
                <w:rFonts w:eastAsia="Times New Roman"/>
                <w:noProof/>
                <w:color w:val="000000"/>
                <w:szCs w:val="24"/>
              </w:rPr>
            </w:pPr>
            <w:r>
              <w:rPr>
                <w:noProof/>
                <w:color w:val="000000"/>
              </w:rPr>
              <w:t xml:space="preserve">Описание на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използваните материали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без произход </w:t>
            </w:r>
          </w:p>
        </w:tc>
        <w:tc>
          <w:tcPr>
            <w:tcW w:w="2106" w:type="dxa"/>
          </w:tcPr>
          <w:p>
            <w:pPr>
              <w:autoSpaceDE w:val="0"/>
              <w:autoSpaceDN w:val="0"/>
              <w:adjustRightInd w:val="0"/>
              <w:spacing w:before="0" w:after="0"/>
              <w:contextualSpacing/>
              <w:mirrorIndents/>
              <w:rPr>
                <w:rFonts w:eastAsia="Times New Roman"/>
                <w:noProof/>
                <w:color w:val="000000"/>
                <w:szCs w:val="24"/>
              </w:rPr>
            </w:pPr>
            <w:r>
              <w:rPr>
                <w:noProof/>
                <w:color w:val="000000"/>
              </w:rPr>
              <w:t xml:space="preserve">Позиция на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използваните материали </w:t>
            </w:r>
          </w:p>
          <w:p>
            <w:pPr>
              <w:autoSpaceDE w:val="0"/>
              <w:autoSpaceDN w:val="0"/>
              <w:adjustRightInd w:val="0"/>
              <w:spacing w:before="0" w:after="0"/>
              <w:contextualSpacing/>
              <w:mirrorIndents/>
              <w:rPr>
                <w:rFonts w:eastAsia="Times New Roman"/>
                <w:noProof/>
                <w:color w:val="000000"/>
                <w:szCs w:val="24"/>
              </w:rPr>
            </w:pPr>
            <w:r>
              <w:rPr>
                <w:noProof/>
                <w:color w:val="000000"/>
              </w:rPr>
              <w:t>без произход (</w:t>
            </w:r>
            <w:r>
              <w:rPr>
                <w:rStyle w:val="FootnoteReference"/>
                <w:noProof/>
              </w:rPr>
              <w:footnoteReference w:id="8"/>
            </w:r>
            <w:r>
              <w:rPr>
                <w:noProof/>
                <w:color w:val="000000"/>
              </w:rPr>
              <w:t xml:space="preserve">) </w:t>
            </w:r>
          </w:p>
        </w:tc>
        <w:tc>
          <w:tcPr>
            <w:tcW w:w="2108" w:type="dxa"/>
          </w:tcPr>
          <w:p>
            <w:pPr>
              <w:autoSpaceDE w:val="0"/>
              <w:autoSpaceDN w:val="0"/>
              <w:adjustRightInd w:val="0"/>
              <w:spacing w:before="0" w:after="0"/>
              <w:contextualSpacing/>
              <w:mirrorIndents/>
              <w:rPr>
                <w:rFonts w:eastAsia="Times New Roman"/>
                <w:noProof/>
                <w:color w:val="000000"/>
                <w:szCs w:val="24"/>
              </w:rPr>
            </w:pPr>
            <w:r>
              <w:rPr>
                <w:noProof/>
                <w:color w:val="000000"/>
              </w:rPr>
              <w:t xml:space="preserve">Стойност на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използваните материали </w:t>
            </w:r>
          </w:p>
          <w:p>
            <w:pPr>
              <w:autoSpaceDE w:val="0"/>
              <w:autoSpaceDN w:val="0"/>
              <w:adjustRightInd w:val="0"/>
              <w:spacing w:before="0" w:after="0"/>
              <w:contextualSpacing/>
              <w:mirrorIndents/>
              <w:rPr>
                <w:rFonts w:eastAsia="Times New Roman"/>
                <w:noProof/>
                <w:color w:val="000000"/>
                <w:szCs w:val="24"/>
              </w:rPr>
            </w:pPr>
            <w:r>
              <w:rPr>
                <w:noProof/>
                <w:color w:val="000000"/>
              </w:rPr>
              <w:t xml:space="preserve">без произход </w:t>
            </w:r>
            <w:r>
              <w:rPr>
                <w:noProof/>
                <w:color w:val="000000"/>
                <w:vertAlign w:val="superscript"/>
              </w:rPr>
              <w:t>(</w:t>
            </w:r>
            <w:r>
              <w:rPr>
                <w:rStyle w:val="FootnoteReference"/>
                <w:noProof/>
              </w:rPr>
              <w:footnoteReference w:id="9"/>
            </w:r>
            <w:r>
              <w:rPr>
                <w:noProof/>
                <w:color w:val="000000"/>
                <w:vertAlign w:val="superscript"/>
              </w:rPr>
              <w:t>)</w:t>
            </w:r>
            <w:r>
              <w:rPr>
                <w:noProof/>
                <w:color w:val="000000"/>
              </w:rPr>
              <w:t xml:space="preserve"> </w:t>
            </w: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2106" w:type="dxa"/>
          </w:tcPr>
          <w:p>
            <w:pPr>
              <w:autoSpaceDE w:val="0"/>
              <w:autoSpaceDN w:val="0"/>
              <w:adjustRightInd w:val="0"/>
              <w:spacing w:before="0" w:after="0"/>
              <w:contextualSpacing/>
              <w:mirrorIndents/>
              <w:jc w:val="left"/>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6" w:type="dxa"/>
          </w:tcPr>
          <w:p>
            <w:pPr>
              <w:autoSpaceDE w:val="0"/>
              <w:autoSpaceDN w:val="0"/>
              <w:adjustRightInd w:val="0"/>
              <w:spacing w:before="0" w:after="0"/>
              <w:contextualSpacing/>
              <w:mirrorIndents/>
              <w:rPr>
                <w:rFonts w:eastAsia="Times New Roman"/>
                <w:noProof/>
                <w:color w:val="000000"/>
                <w:szCs w:val="24"/>
              </w:rPr>
            </w:pPr>
          </w:p>
        </w:tc>
        <w:tc>
          <w:tcPr>
            <w:tcW w:w="2108" w:type="dxa"/>
          </w:tcPr>
          <w:p>
            <w:pPr>
              <w:autoSpaceDE w:val="0"/>
              <w:autoSpaceDN w:val="0"/>
              <w:adjustRightInd w:val="0"/>
              <w:spacing w:before="0" w:after="0"/>
              <w:contextualSpacing/>
              <w:mirrorIndents/>
              <w:rPr>
                <w:rFonts w:eastAsia="Times New Roman"/>
                <w:noProof/>
                <w:color w:val="000000"/>
                <w:szCs w:val="24"/>
              </w:rPr>
            </w:pPr>
          </w:p>
        </w:tc>
      </w:tr>
      <w:tr>
        <w:trPr>
          <w:trHeight w:val="377"/>
        </w:trPr>
        <w:tc>
          <w:tcPr>
            <w:tcW w:w="6318" w:type="dxa"/>
            <w:gridSpan w:val="3"/>
          </w:tcPr>
          <w:p>
            <w:pPr>
              <w:autoSpaceDE w:val="0"/>
              <w:autoSpaceDN w:val="0"/>
              <w:adjustRightInd w:val="0"/>
              <w:spacing w:before="0" w:after="0"/>
              <w:contextualSpacing/>
              <w:mirrorIndents/>
              <w:jc w:val="right"/>
              <w:rPr>
                <w:rFonts w:eastAsia="Times New Roman"/>
                <w:b/>
                <w:noProof/>
                <w:color w:val="000000"/>
                <w:szCs w:val="24"/>
              </w:rPr>
            </w:pPr>
            <w:r>
              <w:rPr>
                <w:b/>
                <w:noProof/>
                <w:color w:val="000000"/>
              </w:rPr>
              <w:t>Обща стойност</w:t>
            </w:r>
          </w:p>
        </w:tc>
        <w:tc>
          <w:tcPr>
            <w:tcW w:w="2108" w:type="dxa"/>
          </w:tcPr>
          <w:p>
            <w:pPr>
              <w:autoSpaceDE w:val="0"/>
              <w:autoSpaceDN w:val="0"/>
              <w:adjustRightInd w:val="0"/>
              <w:spacing w:before="0" w:after="0"/>
              <w:contextualSpacing/>
              <w:mirrorIndents/>
              <w:rPr>
                <w:rFonts w:eastAsia="Times New Roman"/>
                <w:noProof/>
                <w:color w:val="000000"/>
                <w:szCs w:val="24"/>
              </w:rPr>
            </w:pPr>
          </w:p>
        </w:tc>
      </w:tr>
    </w:tbl>
    <w:p>
      <w:pPr>
        <w:tabs>
          <w:tab w:val="left" w:pos="4252"/>
        </w:tabs>
        <w:spacing w:before="0" w:after="0"/>
        <w:contextualSpacing/>
        <w:mirrorIndents/>
        <w:rPr>
          <w:rFonts w:eastAsia="Times New Roman"/>
          <w:noProof/>
          <w:szCs w:val="24"/>
        </w:rPr>
      </w:pPr>
    </w:p>
    <w:p>
      <w:pPr>
        <w:tabs>
          <w:tab w:val="left" w:pos="4252"/>
        </w:tabs>
        <w:spacing w:before="0" w:after="240"/>
        <w:rPr>
          <w:rFonts w:eastAsia="Times New Roman"/>
          <w:noProof/>
          <w:szCs w:val="24"/>
        </w:rPr>
      </w:pPr>
    </w:p>
    <w:p>
      <w:pPr>
        <w:tabs>
          <w:tab w:val="left" w:pos="4252"/>
        </w:tabs>
        <w:spacing w:before="0" w:after="240"/>
        <w:rPr>
          <w:rFonts w:eastAsia="Times New Roman"/>
          <w:noProof/>
          <w:szCs w:val="24"/>
        </w:rPr>
      </w:pPr>
      <w:r>
        <w:rPr>
          <w:noProof/>
        </w:rPr>
        <w:t>2. Всички други материали, използвани в страна по ЦЕФТА за производството на посочените стоки, са с произход от страна по ЦЕФТА;</w:t>
      </w:r>
    </w:p>
    <w:p>
      <w:pPr>
        <w:tabs>
          <w:tab w:val="left" w:pos="4252"/>
        </w:tabs>
        <w:spacing w:before="0" w:after="240"/>
        <w:rPr>
          <w:rFonts w:eastAsia="Times New Roman"/>
          <w:noProof/>
          <w:szCs w:val="24"/>
        </w:rPr>
      </w:pPr>
      <w:r>
        <w:rPr>
          <w:noProof/>
        </w:rPr>
        <w:t>3. Следните стоки са претърпели обработка или преработка извън страна по ЦЕФТА в съответствие с член 11 от допълнение I към Регионалната конвенция за паневросредиземноморските преференциални правила за произход и са придобили следната обща добавена стойност там:</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88"/>
        <w:gridCol w:w="5246"/>
      </w:tblGrid>
      <w:tr>
        <w:tc>
          <w:tcPr>
            <w:tcW w:w="3588" w:type="dxa"/>
            <w:shd w:val="clear" w:color="auto" w:fill="auto"/>
          </w:tcPr>
          <w:p>
            <w:pPr>
              <w:tabs>
                <w:tab w:val="left" w:pos="4252"/>
              </w:tabs>
              <w:spacing w:before="0" w:after="0"/>
              <w:contextualSpacing/>
              <w:mirrorIndents/>
              <w:rPr>
                <w:rFonts w:eastAsia="Times New Roman"/>
                <w:noProof/>
                <w:sz w:val="22"/>
                <w:szCs w:val="24"/>
              </w:rPr>
            </w:pPr>
            <w:r>
              <w:rPr>
                <w:noProof/>
                <w:sz w:val="22"/>
              </w:rPr>
              <w:t xml:space="preserve">Описание на доставяните стоки </w:t>
            </w:r>
          </w:p>
        </w:tc>
        <w:tc>
          <w:tcPr>
            <w:tcW w:w="5246" w:type="dxa"/>
            <w:shd w:val="clear" w:color="auto" w:fill="auto"/>
          </w:tcPr>
          <w:p>
            <w:pPr>
              <w:tabs>
                <w:tab w:val="left" w:pos="4252"/>
              </w:tabs>
              <w:spacing w:before="0" w:after="0"/>
              <w:contextualSpacing/>
              <w:mirrorIndents/>
              <w:rPr>
                <w:rFonts w:eastAsia="Times New Roman"/>
                <w:noProof/>
                <w:sz w:val="22"/>
                <w:szCs w:val="24"/>
              </w:rPr>
            </w:pPr>
            <w:r>
              <w:rPr>
                <w:noProof/>
                <w:sz w:val="22"/>
              </w:rPr>
              <w:t>Обща добавена стойност, придобита извън страните по ЦЕФТА</w:t>
            </w:r>
            <w:r>
              <w:rPr>
                <w:rStyle w:val="FootnoteReference"/>
                <w:noProof/>
              </w:rPr>
              <w:footnoteReference w:id="10"/>
            </w:r>
          </w:p>
        </w:tc>
      </w:tr>
      <w:tr>
        <w:tc>
          <w:tcPr>
            <w:tcW w:w="3588" w:type="dxa"/>
            <w:shd w:val="clear" w:color="auto" w:fill="auto"/>
          </w:tcPr>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c>
        <w:tc>
          <w:tcPr>
            <w:tcW w:w="5246" w:type="dxa"/>
            <w:shd w:val="clear" w:color="auto" w:fill="auto"/>
          </w:tcPr>
          <w:p>
            <w:pPr>
              <w:tabs>
                <w:tab w:val="left" w:pos="4252"/>
              </w:tabs>
              <w:spacing w:before="0" w:after="0"/>
              <w:contextualSpacing/>
              <w:mirrorIndents/>
              <w:rPr>
                <w:rFonts w:eastAsia="Times New Roman"/>
                <w:noProof/>
                <w:szCs w:val="24"/>
              </w:rPr>
            </w:pPr>
          </w:p>
        </w:tc>
      </w:tr>
      <w:tr>
        <w:tc>
          <w:tcPr>
            <w:tcW w:w="3588" w:type="dxa"/>
            <w:shd w:val="clear" w:color="auto" w:fill="auto"/>
          </w:tcPr>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c>
        <w:tc>
          <w:tcPr>
            <w:tcW w:w="5246" w:type="dxa"/>
            <w:shd w:val="clear" w:color="auto" w:fill="auto"/>
          </w:tcPr>
          <w:p>
            <w:pPr>
              <w:tabs>
                <w:tab w:val="left" w:pos="4252"/>
              </w:tabs>
              <w:spacing w:before="0" w:after="0"/>
              <w:contextualSpacing/>
              <w:mirrorIndents/>
              <w:rPr>
                <w:rFonts w:eastAsia="Times New Roman"/>
                <w:noProof/>
                <w:szCs w:val="24"/>
              </w:rPr>
            </w:pPr>
          </w:p>
        </w:tc>
      </w:tr>
      <w:tr>
        <w:tc>
          <w:tcPr>
            <w:tcW w:w="3588" w:type="dxa"/>
            <w:shd w:val="clear" w:color="auto" w:fill="auto"/>
          </w:tcPr>
          <w:p>
            <w:pPr>
              <w:tabs>
                <w:tab w:val="left" w:pos="4252"/>
              </w:tabs>
              <w:spacing w:before="0" w:after="0"/>
              <w:contextualSpacing/>
              <w:mirrorIndents/>
              <w:rPr>
                <w:rFonts w:eastAsia="Times New Roman"/>
                <w:noProof/>
                <w:szCs w:val="24"/>
              </w:rPr>
            </w:pPr>
          </w:p>
          <w:p>
            <w:pPr>
              <w:tabs>
                <w:tab w:val="left" w:pos="4252"/>
              </w:tabs>
              <w:spacing w:before="0" w:after="0"/>
              <w:contextualSpacing/>
              <w:mirrorIndents/>
              <w:rPr>
                <w:rFonts w:eastAsia="Times New Roman"/>
                <w:noProof/>
                <w:szCs w:val="24"/>
              </w:rPr>
            </w:pPr>
          </w:p>
        </w:tc>
        <w:tc>
          <w:tcPr>
            <w:tcW w:w="5246" w:type="dxa"/>
            <w:shd w:val="clear" w:color="auto" w:fill="auto"/>
          </w:tcPr>
          <w:p>
            <w:pPr>
              <w:tabs>
                <w:tab w:val="left" w:pos="4252"/>
              </w:tabs>
              <w:spacing w:before="0" w:after="0"/>
              <w:contextualSpacing/>
              <w:mirrorIndents/>
              <w:rPr>
                <w:rFonts w:eastAsia="Times New Roman"/>
                <w:noProof/>
                <w:szCs w:val="24"/>
              </w:rPr>
            </w:pPr>
          </w:p>
        </w:tc>
      </w:tr>
    </w:tbl>
    <w:p>
      <w:pPr>
        <w:tabs>
          <w:tab w:val="left" w:pos="4252"/>
        </w:tabs>
        <w:spacing w:before="0" w:after="240"/>
        <w:rPr>
          <w:rFonts w:eastAsia="Times New Roman"/>
          <w:noProof/>
          <w:szCs w:val="24"/>
        </w:rPr>
      </w:pPr>
    </w:p>
    <w:p>
      <w:pPr>
        <w:tabs>
          <w:tab w:val="left" w:pos="4252"/>
        </w:tabs>
        <w:spacing w:before="0" w:after="240"/>
        <w:rPr>
          <w:rFonts w:eastAsia="Times New Roman"/>
          <w:noProof/>
          <w:szCs w:val="24"/>
        </w:rPr>
      </w:pPr>
      <w:r>
        <w:rPr>
          <w:noProof/>
        </w:rPr>
        <w:t>Настоящата декларация е валидна за всички последващи пратки на посочените стоки, изпращани от ………………………………………………………………</w:t>
      </w:r>
    </w:p>
    <w:p>
      <w:pPr>
        <w:tabs>
          <w:tab w:val="left" w:pos="4252"/>
        </w:tabs>
        <w:spacing w:before="0" w:after="240"/>
        <w:rPr>
          <w:rFonts w:eastAsia="Times New Roman"/>
          <w:noProof/>
          <w:szCs w:val="24"/>
        </w:rPr>
      </w:pPr>
      <w:r>
        <w:rPr>
          <w:noProof/>
        </w:rPr>
        <w:t>до………………………………………………………………..</w:t>
      </w:r>
      <w:r>
        <w:rPr>
          <w:rStyle w:val="FootnoteReference"/>
          <w:noProof/>
        </w:rPr>
        <w:footnoteReference w:id="11"/>
      </w:r>
      <w:r>
        <w:rPr>
          <w:noProof/>
        </w:rPr>
        <w:t>.</w:t>
      </w:r>
    </w:p>
    <w:p>
      <w:pPr>
        <w:tabs>
          <w:tab w:val="left" w:pos="4252"/>
        </w:tabs>
        <w:spacing w:before="0" w:after="240"/>
        <w:rPr>
          <w:rFonts w:eastAsia="Times New Roman"/>
          <w:noProof/>
          <w:szCs w:val="24"/>
        </w:rPr>
      </w:pPr>
      <w:r>
        <w:rPr>
          <w:noProof/>
        </w:rPr>
        <w:t>Задължавам се да уведомя…………………………………………….(1) незабавно, ако настоящата декларация престане да бъде валидна.</w:t>
      </w:r>
    </w:p>
    <w:tbl>
      <w:tblPr>
        <w:tblW w:w="0" w:type="auto"/>
        <w:tblLook w:val="04A0" w:firstRow="1" w:lastRow="0" w:firstColumn="1" w:lastColumn="0" w:noHBand="0" w:noVBand="1"/>
      </w:tblPr>
      <w:tblGrid>
        <w:gridCol w:w="3468"/>
        <w:gridCol w:w="5376"/>
      </w:tblGrid>
      <w:tr>
        <w:tc>
          <w:tcPr>
            <w:tcW w:w="3468" w:type="dxa"/>
            <w:shd w:val="clear" w:color="auto" w:fill="auto"/>
          </w:tcPr>
          <w:p>
            <w:pPr>
              <w:tabs>
                <w:tab w:val="left" w:pos="4252"/>
              </w:tabs>
              <w:spacing w:before="0" w:after="240"/>
              <w:rPr>
                <w:rFonts w:eastAsia="Times New Roman"/>
                <w:noProof/>
                <w:szCs w:val="24"/>
              </w:rPr>
            </w:pPr>
          </w:p>
        </w:tc>
        <w:tc>
          <w:tcPr>
            <w:tcW w:w="5366" w:type="dxa"/>
            <w:shd w:val="clear" w:color="auto" w:fill="auto"/>
          </w:tcPr>
          <w:p>
            <w:pPr>
              <w:tabs>
                <w:tab w:val="left" w:pos="4252"/>
              </w:tabs>
              <w:spacing w:before="0" w:after="240"/>
              <w:rPr>
                <w:rFonts w:eastAsia="Times New Roman"/>
                <w:noProof/>
                <w:szCs w:val="24"/>
              </w:rPr>
            </w:pPr>
            <w:r>
              <w:rPr>
                <w:noProof/>
              </w:rPr>
              <w:t>……………………………………………………….</w:t>
            </w:r>
          </w:p>
          <w:p>
            <w:pPr>
              <w:tabs>
                <w:tab w:val="left" w:pos="4252"/>
              </w:tabs>
              <w:spacing w:before="0" w:after="240"/>
              <w:jc w:val="center"/>
              <w:rPr>
                <w:rFonts w:eastAsia="Times New Roman"/>
                <w:i/>
                <w:noProof/>
                <w:szCs w:val="24"/>
              </w:rPr>
            </w:pPr>
            <w:r>
              <w:rPr>
                <w:i/>
                <w:noProof/>
              </w:rPr>
              <w:t>(Място и дата)</w:t>
            </w:r>
          </w:p>
          <w:p>
            <w:pPr>
              <w:tabs>
                <w:tab w:val="left" w:pos="4252"/>
              </w:tabs>
              <w:spacing w:before="0" w:after="240"/>
              <w:rPr>
                <w:rFonts w:eastAsia="Times New Roman"/>
                <w:noProof/>
                <w:szCs w:val="24"/>
              </w:rPr>
            </w:pPr>
            <w:r>
              <w:rPr>
                <w:noProof/>
              </w:rPr>
              <w:t>………………………………………………………..</w:t>
            </w:r>
          </w:p>
          <w:p>
            <w:pPr>
              <w:tabs>
                <w:tab w:val="left" w:pos="4252"/>
              </w:tabs>
              <w:spacing w:before="0" w:after="240"/>
              <w:rPr>
                <w:rFonts w:eastAsia="Times New Roman"/>
                <w:noProof/>
                <w:szCs w:val="24"/>
              </w:rPr>
            </w:pPr>
            <w:r>
              <w:rPr>
                <w:noProof/>
              </w:rPr>
              <w:t>………………………………………………………..</w:t>
            </w:r>
          </w:p>
          <w:p>
            <w:pPr>
              <w:tabs>
                <w:tab w:val="left" w:pos="4252"/>
              </w:tabs>
              <w:spacing w:before="0" w:after="240"/>
              <w:rPr>
                <w:rFonts w:eastAsia="Times New Roman"/>
                <w:noProof/>
                <w:szCs w:val="24"/>
              </w:rPr>
            </w:pPr>
            <w:r>
              <w:rPr>
                <w:noProof/>
              </w:rPr>
              <w:t>………………………………………………………..</w:t>
            </w:r>
          </w:p>
          <w:p>
            <w:pPr>
              <w:tabs>
                <w:tab w:val="left" w:pos="4252"/>
              </w:tabs>
              <w:spacing w:before="0" w:after="240"/>
              <w:rPr>
                <w:rFonts w:eastAsia="Times New Roman"/>
                <w:i/>
                <w:noProof/>
                <w:szCs w:val="24"/>
              </w:rPr>
            </w:pPr>
          </w:p>
          <w:p>
            <w:pPr>
              <w:tabs>
                <w:tab w:val="left" w:pos="4252"/>
              </w:tabs>
              <w:spacing w:before="0" w:after="240"/>
              <w:jc w:val="center"/>
              <w:rPr>
                <w:rFonts w:eastAsia="Times New Roman"/>
                <w:i/>
                <w:noProof/>
                <w:szCs w:val="24"/>
              </w:rPr>
            </w:pPr>
            <w:r>
              <w:rPr>
                <w:i/>
                <w:noProof/>
              </w:rPr>
              <w:t>(Адрес и подпис на доставчика; име на лицето, което подписва декларацията, изписано четливо)</w:t>
            </w:r>
          </w:p>
          <w:p>
            <w:pPr>
              <w:tabs>
                <w:tab w:val="left" w:pos="4252"/>
              </w:tabs>
              <w:spacing w:before="0" w:after="240"/>
              <w:rPr>
                <w:rFonts w:eastAsia="Times New Roman"/>
                <w:noProof/>
                <w:szCs w:val="24"/>
              </w:rPr>
            </w:pPr>
          </w:p>
        </w:tc>
      </w:tr>
    </w:tbl>
    <w:p>
      <w:pPr>
        <w:rPr>
          <w:noProof/>
        </w:rPr>
      </w:pP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54, 26.2.2013 г., стр. 4.</w:t>
      </w:r>
    </w:p>
  </w:footnote>
  <w:footnote w:id="2">
    <w:p>
      <w:pPr>
        <w:pStyle w:val="FootnoteText"/>
        <w:rPr>
          <w:sz w:val="16"/>
        </w:rPr>
      </w:pPr>
      <w:r>
        <w:rPr>
          <w:rStyle w:val="FootnoteReference"/>
        </w:rPr>
        <w:footnoteRef/>
      </w:r>
      <w:r>
        <w:tab/>
      </w:r>
      <w:r>
        <w:rPr>
          <w:sz w:val="16"/>
        </w:rPr>
        <w:t>Когато фактурата, известието за доставка или друг търговски документ, към който се прилага настоящата декларация, се отнасят до различни видове стоки или до стоки, в които не са вложени материали без произход в същата степен, доставчикът трябва да направи ясно разграничение между тях.</w:t>
      </w:r>
      <w:r>
        <w:rPr>
          <w:sz w:val="16"/>
        </w:rPr>
        <w:br/>
        <w:t>Пример:</w:t>
      </w:r>
      <w:r>
        <w:rPr>
          <w:sz w:val="16"/>
        </w:rPr>
        <w:br/>
        <w:t>Документът се отнася до различни модели електрически двигатели от № 8501, които са предназначени за производството на перални машини от № 8450. Естеството и стойността на материалите без произход, използвани за производството на тези двигатели, се различават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статуса на продукти с произход на своите продукти в зависимост от използвания от него модел на електрически двигател.</w:t>
      </w:r>
    </w:p>
  </w:footnote>
  <w:footnote w:id="3">
    <w:p>
      <w:pPr>
        <w:pStyle w:val="FootnoteText"/>
        <w:rPr>
          <w:sz w:val="16"/>
        </w:rPr>
      </w:pPr>
      <w:r>
        <w:rPr>
          <w:rStyle w:val="FootnoteReference"/>
        </w:rPr>
        <w:footnoteRef/>
      </w:r>
      <w:r>
        <w:tab/>
      </w:r>
      <w:r>
        <w:rPr>
          <w:sz w:val="16"/>
        </w:rPr>
        <w:t>Данните в тези колони следва да бъдат посочвани само ако са необходими.</w:t>
      </w:r>
    </w:p>
    <w:p>
      <w:pPr>
        <w:pStyle w:val="FootnoteText"/>
        <w:ind w:firstLine="0"/>
        <w:rPr>
          <w:sz w:val="16"/>
        </w:rPr>
      </w:pPr>
      <w:r>
        <w:rPr>
          <w:sz w:val="16"/>
        </w:rPr>
        <w:t>Примери:</w:t>
      </w:r>
      <w:r>
        <w:rPr>
          <w:sz w:val="16"/>
        </w:rPr>
        <w:br/>
        <w:t>Правилото за облеклата от ex глава 62 гласи, че може да бъде използвана прежда без произход. Ако производител на такива облекла в Сърбия използва тъкани, внесени от Черна гора, които са получени там чрез тъкане на прежда без произход, е достатъчно доставчикът от Черна гора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FootnoteText"/>
        <w:ind w:firstLine="0"/>
        <w:rPr>
          <w:sz w:val="16"/>
        </w:rPr>
      </w:pPr>
      <w:r>
        <w:rPr>
          <w:sz w:val="16"/>
        </w:rPr>
        <w:t>Производител на телове от желязо от № 7217, който ги е произвел от пръти от желязо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по правило се предвижда ограничение на използваните материали без произход до определена процентна стойност, е необходимо в третата колона да се посочи стойността на прътите без произход.</w:t>
      </w:r>
    </w:p>
  </w:footnote>
  <w:footnote w:id="4">
    <w:p>
      <w:pPr>
        <w:pStyle w:val="FootnoteText"/>
      </w:pPr>
      <w:r>
        <w:rPr>
          <w:rStyle w:val="FootnoteReference"/>
        </w:rPr>
        <w:footnoteRef/>
      </w:r>
      <w:r>
        <w:tab/>
      </w:r>
      <w:r>
        <w:rPr>
          <w:sz w:val="16"/>
        </w:rPr>
        <w:t>„Стойност на материалите“ означава митническата стойност към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една от страните по ЦЕФТА. Точната стойност на всеки използван материал без произход трябва да бъде посочена за единица стока, указана в първата колона.</w:t>
      </w:r>
    </w:p>
  </w:footnote>
  <w:footnote w:id="5">
    <w:p>
      <w:pPr>
        <w:pStyle w:val="FootnoteText"/>
      </w:pPr>
      <w:r>
        <w:rPr>
          <w:rStyle w:val="FootnoteReference"/>
        </w:rPr>
        <w:footnoteRef/>
      </w:r>
      <w:r>
        <w:tab/>
      </w:r>
      <w:r>
        <w:rPr>
          <w:sz w:val="16"/>
        </w:rPr>
        <w:t>„Обща добавена стойност“ означава всички разходи, натрупани извън страните по ЦЕФТА, включително стойността на всички добавени там материали. Точната обща добавена стойност, придобита извън страните по ЦЕФТА, трябва да бъде дадена за единица стока, указана в първата колона.</w:t>
      </w:r>
    </w:p>
  </w:footnote>
  <w:footnote w:id="6">
    <w:p>
      <w:pPr>
        <w:pStyle w:val="FootnoteText"/>
        <w:keepNext/>
        <w:keepLines/>
        <w:pageBreakBefore/>
        <w:rPr>
          <w:sz w:val="16"/>
        </w:rPr>
      </w:pPr>
      <w:r>
        <w:rPr>
          <w:rStyle w:val="FootnoteReference"/>
        </w:rPr>
        <w:footnoteRef/>
      </w:r>
      <w:r>
        <w:tab/>
      </w:r>
      <w:r>
        <w:rPr>
          <w:sz w:val="16"/>
        </w:rPr>
        <w:t>Име/фирма и адрес на клиента.</w:t>
      </w:r>
    </w:p>
  </w:footnote>
  <w:footnote w:id="7">
    <w:p>
      <w:pPr>
        <w:pStyle w:val="FootnoteText"/>
        <w:keepNext/>
        <w:keepLines/>
        <w:pageBreakBefore/>
        <w:rPr>
          <w:sz w:val="16"/>
        </w:rPr>
      </w:pPr>
      <w:r>
        <w:rPr>
          <w:rStyle w:val="FootnoteReference"/>
        </w:rPr>
        <w:footnoteRef/>
      </w:r>
      <w:r>
        <w:tab/>
      </w:r>
      <w:r>
        <w:rPr>
          <w:sz w:val="16"/>
        </w:rPr>
        <w:t xml:space="preserve">Когато фактурата, известието за доставка или друг търговски документ, към който се прилага настоящата декларация, се отнасят до различни видове стоки или до стоки, в които не са вложени материали без произход в същата степен, доставчикът трябва да направи ясно разграничение между тях. </w:t>
      </w:r>
    </w:p>
    <w:p>
      <w:pPr>
        <w:pStyle w:val="FootnoteText"/>
        <w:keepNext/>
        <w:keepLines/>
        <w:pageBreakBefore/>
        <w:ind w:firstLine="0"/>
        <w:rPr>
          <w:sz w:val="16"/>
        </w:rPr>
      </w:pPr>
      <w:r>
        <w:rPr>
          <w:sz w:val="16"/>
        </w:rPr>
        <w:t xml:space="preserve">Пример: </w:t>
      </w:r>
      <w:r>
        <w:rPr>
          <w:sz w:val="16"/>
        </w:rPr>
        <w:br/>
        <w:t>Документът се отнася до различни модели електрически двигатели от № 8501, които са предназначени за производството на перални машини от № 8450. Естеството и стойността на материалите без произход, използвани за производството на тези двигатели, се различават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статуса на продукти с произход на своите продукти в зависимост от използвания от него модел на електрически двигател.</w:t>
      </w:r>
    </w:p>
  </w:footnote>
  <w:footnote w:id="8">
    <w:p>
      <w:pPr>
        <w:pStyle w:val="FootnoteText"/>
        <w:keepNext/>
        <w:keepLines/>
        <w:pageBreakBefore/>
        <w:rPr>
          <w:sz w:val="16"/>
        </w:rPr>
      </w:pPr>
      <w:r>
        <w:rPr>
          <w:rStyle w:val="FootnoteReference"/>
        </w:rPr>
        <w:footnoteRef/>
      </w:r>
      <w:r>
        <w:tab/>
      </w:r>
      <w:r>
        <w:rPr>
          <w:sz w:val="16"/>
        </w:rPr>
        <w:t>Данните в тези колони следва да бъдат посочвани само ако са необходими.</w:t>
      </w:r>
    </w:p>
    <w:p>
      <w:pPr>
        <w:pStyle w:val="FootnoteText"/>
        <w:keepNext/>
        <w:keepLines/>
        <w:pageBreakBefore/>
        <w:ind w:firstLine="0"/>
        <w:rPr>
          <w:sz w:val="12"/>
        </w:rPr>
      </w:pPr>
      <w:r>
        <w:rPr>
          <w:sz w:val="16"/>
        </w:rPr>
        <w:t>Примери:</w:t>
      </w:r>
      <w:r>
        <w:rPr>
          <w:sz w:val="16"/>
        </w:rPr>
        <w:br/>
        <w:t>Правилото за облеклата от ex глава 62 гласи, че може да бъде използвана прежда без произход. Ако производител на такива облекла в Сърбия използва тъкани, внесени от Черна гора, които са получени там чрез тъкане на прежда без произход, е достатъчно доставчикът от Черна гора да опише в своята декларация използвания като прежда материал без произход, без да е необходимо да посочва позицията и стойността на тази прежда. Производител на телове от желязо от № 7217, който ги е произвел от пръти от желязо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по правило се предвижда ограничение на използваните материали без произход до определена процентна стойност, е необходимо в третата колона да се посочи стойността на прътите без произход.</w:t>
      </w:r>
    </w:p>
  </w:footnote>
  <w:footnote w:id="9">
    <w:p>
      <w:pPr>
        <w:pStyle w:val="FootnoteText"/>
        <w:keepNext/>
        <w:keepLines/>
        <w:pageBreakBefore/>
        <w:rPr>
          <w:sz w:val="16"/>
        </w:rPr>
      </w:pPr>
      <w:r>
        <w:rPr>
          <w:rStyle w:val="FootnoteReference"/>
        </w:rPr>
        <w:footnoteRef/>
      </w:r>
      <w:r>
        <w:tab/>
      </w:r>
      <w:r>
        <w:rPr>
          <w:sz w:val="16"/>
        </w:rPr>
        <w:t>„Стойност на материалите“ означава митническата стойност към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една от страните по ЦЕФТА.</w:t>
      </w:r>
      <w:r>
        <w:rPr>
          <w:sz w:val="16"/>
        </w:rPr>
        <w:br/>
        <w:t>Точната стойност на всеки използван материал без произход трябва да бъде посочена за единица стока, указана в първата колона.</w:t>
      </w:r>
    </w:p>
  </w:footnote>
  <w:footnote w:id="10">
    <w:p>
      <w:pPr>
        <w:pStyle w:val="FootnoteText"/>
        <w:keepNext/>
        <w:keepLines/>
        <w:pageBreakBefore/>
        <w:rPr>
          <w:sz w:val="16"/>
        </w:rPr>
      </w:pPr>
      <w:r>
        <w:rPr>
          <w:rStyle w:val="FootnoteReference"/>
        </w:rPr>
        <w:footnoteRef/>
      </w:r>
      <w:r>
        <w:tab/>
      </w:r>
      <w:r>
        <w:rPr>
          <w:sz w:val="16"/>
        </w:rPr>
        <w:t>„Обща добавена стойност“ означава всички разходи, натрупани извън страните по ЦЕФТА, включително стойността на всички добавени там материали. Точната обща добавена стойност, придобита извън страните по ЦЕФТА, трябва да бъде дадена за единица стока, указана в първата колона.</w:t>
      </w:r>
    </w:p>
  </w:footnote>
  <w:footnote w:id="11">
    <w:p>
      <w:pPr>
        <w:pStyle w:val="FootnoteText"/>
        <w:keepNext/>
        <w:keepLines/>
        <w:pageBreakBefore/>
        <w:rPr>
          <w:sz w:val="16"/>
        </w:rPr>
      </w:pPr>
      <w:r>
        <w:rPr>
          <w:rStyle w:val="FootnoteReference"/>
        </w:rPr>
        <w:footnoteRef/>
      </w:r>
      <w:r>
        <w:tab/>
      </w:r>
      <w:r>
        <w:rPr>
          <w:sz w:val="16"/>
        </w:rPr>
        <w:t>Посочете дати. Валидността на дългосрочната декларация на доставчика в общия случай не следва да надвишава 12 месеца при съблюдаване на условията, определени от митническите органи на държавата, в която е изготвена дългосрочната декларация на доставчика.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1C31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044C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5123C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701B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A821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CAB4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9A7D3E"/>
    <w:lvl w:ilvl="0">
      <w:start w:val="1"/>
      <w:numFmt w:val="decimal"/>
      <w:pStyle w:val="ListNumber"/>
      <w:lvlText w:val="%1."/>
      <w:lvlJc w:val="left"/>
      <w:pPr>
        <w:tabs>
          <w:tab w:val="num" w:pos="360"/>
        </w:tabs>
        <w:ind w:left="360" w:hanging="360"/>
      </w:pPr>
    </w:lvl>
  </w:abstractNum>
  <w:abstractNum w:abstractNumId="7">
    <w:nsid w:val="FFFFFF89"/>
    <w:multiLevelType w:val="singleLevel"/>
    <w:tmpl w:val="760408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0 11:56: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160FE74DAC9B4F9D87B2AED80E4134C5"/>
    <w:docVar w:name="LW_CROSSREFERENCE" w:val="&lt;UNUSED&gt;"/>
    <w:docVar w:name="LW_DocType" w:val="ANNEX"/>
    <w:docVar w:name="LW_EMISSION" w:val="21.3.2017"/>
    <w:docVar w:name="LW_EMISSION_ISODATE" w:val="2017-03-2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57?\u1098?\u1074?\u1084?\u1077?\u1089?\u1090?\u1085?\u1080?\u1103? \u1082?\u1086?\u1084?\u1080?\u1090?\u1077?\u1090? \u1085?\u1072?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 \u1087?\u1086? \u1086?\u1090?\u1085?\u1086?\u1096?\u1077?\u1085?\u1080?\u1077? \u1085?\u1072? \u1080?\u1079?\u1084?\u1077?\u1085?\u1077?\u1085?\u1080?\u1077?\u1090?\u1086? \u1085?\u1072? \u1076?\u1086?\u1087?\u1098?\u1083?\u1085?\u1077?\u1085?\u1080?\u1077? II \u1082?\u1098?\u1084? \u1089?\u1098?\u1097?\u1072?\u1090?\u1072? \u1082?\u1086?\u1085?\u1074?\u1077?\u1085?\u1094?\u1080?\u1103?"/>
    <w:docVar w:name="LW_PART_NBR" w:val="1"/>
    <w:docVar w:name="LW_PART_NBR_TOTAL" w:val="1"/>
    <w:docVar w:name="LW_REF.INST.NEW" w:val="COM"/>
    <w:docVar w:name="LW_REF.INST.NEW_ADOPTED" w:val="final"/>
    <w:docVar w:name="LW_REF.INST.NEW_TEXT" w:val="(2017) 133"/>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581A-5B32-4B79-96E8-72D0E676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Pages>
  <Words>2361</Words>
  <Characters>13842</Characters>
  <Application>Microsoft Office Word</Application>
  <DocSecurity>0</DocSecurity>
  <Lines>446</Lines>
  <Paragraphs>168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cp:lastPrinted>2016-10-26T15:19:00Z</cp:lastPrinted>
  <dcterms:created xsi:type="dcterms:W3CDTF">2017-03-10T11:31:00Z</dcterms:created>
  <dcterms:modified xsi:type="dcterms:W3CDTF">2017-03-20T10:56:00Z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