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C0DB71CFDDE4A2BA52A53115D61A905" style="width:450.75pt;height:396.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NormalCentered"/>
        <w:rPr>
          <w:b/>
          <w:noProof/>
          <w:lang w:eastAsia="fr-FR"/>
        </w:rPr>
      </w:pPr>
      <w:bookmarkStart w:id="0" w:name="_GoBack"/>
      <w:bookmarkEnd w:id="0"/>
      <w:r>
        <w:rPr>
          <w:b/>
          <w:noProof/>
          <w:lang w:eastAsia="fr-FR"/>
        </w:rPr>
        <w:lastRenderedPageBreak/>
        <w:t>ATTACHMENT</w:t>
      </w:r>
    </w:p>
    <w:p>
      <w:pPr>
        <w:pStyle w:val="NormalCentered"/>
        <w:rPr>
          <w:noProof/>
          <w:lang w:eastAsia="fr-FR"/>
        </w:rPr>
      </w:pPr>
    </w:p>
    <w:p>
      <w:pPr>
        <w:pStyle w:val="NormalCentered"/>
        <w:rPr>
          <w:b/>
          <w:noProof/>
          <w:lang w:eastAsia="fr-FR"/>
        </w:rPr>
      </w:pPr>
      <w:r>
        <w:rPr>
          <w:b/>
          <w:noProof/>
          <w:lang w:eastAsia="fr-FR"/>
        </w:rPr>
        <w:t xml:space="preserve">DECISION OF THE JOINT COMMITTEE OF THE REGIONAL CONVENTION on pan-Euro-Mediterranean preferential rules of origin </w:t>
      </w:r>
    </w:p>
    <w:p>
      <w:pPr>
        <w:pStyle w:val="NormalCentered"/>
        <w:rPr>
          <w:b/>
          <w:noProof/>
          <w:lang w:eastAsia="fr-FR"/>
        </w:rPr>
      </w:pPr>
      <w:r>
        <w:rPr>
          <w:b/>
          <w:noProof/>
          <w:lang w:eastAsia="fr-FR"/>
        </w:rPr>
        <w:t>N°</w:t>
      </w:r>
    </w:p>
    <w:p>
      <w:pPr>
        <w:pStyle w:val="NormalCentered"/>
        <w:rPr>
          <w:b/>
          <w:noProof/>
          <w:lang w:eastAsia="fr-FR"/>
        </w:rPr>
      </w:pPr>
      <w:r>
        <w:rPr>
          <w:b/>
          <w:noProof/>
          <w:lang w:eastAsia="fr-FR"/>
        </w:rPr>
        <w:t>of</w:t>
      </w:r>
    </w:p>
    <w:p>
      <w:pPr>
        <w:pStyle w:val="NormalCentered"/>
        <w:rPr>
          <w:b/>
          <w:noProof/>
          <w:lang w:eastAsia="fr-FR"/>
        </w:rPr>
      </w:pPr>
      <w:r>
        <w:rPr>
          <w:b/>
          <w:noProof/>
          <w:lang w:eastAsia="fr-FR"/>
        </w:rPr>
        <w:t xml:space="preserve">amending the provisions of Appendix II to the Regional Convention on pan-Euro-mediterranean preferential rules of origin by introducing a possibility of duty drawback and of full cumulation in the trade covered by the Central European Free Trade Agreement (CEFTA) involving the Republic of Moldova and the participants in the European Union’s Stabilisation and Association Process </w:t>
      </w:r>
    </w:p>
    <w:p>
      <w:pPr>
        <w:keepNext/>
        <w:spacing w:before="360" w:after="240"/>
        <w:rPr>
          <w:rFonts w:eastAsia="Times New Roman"/>
          <w:caps/>
          <w:noProof/>
          <w:szCs w:val="20"/>
        </w:rPr>
      </w:pPr>
      <w:r>
        <w:rPr>
          <w:rFonts w:eastAsia="Times New Roman"/>
          <w:caps/>
          <w:noProof/>
          <w:szCs w:val="20"/>
        </w:rPr>
        <w:t>The Joint Committee,</w:t>
      </w:r>
    </w:p>
    <w:p>
      <w:pPr>
        <w:spacing w:before="0" w:after="240"/>
        <w:rPr>
          <w:rFonts w:eastAsia="Times New Roman"/>
          <w:noProof/>
          <w:szCs w:val="20"/>
        </w:rPr>
      </w:pPr>
      <w:r>
        <w:rPr>
          <w:rFonts w:eastAsia="Times New Roman"/>
          <w:noProof/>
          <w:szCs w:val="20"/>
        </w:rPr>
        <w:t>Having regard to the Regional Convention on pan-Euro-Mediterranean preferential rules of origin</w:t>
      </w:r>
      <w:r>
        <w:rPr>
          <w:rStyle w:val="FootnoteReference"/>
          <w:noProof/>
        </w:rPr>
        <w:footnoteReference w:id="1"/>
      </w:r>
      <w:r>
        <w:rPr>
          <w:rFonts w:eastAsia="Times New Roman"/>
          <w:noProof/>
          <w:szCs w:val="20"/>
        </w:rPr>
        <w:t>, hereafter ‘the Convention’,</w:t>
      </w:r>
    </w:p>
    <w:p>
      <w:pPr>
        <w:spacing w:before="0" w:after="240"/>
        <w:rPr>
          <w:rFonts w:eastAsia="Times New Roman"/>
          <w:noProof/>
          <w:szCs w:val="20"/>
          <w:lang w:val="en-US"/>
        </w:rPr>
      </w:pPr>
      <w:r>
        <w:rPr>
          <w:rFonts w:eastAsia="Times New Roman"/>
          <w:noProof/>
          <w:szCs w:val="20"/>
          <w:lang w:val="en-US"/>
        </w:rPr>
        <w:t>Whereas:</w:t>
      </w:r>
    </w:p>
    <w:p>
      <w:pPr>
        <w:pStyle w:val="Considrant"/>
        <w:numPr>
          <w:ilvl w:val="0"/>
          <w:numId w:val="9"/>
        </w:numPr>
        <w:rPr>
          <w:noProof/>
        </w:rPr>
      </w:pPr>
      <w:r>
        <w:rPr>
          <w:noProof/>
        </w:rPr>
        <w:t>Article 1(2) of the Convention provides that Appendix II sets out special provisions applicable between certain Contracting Parties and derogating from the provisions laid down in Appendix I.</w:t>
      </w:r>
    </w:p>
    <w:p>
      <w:pPr>
        <w:pStyle w:val="Considrant"/>
        <w:rPr>
          <w:noProof/>
        </w:rPr>
      </w:pPr>
      <w:r>
        <w:rPr>
          <w:noProof/>
        </w:rPr>
        <w:t>Article 1 of Appendix II to the Convention provides that the Contracting Parties may apply in their bilateral trade special provisions derogating from the provisions laid down in Appendix I and that those provisions are laid down in the annexes to Appendix II.</w:t>
      </w:r>
    </w:p>
    <w:p>
      <w:pPr>
        <w:pStyle w:val="Considrant"/>
        <w:rPr>
          <w:noProof/>
        </w:rPr>
      </w:pPr>
      <w:r>
        <w:rPr>
          <w:noProof/>
        </w:rPr>
        <w:t>The Republic of Serbia acting as the chair of the CEFTA subcommittee on Customs and rules of origin  in the framework of the Central European Free Trade Agreement (CEFTA) involving the Republic of Moldova and the participants in the European Union’s Stabilisation and Association Process (hereafter ‘CEFTA Parties’) informed the secretariat of the Joint Committee of the Convention about Decision 3/2015 of 26 November 2016 of the Joint Committee of the Central European Free Trade Agreement introducing a possibility of duty drawback and of full cumulation in the trade between the Republic of Modova and the participants in the European Union’s Stabilisation and Association Process in the framework of  the CEFTA.</w:t>
      </w:r>
    </w:p>
    <w:p>
      <w:pPr>
        <w:pStyle w:val="Considrant"/>
        <w:rPr>
          <w:noProof/>
        </w:rPr>
      </w:pPr>
      <w:r>
        <w:rPr>
          <w:noProof/>
        </w:rPr>
        <w:t>Article 4(3)(a) of the Convention provides that the Joint Committee shall adopt by unanimity amendments to the Convention including amendments to the Appendixes,</w:t>
      </w:r>
    </w:p>
    <w:p>
      <w:pPr>
        <w:spacing w:before="0" w:after="240"/>
        <w:rPr>
          <w:rFonts w:eastAsia="Times New Roman"/>
          <w:noProof/>
          <w:szCs w:val="20"/>
        </w:rPr>
      </w:pPr>
      <w:r>
        <w:rPr>
          <w:rFonts w:eastAsia="Times New Roman"/>
          <w:noProof/>
          <w:szCs w:val="20"/>
        </w:rPr>
        <w:t>HAS ADOPTED THIS DECISION:</w:t>
      </w:r>
    </w:p>
    <w:p>
      <w:pPr>
        <w:keepNext/>
        <w:spacing w:before="360"/>
        <w:jc w:val="center"/>
        <w:rPr>
          <w:rFonts w:eastAsia="Calibri"/>
          <w:i/>
          <w:noProof/>
          <w:szCs w:val="20"/>
          <w:lang w:eastAsia="fr-FR"/>
        </w:rPr>
      </w:pPr>
      <w:r>
        <w:rPr>
          <w:rFonts w:eastAsia="Calibri"/>
          <w:i/>
          <w:noProof/>
          <w:szCs w:val="20"/>
          <w:lang w:eastAsia="fr-FR"/>
        </w:rPr>
        <w:lastRenderedPageBreak/>
        <w:t>Article 1</w:t>
      </w:r>
    </w:p>
    <w:p>
      <w:pPr>
        <w:spacing w:before="0" w:after="240"/>
        <w:rPr>
          <w:rFonts w:eastAsia="Times New Roman"/>
          <w:noProof/>
          <w:szCs w:val="20"/>
        </w:rPr>
      </w:pPr>
      <w:r>
        <w:rPr>
          <w:rFonts w:eastAsia="Times New Roman"/>
          <w:noProof/>
          <w:szCs w:val="20"/>
        </w:rPr>
        <w:t xml:space="preserve">Appendix II to the Convention, containing the derogations to the provisions of Appendix I to the Convention, is amended and complemented by Annexes XIII, G and H to Appendix II of the Convention, contained in the Annexes of this Decision. </w:t>
      </w:r>
    </w:p>
    <w:p>
      <w:pPr>
        <w:keepNext/>
        <w:spacing w:before="360"/>
        <w:jc w:val="center"/>
        <w:rPr>
          <w:rFonts w:eastAsia="Calibri"/>
          <w:i/>
          <w:noProof/>
          <w:szCs w:val="20"/>
          <w:lang w:eastAsia="fr-FR"/>
        </w:rPr>
      </w:pPr>
      <w:r>
        <w:rPr>
          <w:rFonts w:eastAsia="Calibri"/>
          <w:i/>
          <w:noProof/>
          <w:szCs w:val="20"/>
          <w:lang w:eastAsia="fr-FR"/>
        </w:rPr>
        <w:t>Article 2</w:t>
      </w:r>
    </w:p>
    <w:p>
      <w:pPr>
        <w:spacing w:before="0" w:after="240"/>
        <w:rPr>
          <w:rFonts w:eastAsia="Times New Roman"/>
          <w:noProof/>
          <w:szCs w:val="20"/>
        </w:rPr>
      </w:pPr>
      <w:r>
        <w:rPr>
          <w:rFonts w:eastAsia="Times New Roman"/>
          <w:noProof/>
          <w:szCs w:val="20"/>
        </w:rPr>
        <w:t>Annexes XIII, G and H to Appendix II of the Convention, contained in the Annexes to this Decision, specify the conditions for application of the prohibition of duty drawback and full cumulation in the trade between the CEFTA parties.</w:t>
      </w:r>
    </w:p>
    <w:p>
      <w:pPr>
        <w:spacing w:before="0" w:after="240"/>
        <w:jc w:val="center"/>
        <w:rPr>
          <w:rFonts w:eastAsia="Times New Roman"/>
          <w:noProof/>
          <w:szCs w:val="20"/>
        </w:rPr>
      </w:pPr>
      <w:r>
        <w:rPr>
          <w:rFonts w:eastAsia="Times New Roman"/>
          <w:i/>
          <w:noProof/>
          <w:szCs w:val="20"/>
        </w:rPr>
        <w:t>Article 3</w:t>
      </w:r>
    </w:p>
    <w:p>
      <w:pPr>
        <w:spacing w:before="0" w:after="240"/>
        <w:rPr>
          <w:rFonts w:eastAsia="Times New Roman"/>
          <w:noProof/>
          <w:szCs w:val="20"/>
        </w:rPr>
      </w:pPr>
      <w:r>
        <w:rPr>
          <w:rFonts w:eastAsia="Times New Roman"/>
          <w:noProof/>
          <w:szCs w:val="20"/>
        </w:rPr>
        <w:t>The Annexes shall form an integral part of this Decision.</w:t>
      </w:r>
    </w:p>
    <w:p>
      <w:pPr>
        <w:keepNext/>
        <w:spacing w:before="360"/>
        <w:jc w:val="center"/>
        <w:rPr>
          <w:rFonts w:eastAsia="Calibri"/>
          <w:i/>
          <w:noProof/>
          <w:szCs w:val="20"/>
          <w:lang w:eastAsia="fr-FR"/>
        </w:rPr>
      </w:pPr>
      <w:r>
        <w:rPr>
          <w:rFonts w:eastAsia="Calibri"/>
          <w:i/>
          <w:noProof/>
          <w:szCs w:val="20"/>
          <w:lang w:eastAsia="fr-FR"/>
        </w:rPr>
        <w:t>Article 4</w:t>
      </w:r>
    </w:p>
    <w:p>
      <w:pPr>
        <w:spacing w:before="0" w:after="240"/>
        <w:rPr>
          <w:rFonts w:eastAsia="Times New Roman"/>
          <w:noProof/>
          <w:szCs w:val="20"/>
        </w:rPr>
      </w:pPr>
      <w:r>
        <w:rPr>
          <w:rFonts w:eastAsia="Times New Roman"/>
          <w:noProof/>
          <w:szCs w:val="20"/>
        </w:rPr>
        <w:t>This Decision shall enter into force on the date of its adoption by the Joint Committee.</w:t>
      </w:r>
    </w:p>
    <w:p>
      <w:pPr>
        <w:spacing w:before="0" w:after="240"/>
        <w:rPr>
          <w:rFonts w:eastAsia="Times New Roman"/>
          <w:noProof/>
          <w:szCs w:val="20"/>
        </w:rPr>
      </w:pPr>
      <w:r>
        <w:rPr>
          <w:rFonts w:eastAsia="Times New Roman"/>
          <w:noProof/>
          <w:szCs w:val="20"/>
        </w:rPr>
        <w:t>The date of application shall be …</w:t>
      </w:r>
    </w:p>
    <w:p>
      <w:pPr>
        <w:keepNext/>
        <w:spacing w:before="0" w:after="0"/>
        <w:rPr>
          <w:rFonts w:eastAsia="Times New Roman"/>
          <w:noProof/>
          <w:szCs w:val="20"/>
        </w:rPr>
      </w:pPr>
      <w:r>
        <w:rPr>
          <w:rFonts w:eastAsia="Times New Roman"/>
          <w:noProof/>
          <w:szCs w:val="20"/>
          <w:lang w:val="en-US"/>
        </w:rPr>
        <w:t>Done at Brussels,</w:t>
      </w:r>
    </w:p>
    <w:p>
      <w:pPr>
        <w:keepNext/>
        <w:tabs>
          <w:tab w:val="left" w:pos="4252"/>
        </w:tabs>
        <w:spacing w:before="720" w:after="0"/>
        <w:rPr>
          <w:rFonts w:eastAsia="Times New Roman"/>
          <w:i/>
          <w:noProof/>
          <w:szCs w:val="20"/>
        </w:rPr>
      </w:pPr>
      <w:r>
        <w:rPr>
          <w:rFonts w:eastAsia="Times New Roman"/>
          <w:noProof/>
          <w:szCs w:val="20"/>
        </w:rPr>
        <w:tab/>
      </w:r>
      <w:r>
        <w:rPr>
          <w:rFonts w:eastAsia="Times New Roman"/>
          <w:i/>
          <w:noProof/>
          <w:szCs w:val="20"/>
        </w:rPr>
        <w:t>For the Joint Committee</w:t>
      </w:r>
    </w:p>
    <w:p>
      <w:pPr>
        <w:tabs>
          <w:tab w:val="left" w:pos="4252"/>
        </w:tabs>
        <w:spacing w:before="0" w:after="0"/>
        <w:jc w:val="left"/>
        <w:rPr>
          <w:rFonts w:eastAsia="Times New Roman"/>
          <w:i/>
          <w:noProof/>
          <w:szCs w:val="20"/>
        </w:rPr>
      </w:pPr>
      <w:r>
        <w:rPr>
          <w:rFonts w:eastAsia="Times New Roman"/>
          <w:i/>
          <w:noProof/>
          <w:szCs w:val="20"/>
        </w:rPr>
        <w:tab/>
        <w:t>The Chair</w:t>
      </w:r>
    </w:p>
    <w:p>
      <w:pPr>
        <w:tabs>
          <w:tab w:val="left" w:pos="4252"/>
        </w:tabs>
        <w:spacing w:before="0" w:after="0"/>
        <w:jc w:val="left"/>
        <w:rPr>
          <w:rFonts w:eastAsia="Times New Roman"/>
          <w:i/>
          <w:noProof/>
          <w:szCs w:val="20"/>
        </w:rPr>
      </w:pPr>
    </w:p>
    <w:p>
      <w:pPr>
        <w:autoSpaceDE w:val="0"/>
        <w:autoSpaceDN w:val="0"/>
        <w:adjustRightInd w:val="0"/>
        <w:spacing w:before="0" w:after="0"/>
        <w:jc w:val="center"/>
        <w:rPr>
          <w:rFonts w:eastAsia="Times New Roman"/>
          <w:bCs/>
          <w:noProof/>
          <w:color w:val="000000"/>
          <w:szCs w:val="24"/>
          <w:lang w:eastAsia="en-GB"/>
        </w:rPr>
      </w:pPr>
      <w:r>
        <w:rPr>
          <w:rFonts w:ascii="Verdana" w:eastAsia="Times New Roman" w:hAnsi="Verdana" w:cs="Verdana"/>
          <w:i/>
          <w:noProof/>
          <w:color w:val="000000"/>
          <w:szCs w:val="24"/>
          <w:lang w:eastAsia="en-GB"/>
        </w:rPr>
        <w:br w:type="page"/>
      </w:r>
      <w:r>
        <w:rPr>
          <w:rFonts w:eastAsia="Times New Roman"/>
          <w:bCs/>
          <w:noProof/>
          <w:color w:val="000000"/>
          <w:szCs w:val="24"/>
          <w:lang w:eastAsia="en-GB"/>
        </w:rPr>
        <w:lastRenderedPageBreak/>
        <w:t>Annex I</w:t>
      </w:r>
    </w:p>
    <w:p>
      <w:pPr>
        <w:autoSpaceDE w:val="0"/>
        <w:autoSpaceDN w:val="0"/>
        <w:adjustRightInd w:val="0"/>
        <w:spacing w:before="0" w:after="0"/>
        <w:jc w:val="center"/>
        <w:rPr>
          <w:rFonts w:eastAsia="Times New Roman"/>
          <w:bCs/>
          <w:noProof/>
          <w:color w:val="000000"/>
          <w:szCs w:val="24"/>
          <w:lang w:eastAsia="en-GB"/>
        </w:rPr>
      </w:pPr>
    </w:p>
    <w:p>
      <w:pPr>
        <w:autoSpaceDE w:val="0"/>
        <w:autoSpaceDN w:val="0"/>
        <w:adjustRightInd w:val="0"/>
        <w:spacing w:before="0" w:after="0"/>
        <w:jc w:val="center"/>
        <w:rPr>
          <w:rFonts w:eastAsia="Times New Roman"/>
          <w:bCs/>
          <w:i/>
          <w:noProof/>
          <w:color w:val="000000"/>
          <w:szCs w:val="24"/>
          <w:lang w:eastAsia="en-GB"/>
        </w:rPr>
      </w:pPr>
      <w:r>
        <w:rPr>
          <w:rFonts w:eastAsia="Times New Roman"/>
          <w:bCs/>
          <w:i/>
          <w:noProof/>
          <w:color w:val="000000"/>
          <w:szCs w:val="24"/>
          <w:lang w:eastAsia="en-GB"/>
        </w:rPr>
        <w:t>Annex XIII of Appendix II</w:t>
      </w:r>
    </w:p>
    <w:p>
      <w:pPr>
        <w:autoSpaceDE w:val="0"/>
        <w:autoSpaceDN w:val="0"/>
        <w:adjustRightInd w:val="0"/>
        <w:spacing w:before="0" w:after="0"/>
        <w:rPr>
          <w:rFonts w:eastAsia="Times New Roman"/>
          <w:b/>
          <w:noProof/>
          <w:color w:val="000000"/>
          <w:szCs w:val="24"/>
          <w:lang w:eastAsia="en-GB"/>
        </w:rPr>
      </w:pPr>
    </w:p>
    <w:p>
      <w:pPr>
        <w:autoSpaceDE w:val="0"/>
        <w:autoSpaceDN w:val="0"/>
        <w:adjustRightInd w:val="0"/>
        <w:spacing w:before="0" w:after="0"/>
        <w:jc w:val="center"/>
        <w:rPr>
          <w:rFonts w:eastAsia="Times New Roman"/>
          <w:noProof/>
          <w:color w:val="000000"/>
          <w:szCs w:val="24"/>
          <w:lang w:eastAsia="en-GB"/>
        </w:rPr>
      </w:pPr>
      <w:r>
        <w:rPr>
          <w:rFonts w:eastAsia="Times New Roman"/>
          <w:b/>
          <w:noProof/>
          <w:color w:val="000000"/>
          <w:szCs w:val="24"/>
          <w:lang w:eastAsia="en-GB"/>
        </w:rPr>
        <w:t xml:space="preserve">Trade covered by the Central European Free Trade Agreement (CEFTA) involving  the Republic of Moldova and the participants in the European Union’s Stabilisation and Association Process </w:t>
      </w:r>
    </w:p>
    <w:p>
      <w:pPr>
        <w:autoSpaceDE w:val="0"/>
        <w:autoSpaceDN w:val="0"/>
        <w:adjustRightInd w:val="0"/>
        <w:spacing w:before="0" w:after="0"/>
        <w:rPr>
          <w:rFonts w:eastAsia="Times New Roman"/>
          <w:b/>
          <w:bCs/>
          <w:noProof/>
          <w:color w:val="000000"/>
          <w:szCs w:val="24"/>
          <w:lang w:eastAsia="en-GB"/>
        </w:rPr>
      </w:pPr>
    </w:p>
    <w:p>
      <w:pPr>
        <w:autoSpaceDE w:val="0"/>
        <w:autoSpaceDN w:val="0"/>
        <w:adjustRightInd w:val="0"/>
        <w:spacing w:before="0" w:after="0"/>
        <w:jc w:val="center"/>
        <w:rPr>
          <w:rFonts w:eastAsia="Times New Roman"/>
          <w:i/>
          <w:noProof/>
          <w:color w:val="000000"/>
          <w:szCs w:val="24"/>
          <w:lang w:eastAsia="en-GB"/>
        </w:rPr>
      </w:pPr>
      <w:r>
        <w:rPr>
          <w:rFonts w:eastAsia="Times New Roman"/>
          <w:bCs/>
          <w:i/>
          <w:noProof/>
          <w:color w:val="000000"/>
          <w:szCs w:val="24"/>
          <w:lang w:eastAsia="en-GB"/>
        </w:rPr>
        <w:t>Article 1</w:t>
      </w:r>
    </w:p>
    <w:p>
      <w:pPr>
        <w:autoSpaceDE w:val="0"/>
        <w:autoSpaceDN w:val="0"/>
        <w:adjustRightInd w:val="0"/>
        <w:spacing w:before="0" w:after="0"/>
        <w:jc w:val="center"/>
        <w:rPr>
          <w:rFonts w:eastAsia="Times New Roman"/>
          <w:noProof/>
          <w:color w:val="000000"/>
          <w:szCs w:val="24"/>
          <w:lang w:eastAsia="en-GB"/>
        </w:rPr>
      </w:pPr>
      <w:r>
        <w:rPr>
          <w:rFonts w:eastAsia="Times New Roman"/>
          <w:b/>
          <w:bCs/>
          <w:noProof/>
          <w:color w:val="000000"/>
          <w:szCs w:val="24"/>
          <w:lang w:eastAsia="en-GB"/>
        </w:rPr>
        <w:t>Exclusions from cumulation of origin</w:t>
      </w:r>
    </w:p>
    <w:p>
      <w:pPr>
        <w:autoSpaceDE w:val="0"/>
        <w:autoSpaceDN w:val="0"/>
        <w:adjustRightInd w:val="0"/>
        <w:spacing w:before="0" w:after="0"/>
        <w:rPr>
          <w:rFonts w:eastAsia="Times New Roman"/>
          <w:noProof/>
          <w:color w:val="000000"/>
          <w:szCs w:val="24"/>
          <w:lang w:eastAsia="en-GB"/>
        </w:rPr>
      </w:pPr>
    </w:p>
    <w:p>
      <w:pPr>
        <w:autoSpaceDE w:val="0"/>
        <w:autoSpaceDN w:val="0"/>
        <w:adjustRightInd w:val="0"/>
        <w:spacing w:before="0" w:after="0"/>
        <w:rPr>
          <w:rFonts w:eastAsia="Times New Roman"/>
          <w:noProof/>
          <w:color w:val="000000"/>
          <w:szCs w:val="24"/>
          <w:lang w:eastAsia="en-GB"/>
        </w:rPr>
      </w:pPr>
      <w:r>
        <w:rPr>
          <w:rFonts w:eastAsia="Times New Roman"/>
          <w:noProof/>
          <w:color w:val="000000"/>
          <w:szCs w:val="24"/>
          <w:lang w:eastAsia="en-GB"/>
        </w:rPr>
        <w:t xml:space="preserve">Products having acquired their origin by application of the provisions foreseen in this Annex shall be excluded from cumulation as referred to in Article 3 of Appendix I. </w:t>
      </w:r>
    </w:p>
    <w:p>
      <w:pPr>
        <w:autoSpaceDE w:val="0"/>
        <w:autoSpaceDN w:val="0"/>
        <w:adjustRightInd w:val="0"/>
        <w:spacing w:before="0" w:after="0"/>
        <w:rPr>
          <w:rFonts w:eastAsia="Times New Roman"/>
          <w:b/>
          <w:bCs/>
          <w:noProof/>
          <w:color w:val="000000"/>
          <w:szCs w:val="24"/>
          <w:lang w:eastAsia="en-GB"/>
        </w:rPr>
      </w:pPr>
    </w:p>
    <w:p>
      <w:pPr>
        <w:autoSpaceDE w:val="0"/>
        <w:autoSpaceDN w:val="0"/>
        <w:adjustRightInd w:val="0"/>
        <w:spacing w:before="0" w:after="0"/>
        <w:jc w:val="center"/>
        <w:rPr>
          <w:rFonts w:eastAsia="Times New Roman"/>
          <w:i/>
          <w:noProof/>
          <w:color w:val="000000"/>
          <w:szCs w:val="24"/>
          <w:lang w:eastAsia="en-GB"/>
        </w:rPr>
      </w:pPr>
      <w:r>
        <w:rPr>
          <w:rFonts w:eastAsia="Times New Roman"/>
          <w:bCs/>
          <w:i/>
          <w:noProof/>
          <w:color w:val="000000"/>
          <w:szCs w:val="24"/>
          <w:lang w:eastAsia="en-GB"/>
        </w:rPr>
        <w:t>Article 2</w:t>
      </w:r>
    </w:p>
    <w:p>
      <w:pPr>
        <w:autoSpaceDE w:val="0"/>
        <w:autoSpaceDN w:val="0"/>
        <w:adjustRightInd w:val="0"/>
        <w:spacing w:before="0" w:after="0"/>
        <w:jc w:val="center"/>
        <w:rPr>
          <w:rFonts w:eastAsia="Times New Roman"/>
          <w:noProof/>
          <w:color w:val="000000"/>
          <w:szCs w:val="24"/>
          <w:lang w:eastAsia="en-GB"/>
        </w:rPr>
      </w:pPr>
      <w:r>
        <w:rPr>
          <w:rFonts w:eastAsia="Times New Roman"/>
          <w:b/>
          <w:bCs/>
          <w:noProof/>
          <w:color w:val="000000"/>
          <w:szCs w:val="24"/>
          <w:lang w:eastAsia="en-GB"/>
        </w:rPr>
        <w:t>Cumulation of origin</w:t>
      </w:r>
    </w:p>
    <w:p>
      <w:pPr>
        <w:autoSpaceDE w:val="0"/>
        <w:autoSpaceDN w:val="0"/>
        <w:adjustRightInd w:val="0"/>
        <w:spacing w:before="0" w:after="0"/>
        <w:rPr>
          <w:rFonts w:eastAsia="Times New Roman"/>
          <w:noProof/>
          <w:color w:val="000000"/>
          <w:szCs w:val="24"/>
          <w:lang w:eastAsia="en-GB"/>
        </w:rPr>
      </w:pPr>
    </w:p>
    <w:p>
      <w:pPr>
        <w:autoSpaceDE w:val="0"/>
        <w:autoSpaceDN w:val="0"/>
        <w:adjustRightInd w:val="0"/>
        <w:spacing w:before="0" w:after="0"/>
        <w:rPr>
          <w:rFonts w:eastAsia="Times New Roman"/>
          <w:noProof/>
          <w:color w:val="000000"/>
          <w:szCs w:val="24"/>
          <w:lang w:eastAsia="en-GB"/>
        </w:rPr>
      </w:pPr>
      <w:r>
        <w:rPr>
          <w:rFonts w:eastAsia="Times New Roman"/>
          <w:noProof/>
          <w:color w:val="000000"/>
          <w:szCs w:val="24"/>
          <w:lang w:eastAsia="en-GB"/>
        </w:rPr>
        <w:t xml:space="preserve">For the purpose of implementing Article 2(1)(b) of Appendix I, working or processing carried out in the Republic of Moldova or the participants in the European Union’s Stabilisation and Association Process, hereafter referred to as the ‘CEFTA Parties’, shall be considered as having been carried out in any other CEFTA Party when the products obtained undergo subsequent working or processing in the Party concerned. Where, pursuant to this provision, the originating products obtained in two or more of the Parties concerned, they shall be considered as originating in the CEFTA party concerned only if the working and processing goes beyond the operations referred to in Article 6 of Appendix I. </w:t>
      </w:r>
    </w:p>
    <w:p>
      <w:pPr>
        <w:autoSpaceDE w:val="0"/>
        <w:autoSpaceDN w:val="0"/>
        <w:adjustRightInd w:val="0"/>
        <w:spacing w:before="0" w:after="0"/>
        <w:rPr>
          <w:rFonts w:eastAsia="Times New Roman"/>
          <w:noProof/>
          <w:color w:val="000000"/>
          <w:szCs w:val="24"/>
          <w:lang w:eastAsia="en-GB"/>
        </w:rPr>
      </w:pPr>
      <w:r>
        <w:rPr>
          <w:rFonts w:eastAsia="Times New Roman"/>
          <w:noProof/>
          <w:color w:val="000000"/>
          <w:szCs w:val="24"/>
          <w:lang w:eastAsia="en-GB"/>
        </w:rPr>
        <w:t xml:space="preserve"> </w:t>
      </w:r>
    </w:p>
    <w:p>
      <w:pPr>
        <w:autoSpaceDE w:val="0"/>
        <w:autoSpaceDN w:val="0"/>
        <w:adjustRightInd w:val="0"/>
        <w:spacing w:before="0" w:after="0"/>
        <w:rPr>
          <w:rFonts w:eastAsia="Times New Roman"/>
          <w:noProof/>
          <w:color w:val="000000"/>
          <w:szCs w:val="24"/>
          <w:lang w:eastAsia="en-GB"/>
        </w:rPr>
      </w:pPr>
    </w:p>
    <w:p>
      <w:pPr>
        <w:autoSpaceDE w:val="0"/>
        <w:autoSpaceDN w:val="0"/>
        <w:adjustRightInd w:val="0"/>
        <w:spacing w:before="0" w:after="0"/>
        <w:jc w:val="center"/>
        <w:rPr>
          <w:rFonts w:eastAsia="Times New Roman"/>
          <w:i/>
          <w:noProof/>
          <w:color w:val="000000"/>
          <w:szCs w:val="24"/>
          <w:lang w:eastAsia="en-GB"/>
        </w:rPr>
      </w:pPr>
      <w:r>
        <w:rPr>
          <w:rFonts w:eastAsia="Times New Roman"/>
          <w:bCs/>
          <w:i/>
          <w:noProof/>
          <w:color w:val="000000"/>
          <w:szCs w:val="24"/>
          <w:lang w:eastAsia="en-GB"/>
        </w:rPr>
        <w:t>Article 3</w:t>
      </w:r>
    </w:p>
    <w:p>
      <w:pPr>
        <w:autoSpaceDE w:val="0"/>
        <w:autoSpaceDN w:val="0"/>
        <w:adjustRightInd w:val="0"/>
        <w:spacing w:before="0" w:after="0"/>
        <w:jc w:val="center"/>
        <w:rPr>
          <w:rFonts w:eastAsia="Times New Roman"/>
          <w:b/>
          <w:bCs/>
          <w:noProof/>
          <w:color w:val="000000"/>
          <w:szCs w:val="24"/>
          <w:lang w:eastAsia="en-GB"/>
        </w:rPr>
      </w:pPr>
      <w:r>
        <w:rPr>
          <w:rFonts w:eastAsia="Times New Roman"/>
          <w:b/>
          <w:bCs/>
          <w:noProof/>
          <w:color w:val="000000"/>
          <w:szCs w:val="24"/>
          <w:lang w:eastAsia="en-GB"/>
        </w:rPr>
        <w:t>Proofs of Origin</w:t>
      </w:r>
    </w:p>
    <w:p>
      <w:pPr>
        <w:autoSpaceDE w:val="0"/>
        <w:autoSpaceDN w:val="0"/>
        <w:adjustRightInd w:val="0"/>
        <w:spacing w:before="0" w:after="0"/>
        <w:jc w:val="center"/>
        <w:rPr>
          <w:rFonts w:eastAsia="Times New Roman"/>
          <w:noProof/>
          <w:color w:val="000000"/>
          <w:szCs w:val="24"/>
          <w:lang w:eastAsia="en-GB"/>
        </w:rPr>
      </w:pPr>
    </w:p>
    <w:p>
      <w:pPr>
        <w:autoSpaceDE w:val="0"/>
        <w:autoSpaceDN w:val="0"/>
        <w:adjustRightInd w:val="0"/>
        <w:spacing w:before="0" w:after="0"/>
        <w:rPr>
          <w:rFonts w:eastAsia="Times New Roman"/>
          <w:noProof/>
          <w:color w:val="000000"/>
          <w:szCs w:val="24"/>
          <w:lang w:eastAsia="en-GB"/>
        </w:rPr>
      </w:pPr>
      <w:r>
        <w:rPr>
          <w:rFonts w:eastAsia="Times New Roman"/>
          <w:noProof/>
          <w:color w:val="000000"/>
          <w:szCs w:val="24"/>
          <w:lang w:eastAsia="en-GB"/>
        </w:rPr>
        <w:t xml:space="preserve">1. Without prejudice to Article 16(4) and (5) of Appendix I, a movement certificate EUR.1 shall be issued by customs authorities of a CEFTA Party if the products concerned can be considered as products originating in a CEFTA Party with application of the cumulation referred to in Article 2 of this Annex, and fulfil the other requirements of Appendix I. </w:t>
      </w:r>
    </w:p>
    <w:p>
      <w:pPr>
        <w:autoSpaceDE w:val="0"/>
        <w:autoSpaceDN w:val="0"/>
        <w:adjustRightInd w:val="0"/>
        <w:spacing w:before="0" w:after="0"/>
        <w:rPr>
          <w:rFonts w:eastAsia="Times New Roman"/>
          <w:noProof/>
          <w:color w:val="000000"/>
          <w:szCs w:val="24"/>
          <w:lang w:eastAsia="en-GB"/>
        </w:rPr>
      </w:pPr>
    </w:p>
    <w:p>
      <w:pPr>
        <w:autoSpaceDE w:val="0"/>
        <w:autoSpaceDN w:val="0"/>
        <w:adjustRightInd w:val="0"/>
        <w:spacing w:before="0" w:after="0"/>
        <w:rPr>
          <w:rFonts w:eastAsia="Times New Roman"/>
          <w:noProof/>
          <w:color w:val="000000"/>
          <w:szCs w:val="24"/>
          <w:lang w:eastAsia="en-GB"/>
        </w:rPr>
      </w:pPr>
      <w:r>
        <w:rPr>
          <w:rFonts w:eastAsia="Times New Roman"/>
          <w:noProof/>
          <w:color w:val="000000"/>
          <w:szCs w:val="24"/>
          <w:lang w:eastAsia="en-GB"/>
        </w:rPr>
        <w:t xml:space="preserve">2. Without prejudice to Article 21 (2) and (3) of Appendix I, an origin declaration may be made out if the products concerned can be considered as products originating in a CEFTA Party, with application of the cumulation referred to in Article 2 of this Annex, and fulfil the other requirements of Appendix I. </w:t>
      </w:r>
    </w:p>
    <w:p>
      <w:pPr>
        <w:autoSpaceDE w:val="0"/>
        <w:autoSpaceDN w:val="0"/>
        <w:adjustRightInd w:val="0"/>
        <w:spacing w:before="0" w:after="0"/>
        <w:rPr>
          <w:rFonts w:eastAsia="Times New Roman"/>
          <w:noProof/>
          <w:color w:val="000000"/>
          <w:szCs w:val="24"/>
          <w:lang w:eastAsia="en-GB"/>
        </w:rPr>
      </w:pPr>
    </w:p>
    <w:p>
      <w:pPr>
        <w:autoSpaceDE w:val="0"/>
        <w:autoSpaceDN w:val="0"/>
        <w:adjustRightInd w:val="0"/>
        <w:spacing w:before="0" w:after="0"/>
        <w:jc w:val="center"/>
        <w:rPr>
          <w:rFonts w:eastAsia="Times New Roman"/>
          <w:i/>
          <w:noProof/>
          <w:color w:val="000000"/>
          <w:szCs w:val="24"/>
          <w:lang w:eastAsia="en-GB"/>
        </w:rPr>
      </w:pPr>
      <w:r>
        <w:rPr>
          <w:rFonts w:eastAsia="Times New Roman"/>
          <w:bCs/>
          <w:i/>
          <w:noProof/>
          <w:color w:val="000000"/>
          <w:szCs w:val="24"/>
          <w:lang w:eastAsia="en-GB"/>
        </w:rPr>
        <w:t>Article 4</w:t>
      </w:r>
    </w:p>
    <w:p>
      <w:pPr>
        <w:autoSpaceDE w:val="0"/>
        <w:autoSpaceDN w:val="0"/>
        <w:adjustRightInd w:val="0"/>
        <w:spacing w:before="0" w:after="0"/>
        <w:jc w:val="center"/>
        <w:rPr>
          <w:rFonts w:eastAsia="Times New Roman"/>
          <w:noProof/>
          <w:color w:val="000000"/>
          <w:szCs w:val="24"/>
          <w:lang w:eastAsia="en-GB"/>
        </w:rPr>
      </w:pPr>
      <w:r>
        <w:rPr>
          <w:rFonts w:eastAsia="Times New Roman"/>
          <w:b/>
          <w:bCs/>
          <w:noProof/>
          <w:color w:val="000000"/>
          <w:szCs w:val="24"/>
          <w:lang w:eastAsia="en-GB"/>
        </w:rPr>
        <w:t>Supplier’s declarations</w:t>
      </w:r>
    </w:p>
    <w:p>
      <w:pPr>
        <w:autoSpaceDE w:val="0"/>
        <w:autoSpaceDN w:val="0"/>
        <w:adjustRightInd w:val="0"/>
        <w:spacing w:before="0" w:after="0"/>
        <w:rPr>
          <w:rFonts w:eastAsia="Times New Roman"/>
          <w:noProof/>
          <w:color w:val="000000"/>
          <w:szCs w:val="24"/>
          <w:lang w:eastAsia="en-GB"/>
        </w:rPr>
      </w:pPr>
    </w:p>
    <w:p>
      <w:pPr>
        <w:autoSpaceDE w:val="0"/>
        <w:autoSpaceDN w:val="0"/>
        <w:adjustRightInd w:val="0"/>
        <w:spacing w:before="0" w:after="0"/>
        <w:rPr>
          <w:rFonts w:eastAsia="Times New Roman"/>
          <w:noProof/>
          <w:color w:val="000000"/>
          <w:szCs w:val="24"/>
          <w:lang w:eastAsia="en-GB"/>
        </w:rPr>
      </w:pPr>
      <w:r>
        <w:rPr>
          <w:rFonts w:eastAsia="Times New Roman"/>
          <w:noProof/>
          <w:color w:val="000000"/>
          <w:szCs w:val="24"/>
          <w:lang w:eastAsia="en-GB"/>
        </w:rPr>
        <w:t xml:space="preserve">1. When a movement certificate EUR.1 is issued or an origin declaration is made out in a CEFTA Party for originating products, in the manufacture of which goods coming from other CEFTA Parties which have undergone working or processing in these Parties without having obtained preferential originating status, have been used, account shall be taken of the supplier’s declaration given for those goods in accordance with this Article. </w:t>
      </w:r>
    </w:p>
    <w:p>
      <w:pPr>
        <w:autoSpaceDE w:val="0"/>
        <w:autoSpaceDN w:val="0"/>
        <w:adjustRightInd w:val="0"/>
        <w:spacing w:before="0" w:after="0"/>
        <w:rPr>
          <w:rFonts w:eastAsia="Times New Roman"/>
          <w:noProof/>
          <w:color w:val="000000"/>
          <w:szCs w:val="24"/>
          <w:lang w:eastAsia="en-GB"/>
        </w:rPr>
      </w:pPr>
    </w:p>
    <w:p>
      <w:pPr>
        <w:autoSpaceDE w:val="0"/>
        <w:autoSpaceDN w:val="0"/>
        <w:adjustRightInd w:val="0"/>
        <w:spacing w:before="0" w:after="0"/>
        <w:rPr>
          <w:rFonts w:eastAsia="Times New Roman"/>
          <w:noProof/>
          <w:color w:val="000000"/>
          <w:szCs w:val="24"/>
          <w:lang w:eastAsia="en-GB"/>
        </w:rPr>
      </w:pPr>
      <w:r>
        <w:rPr>
          <w:rFonts w:eastAsia="Times New Roman"/>
          <w:noProof/>
          <w:color w:val="000000"/>
          <w:szCs w:val="24"/>
          <w:lang w:eastAsia="en-GB"/>
        </w:rPr>
        <w:lastRenderedPageBreak/>
        <w:t xml:space="preserve">2. The supplier’s declaration referred to in paragraph 1 of this Article shall serve as evidence of the working or processing undergone in the CEFTA Parties by the goods concerned for the purpose of determining whether the products in the manufacture of which these goods are used, can be considered as products originating in the CEFTA Parties or fulfil the other requirements of Appendix I. </w:t>
      </w:r>
    </w:p>
    <w:p>
      <w:pPr>
        <w:autoSpaceDE w:val="0"/>
        <w:autoSpaceDN w:val="0"/>
        <w:adjustRightInd w:val="0"/>
        <w:spacing w:before="0" w:after="0"/>
        <w:rPr>
          <w:rFonts w:eastAsia="Times New Roman"/>
          <w:noProof/>
          <w:color w:val="000000"/>
          <w:szCs w:val="24"/>
          <w:lang w:eastAsia="en-GB"/>
        </w:rPr>
      </w:pPr>
    </w:p>
    <w:p>
      <w:pPr>
        <w:autoSpaceDE w:val="0"/>
        <w:autoSpaceDN w:val="0"/>
        <w:adjustRightInd w:val="0"/>
        <w:spacing w:before="0" w:after="0"/>
        <w:rPr>
          <w:rFonts w:eastAsia="Times New Roman"/>
          <w:noProof/>
          <w:color w:val="000000"/>
          <w:szCs w:val="24"/>
          <w:lang w:eastAsia="en-GB"/>
        </w:rPr>
      </w:pPr>
      <w:r>
        <w:rPr>
          <w:rFonts w:eastAsia="Times New Roman"/>
          <w:noProof/>
          <w:color w:val="000000"/>
          <w:szCs w:val="24"/>
          <w:lang w:eastAsia="en-GB"/>
        </w:rPr>
        <w:t xml:space="preserve">3. A separate supplier’s declaration shall, except in the cases provided in paragraph 4 of this Article, be made out by the supplier for each consignment of goods in the form prescribed in Annex G to this appendix on a sheet of paper annexed to the invoice, the delivery note or any other commercial document describing the goods concerned in sufficient detail to enable them to be identified. </w:t>
      </w:r>
    </w:p>
    <w:p>
      <w:pPr>
        <w:autoSpaceDE w:val="0"/>
        <w:autoSpaceDN w:val="0"/>
        <w:adjustRightInd w:val="0"/>
        <w:spacing w:before="0" w:after="0"/>
        <w:rPr>
          <w:rFonts w:eastAsia="Times New Roman"/>
          <w:noProof/>
          <w:color w:val="000000"/>
          <w:szCs w:val="24"/>
          <w:lang w:eastAsia="en-GB"/>
        </w:rPr>
      </w:pPr>
    </w:p>
    <w:p>
      <w:pPr>
        <w:autoSpaceDE w:val="0"/>
        <w:autoSpaceDN w:val="0"/>
        <w:adjustRightInd w:val="0"/>
        <w:spacing w:before="0" w:after="0"/>
        <w:rPr>
          <w:rFonts w:eastAsia="Times New Roman"/>
          <w:noProof/>
          <w:color w:val="000000"/>
          <w:szCs w:val="24"/>
          <w:lang w:eastAsia="en-GB"/>
        </w:rPr>
      </w:pPr>
      <w:r>
        <w:rPr>
          <w:rFonts w:eastAsia="Times New Roman"/>
          <w:noProof/>
          <w:color w:val="000000"/>
          <w:szCs w:val="24"/>
          <w:lang w:eastAsia="en-GB"/>
        </w:rPr>
        <w:t xml:space="preserve">4. Where a supplier regularly supplies a particular customer with goods for which the working or processing undergone in the CEFTA Parties is expected to remain constant for a considerable period of time, he may provide a single supplier’s declaration to cover subsequent consignments of those goods (hereinafter referred to as a “long-term supplier’s declaration”). </w:t>
      </w:r>
    </w:p>
    <w:p>
      <w:pPr>
        <w:autoSpaceDE w:val="0"/>
        <w:autoSpaceDN w:val="0"/>
        <w:adjustRightInd w:val="0"/>
        <w:spacing w:before="0" w:after="0"/>
        <w:rPr>
          <w:rFonts w:eastAsia="Times New Roman"/>
          <w:noProof/>
          <w:color w:val="000000"/>
          <w:szCs w:val="24"/>
          <w:lang w:eastAsia="en-GB"/>
        </w:rPr>
      </w:pPr>
    </w:p>
    <w:p>
      <w:pPr>
        <w:autoSpaceDE w:val="0"/>
        <w:autoSpaceDN w:val="0"/>
        <w:adjustRightInd w:val="0"/>
        <w:spacing w:before="0" w:after="0"/>
        <w:rPr>
          <w:rFonts w:eastAsia="Times New Roman"/>
          <w:noProof/>
          <w:color w:val="000000"/>
          <w:szCs w:val="24"/>
          <w:lang w:eastAsia="en-GB"/>
        </w:rPr>
      </w:pPr>
      <w:r>
        <w:rPr>
          <w:rFonts w:eastAsia="Times New Roman"/>
          <w:noProof/>
          <w:color w:val="000000"/>
          <w:szCs w:val="24"/>
          <w:lang w:eastAsia="en-GB"/>
        </w:rPr>
        <w:t xml:space="preserve">A long-term supplier’s declaration may normally be valid for a period of up to one year from the date of making out the declaration. The customs authority of a CEFTA Party where the declaration is made out lays down the conditions under which longer periods may be used. </w:t>
      </w:r>
    </w:p>
    <w:p>
      <w:pPr>
        <w:autoSpaceDE w:val="0"/>
        <w:autoSpaceDN w:val="0"/>
        <w:adjustRightInd w:val="0"/>
        <w:spacing w:before="0" w:after="0"/>
        <w:rPr>
          <w:rFonts w:eastAsia="Times New Roman"/>
          <w:noProof/>
          <w:color w:val="000000"/>
          <w:szCs w:val="24"/>
          <w:lang w:eastAsia="en-GB"/>
        </w:rPr>
      </w:pPr>
    </w:p>
    <w:p>
      <w:pPr>
        <w:autoSpaceDE w:val="0"/>
        <w:autoSpaceDN w:val="0"/>
        <w:adjustRightInd w:val="0"/>
        <w:spacing w:before="0" w:after="0"/>
        <w:rPr>
          <w:rFonts w:eastAsia="Times New Roman"/>
          <w:noProof/>
          <w:color w:val="000000"/>
          <w:szCs w:val="24"/>
          <w:lang w:eastAsia="en-GB"/>
        </w:rPr>
      </w:pPr>
      <w:r>
        <w:rPr>
          <w:rFonts w:eastAsia="Times New Roman"/>
          <w:noProof/>
          <w:color w:val="000000"/>
          <w:szCs w:val="24"/>
          <w:lang w:eastAsia="en-GB"/>
        </w:rPr>
        <w:t>The long-term supplier’s declaration shall be made out by the supplier in the form prescribed in Annex H of this Appendix and shall describe the goods concerned in sufficient detail to enable them to be identified. It shall be provided to the customer concerned before he is supplied with the first consignment of goods covered by that declaration or together with his first consignment.</w:t>
      </w:r>
    </w:p>
    <w:p>
      <w:pPr>
        <w:autoSpaceDE w:val="0"/>
        <w:autoSpaceDN w:val="0"/>
        <w:adjustRightInd w:val="0"/>
        <w:spacing w:before="0" w:after="0"/>
        <w:rPr>
          <w:rFonts w:eastAsia="Times New Roman"/>
          <w:noProof/>
          <w:color w:val="000000"/>
          <w:szCs w:val="24"/>
          <w:lang w:eastAsia="en-GB"/>
        </w:rPr>
      </w:pPr>
    </w:p>
    <w:p>
      <w:pPr>
        <w:autoSpaceDE w:val="0"/>
        <w:autoSpaceDN w:val="0"/>
        <w:adjustRightInd w:val="0"/>
        <w:spacing w:before="0" w:after="0"/>
        <w:rPr>
          <w:rFonts w:eastAsia="Times New Roman"/>
          <w:noProof/>
          <w:color w:val="000000"/>
          <w:szCs w:val="24"/>
          <w:lang w:eastAsia="en-GB"/>
        </w:rPr>
      </w:pPr>
      <w:r>
        <w:rPr>
          <w:rFonts w:eastAsia="Times New Roman"/>
          <w:noProof/>
          <w:color w:val="000000"/>
          <w:szCs w:val="24"/>
          <w:lang w:eastAsia="en-GB"/>
        </w:rPr>
        <w:t xml:space="preserve">The supplier shall inform his customer immediately if the long-term supplier’s declaration is no longer applicable to the goods supplied. </w:t>
      </w:r>
    </w:p>
    <w:p>
      <w:pPr>
        <w:autoSpaceDE w:val="0"/>
        <w:autoSpaceDN w:val="0"/>
        <w:adjustRightInd w:val="0"/>
        <w:spacing w:before="0" w:after="0"/>
        <w:rPr>
          <w:rFonts w:eastAsia="Times New Roman"/>
          <w:noProof/>
          <w:color w:val="000000"/>
          <w:szCs w:val="24"/>
          <w:lang w:eastAsia="en-GB"/>
        </w:rPr>
      </w:pPr>
    </w:p>
    <w:p>
      <w:pPr>
        <w:autoSpaceDE w:val="0"/>
        <w:autoSpaceDN w:val="0"/>
        <w:adjustRightInd w:val="0"/>
        <w:spacing w:before="0" w:after="0"/>
        <w:rPr>
          <w:rFonts w:eastAsia="Times New Roman"/>
          <w:noProof/>
          <w:color w:val="000000"/>
          <w:szCs w:val="24"/>
          <w:lang w:eastAsia="en-GB"/>
        </w:rPr>
      </w:pPr>
      <w:r>
        <w:rPr>
          <w:rFonts w:eastAsia="Times New Roman"/>
          <w:noProof/>
          <w:color w:val="000000"/>
          <w:szCs w:val="24"/>
          <w:lang w:eastAsia="en-GB"/>
        </w:rPr>
        <w:t xml:space="preserve">5. The supplier’s declarations referred to in paragraphs 3 and 4 of this Article shall be typed or printed in English, in accordance with the provisions of the national law of the CEFTA Party concerned where the declaration is made out, and shall bear the original signature of the supplier in manuscript. The declaration may also be handwritten; in such a case, it shall be written in ink in printed characters. </w:t>
      </w:r>
    </w:p>
    <w:p>
      <w:pPr>
        <w:autoSpaceDE w:val="0"/>
        <w:autoSpaceDN w:val="0"/>
        <w:adjustRightInd w:val="0"/>
        <w:spacing w:before="0" w:after="0"/>
        <w:rPr>
          <w:rFonts w:eastAsia="Times New Roman"/>
          <w:noProof/>
          <w:color w:val="000000"/>
          <w:szCs w:val="24"/>
          <w:lang w:eastAsia="en-GB"/>
        </w:rPr>
      </w:pPr>
    </w:p>
    <w:p>
      <w:pPr>
        <w:autoSpaceDE w:val="0"/>
        <w:autoSpaceDN w:val="0"/>
        <w:adjustRightInd w:val="0"/>
        <w:spacing w:before="0" w:after="0"/>
        <w:rPr>
          <w:rFonts w:eastAsia="Times New Roman"/>
          <w:noProof/>
          <w:color w:val="000000"/>
          <w:szCs w:val="24"/>
          <w:lang w:eastAsia="en-GB"/>
        </w:rPr>
      </w:pPr>
      <w:r>
        <w:rPr>
          <w:rFonts w:eastAsia="Times New Roman"/>
          <w:noProof/>
          <w:color w:val="000000"/>
          <w:szCs w:val="24"/>
          <w:lang w:eastAsia="en-GB"/>
        </w:rPr>
        <w:t xml:space="preserve">6. The supplier making out a declaration shall be prepared to submit at any time, at the request of the customs authority of the CEFTA Party where the declaration is made out, all appropriate documents proving that the information given on that declaration is correct. </w:t>
      </w:r>
    </w:p>
    <w:p>
      <w:pPr>
        <w:autoSpaceDE w:val="0"/>
        <w:autoSpaceDN w:val="0"/>
        <w:adjustRightInd w:val="0"/>
        <w:spacing w:before="0" w:after="0"/>
        <w:rPr>
          <w:rFonts w:eastAsia="Times New Roman"/>
          <w:noProof/>
          <w:color w:val="000000"/>
          <w:szCs w:val="24"/>
          <w:lang w:eastAsia="en-GB"/>
        </w:rPr>
      </w:pPr>
    </w:p>
    <w:p>
      <w:pPr>
        <w:autoSpaceDE w:val="0"/>
        <w:autoSpaceDN w:val="0"/>
        <w:adjustRightInd w:val="0"/>
        <w:spacing w:before="0" w:after="0"/>
        <w:jc w:val="center"/>
        <w:rPr>
          <w:rFonts w:eastAsia="Times New Roman"/>
          <w:i/>
          <w:noProof/>
          <w:color w:val="000000"/>
          <w:szCs w:val="24"/>
          <w:lang w:eastAsia="en-GB"/>
        </w:rPr>
      </w:pPr>
      <w:r>
        <w:rPr>
          <w:rFonts w:eastAsia="Times New Roman"/>
          <w:bCs/>
          <w:i/>
          <w:noProof/>
          <w:color w:val="000000"/>
          <w:szCs w:val="24"/>
          <w:lang w:eastAsia="en-GB"/>
        </w:rPr>
        <w:t>Article 5</w:t>
      </w:r>
    </w:p>
    <w:p>
      <w:pPr>
        <w:autoSpaceDE w:val="0"/>
        <w:autoSpaceDN w:val="0"/>
        <w:adjustRightInd w:val="0"/>
        <w:spacing w:before="0" w:after="0"/>
        <w:jc w:val="center"/>
        <w:rPr>
          <w:rFonts w:eastAsia="Times New Roman"/>
          <w:b/>
          <w:bCs/>
          <w:noProof/>
          <w:color w:val="000000"/>
          <w:szCs w:val="24"/>
          <w:lang w:eastAsia="en-GB"/>
        </w:rPr>
      </w:pPr>
      <w:r>
        <w:rPr>
          <w:rFonts w:eastAsia="Times New Roman"/>
          <w:b/>
          <w:bCs/>
          <w:noProof/>
          <w:color w:val="000000"/>
          <w:szCs w:val="24"/>
          <w:lang w:eastAsia="en-GB"/>
        </w:rPr>
        <w:t>Supporting documents</w:t>
      </w:r>
    </w:p>
    <w:p>
      <w:pPr>
        <w:autoSpaceDE w:val="0"/>
        <w:autoSpaceDN w:val="0"/>
        <w:adjustRightInd w:val="0"/>
        <w:spacing w:before="0" w:after="0"/>
        <w:jc w:val="center"/>
        <w:rPr>
          <w:rFonts w:eastAsia="Times New Roman"/>
          <w:noProof/>
          <w:color w:val="000000"/>
          <w:szCs w:val="24"/>
          <w:lang w:eastAsia="en-GB"/>
        </w:rPr>
      </w:pPr>
    </w:p>
    <w:p>
      <w:pPr>
        <w:autoSpaceDE w:val="0"/>
        <w:autoSpaceDN w:val="0"/>
        <w:adjustRightInd w:val="0"/>
        <w:spacing w:before="0" w:after="0"/>
        <w:rPr>
          <w:rFonts w:eastAsia="Times New Roman"/>
          <w:noProof/>
          <w:color w:val="000000"/>
          <w:szCs w:val="24"/>
          <w:lang w:eastAsia="en-GB"/>
        </w:rPr>
      </w:pPr>
      <w:r>
        <w:rPr>
          <w:rFonts w:eastAsia="Times New Roman"/>
          <w:noProof/>
          <w:color w:val="000000"/>
          <w:szCs w:val="24"/>
          <w:lang w:eastAsia="en-GB"/>
        </w:rPr>
        <w:t xml:space="preserve">Supplier’s declarations proving the working or processing undergone in the CEFTA Parties by materials used, made out in one of these parties, shall be treated as a document referred to in Articles 16(3) and 21(5) of Appendix I and Article 4(6) of this Annex used for the purpose of proving that products covered by a movement certificate EUR.1 or an origin declaration </w:t>
      </w:r>
      <w:r>
        <w:rPr>
          <w:rFonts w:eastAsia="Times New Roman"/>
          <w:noProof/>
          <w:color w:val="000000"/>
          <w:szCs w:val="24"/>
          <w:lang w:eastAsia="en-GB"/>
        </w:rPr>
        <w:lastRenderedPageBreak/>
        <w:t>may be considered as products originating in a CEFTA Party and fulfil the other requirements of Appendix I.</w:t>
      </w:r>
    </w:p>
    <w:p>
      <w:pPr>
        <w:autoSpaceDE w:val="0"/>
        <w:autoSpaceDN w:val="0"/>
        <w:adjustRightInd w:val="0"/>
        <w:spacing w:before="0" w:after="0"/>
        <w:rPr>
          <w:rFonts w:eastAsia="Times New Roman"/>
          <w:noProof/>
          <w:color w:val="000000"/>
          <w:szCs w:val="24"/>
          <w:lang w:eastAsia="en-GB"/>
        </w:rPr>
      </w:pPr>
    </w:p>
    <w:p>
      <w:pPr>
        <w:autoSpaceDE w:val="0"/>
        <w:autoSpaceDN w:val="0"/>
        <w:adjustRightInd w:val="0"/>
        <w:spacing w:before="0" w:after="0"/>
        <w:rPr>
          <w:rFonts w:eastAsia="Times New Roman"/>
          <w:noProof/>
          <w:color w:val="000000"/>
          <w:szCs w:val="24"/>
          <w:lang w:eastAsia="en-GB"/>
        </w:rPr>
      </w:pPr>
    </w:p>
    <w:p>
      <w:pPr>
        <w:autoSpaceDE w:val="0"/>
        <w:autoSpaceDN w:val="0"/>
        <w:adjustRightInd w:val="0"/>
        <w:spacing w:before="0" w:after="0"/>
        <w:jc w:val="center"/>
        <w:rPr>
          <w:rFonts w:eastAsia="Times New Roman"/>
          <w:bCs/>
          <w:i/>
          <w:noProof/>
          <w:color w:val="000000"/>
          <w:szCs w:val="24"/>
          <w:lang w:eastAsia="en-GB"/>
        </w:rPr>
      </w:pPr>
    </w:p>
    <w:p>
      <w:pPr>
        <w:autoSpaceDE w:val="0"/>
        <w:autoSpaceDN w:val="0"/>
        <w:adjustRightInd w:val="0"/>
        <w:spacing w:before="0" w:after="0"/>
        <w:jc w:val="center"/>
        <w:rPr>
          <w:rFonts w:eastAsia="Times New Roman"/>
          <w:bCs/>
          <w:i/>
          <w:noProof/>
          <w:color w:val="000000"/>
          <w:szCs w:val="24"/>
          <w:lang w:eastAsia="en-GB"/>
        </w:rPr>
      </w:pPr>
    </w:p>
    <w:p>
      <w:pPr>
        <w:autoSpaceDE w:val="0"/>
        <w:autoSpaceDN w:val="0"/>
        <w:adjustRightInd w:val="0"/>
        <w:spacing w:before="0" w:after="0"/>
        <w:jc w:val="center"/>
        <w:rPr>
          <w:rFonts w:eastAsia="Times New Roman"/>
          <w:i/>
          <w:noProof/>
          <w:color w:val="000000"/>
          <w:szCs w:val="24"/>
          <w:lang w:eastAsia="en-GB"/>
        </w:rPr>
      </w:pPr>
      <w:r>
        <w:rPr>
          <w:rFonts w:eastAsia="Times New Roman"/>
          <w:bCs/>
          <w:i/>
          <w:noProof/>
          <w:color w:val="000000"/>
          <w:szCs w:val="24"/>
          <w:lang w:eastAsia="en-GB"/>
        </w:rPr>
        <w:t>Article 6</w:t>
      </w:r>
    </w:p>
    <w:p>
      <w:pPr>
        <w:autoSpaceDE w:val="0"/>
        <w:autoSpaceDN w:val="0"/>
        <w:adjustRightInd w:val="0"/>
        <w:spacing w:before="0" w:after="0"/>
        <w:jc w:val="center"/>
        <w:rPr>
          <w:rFonts w:eastAsia="Times New Roman"/>
          <w:noProof/>
          <w:color w:val="000000"/>
          <w:szCs w:val="24"/>
          <w:lang w:eastAsia="en-GB"/>
        </w:rPr>
      </w:pPr>
      <w:r>
        <w:rPr>
          <w:rFonts w:eastAsia="Times New Roman"/>
          <w:b/>
          <w:bCs/>
          <w:noProof/>
          <w:color w:val="000000"/>
          <w:szCs w:val="24"/>
          <w:lang w:eastAsia="en-GB"/>
        </w:rPr>
        <w:t>Preservation of supplier’s declarations</w:t>
      </w:r>
    </w:p>
    <w:p>
      <w:pPr>
        <w:autoSpaceDE w:val="0"/>
        <w:autoSpaceDN w:val="0"/>
        <w:adjustRightInd w:val="0"/>
        <w:spacing w:before="0" w:after="0"/>
        <w:rPr>
          <w:rFonts w:eastAsia="Times New Roman"/>
          <w:noProof/>
          <w:color w:val="000000"/>
          <w:szCs w:val="24"/>
          <w:lang w:eastAsia="en-GB"/>
        </w:rPr>
      </w:pPr>
    </w:p>
    <w:p>
      <w:pPr>
        <w:autoSpaceDE w:val="0"/>
        <w:autoSpaceDN w:val="0"/>
        <w:adjustRightInd w:val="0"/>
        <w:spacing w:before="0" w:after="0"/>
        <w:rPr>
          <w:rFonts w:eastAsia="Times New Roman"/>
          <w:noProof/>
          <w:color w:val="000000"/>
          <w:szCs w:val="24"/>
          <w:lang w:eastAsia="en-GB"/>
        </w:rPr>
      </w:pPr>
      <w:r>
        <w:rPr>
          <w:rFonts w:eastAsia="Times New Roman"/>
          <w:noProof/>
          <w:color w:val="000000"/>
          <w:szCs w:val="24"/>
          <w:lang w:eastAsia="en-GB"/>
        </w:rPr>
        <w:t xml:space="preserve">The supplier making out a supplier’s declaration shall keep for at least three years copies of the declaration and of all the invoices, delivery notes or other commercial documents to which that declaration is annexed as well as the documents referred to in Article 4(6) of this Annex. </w:t>
      </w:r>
    </w:p>
    <w:p>
      <w:pPr>
        <w:autoSpaceDE w:val="0"/>
        <w:autoSpaceDN w:val="0"/>
        <w:adjustRightInd w:val="0"/>
        <w:spacing w:before="0" w:after="0"/>
        <w:rPr>
          <w:rFonts w:eastAsia="Times New Roman"/>
          <w:noProof/>
          <w:color w:val="000000"/>
          <w:szCs w:val="24"/>
          <w:lang w:eastAsia="en-GB"/>
        </w:rPr>
      </w:pPr>
    </w:p>
    <w:p>
      <w:pPr>
        <w:autoSpaceDE w:val="0"/>
        <w:autoSpaceDN w:val="0"/>
        <w:adjustRightInd w:val="0"/>
        <w:spacing w:before="0" w:after="0"/>
        <w:rPr>
          <w:rFonts w:eastAsia="Times New Roman"/>
          <w:noProof/>
          <w:color w:val="000000"/>
          <w:szCs w:val="24"/>
          <w:lang w:eastAsia="en-GB"/>
        </w:rPr>
      </w:pPr>
      <w:r>
        <w:rPr>
          <w:rFonts w:eastAsia="Times New Roman"/>
          <w:noProof/>
          <w:color w:val="000000"/>
          <w:szCs w:val="24"/>
          <w:lang w:eastAsia="en-GB"/>
        </w:rPr>
        <w:t xml:space="preserve">The supplier making out of a long-term supplier’s declaration shall keep for at least three years copies of the declaration and of all the invoices, delivery notes or other commercial documents concerning goods covered by that declaration sent to the customer concerned, as well as the documents referred to in Article 4(6) of this Annex. This period shall begin from the date of expiry of validity of the long-term supplier’s declaration. </w:t>
      </w:r>
    </w:p>
    <w:p>
      <w:pPr>
        <w:autoSpaceDE w:val="0"/>
        <w:autoSpaceDN w:val="0"/>
        <w:adjustRightInd w:val="0"/>
        <w:spacing w:before="0" w:after="0"/>
        <w:rPr>
          <w:rFonts w:eastAsia="Times New Roman"/>
          <w:noProof/>
          <w:color w:val="000000"/>
          <w:szCs w:val="24"/>
          <w:lang w:eastAsia="en-GB"/>
        </w:rPr>
      </w:pPr>
    </w:p>
    <w:p>
      <w:pPr>
        <w:autoSpaceDE w:val="0"/>
        <w:autoSpaceDN w:val="0"/>
        <w:adjustRightInd w:val="0"/>
        <w:spacing w:before="0" w:after="0"/>
        <w:jc w:val="center"/>
        <w:rPr>
          <w:rFonts w:eastAsia="Times New Roman"/>
          <w:i/>
          <w:noProof/>
          <w:color w:val="000000"/>
          <w:szCs w:val="24"/>
          <w:lang w:eastAsia="en-GB"/>
        </w:rPr>
      </w:pPr>
      <w:r>
        <w:rPr>
          <w:rFonts w:eastAsia="Times New Roman"/>
          <w:bCs/>
          <w:i/>
          <w:noProof/>
          <w:color w:val="000000"/>
          <w:szCs w:val="24"/>
          <w:lang w:eastAsia="en-GB"/>
        </w:rPr>
        <w:t>Article 7</w:t>
      </w:r>
    </w:p>
    <w:p>
      <w:pPr>
        <w:autoSpaceDE w:val="0"/>
        <w:autoSpaceDN w:val="0"/>
        <w:adjustRightInd w:val="0"/>
        <w:spacing w:before="0" w:after="0"/>
        <w:jc w:val="center"/>
        <w:rPr>
          <w:rFonts w:eastAsia="Times New Roman"/>
          <w:noProof/>
          <w:color w:val="000000"/>
          <w:szCs w:val="24"/>
          <w:lang w:eastAsia="en-GB"/>
        </w:rPr>
      </w:pPr>
      <w:r>
        <w:rPr>
          <w:rFonts w:eastAsia="Times New Roman"/>
          <w:b/>
          <w:bCs/>
          <w:noProof/>
          <w:color w:val="000000"/>
          <w:szCs w:val="24"/>
          <w:lang w:eastAsia="en-GB"/>
        </w:rPr>
        <w:t>Administrative cooperation</w:t>
      </w:r>
    </w:p>
    <w:p>
      <w:pPr>
        <w:autoSpaceDE w:val="0"/>
        <w:autoSpaceDN w:val="0"/>
        <w:adjustRightInd w:val="0"/>
        <w:spacing w:before="0" w:after="0"/>
        <w:rPr>
          <w:rFonts w:eastAsia="Times New Roman"/>
          <w:noProof/>
          <w:color w:val="000000"/>
          <w:szCs w:val="24"/>
          <w:lang w:eastAsia="en-GB"/>
        </w:rPr>
      </w:pPr>
    </w:p>
    <w:p>
      <w:pPr>
        <w:autoSpaceDE w:val="0"/>
        <w:autoSpaceDN w:val="0"/>
        <w:adjustRightInd w:val="0"/>
        <w:spacing w:before="0" w:after="0"/>
        <w:rPr>
          <w:rFonts w:eastAsia="Times New Roman"/>
          <w:noProof/>
          <w:color w:val="000000"/>
          <w:szCs w:val="24"/>
          <w:lang w:eastAsia="en-GB"/>
        </w:rPr>
      </w:pPr>
      <w:r>
        <w:rPr>
          <w:rFonts w:eastAsia="Times New Roman"/>
          <w:noProof/>
          <w:color w:val="000000"/>
          <w:szCs w:val="24"/>
          <w:lang w:eastAsia="en-GB"/>
        </w:rPr>
        <w:t xml:space="preserve">Without prejudice to Articles 31 and 32 of Appendix I, in order to ensure the proper application of this Annex, the CEFTA Parties shall assist each other, through the competent customs authorities, in checking the authenticity of the movement certificates EUR.1, the origin declarations or the supplier’s declarations and the correctness of the information given in these documents. </w:t>
      </w:r>
    </w:p>
    <w:p>
      <w:pPr>
        <w:autoSpaceDE w:val="0"/>
        <w:autoSpaceDN w:val="0"/>
        <w:adjustRightInd w:val="0"/>
        <w:spacing w:before="0" w:after="0"/>
        <w:rPr>
          <w:rFonts w:eastAsia="Times New Roman"/>
          <w:b/>
          <w:bCs/>
          <w:noProof/>
          <w:color w:val="000000"/>
          <w:szCs w:val="24"/>
          <w:lang w:eastAsia="en-GB"/>
        </w:rPr>
      </w:pPr>
    </w:p>
    <w:p>
      <w:pPr>
        <w:autoSpaceDE w:val="0"/>
        <w:autoSpaceDN w:val="0"/>
        <w:adjustRightInd w:val="0"/>
        <w:spacing w:before="0" w:after="0"/>
        <w:jc w:val="center"/>
        <w:rPr>
          <w:rFonts w:eastAsia="Times New Roman"/>
          <w:i/>
          <w:noProof/>
          <w:color w:val="000000"/>
          <w:szCs w:val="24"/>
          <w:lang w:eastAsia="en-GB"/>
        </w:rPr>
      </w:pPr>
      <w:r>
        <w:rPr>
          <w:rFonts w:eastAsia="Times New Roman"/>
          <w:bCs/>
          <w:i/>
          <w:noProof/>
          <w:color w:val="000000"/>
          <w:szCs w:val="24"/>
          <w:lang w:eastAsia="en-GB"/>
        </w:rPr>
        <w:t>Article 8</w:t>
      </w:r>
    </w:p>
    <w:p>
      <w:pPr>
        <w:autoSpaceDE w:val="0"/>
        <w:autoSpaceDN w:val="0"/>
        <w:adjustRightInd w:val="0"/>
        <w:spacing w:before="0" w:after="0"/>
        <w:jc w:val="center"/>
        <w:rPr>
          <w:rFonts w:eastAsia="Times New Roman"/>
          <w:noProof/>
          <w:color w:val="000000"/>
          <w:szCs w:val="24"/>
          <w:lang w:eastAsia="en-GB"/>
        </w:rPr>
      </w:pPr>
      <w:r>
        <w:rPr>
          <w:rFonts w:eastAsia="Times New Roman"/>
          <w:b/>
          <w:bCs/>
          <w:noProof/>
          <w:color w:val="000000"/>
          <w:szCs w:val="24"/>
          <w:lang w:eastAsia="en-GB"/>
        </w:rPr>
        <w:t>Verification of supplier’s declarations</w:t>
      </w:r>
    </w:p>
    <w:p>
      <w:pPr>
        <w:autoSpaceDE w:val="0"/>
        <w:autoSpaceDN w:val="0"/>
        <w:adjustRightInd w:val="0"/>
        <w:spacing w:before="0" w:after="0"/>
        <w:rPr>
          <w:rFonts w:eastAsia="Times New Roman"/>
          <w:noProof/>
          <w:color w:val="000000"/>
          <w:szCs w:val="24"/>
          <w:lang w:eastAsia="en-GB"/>
        </w:rPr>
      </w:pPr>
    </w:p>
    <w:p>
      <w:pPr>
        <w:autoSpaceDE w:val="0"/>
        <w:autoSpaceDN w:val="0"/>
        <w:adjustRightInd w:val="0"/>
        <w:spacing w:before="0" w:after="0"/>
        <w:rPr>
          <w:rFonts w:eastAsia="Times New Roman"/>
          <w:noProof/>
          <w:color w:val="000000"/>
          <w:szCs w:val="24"/>
          <w:lang w:eastAsia="en-GB"/>
        </w:rPr>
      </w:pPr>
      <w:r>
        <w:rPr>
          <w:rFonts w:eastAsia="Times New Roman"/>
          <w:noProof/>
          <w:color w:val="000000"/>
          <w:szCs w:val="24"/>
          <w:lang w:eastAsia="en-GB"/>
        </w:rPr>
        <w:t xml:space="preserve">1. Subsequent verifications of supplier’s declarations or long-term supplier’s declarations may be carried out at random or whenever the customs authority of the Party where such declarations have been taken into account to use a movement certificate EUR.1 or to make out an origin declaration have reasonable doubts as to the authenticity of the document or the correctness of the information given in this document. </w:t>
      </w:r>
    </w:p>
    <w:p>
      <w:pPr>
        <w:autoSpaceDE w:val="0"/>
        <w:autoSpaceDN w:val="0"/>
        <w:adjustRightInd w:val="0"/>
        <w:spacing w:before="0" w:after="0"/>
        <w:rPr>
          <w:rFonts w:eastAsia="Times New Roman"/>
          <w:noProof/>
          <w:color w:val="000000"/>
          <w:szCs w:val="24"/>
          <w:lang w:eastAsia="en-GB"/>
        </w:rPr>
      </w:pPr>
    </w:p>
    <w:p>
      <w:pPr>
        <w:autoSpaceDE w:val="0"/>
        <w:autoSpaceDN w:val="0"/>
        <w:adjustRightInd w:val="0"/>
        <w:spacing w:before="0" w:after="0"/>
        <w:rPr>
          <w:rFonts w:eastAsia="Times New Roman"/>
          <w:noProof/>
          <w:color w:val="000000"/>
          <w:szCs w:val="24"/>
          <w:lang w:eastAsia="en-GB"/>
        </w:rPr>
      </w:pPr>
      <w:r>
        <w:rPr>
          <w:rFonts w:eastAsia="Times New Roman"/>
          <w:noProof/>
          <w:color w:val="000000"/>
          <w:szCs w:val="24"/>
          <w:lang w:eastAsia="en-GB"/>
        </w:rPr>
        <w:t xml:space="preserve">2. For the purposes of implementing the provisions of paragraph 1 of this Article, the customs authority of the Party referred to in paragraph 1 of this Article shall return the supplier’s declaration or the long-term supplier’s declaration and invoices, delivery notes or other commercial documents concerning goods covered by such declaration, to the customs authority of the Party where the declaration was made out, giving, where appropriate, the reasons of substance or form of the request for verification. </w:t>
      </w:r>
    </w:p>
    <w:p>
      <w:pPr>
        <w:autoSpaceDE w:val="0"/>
        <w:autoSpaceDN w:val="0"/>
        <w:adjustRightInd w:val="0"/>
        <w:spacing w:before="0" w:after="0"/>
        <w:rPr>
          <w:rFonts w:eastAsia="Times New Roman"/>
          <w:noProof/>
          <w:color w:val="000000"/>
          <w:szCs w:val="24"/>
          <w:lang w:eastAsia="en-GB"/>
        </w:rPr>
      </w:pPr>
    </w:p>
    <w:p>
      <w:pPr>
        <w:autoSpaceDE w:val="0"/>
        <w:autoSpaceDN w:val="0"/>
        <w:adjustRightInd w:val="0"/>
        <w:spacing w:before="0" w:after="0"/>
        <w:rPr>
          <w:rFonts w:eastAsia="Times New Roman"/>
          <w:noProof/>
          <w:color w:val="000000"/>
          <w:szCs w:val="24"/>
          <w:lang w:eastAsia="en-GB"/>
        </w:rPr>
      </w:pPr>
      <w:r>
        <w:rPr>
          <w:rFonts w:eastAsia="Times New Roman"/>
          <w:noProof/>
          <w:color w:val="000000"/>
          <w:szCs w:val="24"/>
          <w:lang w:eastAsia="en-GB"/>
        </w:rPr>
        <w:t>They shall forward, in support of the request for subsequent verification, any documents and information that have been obtained, suggesting that the information given in the supplier’s declaration or the long-term supplier’s declaration is incorrect.</w:t>
      </w:r>
    </w:p>
    <w:p>
      <w:pPr>
        <w:autoSpaceDE w:val="0"/>
        <w:autoSpaceDN w:val="0"/>
        <w:adjustRightInd w:val="0"/>
        <w:spacing w:before="0" w:after="0"/>
        <w:rPr>
          <w:rFonts w:eastAsia="Times New Roman"/>
          <w:noProof/>
          <w:color w:val="000000"/>
          <w:szCs w:val="24"/>
          <w:lang w:eastAsia="en-GB"/>
        </w:rPr>
      </w:pPr>
    </w:p>
    <w:p>
      <w:pPr>
        <w:autoSpaceDE w:val="0"/>
        <w:autoSpaceDN w:val="0"/>
        <w:adjustRightInd w:val="0"/>
        <w:spacing w:before="0" w:after="0"/>
        <w:rPr>
          <w:rFonts w:eastAsia="Times New Roman"/>
          <w:noProof/>
          <w:color w:val="000000"/>
          <w:szCs w:val="24"/>
          <w:lang w:eastAsia="en-GB"/>
        </w:rPr>
      </w:pPr>
      <w:r>
        <w:rPr>
          <w:rFonts w:eastAsia="Times New Roman"/>
          <w:noProof/>
          <w:color w:val="000000"/>
          <w:szCs w:val="24"/>
          <w:lang w:eastAsia="en-GB"/>
        </w:rPr>
        <w:lastRenderedPageBreak/>
        <w:t xml:space="preserve">3. The verification shall be carried out by the customs authority of the Party where the supplier’s declaration or the long-term supplier’s declaration was made out. For this purpose, they shall have the right to call for any evidence and carry out any inspection of the supplier’s accounts or any other check which they consider appropriate. </w:t>
      </w:r>
    </w:p>
    <w:p>
      <w:pPr>
        <w:autoSpaceDE w:val="0"/>
        <w:autoSpaceDN w:val="0"/>
        <w:adjustRightInd w:val="0"/>
        <w:spacing w:before="0" w:after="0"/>
        <w:rPr>
          <w:rFonts w:eastAsia="Times New Roman"/>
          <w:noProof/>
          <w:color w:val="000000"/>
          <w:szCs w:val="24"/>
          <w:lang w:eastAsia="en-GB"/>
        </w:rPr>
      </w:pPr>
    </w:p>
    <w:p>
      <w:pPr>
        <w:autoSpaceDE w:val="0"/>
        <w:autoSpaceDN w:val="0"/>
        <w:adjustRightInd w:val="0"/>
        <w:spacing w:before="0" w:after="0"/>
        <w:rPr>
          <w:rFonts w:eastAsia="Times New Roman"/>
          <w:noProof/>
          <w:color w:val="000000"/>
          <w:szCs w:val="24"/>
          <w:lang w:eastAsia="en-GB"/>
        </w:rPr>
      </w:pPr>
      <w:r>
        <w:rPr>
          <w:rFonts w:eastAsia="Times New Roman"/>
          <w:noProof/>
          <w:color w:val="000000"/>
          <w:szCs w:val="24"/>
          <w:lang w:eastAsia="en-GB"/>
        </w:rPr>
        <w:t xml:space="preserve">4. The customs authority requesting the verification shall be informed of the results thereof as soon as possible. These results shall indicate clearly whether the information given in the supplier’s declaration or the long-term supplier’s declaration is correct and make it possible for them to determine whether and to what extent such declaration could be taken into account for issuing a movement certificate EUR.1 or for making out an origin declaration. </w:t>
      </w:r>
    </w:p>
    <w:p>
      <w:pPr>
        <w:autoSpaceDE w:val="0"/>
        <w:autoSpaceDN w:val="0"/>
        <w:adjustRightInd w:val="0"/>
        <w:spacing w:before="0" w:after="0"/>
        <w:rPr>
          <w:rFonts w:eastAsia="Times New Roman"/>
          <w:noProof/>
          <w:color w:val="000000"/>
          <w:szCs w:val="24"/>
          <w:lang w:eastAsia="en-GB"/>
        </w:rPr>
      </w:pPr>
    </w:p>
    <w:p>
      <w:pPr>
        <w:autoSpaceDE w:val="0"/>
        <w:autoSpaceDN w:val="0"/>
        <w:adjustRightInd w:val="0"/>
        <w:spacing w:before="0" w:after="0"/>
        <w:jc w:val="center"/>
        <w:rPr>
          <w:rFonts w:eastAsia="Times New Roman"/>
          <w:i/>
          <w:noProof/>
          <w:color w:val="000000"/>
          <w:szCs w:val="24"/>
          <w:lang w:eastAsia="en-GB"/>
        </w:rPr>
      </w:pPr>
      <w:r>
        <w:rPr>
          <w:rFonts w:eastAsia="Times New Roman"/>
          <w:bCs/>
          <w:i/>
          <w:noProof/>
          <w:color w:val="000000"/>
          <w:szCs w:val="24"/>
          <w:lang w:eastAsia="en-GB"/>
        </w:rPr>
        <w:t>Article 9</w:t>
      </w:r>
    </w:p>
    <w:p>
      <w:pPr>
        <w:autoSpaceDE w:val="0"/>
        <w:autoSpaceDN w:val="0"/>
        <w:adjustRightInd w:val="0"/>
        <w:spacing w:before="0" w:after="0"/>
        <w:jc w:val="center"/>
        <w:rPr>
          <w:rFonts w:eastAsia="Times New Roman"/>
          <w:noProof/>
          <w:color w:val="000000"/>
          <w:szCs w:val="24"/>
          <w:lang w:eastAsia="en-GB"/>
        </w:rPr>
      </w:pPr>
      <w:r>
        <w:rPr>
          <w:rFonts w:eastAsia="Times New Roman"/>
          <w:b/>
          <w:bCs/>
          <w:noProof/>
          <w:color w:val="000000"/>
          <w:szCs w:val="24"/>
          <w:lang w:eastAsia="en-GB"/>
        </w:rPr>
        <w:t>Penalties</w:t>
      </w:r>
    </w:p>
    <w:p>
      <w:pPr>
        <w:autoSpaceDE w:val="0"/>
        <w:autoSpaceDN w:val="0"/>
        <w:adjustRightInd w:val="0"/>
        <w:spacing w:before="0" w:after="0"/>
        <w:rPr>
          <w:rFonts w:eastAsia="Times New Roman"/>
          <w:noProof/>
          <w:color w:val="000000"/>
          <w:szCs w:val="24"/>
          <w:lang w:eastAsia="en-GB"/>
        </w:rPr>
      </w:pPr>
    </w:p>
    <w:p>
      <w:pPr>
        <w:autoSpaceDE w:val="0"/>
        <w:autoSpaceDN w:val="0"/>
        <w:adjustRightInd w:val="0"/>
        <w:spacing w:before="0" w:after="0"/>
        <w:rPr>
          <w:rFonts w:eastAsia="Times New Roman"/>
          <w:noProof/>
          <w:color w:val="000000"/>
          <w:szCs w:val="24"/>
          <w:lang w:eastAsia="en-GB"/>
        </w:rPr>
      </w:pPr>
      <w:r>
        <w:rPr>
          <w:rFonts w:eastAsia="Times New Roman"/>
          <w:noProof/>
          <w:color w:val="000000"/>
          <w:szCs w:val="24"/>
          <w:lang w:eastAsia="en-GB"/>
        </w:rPr>
        <w:t xml:space="preserve">Penalties shall be imposed on any person who draws up, or causes to be drawn up, a document which contains incorrect information for the purpose of obtaining a preferential treatment for products. </w:t>
      </w:r>
    </w:p>
    <w:p>
      <w:pPr>
        <w:autoSpaceDE w:val="0"/>
        <w:autoSpaceDN w:val="0"/>
        <w:adjustRightInd w:val="0"/>
        <w:spacing w:before="0" w:after="0"/>
        <w:rPr>
          <w:rFonts w:eastAsia="Times New Roman"/>
          <w:noProof/>
          <w:color w:val="000000"/>
          <w:szCs w:val="24"/>
          <w:lang w:eastAsia="en-GB"/>
        </w:rPr>
      </w:pPr>
    </w:p>
    <w:p>
      <w:pPr>
        <w:autoSpaceDE w:val="0"/>
        <w:autoSpaceDN w:val="0"/>
        <w:adjustRightInd w:val="0"/>
        <w:spacing w:before="0" w:after="0"/>
        <w:rPr>
          <w:rFonts w:eastAsia="Times New Roman"/>
          <w:noProof/>
          <w:color w:val="000000"/>
          <w:szCs w:val="24"/>
          <w:lang w:eastAsia="en-GB"/>
        </w:rPr>
      </w:pPr>
    </w:p>
    <w:p>
      <w:pPr>
        <w:autoSpaceDE w:val="0"/>
        <w:autoSpaceDN w:val="0"/>
        <w:adjustRightInd w:val="0"/>
        <w:spacing w:before="0" w:after="0"/>
        <w:jc w:val="center"/>
        <w:rPr>
          <w:rFonts w:eastAsia="Times New Roman"/>
          <w:i/>
          <w:noProof/>
          <w:color w:val="000000"/>
          <w:szCs w:val="24"/>
          <w:lang w:eastAsia="en-GB"/>
        </w:rPr>
      </w:pPr>
      <w:r>
        <w:rPr>
          <w:rFonts w:eastAsia="Times New Roman"/>
          <w:bCs/>
          <w:i/>
          <w:noProof/>
          <w:color w:val="000000"/>
          <w:szCs w:val="24"/>
          <w:lang w:eastAsia="en-GB"/>
        </w:rPr>
        <w:t>Article 10</w:t>
      </w:r>
    </w:p>
    <w:p>
      <w:pPr>
        <w:autoSpaceDE w:val="0"/>
        <w:autoSpaceDN w:val="0"/>
        <w:adjustRightInd w:val="0"/>
        <w:spacing w:before="0" w:after="0"/>
        <w:jc w:val="center"/>
        <w:rPr>
          <w:rFonts w:eastAsia="Times New Roman"/>
          <w:noProof/>
          <w:color w:val="000000"/>
          <w:szCs w:val="24"/>
          <w:lang w:eastAsia="en-GB"/>
        </w:rPr>
      </w:pPr>
      <w:r>
        <w:rPr>
          <w:rFonts w:eastAsia="Times New Roman"/>
          <w:b/>
          <w:bCs/>
          <w:noProof/>
          <w:color w:val="000000"/>
          <w:szCs w:val="24"/>
          <w:lang w:eastAsia="en-GB"/>
        </w:rPr>
        <w:t>Prohibition of drawback, or of exemption from, customs duties</w:t>
      </w:r>
    </w:p>
    <w:p>
      <w:pPr>
        <w:autoSpaceDE w:val="0"/>
        <w:autoSpaceDN w:val="0"/>
        <w:adjustRightInd w:val="0"/>
        <w:spacing w:before="0" w:after="0"/>
        <w:rPr>
          <w:rFonts w:eastAsia="Times New Roman"/>
          <w:noProof/>
          <w:color w:val="000000"/>
          <w:szCs w:val="24"/>
          <w:lang w:eastAsia="en-GB"/>
        </w:rPr>
      </w:pPr>
    </w:p>
    <w:p>
      <w:pPr>
        <w:autoSpaceDE w:val="0"/>
        <w:autoSpaceDN w:val="0"/>
        <w:adjustRightInd w:val="0"/>
        <w:spacing w:before="0" w:after="0"/>
        <w:rPr>
          <w:rFonts w:eastAsia="Times New Roman"/>
          <w:noProof/>
          <w:color w:val="000000"/>
          <w:szCs w:val="24"/>
          <w:lang w:eastAsia="en-GB"/>
        </w:rPr>
      </w:pPr>
      <w:r>
        <w:rPr>
          <w:rFonts w:eastAsia="Times New Roman"/>
          <w:noProof/>
          <w:color w:val="000000"/>
          <w:szCs w:val="24"/>
          <w:lang w:eastAsia="en-GB"/>
        </w:rPr>
        <w:t>The prohibition in paragraph 1 of Article 14 of Appendix I shall not apply in bilateral trade between CEFTA Parties.</w:t>
      </w:r>
    </w:p>
    <w:p>
      <w:pPr>
        <w:autoSpaceDE w:val="0"/>
        <w:autoSpaceDN w:val="0"/>
        <w:adjustRightInd w:val="0"/>
        <w:spacing w:before="0" w:after="0"/>
        <w:jc w:val="center"/>
        <w:rPr>
          <w:rFonts w:eastAsia="Times New Roman"/>
          <w:noProof/>
          <w:color w:val="000000"/>
          <w:szCs w:val="24"/>
          <w:lang w:eastAsia="en-GB"/>
        </w:rPr>
        <w:sectPr>
          <w:footerReference w:type="default" r:id="rId16"/>
          <w:footerReference w:type="first" r:id="rId17"/>
          <w:pgSz w:w="11907" w:h="16839"/>
          <w:pgMar w:top="1134" w:right="1417" w:bottom="1134" w:left="1417" w:header="709" w:footer="709" w:gutter="0"/>
          <w:cols w:space="720"/>
          <w:docGrid w:linePitch="360"/>
        </w:sectPr>
      </w:pPr>
    </w:p>
    <w:p>
      <w:pPr>
        <w:autoSpaceDE w:val="0"/>
        <w:autoSpaceDN w:val="0"/>
        <w:adjustRightInd w:val="0"/>
        <w:spacing w:before="0" w:after="0"/>
        <w:jc w:val="center"/>
        <w:rPr>
          <w:rFonts w:eastAsia="Times New Roman"/>
          <w:noProof/>
          <w:color w:val="000000"/>
          <w:szCs w:val="24"/>
          <w:lang w:eastAsia="en-GB"/>
        </w:rPr>
      </w:pPr>
      <w:r>
        <w:rPr>
          <w:rFonts w:eastAsia="Times New Roman"/>
          <w:noProof/>
          <w:color w:val="000000"/>
          <w:szCs w:val="24"/>
          <w:lang w:eastAsia="en-GB"/>
        </w:rPr>
        <w:lastRenderedPageBreak/>
        <w:t>ANNEX II</w:t>
      </w:r>
    </w:p>
    <w:p>
      <w:pPr>
        <w:autoSpaceDE w:val="0"/>
        <w:autoSpaceDN w:val="0"/>
        <w:adjustRightInd w:val="0"/>
        <w:spacing w:before="0" w:after="0"/>
        <w:rPr>
          <w:rFonts w:eastAsia="Times New Roman"/>
          <w:noProof/>
          <w:color w:val="000000"/>
          <w:szCs w:val="24"/>
          <w:lang w:eastAsia="en-GB"/>
        </w:rPr>
      </w:pPr>
    </w:p>
    <w:p>
      <w:pPr>
        <w:autoSpaceDE w:val="0"/>
        <w:autoSpaceDN w:val="0"/>
        <w:adjustRightInd w:val="0"/>
        <w:spacing w:before="0" w:after="0"/>
        <w:jc w:val="center"/>
        <w:rPr>
          <w:rFonts w:eastAsia="Times New Roman"/>
          <w:i/>
          <w:noProof/>
          <w:color w:val="000000"/>
          <w:szCs w:val="24"/>
          <w:lang w:eastAsia="en-GB"/>
        </w:rPr>
      </w:pPr>
      <w:r>
        <w:rPr>
          <w:rFonts w:eastAsia="Times New Roman"/>
          <w:i/>
          <w:noProof/>
          <w:color w:val="000000"/>
          <w:szCs w:val="24"/>
          <w:lang w:eastAsia="en-GB"/>
        </w:rPr>
        <w:t>ANNEX G of Appendix II</w:t>
      </w:r>
    </w:p>
    <w:p>
      <w:pPr>
        <w:autoSpaceDE w:val="0"/>
        <w:autoSpaceDN w:val="0"/>
        <w:adjustRightInd w:val="0"/>
        <w:spacing w:before="0" w:after="0"/>
        <w:rPr>
          <w:rFonts w:eastAsia="Times New Roman"/>
          <w:b/>
          <w:bCs/>
          <w:noProof/>
          <w:color w:val="000000"/>
          <w:szCs w:val="24"/>
          <w:lang w:eastAsia="en-GB"/>
        </w:rPr>
      </w:pPr>
    </w:p>
    <w:p>
      <w:pPr>
        <w:autoSpaceDE w:val="0"/>
        <w:autoSpaceDN w:val="0"/>
        <w:adjustRightInd w:val="0"/>
        <w:spacing w:before="0" w:after="0"/>
        <w:jc w:val="center"/>
        <w:rPr>
          <w:rFonts w:eastAsia="Times New Roman"/>
          <w:b/>
          <w:bCs/>
          <w:noProof/>
          <w:color w:val="000000"/>
          <w:szCs w:val="24"/>
          <w:lang w:eastAsia="en-GB"/>
        </w:rPr>
      </w:pPr>
      <w:r>
        <w:rPr>
          <w:rFonts w:eastAsia="Times New Roman"/>
          <w:b/>
          <w:bCs/>
          <w:noProof/>
          <w:color w:val="000000"/>
          <w:szCs w:val="24"/>
          <w:lang w:eastAsia="en-GB"/>
        </w:rPr>
        <w:t>Supplier’s declaration for goods which have undergone working or processing in the CEFTA Parties without having obtained preferential origin status</w:t>
      </w:r>
    </w:p>
    <w:p>
      <w:pPr>
        <w:autoSpaceDE w:val="0"/>
        <w:autoSpaceDN w:val="0"/>
        <w:adjustRightInd w:val="0"/>
        <w:spacing w:before="0" w:after="0"/>
        <w:rPr>
          <w:rFonts w:eastAsia="Times New Roman"/>
          <w:b/>
          <w:bCs/>
          <w:noProof/>
          <w:color w:val="000000"/>
          <w:szCs w:val="24"/>
          <w:lang w:eastAsia="en-GB"/>
        </w:rPr>
      </w:pPr>
    </w:p>
    <w:p>
      <w:pPr>
        <w:autoSpaceDE w:val="0"/>
        <w:autoSpaceDN w:val="0"/>
        <w:adjustRightInd w:val="0"/>
        <w:spacing w:before="0" w:after="0"/>
        <w:rPr>
          <w:rFonts w:eastAsia="Times New Roman"/>
          <w:noProof/>
          <w:color w:val="000000"/>
          <w:szCs w:val="24"/>
          <w:lang w:eastAsia="en-GB"/>
        </w:rPr>
      </w:pPr>
    </w:p>
    <w:p>
      <w:pPr>
        <w:autoSpaceDE w:val="0"/>
        <w:autoSpaceDN w:val="0"/>
        <w:adjustRightInd w:val="0"/>
        <w:spacing w:before="0" w:after="0"/>
        <w:rPr>
          <w:rFonts w:eastAsia="Times New Roman"/>
          <w:noProof/>
          <w:color w:val="000000"/>
          <w:szCs w:val="24"/>
          <w:lang w:eastAsia="en-GB"/>
        </w:rPr>
      </w:pPr>
      <w:r>
        <w:rPr>
          <w:rFonts w:eastAsia="Times New Roman"/>
          <w:noProof/>
          <w:color w:val="000000"/>
          <w:szCs w:val="24"/>
          <w:lang w:eastAsia="en-GB"/>
        </w:rPr>
        <w:t xml:space="preserve">The supplier’s declaration, the text of which is given below, must be made out in accordance with the footnotes. However, the footnotes do not have to be reproduced. </w:t>
      </w:r>
    </w:p>
    <w:p>
      <w:pPr>
        <w:autoSpaceDE w:val="0"/>
        <w:autoSpaceDN w:val="0"/>
        <w:adjustRightInd w:val="0"/>
        <w:spacing w:before="0" w:after="0"/>
        <w:rPr>
          <w:rFonts w:eastAsia="Times New Roman"/>
          <w:b/>
          <w:bCs/>
          <w:noProof/>
          <w:color w:val="000000"/>
          <w:szCs w:val="24"/>
          <w:lang w:eastAsia="en-GB"/>
        </w:rPr>
      </w:pPr>
    </w:p>
    <w:p>
      <w:pPr>
        <w:autoSpaceDE w:val="0"/>
        <w:autoSpaceDN w:val="0"/>
        <w:adjustRightInd w:val="0"/>
        <w:spacing w:before="0" w:after="0"/>
        <w:jc w:val="center"/>
        <w:rPr>
          <w:rFonts w:eastAsia="Times New Roman"/>
          <w:b/>
          <w:bCs/>
          <w:noProof/>
          <w:color w:val="000000"/>
          <w:szCs w:val="24"/>
          <w:lang w:eastAsia="en-GB"/>
        </w:rPr>
      </w:pPr>
      <w:r>
        <w:rPr>
          <w:rFonts w:eastAsia="Times New Roman"/>
          <w:b/>
          <w:bCs/>
          <w:noProof/>
          <w:color w:val="000000"/>
          <w:szCs w:val="24"/>
          <w:lang w:eastAsia="en-GB"/>
        </w:rPr>
        <w:t>SUPPLIER’S DECLARATION</w:t>
      </w:r>
    </w:p>
    <w:p>
      <w:pPr>
        <w:autoSpaceDE w:val="0"/>
        <w:autoSpaceDN w:val="0"/>
        <w:adjustRightInd w:val="0"/>
        <w:spacing w:before="0" w:after="0"/>
        <w:jc w:val="center"/>
        <w:rPr>
          <w:rFonts w:eastAsia="Times New Roman"/>
          <w:bCs/>
          <w:noProof/>
          <w:color w:val="000000"/>
          <w:szCs w:val="24"/>
          <w:lang w:eastAsia="en-GB"/>
        </w:rPr>
      </w:pPr>
      <w:r>
        <w:rPr>
          <w:rFonts w:eastAsia="Times New Roman"/>
          <w:bCs/>
          <w:noProof/>
          <w:color w:val="000000"/>
          <w:szCs w:val="24"/>
          <w:lang w:eastAsia="en-GB"/>
        </w:rPr>
        <w:t>for goods which have undergone working or processing in the CEFTA Parties without having obtained preferential origin status</w:t>
      </w:r>
    </w:p>
    <w:p>
      <w:pPr>
        <w:autoSpaceDE w:val="0"/>
        <w:autoSpaceDN w:val="0"/>
        <w:adjustRightInd w:val="0"/>
        <w:spacing w:before="0" w:after="0"/>
        <w:rPr>
          <w:rFonts w:eastAsia="Times New Roman"/>
          <w:noProof/>
          <w:color w:val="000000"/>
          <w:szCs w:val="24"/>
          <w:lang w:eastAsia="en-GB"/>
        </w:rPr>
      </w:pPr>
    </w:p>
    <w:p>
      <w:pPr>
        <w:autoSpaceDE w:val="0"/>
        <w:autoSpaceDN w:val="0"/>
        <w:adjustRightInd w:val="0"/>
        <w:spacing w:before="0" w:after="0"/>
        <w:rPr>
          <w:rFonts w:eastAsia="Times New Roman"/>
          <w:noProof/>
          <w:color w:val="000000"/>
          <w:szCs w:val="24"/>
          <w:lang w:eastAsia="en-GB"/>
        </w:rPr>
      </w:pPr>
    </w:p>
    <w:p>
      <w:pPr>
        <w:autoSpaceDE w:val="0"/>
        <w:autoSpaceDN w:val="0"/>
        <w:adjustRightInd w:val="0"/>
        <w:spacing w:before="0" w:after="0"/>
        <w:rPr>
          <w:rFonts w:eastAsia="Times New Roman"/>
          <w:noProof/>
          <w:color w:val="000000"/>
          <w:szCs w:val="24"/>
          <w:lang w:eastAsia="en-GB"/>
        </w:rPr>
      </w:pPr>
      <w:r>
        <w:rPr>
          <w:rFonts w:eastAsia="Times New Roman"/>
          <w:noProof/>
          <w:color w:val="000000"/>
          <w:szCs w:val="24"/>
          <w:lang w:eastAsia="en-GB"/>
        </w:rPr>
        <w:t>I, the undersigned, supplier of the goods covered by the annexed document, declare that:</w:t>
      </w:r>
    </w:p>
    <w:p>
      <w:pPr>
        <w:autoSpaceDE w:val="0"/>
        <w:autoSpaceDN w:val="0"/>
        <w:adjustRightInd w:val="0"/>
        <w:spacing w:before="0" w:after="0"/>
        <w:jc w:val="left"/>
        <w:rPr>
          <w:rFonts w:eastAsia="Times New Roman"/>
          <w:noProof/>
          <w:color w:val="000000"/>
          <w:szCs w:val="24"/>
          <w:lang w:eastAsia="en-GB"/>
        </w:rPr>
      </w:pPr>
    </w:p>
    <w:p>
      <w:pPr>
        <w:autoSpaceDE w:val="0"/>
        <w:autoSpaceDN w:val="0"/>
        <w:adjustRightInd w:val="0"/>
        <w:spacing w:before="0" w:after="0"/>
        <w:jc w:val="left"/>
        <w:rPr>
          <w:rFonts w:eastAsia="Times New Roman"/>
          <w:noProof/>
          <w:color w:val="000000"/>
          <w:szCs w:val="24"/>
          <w:lang w:eastAsia="en-GB"/>
        </w:rPr>
      </w:pPr>
      <w:r>
        <w:rPr>
          <w:rFonts w:eastAsia="Times New Roman"/>
          <w:noProof/>
          <w:color w:val="000000"/>
          <w:szCs w:val="24"/>
          <w:lang w:eastAsia="en-GB"/>
        </w:rPr>
        <w:t xml:space="preserve">1. The following materials which do not originate in the CEFTA Parties have been used in the CEFTA Parties to produce these goods: </w:t>
      </w:r>
    </w:p>
    <w:p>
      <w:pPr>
        <w:autoSpaceDE w:val="0"/>
        <w:autoSpaceDN w:val="0"/>
        <w:adjustRightInd w:val="0"/>
        <w:spacing w:before="0" w:after="0"/>
        <w:rPr>
          <w:rFonts w:eastAsia="Times New Roman"/>
          <w:noProof/>
          <w:color w:val="000000"/>
          <w:szCs w:val="24"/>
          <w:lang w:eastAsia="en-GB"/>
        </w:rPr>
      </w:pPr>
    </w:p>
    <w:p>
      <w:pPr>
        <w:autoSpaceDE w:val="0"/>
        <w:autoSpaceDN w:val="0"/>
        <w:adjustRightInd w:val="0"/>
        <w:spacing w:before="0" w:after="0"/>
        <w:contextualSpacing/>
        <w:mirrorIndents/>
        <w:rPr>
          <w:rFonts w:eastAsia="Times New Roman"/>
          <w:noProof/>
          <w:color w:val="000000"/>
          <w:szCs w:val="24"/>
          <w:lang w:eastAsia="en-GB"/>
        </w:rPr>
      </w:pPr>
    </w:p>
    <w:p>
      <w:pPr>
        <w:autoSpaceDE w:val="0"/>
        <w:autoSpaceDN w:val="0"/>
        <w:adjustRightInd w:val="0"/>
        <w:spacing w:before="0" w:after="0"/>
        <w:contextualSpacing/>
        <w:mirrorIndents/>
        <w:jc w:val="left"/>
        <w:rPr>
          <w:rFonts w:eastAsia="Times New Roman"/>
          <w:noProof/>
          <w:color w:val="000000"/>
          <w:szCs w:val="24"/>
          <w:lang w:eastAsia="en-GB"/>
        </w:rPr>
        <w:sectPr>
          <w:pgSz w:w="11907" w:h="16839"/>
          <w:pgMar w:top="1134" w:right="1417" w:bottom="1134" w:left="1417" w:header="709" w:footer="709"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6"/>
        <w:gridCol w:w="2106"/>
        <w:gridCol w:w="2106"/>
        <w:gridCol w:w="2108"/>
      </w:tblGrid>
      <w:tr>
        <w:trPr>
          <w:trHeight w:val="377"/>
        </w:trPr>
        <w:tc>
          <w:tcPr>
            <w:tcW w:w="2106" w:type="dxa"/>
          </w:tcPr>
          <w:p>
            <w:pPr>
              <w:autoSpaceDE w:val="0"/>
              <w:autoSpaceDN w:val="0"/>
              <w:adjustRightInd w:val="0"/>
              <w:spacing w:before="0" w:after="0"/>
              <w:contextualSpacing/>
              <w:mirrorIndents/>
              <w:jc w:val="left"/>
              <w:rPr>
                <w:rFonts w:eastAsia="Times New Roman"/>
                <w:noProof/>
                <w:color w:val="000000"/>
                <w:szCs w:val="24"/>
                <w:lang w:eastAsia="en-GB"/>
              </w:rPr>
            </w:pPr>
            <w:r>
              <w:rPr>
                <w:rFonts w:eastAsia="Times New Roman"/>
                <w:noProof/>
                <w:color w:val="000000"/>
                <w:szCs w:val="24"/>
                <w:lang w:eastAsia="en-GB"/>
              </w:rPr>
              <w:lastRenderedPageBreak/>
              <w:t xml:space="preserve">Description of the </w:t>
            </w:r>
          </w:p>
          <w:p>
            <w:pPr>
              <w:autoSpaceDE w:val="0"/>
              <w:autoSpaceDN w:val="0"/>
              <w:adjustRightInd w:val="0"/>
              <w:spacing w:before="0" w:after="0"/>
              <w:contextualSpacing/>
              <w:mirrorIndents/>
              <w:rPr>
                <w:rFonts w:eastAsia="Times New Roman"/>
                <w:noProof/>
                <w:color w:val="000000"/>
                <w:szCs w:val="24"/>
                <w:lang w:eastAsia="en-GB"/>
              </w:rPr>
            </w:pPr>
            <w:r>
              <w:rPr>
                <w:rFonts w:eastAsia="Times New Roman"/>
                <w:noProof/>
                <w:color w:val="000000"/>
                <w:szCs w:val="24"/>
                <w:lang w:eastAsia="en-GB"/>
              </w:rPr>
              <w:t>goods supplied(</w:t>
            </w:r>
            <w:r>
              <w:rPr>
                <w:rStyle w:val="FootnoteReference"/>
                <w:noProof/>
              </w:rPr>
              <w:footnoteReference w:id="2"/>
            </w:r>
            <w:r>
              <w:rPr>
                <w:rFonts w:eastAsia="Times New Roman"/>
                <w:noProof/>
                <w:color w:val="000000"/>
                <w:szCs w:val="24"/>
                <w:lang w:eastAsia="en-GB"/>
              </w:rPr>
              <w:t>)</w:t>
            </w:r>
          </w:p>
        </w:tc>
        <w:tc>
          <w:tcPr>
            <w:tcW w:w="2106" w:type="dxa"/>
          </w:tcPr>
          <w:p>
            <w:pPr>
              <w:autoSpaceDE w:val="0"/>
              <w:autoSpaceDN w:val="0"/>
              <w:adjustRightInd w:val="0"/>
              <w:spacing w:before="0" w:after="0"/>
              <w:contextualSpacing/>
              <w:mirrorIndents/>
              <w:rPr>
                <w:rFonts w:eastAsia="Times New Roman"/>
                <w:noProof/>
                <w:color w:val="000000"/>
                <w:szCs w:val="24"/>
                <w:lang w:eastAsia="en-GB"/>
              </w:rPr>
            </w:pPr>
            <w:r>
              <w:rPr>
                <w:rFonts w:eastAsia="Times New Roman"/>
                <w:noProof/>
                <w:color w:val="000000"/>
                <w:szCs w:val="24"/>
                <w:lang w:eastAsia="en-GB"/>
              </w:rPr>
              <w:t xml:space="preserve">Description of </w:t>
            </w:r>
          </w:p>
          <w:p>
            <w:pPr>
              <w:autoSpaceDE w:val="0"/>
              <w:autoSpaceDN w:val="0"/>
              <w:adjustRightInd w:val="0"/>
              <w:spacing w:before="0" w:after="0"/>
              <w:contextualSpacing/>
              <w:mirrorIndents/>
              <w:rPr>
                <w:rFonts w:eastAsia="Times New Roman"/>
                <w:noProof/>
                <w:color w:val="000000"/>
                <w:szCs w:val="24"/>
                <w:lang w:eastAsia="en-GB"/>
              </w:rPr>
            </w:pPr>
            <w:r>
              <w:rPr>
                <w:rFonts w:eastAsia="Times New Roman"/>
                <w:noProof/>
                <w:color w:val="000000"/>
                <w:szCs w:val="24"/>
                <w:lang w:eastAsia="en-GB"/>
              </w:rPr>
              <w:t xml:space="preserve">non-originating </w:t>
            </w:r>
          </w:p>
          <w:p>
            <w:pPr>
              <w:autoSpaceDE w:val="0"/>
              <w:autoSpaceDN w:val="0"/>
              <w:adjustRightInd w:val="0"/>
              <w:spacing w:before="0" w:after="0"/>
              <w:contextualSpacing/>
              <w:mirrorIndents/>
              <w:rPr>
                <w:rFonts w:eastAsia="Times New Roman"/>
                <w:noProof/>
                <w:color w:val="000000"/>
                <w:szCs w:val="24"/>
                <w:lang w:eastAsia="en-GB"/>
              </w:rPr>
            </w:pPr>
            <w:r>
              <w:rPr>
                <w:rFonts w:eastAsia="Times New Roman"/>
                <w:noProof/>
                <w:color w:val="000000"/>
                <w:szCs w:val="24"/>
                <w:lang w:eastAsia="en-GB"/>
              </w:rPr>
              <w:t xml:space="preserve">materials used </w:t>
            </w:r>
          </w:p>
        </w:tc>
        <w:tc>
          <w:tcPr>
            <w:tcW w:w="2106" w:type="dxa"/>
          </w:tcPr>
          <w:p>
            <w:pPr>
              <w:autoSpaceDE w:val="0"/>
              <w:autoSpaceDN w:val="0"/>
              <w:adjustRightInd w:val="0"/>
              <w:spacing w:before="0" w:after="0"/>
              <w:contextualSpacing/>
              <w:mirrorIndents/>
              <w:rPr>
                <w:rFonts w:eastAsia="Times New Roman"/>
                <w:noProof/>
                <w:color w:val="000000"/>
                <w:szCs w:val="24"/>
                <w:lang w:eastAsia="en-GB"/>
              </w:rPr>
            </w:pPr>
            <w:r>
              <w:rPr>
                <w:rFonts w:eastAsia="Times New Roman"/>
                <w:noProof/>
                <w:color w:val="000000"/>
                <w:szCs w:val="24"/>
                <w:lang w:eastAsia="en-GB"/>
              </w:rPr>
              <w:t xml:space="preserve">Heading of </w:t>
            </w:r>
          </w:p>
          <w:p>
            <w:pPr>
              <w:autoSpaceDE w:val="0"/>
              <w:autoSpaceDN w:val="0"/>
              <w:adjustRightInd w:val="0"/>
              <w:spacing w:before="0" w:after="0"/>
              <w:contextualSpacing/>
              <w:mirrorIndents/>
              <w:rPr>
                <w:rFonts w:eastAsia="Times New Roman"/>
                <w:noProof/>
                <w:color w:val="000000"/>
                <w:szCs w:val="24"/>
                <w:lang w:eastAsia="en-GB"/>
              </w:rPr>
            </w:pPr>
            <w:r>
              <w:rPr>
                <w:rFonts w:eastAsia="Times New Roman"/>
                <w:noProof/>
                <w:color w:val="000000"/>
                <w:szCs w:val="24"/>
                <w:lang w:eastAsia="en-GB"/>
              </w:rPr>
              <w:t xml:space="preserve">non-originating </w:t>
            </w:r>
          </w:p>
          <w:p>
            <w:pPr>
              <w:autoSpaceDE w:val="0"/>
              <w:autoSpaceDN w:val="0"/>
              <w:adjustRightInd w:val="0"/>
              <w:spacing w:before="0" w:after="0"/>
              <w:contextualSpacing/>
              <w:mirrorIndents/>
              <w:rPr>
                <w:rFonts w:eastAsia="Times New Roman"/>
                <w:noProof/>
                <w:color w:val="000000"/>
                <w:szCs w:val="24"/>
                <w:lang w:eastAsia="en-GB"/>
              </w:rPr>
            </w:pPr>
            <w:r>
              <w:rPr>
                <w:rFonts w:eastAsia="Times New Roman"/>
                <w:noProof/>
                <w:color w:val="000000"/>
                <w:szCs w:val="24"/>
                <w:lang w:eastAsia="en-GB"/>
              </w:rPr>
              <w:t>materials used(</w:t>
            </w:r>
            <w:r>
              <w:rPr>
                <w:rStyle w:val="FootnoteReference"/>
                <w:noProof/>
              </w:rPr>
              <w:footnoteReference w:id="3"/>
            </w:r>
            <w:r>
              <w:rPr>
                <w:rFonts w:eastAsia="Times New Roman"/>
                <w:noProof/>
                <w:color w:val="000000"/>
                <w:szCs w:val="24"/>
                <w:lang w:eastAsia="en-GB"/>
              </w:rPr>
              <w:t xml:space="preserve">) </w:t>
            </w:r>
          </w:p>
        </w:tc>
        <w:tc>
          <w:tcPr>
            <w:tcW w:w="2108" w:type="dxa"/>
          </w:tcPr>
          <w:p>
            <w:pPr>
              <w:autoSpaceDE w:val="0"/>
              <w:autoSpaceDN w:val="0"/>
              <w:adjustRightInd w:val="0"/>
              <w:spacing w:before="0" w:after="0"/>
              <w:contextualSpacing/>
              <w:mirrorIndents/>
              <w:rPr>
                <w:rFonts w:eastAsia="Times New Roman"/>
                <w:noProof/>
                <w:color w:val="000000"/>
                <w:szCs w:val="24"/>
                <w:lang w:eastAsia="en-GB"/>
              </w:rPr>
            </w:pPr>
            <w:r>
              <w:rPr>
                <w:rFonts w:eastAsia="Times New Roman"/>
                <w:noProof/>
                <w:color w:val="000000"/>
                <w:szCs w:val="24"/>
                <w:lang w:eastAsia="en-GB"/>
              </w:rPr>
              <w:t xml:space="preserve">Value of </w:t>
            </w:r>
          </w:p>
          <w:p>
            <w:pPr>
              <w:autoSpaceDE w:val="0"/>
              <w:autoSpaceDN w:val="0"/>
              <w:adjustRightInd w:val="0"/>
              <w:spacing w:before="0" w:after="0"/>
              <w:contextualSpacing/>
              <w:mirrorIndents/>
              <w:rPr>
                <w:rFonts w:eastAsia="Times New Roman"/>
                <w:noProof/>
                <w:color w:val="000000"/>
                <w:szCs w:val="24"/>
                <w:lang w:eastAsia="en-GB"/>
              </w:rPr>
            </w:pPr>
            <w:r>
              <w:rPr>
                <w:rFonts w:eastAsia="Times New Roman"/>
                <w:noProof/>
                <w:color w:val="000000"/>
                <w:szCs w:val="24"/>
                <w:lang w:eastAsia="en-GB"/>
              </w:rPr>
              <w:t xml:space="preserve">non-originating </w:t>
            </w:r>
          </w:p>
          <w:p>
            <w:pPr>
              <w:autoSpaceDE w:val="0"/>
              <w:autoSpaceDN w:val="0"/>
              <w:adjustRightInd w:val="0"/>
              <w:spacing w:before="0" w:after="0"/>
              <w:contextualSpacing/>
              <w:mirrorIndents/>
              <w:rPr>
                <w:rFonts w:eastAsia="Times New Roman"/>
                <w:noProof/>
                <w:color w:val="000000"/>
                <w:szCs w:val="24"/>
                <w:lang w:eastAsia="en-GB"/>
              </w:rPr>
            </w:pPr>
            <w:r>
              <w:rPr>
                <w:rFonts w:eastAsia="Times New Roman"/>
                <w:noProof/>
                <w:color w:val="000000"/>
                <w:szCs w:val="24"/>
                <w:lang w:eastAsia="en-GB"/>
              </w:rPr>
              <w:t>materials used</w:t>
            </w:r>
            <w:r>
              <w:rPr>
                <w:rFonts w:eastAsia="Times New Roman"/>
                <w:noProof/>
                <w:color w:val="000000"/>
                <w:szCs w:val="24"/>
                <w:vertAlign w:val="superscript"/>
                <w:lang w:eastAsia="en-GB"/>
              </w:rPr>
              <w:t>(</w:t>
            </w:r>
            <w:r>
              <w:rPr>
                <w:rStyle w:val="FootnoteReference"/>
                <w:noProof/>
              </w:rPr>
              <w:footnoteReference w:id="4"/>
            </w:r>
            <w:r>
              <w:rPr>
                <w:rFonts w:eastAsia="Times New Roman"/>
                <w:noProof/>
                <w:color w:val="000000"/>
                <w:szCs w:val="24"/>
                <w:vertAlign w:val="superscript"/>
                <w:lang w:eastAsia="en-GB"/>
              </w:rPr>
              <w:t>)</w:t>
            </w:r>
            <w:r>
              <w:rPr>
                <w:rFonts w:eastAsia="Times New Roman"/>
                <w:noProof/>
                <w:color w:val="000000"/>
                <w:szCs w:val="24"/>
                <w:lang w:eastAsia="en-GB"/>
              </w:rPr>
              <w:t xml:space="preserve"> </w:t>
            </w:r>
          </w:p>
        </w:tc>
      </w:tr>
      <w:tr>
        <w:trPr>
          <w:trHeight w:val="377"/>
        </w:trPr>
        <w:tc>
          <w:tcPr>
            <w:tcW w:w="2106" w:type="dxa"/>
          </w:tcPr>
          <w:p>
            <w:pPr>
              <w:autoSpaceDE w:val="0"/>
              <w:autoSpaceDN w:val="0"/>
              <w:adjustRightInd w:val="0"/>
              <w:spacing w:before="0" w:after="0"/>
              <w:contextualSpacing/>
              <w:mirrorIndents/>
              <w:jc w:val="left"/>
              <w:rPr>
                <w:rFonts w:eastAsia="Times New Roman"/>
                <w:noProof/>
                <w:color w:val="000000"/>
                <w:szCs w:val="24"/>
                <w:lang w:eastAsia="en-GB"/>
              </w:rPr>
            </w:pPr>
          </w:p>
        </w:tc>
        <w:tc>
          <w:tcPr>
            <w:tcW w:w="2106" w:type="dxa"/>
          </w:tcPr>
          <w:p>
            <w:pPr>
              <w:autoSpaceDE w:val="0"/>
              <w:autoSpaceDN w:val="0"/>
              <w:adjustRightInd w:val="0"/>
              <w:spacing w:before="0" w:after="0"/>
              <w:contextualSpacing/>
              <w:mirrorIndents/>
              <w:rPr>
                <w:rFonts w:eastAsia="Times New Roman"/>
                <w:noProof/>
                <w:color w:val="000000"/>
                <w:szCs w:val="24"/>
                <w:lang w:eastAsia="en-GB"/>
              </w:rPr>
            </w:pPr>
          </w:p>
        </w:tc>
        <w:tc>
          <w:tcPr>
            <w:tcW w:w="2106" w:type="dxa"/>
          </w:tcPr>
          <w:p>
            <w:pPr>
              <w:autoSpaceDE w:val="0"/>
              <w:autoSpaceDN w:val="0"/>
              <w:adjustRightInd w:val="0"/>
              <w:spacing w:before="0" w:after="0"/>
              <w:contextualSpacing/>
              <w:mirrorIndents/>
              <w:rPr>
                <w:rFonts w:eastAsia="Times New Roman"/>
                <w:noProof/>
                <w:color w:val="000000"/>
                <w:szCs w:val="24"/>
                <w:lang w:eastAsia="en-GB"/>
              </w:rPr>
            </w:pPr>
          </w:p>
        </w:tc>
        <w:tc>
          <w:tcPr>
            <w:tcW w:w="2108" w:type="dxa"/>
          </w:tcPr>
          <w:p>
            <w:pPr>
              <w:autoSpaceDE w:val="0"/>
              <w:autoSpaceDN w:val="0"/>
              <w:adjustRightInd w:val="0"/>
              <w:spacing w:before="0" w:after="0"/>
              <w:contextualSpacing/>
              <w:mirrorIndents/>
              <w:rPr>
                <w:rFonts w:eastAsia="Times New Roman"/>
                <w:noProof/>
                <w:color w:val="000000"/>
                <w:szCs w:val="24"/>
                <w:lang w:eastAsia="en-GB"/>
              </w:rPr>
            </w:pPr>
          </w:p>
        </w:tc>
      </w:tr>
      <w:tr>
        <w:trPr>
          <w:trHeight w:val="377"/>
        </w:trPr>
        <w:tc>
          <w:tcPr>
            <w:tcW w:w="2106" w:type="dxa"/>
          </w:tcPr>
          <w:p>
            <w:pPr>
              <w:autoSpaceDE w:val="0"/>
              <w:autoSpaceDN w:val="0"/>
              <w:adjustRightInd w:val="0"/>
              <w:spacing w:before="0" w:after="0"/>
              <w:contextualSpacing/>
              <w:mirrorIndents/>
              <w:jc w:val="left"/>
              <w:rPr>
                <w:rFonts w:eastAsia="Times New Roman"/>
                <w:noProof/>
                <w:color w:val="000000"/>
                <w:szCs w:val="24"/>
                <w:lang w:eastAsia="en-GB"/>
              </w:rPr>
            </w:pPr>
          </w:p>
        </w:tc>
        <w:tc>
          <w:tcPr>
            <w:tcW w:w="2106" w:type="dxa"/>
          </w:tcPr>
          <w:p>
            <w:pPr>
              <w:autoSpaceDE w:val="0"/>
              <w:autoSpaceDN w:val="0"/>
              <w:adjustRightInd w:val="0"/>
              <w:spacing w:before="0" w:after="0"/>
              <w:contextualSpacing/>
              <w:mirrorIndents/>
              <w:rPr>
                <w:rFonts w:eastAsia="Times New Roman"/>
                <w:noProof/>
                <w:color w:val="000000"/>
                <w:szCs w:val="24"/>
                <w:lang w:eastAsia="en-GB"/>
              </w:rPr>
            </w:pPr>
          </w:p>
        </w:tc>
        <w:tc>
          <w:tcPr>
            <w:tcW w:w="2106" w:type="dxa"/>
          </w:tcPr>
          <w:p>
            <w:pPr>
              <w:autoSpaceDE w:val="0"/>
              <w:autoSpaceDN w:val="0"/>
              <w:adjustRightInd w:val="0"/>
              <w:spacing w:before="0" w:after="0"/>
              <w:contextualSpacing/>
              <w:mirrorIndents/>
              <w:rPr>
                <w:rFonts w:eastAsia="Times New Roman"/>
                <w:noProof/>
                <w:color w:val="000000"/>
                <w:szCs w:val="24"/>
                <w:lang w:eastAsia="en-GB"/>
              </w:rPr>
            </w:pPr>
          </w:p>
        </w:tc>
        <w:tc>
          <w:tcPr>
            <w:tcW w:w="2108" w:type="dxa"/>
          </w:tcPr>
          <w:p>
            <w:pPr>
              <w:autoSpaceDE w:val="0"/>
              <w:autoSpaceDN w:val="0"/>
              <w:adjustRightInd w:val="0"/>
              <w:spacing w:before="0" w:after="0"/>
              <w:contextualSpacing/>
              <w:mirrorIndents/>
              <w:rPr>
                <w:rFonts w:eastAsia="Times New Roman"/>
                <w:noProof/>
                <w:color w:val="000000"/>
                <w:szCs w:val="24"/>
                <w:lang w:eastAsia="en-GB"/>
              </w:rPr>
            </w:pPr>
          </w:p>
        </w:tc>
      </w:tr>
      <w:tr>
        <w:trPr>
          <w:trHeight w:val="377"/>
        </w:trPr>
        <w:tc>
          <w:tcPr>
            <w:tcW w:w="2106" w:type="dxa"/>
          </w:tcPr>
          <w:p>
            <w:pPr>
              <w:autoSpaceDE w:val="0"/>
              <w:autoSpaceDN w:val="0"/>
              <w:adjustRightInd w:val="0"/>
              <w:spacing w:before="0" w:after="0"/>
              <w:contextualSpacing/>
              <w:mirrorIndents/>
              <w:jc w:val="left"/>
              <w:rPr>
                <w:rFonts w:eastAsia="Times New Roman"/>
                <w:noProof/>
                <w:color w:val="000000"/>
                <w:szCs w:val="24"/>
                <w:lang w:eastAsia="en-GB"/>
              </w:rPr>
            </w:pPr>
          </w:p>
        </w:tc>
        <w:tc>
          <w:tcPr>
            <w:tcW w:w="2106" w:type="dxa"/>
          </w:tcPr>
          <w:p>
            <w:pPr>
              <w:autoSpaceDE w:val="0"/>
              <w:autoSpaceDN w:val="0"/>
              <w:adjustRightInd w:val="0"/>
              <w:spacing w:before="0" w:after="0"/>
              <w:contextualSpacing/>
              <w:mirrorIndents/>
              <w:rPr>
                <w:rFonts w:eastAsia="Times New Roman"/>
                <w:noProof/>
                <w:color w:val="000000"/>
                <w:szCs w:val="24"/>
                <w:lang w:eastAsia="en-GB"/>
              </w:rPr>
            </w:pPr>
          </w:p>
        </w:tc>
        <w:tc>
          <w:tcPr>
            <w:tcW w:w="2106" w:type="dxa"/>
          </w:tcPr>
          <w:p>
            <w:pPr>
              <w:autoSpaceDE w:val="0"/>
              <w:autoSpaceDN w:val="0"/>
              <w:adjustRightInd w:val="0"/>
              <w:spacing w:before="0" w:after="0"/>
              <w:contextualSpacing/>
              <w:mirrorIndents/>
              <w:rPr>
                <w:rFonts w:eastAsia="Times New Roman"/>
                <w:noProof/>
                <w:color w:val="000000"/>
                <w:szCs w:val="24"/>
                <w:lang w:eastAsia="en-GB"/>
              </w:rPr>
            </w:pPr>
          </w:p>
        </w:tc>
        <w:tc>
          <w:tcPr>
            <w:tcW w:w="2108" w:type="dxa"/>
          </w:tcPr>
          <w:p>
            <w:pPr>
              <w:autoSpaceDE w:val="0"/>
              <w:autoSpaceDN w:val="0"/>
              <w:adjustRightInd w:val="0"/>
              <w:spacing w:before="0" w:after="0"/>
              <w:contextualSpacing/>
              <w:mirrorIndents/>
              <w:rPr>
                <w:rFonts w:eastAsia="Times New Roman"/>
                <w:noProof/>
                <w:color w:val="000000"/>
                <w:szCs w:val="24"/>
                <w:lang w:eastAsia="en-GB"/>
              </w:rPr>
            </w:pPr>
          </w:p>
        </w:tc>
      </w:tr>
      <w:tr>
        <w:trPr>
          <w:trHeight w:val="377"/>
        </w:trPr>
        <w:tc>
          <w:tcPr>
            <w:tcW w:w="2106" w:type="dxa"/>
          </w:tcPr>
          <w:p>
            <w:pPr>
              <w:autoSpaceDE w:val="0"/>
              <w:autoSpaceDN w:val="0"/>
              <w:adjustRightInd w:val="0"/>
              <w:spacing w:before="0" w:after="0"/>
              <w:contextualSpacing/>
              <w:mirrorIndents/>
              <w:jc w:val="left"/>
              <w:rPr>
                <w:rFonts w:eastAsia="Times New Roman"/>
                <w:noProof/>
                <w:color w:val="000000"/>
                <w:szCs w:val="24"/>
                <w:lang w:eastAsia="en-GB"/>
              </w:rPr>
            </w:pPr>
          </w:p>
        </w:tc>
        <w:tc>
          <w:tcPr>
            <w:tcW w:w="2106" w:type="dxa"/>
          </w:tcPr>
          <w:p>
            <w:pPr>
              <w:autoSpaceDE w:val="0"/>
              <w:autoSpaceDN w:val="0"/>
              <w:adjustRightInd w:val="0"/>
              <w:spacing w:before="0" w:after="0"/>
              <w:contextualSpacing/>
              <w:mirrorIndents/>
              <w:rPr>
                <w:rFonts w:eastAsia="Times New Roman"/>
                <w:noProof/>
                <w:color w:val="000000"/>
                <w:szCs w:val="24"/>
                <w:lang w:eastAsia="en-GB"/>
              </w:rPr>
            </w:pPr>
          </w:p>
        </w:tc>
        <w:tc>
          <w:tcPr>
            <w:tcW w:w="2106" w:type="dxa"/>
          </w:tcPr>
          <w:p>
            <w:pPr>
              <w:autoSpaceDE w:val="0"/>
              <w:autoSpaceDN w:val="0"/>
              <w:adjustRightInd w:val="0"/>
              <w:spacing w:before="0" w:after="0"/>
              <w:contextualSpacing/>
              <w:mirrorIndents/>
              <w:rPr>
                <w:rFonts w:eastAsia="Times New Roman"/>
                <w:noProof/>
                <w:color w:val="000000"/>
                <w:szCs w:val="24"/>
                <w:lang w:eastAsia="en-GB"/>
              </w:rPr>
            </w:pPr>
          </w:p>
        </w:tc>
        <w:tc>
          <w:tcPr>
            <w:tcW w:w="2108" w:type="dxa"/>
          </w:tcPr>
          <w:p>
            <w:pPr>
              <w:autoSpaceDE w:val="0"/>
              <w:autoSpaceDN w:val="0"/>
              <w:adjustRightInd w:val="0"/>
              <w:spacing w:before="0" w:after="0"/>
              <w:contextualSpacing/>
              <w:mirrorIndents/>
              <w:rPr>
                <w:rFonts w:eastAsia="Times New Roman"/>
                <w:noProof/>
                <w:color w:val="000000"/>
                <w:szCs w:val="24"/>
                <w:lang w:eastAsia="en-GB"/>
              </w:rPr>
            </w:pPr>
          </w:p>
        </w:tc>
      </w:tr>
      <w:tr>
        <w:trPr>
          <w:trHeight w:val="377"/>
        </w:trPr>
        <w:tc>
          <w:tcPr>
            <w:tcW w:w="6318" w:type="dxa"/>
            <w:gridSpan w:val="3"/>
          </w:tcPr>
          <w:p>
            <w:pPr>
              <w:autoSpaceDE w:val="0"/>
              <w:autoSpaceDN w:val="0"/>
              <w:adjustRightInd w:val="0"/>
              <w:spacing w:before="0" w:after="0"/>
              <w:contextualSpacing/>
              <w:mirrorIndents/>
              <w:jc w:val="right"/>
              <w:rPr>
                <w:rFonts w:eastAsia="Times New Roman"/>
                <w:b/>
                <w:noProof/>
                <w:color w:val="000000"/>
                <w:szCs w:val="24"/>
                <w:lang w:eastAsia="en-GB"/>
              </w:rPr>
            </w:pPr>
            <w:r>
              <w:rPr>
                <w:rFonts w:eastAsia="Times New Roman"/>
                <w:b/>
                <w:noProof/>
                <w:color w:val="000000"/>
                <w:szCs w:val="24"/>
                <w:lang w:eastAsia="en-GB"/>
              </w:rPr>
              <w:t>Total value</w:t>
            </w:r>
          </w:p>
        </w:tc>
        <w:tc>
          <w:tcPr>
            <w:tcW w:w="2108" w:type="dxa"/>
          </w:tcPr>
          <w:p>
            <w:pPr>
              <w:autoSpaceDE w:val="0"/>
              <w:autoSpaceDN w:val="0"/>
              <w:adjustRightInd w:val="0"/>
              <w:spacing w:before="0" w:after="0"/>
              <w:contextualSpacing/>
              <w:mirrorIndents/>
              <w:rPr>
                <w:rFonts w:eastAsia="Times New Roman"/>
                <w:noProof/>
                <w:color w:val="000000"/>
                <w:szCs w:val="24"/>
                <w:lang w:eastAsia="en-GB"/>
              </w:rPr>
            </w:pPr>
          </w:p>
        </w:tc>
      </w:tr>
    </w:tbl>
    <w:p>
      <w:pPr>
        <w:tabs>
          <w:tab w:val="left" w:pos="4252"/>
        </w:tabs>
        <w:spacing w:before="0" w:after="0"/>
        <w:contextualSpacing/>
        <w:mirrorIndents/>
        <w:rPr>
          <w:rFonts w:eastAsia="Times New Roman"/>
          <w:noProof/>
          <w:szCs w:val="24"/>
        </w:rPr>
      </w:pPr>
    </w:p>
    <w:p>
      <w:pPr>
        <w:tabs>
          <w:tab w:val="left" w:pos="4252"/>
        </w:tabs>
        <w:spacing w:before="0" w:after="0"/>
        <w:contextualSpacing/>
        <w:mirrorIndents/>
        <w:rPr>
          <w:rFonts w:eastAsia="Times New Roman"/>
          <w:noProof/>
          <w:szCs w:val="24"/>
        </w:rPr>
      </w:pPr>
      <w:r>
        <w:rPr>
          <w:rFonts w:eastAsia="Times New Roman"/>
          <w:noProof/>
          <w:szCs w:val="24"/>
        </w:rPr>
        <w:t>2. All the other materials used in the CEFTA Parties to produce these goods originate in the CEFTA Parties;</w:t>
      </w:r>
    </w:p>
    <w:p>
      <w:pPr>
        <w:tabs>
          <w:tab w:val="left" w:pos="4252"/>
        </w:tabs>
        <w:spacing w:before="0" w:after="0"/>
        <w:contextualSpacing/>
        <w:mirrorIndents/>
        <w:rPr>
          <w:rFonts w:eastAsia="Times New Roman"/>
          <w:noProof/>
          <w:szCs w:val="24"/>
        </w:rPr>
      </w:pPr>
    </w:p>
    <w:p>
      <w:pPr>
        <w:tabs>
          <w:tab w:val="left" w:pos="4252"/>
        </w:tabs>
        <w:spacing w:before="0" w:after="0"/>
        <w:contextualSpacing/>
        <w:mirrorIndents/>
        <w:rPr>
          <w:rFonts w:eastAsia="Times New Roman"/>
          <w:noProof/>
          <w:szCs w:val="24"/>
        </w:rPr>
      </w:pPr>
      <w:r>
        <w:rPr>
          <w:rFonts w:eastAsia="Times New Roman"/>
          <w:noProof/>
          <w:szCs w:val="24"/>
        </w:rPr>
        <w:t>3. The following goods have undergone working or processing outside CEFTA Parties, in accordance with Article 11 of Appendix I to the Regional Convention on pan-Euro-Mediterranean preferential rules of origin and have acquired the following total added value there:</w:t>
      </w:r>
    </w:p>
    <w:p>
      <w:pPr>
        <w:tabs>
          <w:tab w:val="left" w:pos="4252"/>
        </w:tabs>
        <w:spacing w:before="0" w:after="0"/>
        <w:contextualSpacing/>
        <w:mirrorIndents/>
        <w:rPr>
          <w:rFonts w:eastAsia="Times New Roman"/>
          <w:noProof/>
          <w:szCs w:val="24"/>
        </w:rPr>
      </w:pPr>
    </w:p>
    <w:p>
      <w:pPr>
        <w:tabs>
          <w:tab w:val="left" w:pos="4252"/>
        </w:tabs>
        <w:spacing w:before="0" w:after="0"/>
        <w:contextualSpacing/>
        <w:mirrorIndents/>
        <w:rPr>
          <w:rFonts w:eastAsia="Times New Roman"/>
          <w:noProof/>
          <w:szCs w:val="24"/>
        </w:rPr>
      </w:pPr>
    </w:p>
    <w:tbl>
      <w:tblPr>
        <w:tblW w:w="0" w:type="auto"/>
        <w:tblLook w:val="04A0" w:firstRow="1" w:lastRow="0" w:firstColumn="1" w:lastColumn="0" w:noHBand="0" w:noVBand="1"/>
      </w:tblPr>
      <w:tblGrid>
        <w:gridCol w:w="4417"/>
        <w:gridCol w:w="4417"/>
      </w:tblGrid>
      <w:tr>
        <w:tc>
          <w:tcPr>
            <w:tcW w:w="4417" w:type="dxa"/>
            <w:shd w:val="clear" w:color="auto" w:fill="auto"/>
          </w:tcPr>
          <w:p>
            <w:pPr>
              <w:tabs>
                <w:tab w:val="left" w:pos="4252"/>
              </w:tabs>
              <w:spacing w:before="0" w:after="0"/>
              <w:contextualSpacing/>
              <w:mirrorIndents/>
              <w:rPr>
                <w:rFonts w:eastAsia="Times New Roman"/>
                <w:noProof/>
                <w:szCs w:val="24"/>
              </w:rPr>
            </w:pPr>
            <w:r>
              <w:rPr>
                <w:rFonts w:eastAsia="Times New Roman"/>
                <w:noProof/>
                <w:szCs w:val="24"/>
              </w:rPr>
              <w:t xml:space="preserve">Description of the goods supplied </w:t>
            </w:r>
          </w:p>
          <w:p>
            <w:pPr>
              <w:tabs>
                <w:tab w:val="left" w:pos="4252"/>
              </w:tabs>
              <w:spacing w:before="0" w:after="0"/>
              <w:contextualSpacing/>
              <w:mirrorIndents/>
              <w:rPr>
                <w:rFonts w:eastAsia="Times New Roman"/>
                <w:noProof/>
                <w:szCs w:val="24"/>
              </w:rPr>
            </w:pPr>
          </w:p>
          <w:p>
            <w:pPr>
              <w:tabs>
                <w:tab w:val="left" w:pos="4252"/>
              </w:tabs>
              <w:spacing w:before="0" w:after="0"/>
              <w:contextualSpacing/>
              <w:mirrorIndents/>
              <w:rPr>
                <w:rFonts w:eastAsia="Times New Roman"/>
                <w:noProof/>
                <w:szCs w:val="24"/>
              </w:rPr>
            </w:pPr>
            <w:r>
              <w:rPr>
                <w:rFonts w:eastAsia="Times New Roman"/>
                <w:noProof/>
                <w:szCs w:val="24"/>
              </w:rPr>
              <w:t>………………………………………….</w:t>
            </w:r>
          </w:p>
          <w:p>
            <w:pPr>
              <w:tabs>
                <w:tab w:val="left" w:pos="4252"/>
              </w:tabs>
              <w:spacing w:before="0" w:after="0"/>
              <w:contextualSpacing/>
              <w:mirrorIndents/>
              <w:rPr>
                <w:rFonts w:eastAsia="Times New Roman"/>
                <w:noProof/>
                <w:szCs w:val="24"/>
              </w:rPr>
            </w:pPr>
            <w:r>
              <w:rPr>
                <w:rFonts w:eastAsia="Times New Roman"/>
                <w:noProof/>
                <w:szCs w:val="24"/>
              </w:rPr>
              <w:t>………………………………………….</w:t>
            </w:r>
          </w:p>
          <w:p>
            <w:pPr>
              <w:tabs>
                <w:tab w:val="left" w:pos="4252"/>
              </w:tabs>
              <w:spacing w:before="0" w:after="0"/>
              <w:contextualSpacing/>
              <w:mirrorIndents/>
              <w:rPr>
                <w:rFonts w:eastAsia="Times New Roman"/>
                <w:noProof/>
                <w:szCs w:val="24"/>
              </w:rPr>
            </w:pPr>
            <w:r>
              <w:rPr>
                <w:rFonts w:eastAsia="Times New Roman"/>
                <w:noProof/>
                <w:szCs w:val="24"/>
              </w:rPr>
              <w:t>………………………………………….</w:t>
            </w:r>
          </w:p>
          <w:p>
            <w:pPr>
              <w:tabs>
                <w:tab w:val="left" w:pos="4252"/>
              </w:tabs>
              <w:spacing w:before="0" w:after="0"/>
              <w:contextualSpacing/>
              <w:mirrorIndents/>
              <w:rPr>
                <w:rFonts w:eastAsia="Times New Roman"/>
                <w:noProof/>
                <w:szCs w:val="24"/>
              </w:rPr>
            </w:pPr>
            <w:r>
              <w:rPr>
                <w:rFonts w:eastAsia="Times New Roman"/>
                <w:noProof/>
                <w:szCs w:val="24"/>
              </w:rPr>
              <w:t>………………………………………….</w:t>
            </w:r>
          </w:p>
          <w:p>
            <w:pPr>
              <w:tabs>
                <w:tab w:val="left" w:pos="4252"/>
              </w:tabs>
              <w:spacing w:before="0" w:after="0"/>
              <w:contextualSpacing/>
              <w:mirrorIndents/>
              <w:rPr>
                <w:rFonts w:eastAsia="Times New Roman"/>
                <w:noProof/>
                <w:szCs w:val="24"/>
              </w:rPr>
            </w:pPr>
          </w:p>
        </w:tc>
        <w:tc>
          <w:tcPr>
            <w:tcW w:w="4417" w:type="dxa"/>
            <w:shd w:val="clear" w:color="auto" w:fill="auto"/>
          </w:tcPr>
          <w:p>
            <w:pPr>
              <w:tabs>
                <w:tab w:val="left" w:pos="4252"/>
              </w:tabs>
              <w:spacing w:before="0" w:after="0"/>
              <w:contextualSpacing/>
              <w:mirrorIndents/>
              <w:rPr>
                <w:rFonts w:eastAsia="Times New Roman"/>
                <w:noProof/>
                <w:szCs w:val="24"/>
              </w:rPr>
            </w:pPr>
            <w:r>
              <w:rPr>
                <w:rFonts w:eastAsia="Times New Roman"/>
                <w:noProof/>
                <w:szCs w:val="24"/>
              </w:rPr>
              <w:t>Total added value acquired outside the</w:t>
            </w:r>
          </w:p>
          <w:p>
            <w:pPr>
              <w:tabs>
                <w:tab w:val="left" w:pos="4252"/>
              </w:tabs>
              <w:spacing w:before="0" w:after="0"/>
              <w:contextualSpacing/>
              <w:mirrorIndents/>
              <w:rPr>
                <w:rFonts w:eastAsia="Times New Roman"/>
                <w:noProof/>
                <w:szCs w:val="24"/>
              </w:rPr>
            </w:pPr>
            <w:r>
              <w:rPr>
                <w:rFonts w:eastAsia="Times New Roman"/>
                <w:noProof/>
                <w:szCs w:val="24"/>
              </w:rPr>
              <w:t>CEFTA Parties</w:t>
            </w:r>
            <w:r>
              <w:rPr>
                <w:rStyle w:val="FootnoteReference"/>
                <w:noProof/>
              </w:rPr>
              <w:footnoteReference w:id="5"/>
            </w:r>
          </w:p>
          <w:p>
            <w:pPr>
              <w:tabs>
                <w:tab w:val="left" w:pos="4252"/>
              </w:tabs>
              <w:spacing w:before="0" w:after="0"/>
              <w:contextualSpacing/>
              <w:mirrorIndents/>
              <w:rPr>
                <w:rFonts w:eastAsia="Times New Roman"/>
                <w:noProof/>
                <w:szCs w:val="24"/>
              </w:rPr>
            </w:pPr>
            <w:r>
              <w:rPr>
                <w:rFonts w:eastAsia="Times New Roman"/>
                <w:noProof/>
                <w:szCs w:val="24"/>
              </w:rPr>
              <w:t>………………………………………….</w:t>
            </w:r>
          </w:p>
          <w:p>
            <w:pPr>
              <w:tabs>
                <w:tab w:val="left" w:pos="4252"/>
              </w:tabs>
              <w:spacing w:before="0" w:after="0"/>
              <w:contextualSpacing/>
              <w:mirrorIndents/>
              <w:rPr>
                <w:rFonts w:eastAsia="Times New Roman"/>
                <w:noProof/>
                <w:szCs w:val="24"/>
              </w:rPr>
            </w:pPr>
            <w:r>
              <w:rPr>
                <w:rFonts w:eastAsia="Times New Roman"/>
                <w:noProof/>
                <w:szCs w:val="24"/>
              </w:rPr>
              <w:t>………………………………………….</w:t>
            </w:r>
          </w:p>
          <w:p>
            <w:pPr>
              <w:tabs>
                <w:tab w:val="left" w:pos="4252"/>
              </w:tabs>
              <w:spacing w:before="0" w:after="0"/>
              <w:contextualSpacing/>
              <w:mirrorIndents/>
              <w:rPr>
                <w:rFonts w:eastAsia="Times New Roman"/>
                <w:noProof/>
                <w:szCs w:val="24"/>
              </w:rPr>
            </w:pPr>
            <w:r>
              <w:rPr>
                <w:rFonts w:eastAsia="Times New Roman"/>
                <w:noProof/>
                <w:szCs w:val="24"/>
              </w:rPr>
              <w:t>………………………………………….</w:t>
            </w:r>
          </w:p>
          <w:p>
            <w:pPr>
              <w:tabs>
                <w:tab w:val="left" w:pos="4252"/>
              </w:tabs>
              <w:spacing w:before="0" w:after="0"/>
              <w:contextualSpacing/>
              <w:mirrorIndents/>
              <w:rPr>
                <w:rFonts w:eastAsia="Times New Roman"/>
                <w:noProof/>
                <w:szCs w:val="24"/>
              </w:rPr>
            </w:pPr>
            <w:r>
              <w:rPr>
                <w:rFonts w:eastAsia="Times New Roman"/>
                <w:noProof/>
                <w:szCs w:val="24"/>
              </w:rPr>
              <w:t>………………………………………….</w:t>
            </w:r>
          </w:p>
          <w:p>
            <w:pPr>
              <w:tabs>
                <w:tab w:val="left" w:pos="4252"/>
              </w:tabs>
              <w:spacing w:before="0" w:after="0"/>
              <w:contextualSpacing/>
              <w:mirrorIndents/>
              <w:rPr>
                <w:rFonts w:eastAsia="Times New Roman"/>
                <w:noProof/>
                <w:szCs w:val="24"/>
              </w:rPr>
            </w:pPr>
          </w:p>
        </w:tc>
      </w:tr>
      <w:tr>
        <w:tc>
          <w:tcPr>
            <w:tcW w:w="4417" w:type="dxa"/>
            <w:shd w:val="clear" w:color="auto" w:fill="auto"/>
          </w:tcPr>
          <w:p>
            <w:pPr>
              <w:tabs>
                <w:tab w:val="left" w:pos="4252"/>
              </w:tabs>
              <w:spacing w:before="0" w:after="0"/>
              <w:contextualSpacing/>
              <w:mirrorIndents/>
              <w:rPr>
                <w:rFonts w:eastAsia="Times New Roman"/>
                <w:noProof/>
                <w:szCs w:val="24"/>
              </w:rPr>
            </w:pPr>
          </w:p>
        </w:tc>
        <w:tc>
          <w:tcPr>
            <w:tcW w:w="4417" w:type="dxa"/>
            <w:shd w:val="clear" w:color="auto" w:fill="auto"/>
          </w:tcPr>
          <w:p>
            <w:pPr>
              <w:tabs>
                <w:tab w:val="left" w:pos="4252"/>
              </w:tabs>
              <w:spacing w:before="0" w:after="0"/>
              <w:contextualSpacing/>
              <w:mirrorIndents/>
              <w:rPr>
                <w:rFonts w:eastAsia="Times New Roman"/>
                <w:noProof/>
                <w:szCs w:val="24"/>
              </w:rPr>
            </w:pPr>
            <w:r>
              <w:rPr>
                <w:rFonts w:eastAsia="Times New Roman"/>
                <w:noProof/>
                <w:szCs w:val="24"/>
              </w:rPr>
              <w:t>………………………………………….</w:t>
            </w:r>
          </w:p>
          <w:p>
            <w:pPr>
              <w:tabs>
                <w:tab w:val="left" w:pos="4252"/>
              </w:tabs>
              <w:spacing w:before="0" w:after="0"/>
              <w:contextualSpacing/>
              <w:mirrorIndents/>
              <w:jc w:val="center"/>
              <w:rPr>
                <w:rFonts w:eastAsia="Times New Roman"/>
                <w:i/>
                <w:noProof/>
                <w:szCs w:val="24"/>
              </w:rPr>
            </w:pPr>
            <w:r>
              <w:rPr>
                <w:rFonts w:eastAsia="Times New Roman"/>
                <w:i/>
                <w:noProof/>
                <w:szCs w:val="24"/>
              </w:rPr>
              <w:t>(Place and date)</w:t>
            </w:r>
          </w:p>
          <w:p>
            <w:pPr>
              <w:tabs>
                <w:tab w:val="left" w:pos="4252"/>
              </w:tabs>
              <w:spacing w:before="0" w:after="0"/>
              <w:contextualSpacing/>
              <w:mirrorIndents/>
              <w:rPr>
                <w:rFonts w:eastAsia="Times New Roman"/>
                <w:noProof/>
                <w:szCs w:val="24"/>
              </w:rPr>
            </w:pPr>
            <w:r>
              <w:rPr>
                <w:rFonts w:eastAsia="Times New Roman"/>
                <w:noProof/>
                <w:szCs w:val="24"/>
              </w:rPr>
              <w:t>………………………………………….</w:t>
            </w:r>
          </w:p>
          <w:p>
            <w:pPr>
              <w:tabs>
                <w:tab w:val="left" w:pos="4252"/>
              </w:tabs>
              <w:spacing w:before="0" w:after="0"/>
              <w:contextualSpacing/>
              <w:mirrorIndents/>
              <w:rPr>
                <w:rFonts w:eastAsia="Times New Roman"/>
                <w:noProof/>
                <w:szCs w:val="24"/>
              </w:rPr>
            </w:pPr>
            <w:r>
              <w:rPr>
                <w:rFonts w:eastAsia="Times New Roman"/>
                <w:noProof/>
                <w:szCs w:val="24"/>
              </w:rPr>
              <w:t>………………………………………….</w:t>
            </w:r>
          </w:p>
          <w:p>
            <w:pPr>
              <w:tabs>
                <w:tab w:val="left" w:pos="4252"/>
              </w:tabs>
              <w:spacing w:before="0" w:after="0"/>
              <w:contextualSpacing/>
              <w:mirrorIndents/>
              <w:rPr>
                <w:rFonts w:eastAsia="Times New Roman"/>
                <w:noProof/>
                <w:szCs w:val="24"/>
              </w:rPr>
            </w:pPr>
            <w:r>
              <w:rPr>
                <w:rFonts w:eastAsia="Times New Roman"/>
                <w:noProof/>
                <w:szCs w:val="24"/>
              </w:rPr>
              <w:lastRenderedPageBreak/>
              <w:t>………………………………………….</w:t>
            </w:r>
          </w:p>
          <w:p>
            <w:pPr>
              <w:tabs>
                <w:tab w:val="left" w:pos="4252"/>
              </w:tabs>
              <w:spacing w:before="0" w:after="0"/>
              <w:contextualSpacing/>
              <w:mirrorIndents/>
              <w:jc w:val="center"/>
              <w:rPr>
                <w:rFonts w:eastAsia="Times New Roman"/>
                <w:i/>
                <w:noProof/>
                <w:szCs w:val="24"/>
              </w:rPr>
            </w:pPr>
          </w:p>
          <w:p>
            <w:pPr>
              <w:tabs>
                <w:tab w:val="left" w:pos="4252"/>
              </w:tabs>
              <w:spacing w:before="0" w:after="0"/>
              <w:contextualSpacing/>
              <w:mirrorIndents/>
              <w:jc w:val="center"/>
              <w:rPr>
                <w:rFonts w:eastAsia="Times New Roman"/>
                <w:i/>
                <w:noProof/>
                <w:szCs w:val="24"/>
              </w:rPr>
            </w:pPr>
            <w:r>
              <w:rPr>
                <w:rFonts w:eastAsia="Times New Roman"/>
                <w:i/>
                <w:noProof/>
                <w:szCs w:val="24"/>
              </w:rPr>
              <w:t>(Address and signature of the supplier; in addition the name of the person signing the declaration has to be indicated in clear script)</w:t>
            </w:r>
          </w:p>
          <w:p>
            <w:pPr>
              <w:tabs>
                <w:tab w:val="left" w:pos="4252"/>
              </w:tabs>
              <w:spacing w:before="0" w:after="0"/>
              <w:contextualSpacing/>
              <w:mirrorIndents/>
              <w:rPr>
                <w:rFonts w:eastAsia="Times New Roman"/>
                <w:noProof/>
                <w:szCs w:val="24"/>
              </w:rPr>
            </w:pPr>
          </w:p>
        </w:tc>
      </w:tr>
    </w:tbl>
    <w:p>
      <w:pPr>
        <w:tabs>
          <w:tab w:val="left" w:pos="4252"/>
        </w:tabs>
        <w:spacing w:before="0" w:after="0"/>
        <w:contextualSpacing/>
        <w:mirrorIndents/>
        <w:rPr>
          <w:rFonts w:eastAsia="Times New Roman"/>
          <w:noProof/>
          <w:szCs w:val="24"/>
        </w:rPr>
      </w:pPr>
    </w:p>
    <w:p>
      <w:pPr>
        <w:tabs>
          <w:tab w:val="left" w:pos="4252"/>
        </w:tabs>
        <w:spacing w:before="0" w:after="0"/>
        <w:contextualSpacing/>
        <w:mirrorIndents/>
        <w:rPr>
          <w:rFonts w:eastAsia="Times New Roman"/>
          <w:noProof/>
          <w:szCs w:val="24"/>
        </w:rPr>
      </w:pPr>
    </w:p>
    <w:p>
      <w:pPr>
        <w:tabs>
          <w:tab w:val="left" w:pos="4252"/>
        </w:tabs>
        <w:spacing w:before="0" w:after="0"/>
        <w:contextualSpacing/>
        <w:mirrorIndents/>
        <w:rPr>
          <w:rFonts w:eastAsia="Times New Roman"/>
          <w:noProof/>
          <w:szCs w:val="24"/>
        </w:rPr>
      </w:pPr>
    </w:p>
    <w:p>
      <w:pPr>
        <w:autoSpaceDE w:val="0"/>
        <w:autoSpaceDN w:val="0"/>
        <w:adjustRightInd w:val="0"/>
        <w:spacing w:before="0" w:after="0"/>
        <w:contextualSpacing/>
        <w:mirrorIndents/>
        <w:rPr>
          <w:rFonts w:eastAsia="Times New Roman"/>
          <w:noProof/>
          <w:color w:val="000000"/>
          <w:szCs w:val="24"/>
          <w:lang w:eastAsia="en-GB"/>
        </w:rPr>
      </w:pPr>
    </w:p>
    <w:p>
      <w:pPr>
        <w:autoSpaceDE w:val="0"/>
        <w:autoSpaceDN w:val="0"/>
        <w:adjustRightInd w:val="0"/>
        <w:spacing w:before="0" w:after="0"/>
        <w:contextualSpacing/>
        <w:mirrorIndents/>
        <w:jc w:val="left"/>
        <w:rPr>
          <w:rFonts w:eastAsia="Times New Roman"/>
          <w:noProof/>
          <w:color w:val="000000"/>
          <w:szCs w:val="24"/>
          <w:lang w:eastAsia="en-GB"/>
        </w:rPr>
        <w:sectPr>
          <w:pgSz w:w="11907" w:h="16839"/>
          <w:pgMar w:top="1134" w:right="1417" w:bottom="1134" w:left="1417" w:header="709" w:footer="709" w:gutter="0"/>
          <w:cols w:space="720"/>
          <w:docGrid w:linePitch="360"/>
        </w:sectPr>
      </w:pPr>
    </w:p>
    <w:p>
      <w:pPr>
        <w:tabs>
          <w:tab w:val="left" w:pos="4252"/>
        </w:tabs>
        <w:spacing w:before="0" w:after="240"/>
        <w:contextualSpacing/>
        <w:mirrorIndents/>
        <w:jc w:val="center"/>
        <w:rPr>
          <w:rFonts w:eastAsia="Times New Roman"/>
          <w:noProof/>
          <w:szCs w:val="24"/>
        </w:rPr>
      </w:pPr>
      <w:r>
        <w:rPr>
          <w:rFonts w:eastAsia="Times New Roman"/>
          <w:noProof/>
          <w:szCs w:val="24"/>
        </w:rPr>
        <w:lastRenderedPageBreak/>
        <w:t>ANNEX III</w:t>
      </w:r>
    </w:p>
    <w:p>
      <w:pPr>
        <w:tabs>
          <w:tab w:val="left" w:pos="4252"/>
        </w:tabs>
        <w:spacing w:before="0" w:after="240"/>
        <w:contextualSpacing/>
        <w:mirrorIndents/>
        <w:jc w:val="center"/>
        <w:rPr>
          <w:rFonts w:eastAsia="Times New Roman"/>
          <w:b/>
          <w:bCs/>
          <w:noProof/>
          <w:szCs w:val="24"/>
        </w:rPr>
      </w:pPr>
      <w:r>
        <w:rPr>
          <w:rFonts w:eastAsia="Times New Roman"/>
          <w:i/>
          <w:noProof/>
          <w:szCs w:val="24"/>
        </w:rPr>
        <w:br/>
        <w:t>ANNEX H of Appendix II</w:t>
      </w:r>
      <w:r>
        <w:rPr>
          <w:rFonts w:eastAsia="Times New Roman"/>
          <w:b/>
          <w:bCs/>
          <w:noProof/>
          <w:szCs w:val="24"/>
        </w:rPr>
        <w:t xml:space="preserve"> </w:t>
      </w:r>
    </w:p>
    <w:p>
      <w:pPr>
        <w:tabs>
          <w:tab w:val="left" w:pos="4252"/>
        </w:tabs>
        <w:spacing w:before="0" w:after="240"/>
        <w:contextualSpacing/>
        <w:mirrorIndents/>
        <w:jc w:val="center"/>
        <w:rPr>
          <w:rFonts w:eastAsia="Times New Roman"/>
          <w:b/>
          <w:bCs/>
          <w:noProof/>
          <w:szCs w:val="24"/>
        </w:rPr>
      </w:pPr>
    </w:p>
    <w:p>
      <w:pPr>
        <w:tabs>
          <w:tab w:val="left" w:pos="4252"/>
        </w:tabs>
        <w:spacing w:before="0" w:after="240"/>
        <w:contextualSpacing/>
        <w:mirrorIndents/>
        <w:jc w:val="center"/>
        <w:rPr>
          <w:rFonts w:eastAsia="Times New Roman"/>
          <w:b/>
          <w:bCs/>
          <w:noProof/>
          <w:szCs w:val="24"/>
        </w:rPr>
      </w:pPr>
      <w:r>
        <w:rPr>
          <w:rFonts w:eastAsia="Times New Roman"/>
          <w:b/>
          <w:bCs/>
          <w:noProof/>
          <w:szCs w:val="24"/>
        </w:rPr>
        <w:t>Long-term supplier’s declaration for goods which have undergone working or processing in the CEFTA Parties without having obtained preferential origin status</w:t>
      </w:r>
    </w:p>
    <w:p>
      <w:pPr>
        <w:tabs>
          <w:tab w:val="left" w:pos="4252"/>
        </w:tabs>
        <w:spacing w:before="0" w:after="240"/>
        <w:jc w:val="center"/>
        <w:rPr>
          <w:rFonts w:eastAsia="Times New Roman"/>
          <w:i/>
          <w:noProof/>
          <w:szCs w:val="24"/>
        </w:rPr>
      </w:pPr>
    </w:p>
    <w:p>
      <w:pPr>
        <w:tabs>
          <w:tab w:val="left" w:pos="4252"/>
        </w:tabs>
        <w:spacing w:before="0" w:after="240"/>
        <w:rPr>
          <w:rFonts w:eastAsia="Times New Roman"/>
          <w:noProof/>
          <w:szCs w:val="24"/>
        </w:rPr>
      </w:pPr>
      <w:r>
        <w:rPr>
          <w:rFonts w:eastAsia="Times New Roman"/>
          <w:noProof/>
          <w:szCs w:val="24"/>
        </w:rPr>
        <w:t>The long-term supplier’s declaration, the text of which is given below, must be made out in accordance with the footnotes. However, the footnotes do not have to be reproduced.</w:t>
      </w:r>
    </w:p>
    <w:p>
      <w:pPr>
        <w:tabs>
          <w:tab w:val="left" w:pos="4252"/>
        </w:tabs>
        <w:spacing w:before="0" w:after="240"/>
        <w:jc w:val="center"/>
        <w:rPr>
          <w:rFonts w:eastAsia="Times New Roman"/>
          <w:b/>
          <w:noProof/>
          <w:szCs w:val="24"/>
        </w:rPr>
      </w:pPr>
      <w:r>
        <w:rPr>
          <w:rFonts w:eastAsia="Times New Roman"/>
          <w:b/>
          <w:noProof/>
          <w:szCs w:val="24"/>
        </w:rPr>
        <w:t>LONG-TERM SUPPLIER’S DECLARATION</w:t>
      </w:r>
    </w:p>
    <w:p>
      <w:pPr>
        <w:tabs>
          <w:tab w:val="left" w:pos="4252"/>
        </w:tabs>
        <w:spacing w:before="0" w:after="240"/>
        <w:jc w:val="center"/>
        <w:rPr>
          <w:rFonts w:eastAsia="Times New Roman"/>
          <w:noProof/>
          <w:szCs w:val="24"/>
        </w:rPr>
      </w:pPr>
      <w:r>
        <w:rPr>
          <w:rFonts w:eastAsia="Times New Roman"/>
          <w:noProof/>
          <w:szCs w:val="24"/>
        </w:rPr>
        <w:t>for goods which have undergone working or processing in the CEFTA Parties without having obtained preferential originating status</w:t>
      </w:r>
    </w:p>
    <w:p>
      <w:pPr>
        <w:tabs>
          <w:tab w:val="left" w:pos="4252"/>
        </w:tabs>
        <w:spacing w:before="0" w:after="240"/>
        <w:rPr>
          <w:rFonts w:eastAsia="Times New Roman"/>
          <w:noProof/>
          <w:szCs w:val="24"/>
        </w:rPr>
      </w:pPr>
    </w:p>
    <w:p>
      <w:pPr>
        <w:tabs>
          <w:tab w:val="left" w:pos="4252"/>
        </w:tabs>
        <w:spacing w:before="0" w:after="240"/>
        <w:rPr>
          <w:rFonts w:eastAsia="Times New Roman"/>
          <w:noProof/>
          <w:szCs w:val="24"/>
        </w:rPr>
      </w:pPr>
      <w:r>
        <w:rPr>
          <w:rFonts w:eastAsia="Times New Roman"/>
          <w:noProof/>
          <w:szCs w:val="24"/>
        </w:rPr>
        <w:t xml:space="preserve">I, the undersigned, supplier of the goods covered by this document, which are regularly supplied to ……………………………………… </w:t>
      </w:r>
      <w:r>
        <w:rPr>
          <w:rStyle w:val="FootnoteReference"/>
          <w:noProof/>
        </w:rPr>
        <w:footnoteReference w:id="6"/>
      </w:r>
      <w:r>
        <w:rPr>
          <w:rFonts w:eastAsia="Times New Roman"/>
          <w:noProof/>
          <w:szCs w:val="24"/>
        </w:rPr>
        <w:t>, declare that:</w:t>
      </w:r>
    </w:p>
    <w:p>
      <w:pPr>
        <w:tabs>
          <w:tab w:val="left" w:pos="4252"/>
        </w:tabs>
        <w:spacing w:before="0" w:after="240"/>
        <w:rPr>
          <w:rFonts w:eastAsia="Times New Roman"/>
          <w:noProof/>
          <w:szCs w:val="24"/>
        </w:rPr>
      </w:pPr>
      <w:r>
        <w:rPr>
          <w:rFonts w:eastAsia="Times New Roman"/>
          <w:noProof/>
          <w:szCs w:val="24"/>
        </w:rPr>
        <w:t>1. The following materials which do not originate in the CEFTA Parties have been used in the CEFTA Parties to produce these goods: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6"/>
        <w:gridCol w:w="2106"/>
        <w:gridCol w:w="2106"/>
        <w:gridCol w:w="2108"/>
      </w:tblGrid>
      <w:tr>
        <w:trPr>
          <w:trHeight w:val="377"/>
        </w:trPr>
        <w:tc>
          <w:tcPr>
            <w:tcW w:w="2106" w:type="dxa"/>
          </w:tcPr>
          <w:p>
            <w:pPr>
              <w:autoSpaceDE w:val="0"/>
              <w:autoSpaceDN w:val="0"/>
              <w:adjustRightInd w:val="0"/>
              <w:spacing w:before="0" w:after="0"/>
              <w:contextualSpacing/>
              <w:mirrorIndents/>
              <w:jc w:val="left"/>
              <w:rPr>
                <w:rFonts w:eastAsia="Times New Roman"/>
                <w:noProof/>
                <w:color w:val="000000"/>
                <w:szCs w:val="24"/>
                <w:lang w:eastAsia="en-GB"/>
              </w:rPr>
            </w:pPr>
            <w:r>
              <w:rPr>
                <w:rFonts w:eastAsia="Times New Roman"/>
                <w:noProof/>
                <w:color w:val="000000"/>
                <w:szCs w:val="24"/>
                <w:lang w:eastAsia="en-GB"/>
              </w:rPr>
              <w:t xml:space="preserve">Description of the </w:t>
            </w:r>
          </w:p>
          <w:p>
            <w:pPr>
              <w:autoSpaceDE w:val="0"/>
              <w:autoSpaceDN w:val="0"/>
              <w:adjustRightInd w:val="0"/>
              <w:spacing w:before="0" w:after="0"/>
              <w:contextualSpacing/>
              <w:mirrorIndents/>
              <w:rPr>
                <w:rFonts w:eastAsia="Times New Roman"/>
                <w:noProof/>
                <w:color w:val="000000"/>
                <w:szCs w:val="24"/>
                <w:lang w:eastAsia="en-GB"/>
              </w:rPr>
            </w:pPr>
            <w:r>
              <w:rPr>
                <w:rFonts w:eastAsia="Times New Roman"/>
                <w:noProof/>
                <w:color w:val="000000"/>
                <w:szCs w:val="24"/>
                <w:lang w:eastAsia="en-GB"/>
              </w:rPr>
              <w:t>goods supplied(</w:t>
            </w:r>
            <w:r>
              <w:rPr>
                <w:rStyle w:val="FootnoteReference"/>
                <w:noProof/>
              </w:rPr>
              <w:footnoteReference w:id="7"/>
            </w:r>
            <w:r>
              <w:rPr>
                <w:rFonts w:eastAsia="Times New Roman"/>
                <w:noProof/>
                <w:color w:val="000000"/>
                <w:szCs w:val="24"/>
                <w:lang w:eastAsia="en-GB"/>
              </w:rPr>
              <w:t>)</w:t>
            </w:r>
          </w:p>
        </w:tc>
        <w:tc>
          <w:tcPr>
            <w:tcW w:w="2106" w:type="dxa"/>
          </w:tcPr>
          <w:p>
            <w:pPr>
              <w:autoSpaceDE w:val="0"/>
              <w:autoSpaceDN w:val="0"/>
              <w:adjustRightInd w:val="0"/>
              <w:spacing w:before="0" w:after="0"/>
              <w:contextualSpacing/>
              <w:mirrorIndents/>
              <w:rPr>
                <w:rFonts w:eastAsia="Times New Roman"/>
                <w:noProof/>
                <w:color w:val="000000"/>
                <w:szCs w:val="24"/>
                <w:lang w:eastAsia="en-GB"/>
              </w:rPr>
            </w:pPr>
            <w:r>
              <w:rPr>
                <w:rFonts w:eastAsia="Times New Roman"/>
                <w:noProof/>
                <w:color w:val="000000"/>
                <w:szCs w:val="24"/>
                <w:lang w:eastAsia="en-GB"/>
              </w:rPr>
              <w:t xml:space="preserve">Description of </w:t>
            </w:r>
          </w:p>
          <w:p>
            <w:pPr>
              <w:autoSpaceDE w:val="0"/>
              <w:autoSpaceDN w:val="0"/>
              <w:adjustRightInd w:val="0"/>
              <w:spacing w:before="0" w:after="0"/>
              <w:contextualSpacing/>
              <w:mirrorIndents/>
              <w:rPr>
                <w:rFonts w:eastAsia="Times New Roman"/>
                <w:noProof/>
                <w:color w:val="000000"/>
                <w:szCs w:val="24"/>
                <w:lang w:eastAsia="en-GB"/>
              </w:rPr>
            </w:pPr>
            <w:r>
              <w:rPr>
                <w:rFonts w:eastAsia="Times New Roman"/>
                <w:noProof/>
                <w:color w:val="000000"/>
                <w:szCs w:val="24"/>
                <w:lang w:eastAsia="en-GB"/>
              </w:rPr>
              <w:t xml:space="preserve">non-originating </w:t>
            </w:r>
          </w:p>
          <w:p>
            <w:pPr>
              <w:autoSpaceDE w:val="0"/>
              <w:autoSpaceDN w:val="0"/>
              <w:adjustRightInd w:val="0"/>
              <w:spacing w:before="0" w:after="0"/>
              <w:contextualSpacing/>
              <w:mirrorIndents/>
              <w:rPr>
                <w:rFonts w:eastAsia="Times New Roman"/>
                <w:noProof/>
                <w:color w:val="000000"/>
                <w:szCs w:val="24"/>
                <w:lang w:eastAsia="en-GB"/>
              </w:rPr>
            </w:pPr>
            <w:r>
              <w:rPr>
                <w:rFonts w:eastAsia="Times New Roman"/>
                <w:noProof/>
                <w:color w:val="000000"/>
                <w:szCs w:val="24"/>
                <w:lang w:eastAsia="en-GB"/>
              </w:rPr>
              <w:t xml:space="preserve">materials used </w:t>
            </w:r>
          </w:p>
        </w:tc>
        <w:tc>
          <w:tcPr>
            <w:tcW w:w="2106" w:type="dxa"/>
          </w:tcPr>
          <w:p>
            <w:pPr>
              <w:autoSpaceDE w:val="0"/>
              <w:autoSpaceDN w:val="0"/>
              <w:adjustRightInd w:val="0"/>
              <w:spacing w:before="0" w:after="0"/>
              <w:contextualSpacing/>
              <w:mirrorIndents/>
              <w:rPr>
                <w:rFonts w:eastAsia="Times New Roman"/>
                <w:noProof/>
                <w:color w:val="000000"/>
                <w:szCs w:val="24"/>
                <w:lang w:eastAsia="en-GB"/>
              </w:rPr>
            </w:pPr>
            <w:r>
              <w:rPr>
                <w:rFonts w:eastAsia="Times New Roman"/>
                <w:noProof/>
                <w:color w:val="000000"/>
                <w:szCs w:val="24"/>
                <w:lang w:eastAsia="en-GB"/>
              </w:rPr>
              <w:t xml:space="preserve">Heading of </w:t>
            </w:r>
          </w:p>
          <w:p>
            <w:pPr>
              <w:autoSpaceDE w:val="0"/>
              <w:autoSpaceDN w:val="0"/>
              <w:adjustRightInd w:val="0"/>
              <w:spacing w:before="0" w:after="0"/>
              <w:contextualSpacing/>
              <w:mirrorIndents/>
              <w:rPr>
                <w:rFonts w:eastAsia="Times New Roman"/>
                <w:noProof/>
                <w:color w:val="000000"/>
                <w:szCs w:val="24"/>
                <w:lang w:eastAsia="en-GB"/>
              </w:rPr>
            </w:pPr>
            <w:r>
              <w:rPr>
                <w:rFonts w:eastAsia="Times New Roman"/>
                <w:noProof/>
                <w:color w:val="000000"/>
                <w:szCs w:val="24"/>
                <w:lang w:eastAsia="en-GB"/>
              </w:rPr>
              <w:t xml:space="preserve">non-originating </w:t>
            </w:r>
          </w:p>
          <w:p>
            <w:pPr>
              <w:autoSpaceDE w:val="0"/>
              <w:autoSpaceDN w:val="0"/>
              <w:adjustRightInd w:val="0"/>
              <w:spacing w:before="0" w:after="0"/>
              <w:contextualSpacing/>
              <w:mirrorIndents/>
              <w:rPr>
                <w:rFonts w:eastAsia="Times New Roman"/>
                <w:noProof/>
                <w:color w:val="000000"/>
                <w:szCs w:val="24"/>
                <w:lang w:eastAsia="en-GB"/>
              </w:rPr>
            </w:pPr>
            <w:r>
              <w:rPr>
                <w:rFonts w:eastAsia="Times New Roman"/>
                <w:noProof/>
                <w:color w:val="000000"/>
                <w:szCs w:val="24"/>
                <w:lang w:eastAsia="en-GB"/>
              </w:rPr>
              <w:t>materials used(</w:t>
            </w:r>
            <w:r>
              <w:rPr>
                <w:rStyle w:val="FootnoteReference"/>
                <w:noProof/>
              </w:rPr>
              <w:footnoteReference w:id="8"/>
            </w:r>
            <w:r>
              <w:rPr>
                <w:rFonts w:eastAsia="Times New Roman"/>
                <w:noProof/>
                <w:color w:val="000000"/>
                <w:szCs w:val="24"/>
                <w:lang w:eastAsia="en-GB"/>
              </w:rPr>
              <w:t xml:space="preserve">) </w:t>
            </w:r>
          </w:p>
        </w:tc>
        <w:tc>
          <w:tcPr>
            <w:tcW w:w="2108" w:type="dxa"/>
          </w:tcPr>
          <w:p>
            <w:pPr>
              <w:autoSpaceDE w:val="0"/>
              <w:autoSpaceDN w:val="0"/>
              <w:adjustRightInd w:val="0"/>
              <w:spacing w:before="0" w:after="0"/>
              <w:contextualSpacing/>
              <w:mirrorIndents/>
              <w:rPr>
                <w:rFonts w:eastAsia="Times New Roman"/>
                <w:noProof/>
                <w:color w:val="000000"/>
                <w:szCs w:val="24"/>
                <w:lang w:eastAsia="en-GB"/>
              </w:rPr>
            </w:pPr>
            <w:r>
              <w:rPr>
                <w:rFonts w:eastAsia="Times New Roman"/>
                <w:noProof/>
                <w:color w:val="000000"/>
                <w:szCs w:val="24"/>
                <w:lang w:eastAsia="en-GB"/>
              </w:rPr>
              <w:t xml:space="preserve">Value of </w:t>
            </w:r>
          </w:p>
          <w:p>
            <w:pPr>
              <w:autoSpaceDE w:val="0"/>
              <w:autoSpaceDN w:val="0"/>
              <w:adjustRightInd w:val="0"/>
              <w:spacing w:before="0" w:after="0"/>
              <w:contextualSpacing/>
              <w:mirrorIndents/>
              <w:rPr>
                <w:rFonts w:eastAsia="Times New Roman"/>
                <w:noProof/>
                <w:color w:val="000000"/>
                <w:szCs w:val="24"/>
                <w:lang w:eastAsia="en-GB"/>
              </w:rPr>
            </w:pPr>
            <w:r>
              <w:rPr>
                <w:rFonts w:eastAsia="Times New Roman"/>
                <w:noProof/>
                <w:color w:val="000000"/>
                <w:szCs w:val="24"/>
                <w:lang w:eastAsia="en-GB"/>
              </w:rPr>
              <w:t xml:space="preserve">non-originating </w:t>
            </w:r>
          </w:p>
          <w:p>
            <w:pPr>
              <w:autoSpaceDE w:val="0"/>
              <w:autoSpaceDN w:val="0"/>
              <w:adjustRightInd w:val="0"/>
              <w:spacing w:before="0" w:after="0"/>
              <w:contextualSpacing/>
              <w:mirrorIndents/>
              <w:rPr>
                <w:rFonts w:eastAsia="Times New Roman"/>
                <w:noProof/>
                <w:color w:val="000000"/>
                <w:szCs w:val="24"/>
                <w:lang w:eastAsia="en-GB"/>
              </w:rPr>
            </w:pPr>
            <w:r>
              <w:rPr>
                <w:rFonts w:eastAsia="Times New Roman"/>
                <w:noProof/>
                <w:color w:val="000000"/>
                <w:szCs w:val="24"/>
                <w:lang w:eastAsia="en-GB"/>
              </w:rPr>
              <w:t>materials used</w:t>
            </w:r>
            <w:r>
              <w:rPr>
                <w:rFonts w:eastAsia="Times New Roman"/>
                <w:noProof/>
                <w:color w:val="000000"/>
                <w:szCs w:val="24"/>
                <w:vertAlign w:val="superscript"/>
                <w:lang w:eastAsia="en-GB"/>
              </w:rPr>
              <w:t>(</w:t>
            </w:r>
            <w:r>
              <w:rPr>
                <w:rStyle w:val="FootnoteReference"/>
                <w:noProof/>
              </w:rPr>
              <w:footnoteReference w:id="9"/>
            </w:r>
            <w:r>
              <w:rPr>
                <w:rFonts w:eastAsia="Times New Roman"/>
                <w:noProof/>
                <w:color w:val="000000"/>
                <w:szCs w:val="24"/>
                <w:vertAlign w:val="superscript"/>
                <w:lang w:eastAsia="en-GB"/>
              </w:rPr>
              <w:t>)</w:t>
            </w:r>
            <w:r>
              <w:rPr>
                <w:rFonts w:eastAsia="Times New Roman"/>
                <w:noProof/>
                <w:color w:val="000000"/>
                <w:szCs w:val="24"/>
                <w:lang w:eastAsia="en-GB"/>
              </w:rPr>
              <w:t xml:space="preserve"> </w:t>
            </w:r>
          </w:p>
        </w:tc>
      </w:tr>
      <w:tr>
        <w:trPr>
          <w:trHeight w:val="377"/>
        </w:trPr>
        <w:tc>
          <w:tcPr>
            <w:tcW w:w="2106" w:type="dxa"/>
          </w:tcPr>
          <w:p>
            <w:pPr>
              <w:autoSpaceDE w:val="0"/>
              <w:autoSpaceDN w:val="0"/>
              <w:adjustRightInd w:val="0"/>
              <w:spacing w:before="0" w:after="0"/>
              <w:contextualSpacing/>
              <w:mirrorIndents/>
              <w:jc w:val="left"/>
              <w:rPr>
                <w:rFonts w:eastAsia="Times New Roman"/>
                <w:noProof/>
                <w:color w:val="000000"/>
                <w:szCs w:val="24"/>
                <w:lang w:eastAsia="en-GB"/>
              </w:rPr>
            </w:pPr>
          </w:p>
        </w:tc>
        <w:tc>
          <w:tcPr>
            <w:tcW w:w="2106" w:type="dxa"/>
          </w:tcPr>
          <w:p>
            <w:pPr>
              <w:autoSpaceDE w:val="0"/>
              <w:autoSpaceDN w:val="0"/>
              <w:adjustRightInd w:val="0"/>
              <w:spacing w:before="0" w:after="0"/>
              <w:contextualSpacing/>
              <w:mirrorIndents/>
              <w:rPr>
                <w:rFonts w:eastAsia="Times New Roman"/>
                <w:noProof/>
                <w:color w:val="000000"/>
                <w:szCs w:val="24"/>
                <w:lang w:eastAsia="en-GB"/>
              </w:rPr>
            </w:pPr>
          </w:p>
        </w:tc>
        <w:tc>
          <w:tcPr>
            <w:tcW w:w="2106" w:type="dxa"/>
          </w:tcPr>
          <w:p>
            <w:pPr>
              <w:autoSpaceDE w:val="0"/>
              <w:autoSpaceDN w:val="0"/>
              <w:adjustRightInd w:val="0"/>
              <w:spacing w:before="0" w:after="0"/>
              <w:contextualSpacing/>
              <w:mirrorIndents/>
              <w:rPr>
                <w:rFonts w:eastAsia="Times New Roman"/>
                <w:noProof/>
                <w:color w:val="000000"/>
                <w:szCs w:val="24"/>
                <w:lang w:eastAsia="en-GB"/>
              </w:rPr>
            </w:pPr>
          </w:p>
        </w:tc>
        <w:tc>
          <w:tcPr>
            <w:tcW w:w="2108" w:type="dxa"/>
          </w:tcPr>
          <w:p>
            <w:pPr>
              <w:autoSpaceDE w:val="0"/>
              <w:autoSpaceDN w:val="0"/>
              <w:adjustRightInd w:val="0"/>
              <w:spacing w:before="0" w:after="0"/>
              <w:contextualSpacing/>
              <w:mirrorIndents/>
              <w:rPr>
                <w:rFonts w:eastAsia="Times New Roman"/>
                <w:noProof/>
                <w:color w:val="000000"/>
                <w:szCs w:val="24"/>
                <w:lang w:eastAsia="en-GB"/>
              </w:rPr>
            </w:pPr>
          </w:p>
        </w:tc>
      </w:tr>
      <w:tr>
        <w:trPr>
          <w:trHeight w:val="377"/>
        </w:trPr>
        <w:tc>
          <w:tcPr>
            <w:tcW w:w="2106" w:type="dxa"/>
          </w:tcPr>
          <w:p>
            <w:pPr>
              <w:autoSpaceDE w:val="0"/>
              <w:autoSpaceDN w:val="0"/>
              <w:adjustRightInd w:val="0"/>
              <w:spacing w:before="0" w:after="0"/>
              <w:contextualSpacing/>
              <w:mirrorIndents/>
              <w:jc w:val="left"/>
              <w:rPr>
                <w:rFonts w:eastAsia="Times New Roman"/>
                <w:noProof/>
                <w:color w:val="000000"/>
                <w:szCs w:val="24"/>
                <w:lang w:eastAsia="en-GB"/>
              </w:rPr>
            </w:pPr>
          </w:p>
        </w:tc>
        <w:tc>
          <w:tcPr>
            <w:tcW w:w="2106" w:type="dxa"/>
          </w:tcPr>
          <w:p>
            <w:pPr>
              <w:autoSpaceDE w:val="0"/>
              <w:autoSpaceDN w:val="0"/>
              <w:adjustRightInd w:val="0"/>
              <w:spacing w:before="0" w:after="0"/>
              <w:contextualSpacing/>
              <w:mirrorIndents/>
              <w:rPr>
                <w:rFonts w:eastAsia="Times New Roman"/>
                <w:noProof/>
                <w:color w:val="000000"/>
                <w:szCs w:val="24"/>
                <w:lang w:eastAsia="en-GB"/>
              </w:rPr>
            </w:pPr>
          </w:p>
        </w:tc>
        <w:tc>
          <w:tcPr>
            <w:tcW w:w="2106" w:type="dxa"/>
          </w:tcPr>
          <w:p>
            <w:pPr>
              <w:autoSpaceDE w:val="0"/>
              <w:autoSpaceDN w:val="0"/>
              <w:adjustRightInd w:val="0"/>
              <w:spacing w:before="0" w:after="0"/>
              <w:contextualSpacing/>
              <w:mirrorIndents/>
              <w:rPr>
                <w:rFonts w:eastAsia="Times New Roman"/>
                <w:noProof/>
                <w:color w:val="000000"/>
                <w:szCs w:val="24"/>
                <w:lang w:eastAsia="en-GB"/>
              </w:rPr>
            </w:pPr>
          </w:p>
        </w:tc>
        <w:tc>
          <w:tcPr>
            <w:tcW w:w="2108" w:type="dxa"/>
          </w:tcPr>
          <w:p>
            <w:pPr>
              <w:autoSpaceDE w:val="0"/>
              <w:autoSpaceDN w:val="0"/>
              <w:adjustRightInd w:val="0"/>
              <w:spacing w:before="0" w:after="0"/>
              <w:contextualSpacing/>
              <w:mirrorIndents/>
              <w:rPr>
                <w:rFonts w:eastAsia="Times New Roman"/>
                <w:noProof/>
                <w:color w:val="000000"/>
                <w:szCs w:val="24"/>
                <w:lang w:eastAsia="en-GB"/>
              </w:rPr>
            </w:pPr>
          </w:p>
        </w:tc>
      </w:tr>
      <w:tr>
        <w:trPr>
          <w:trHeight w:val="377"/>
        </w:trPr>
        <w:tc>
          <w:tcPr>
            <w:tcW w:w="2106" w:type="dxa"/>
          </w:tcPr>
          <w:p>
            <w:pPr>
              <w:autoSpaceDE w:val="0"/>
              <w:autoSpaceDN w:val="0"/>
              <w:adjustRightInd w:val="0"/>
              <w:spacing w:before="0" w:after="0"/>
              <w:contextualSpacing/>
              <w:mirrorIndents/>
              <w:jc w:val="left"/>
              <w:rPr>
                <w:rFonts w:eastAsia="Times New Roman"/>
                <w:noProof/>
                <w:color w:val="000000"/>
                <w:szCs w:val="24"/>
                <w:lang w:eastAsia="en-GB"/>
              </w:rPr>
            </w:pPr>
          </w:p>
        </w:tc>
        <w:tc>
          <w:tcPr>
            <w:tcW w:w="2106" w:type="dxa"/>
          </w:tcPr>
          <w:p>
            <w:pPr>
              <w:autoSpaceDE w:val="0"/>
              <w:autoSpaceDN w:val="0"/>
              <w:adjustRightInd w:val="0"/>
              <w:spacing w:before="0" w:after="0"/>
              <w:contextualSpacing/>
              <w:mirrorIndents/>
              <w:rPr>
                <w:rFonts w:eastAsia="Times New Roman"/>
                <w:noProof/>
                <w:color w:val="000000"/>
                <w:szCs w:val="24"/>
                <w:lang w:eastAsia="en-GB"/>
              </w:rPr>
            </w:pPr>
          </w:p>
        </w:tc>
        <w:tc>
          <w:tcPr>
            <w:tcW w:w="2106" w:type="dxa"/>
          </w:tcPr>
          <w:p>
            <w:pPr>
              <w:autoSpaceDE w:val="0"/>
              <w:autoSpaceDN w:val="0"/>
              <w:adjustRightInd w:val="0"/>
              <w:spacing w:before="0" w:after="0"/>
              <w:contextualSpacing/>
              <w:mirrorIndents/>
              <w:rPr>
                <w:rFonts w:eastAsia="Times New Roman"/>
                <w:noProof/>
                <w:color w:val="000000"/>
                <w:szCs w:val="24"/>
                <w:lang w:eastAsia="en-GB"/>
              </w:rPr>
            </w:pPr>
          </w:p>
        </w:tc>
        <w:tc>
          <w:tcPr>
            <w:tcW w:w="2108" w:type="dxa"/>
          </w:tcPr>
          <w:p>
            <w:pPr>
              <w:autoSpaceDE w:val="0"/>
              <w:autoSpaceDN w:val="0"/>
              <w:adjustRightInd w:val="0"/>
              <w:spacing w:before="0" w:after="0"/>
              <w:contextualSpacing/>
              <w:mirrorIndents/>
              <w:rPr>
                <w:rFonts w:eastAsia="Times New Roman"/>
                <w:noProof/>
                <w:color w:val="000000"/>
                <w:szCs w:val="24"/>
                <w:lang w:eastAsia="en-GB"/>
              </w:rPr>
            </w:pPr>
          </w:p>
        </w:tc>
      </w:tr>
      <w:tr>
        <w:trPr>
          <w:trHeight w:val="377"/>
        </w:trPr>
        <w:tc>
          <w:tcPr>
            <w:tcW w:w="2106" w:type="dxa"/>
          </w:tcPr>
          <w:p>
            <w:pPr>
              <w:autoSpaceDE w:val="0"/>
              <w:autoSpaceDN w:val="0"/>
              <w:adjustRightInd w:val="0"/>
              <w:spacing w:before="0" w:after="0"/>
              <w:contextualSpacing/>
              <w:mirrorIndents/>
              <w:jc w:val="left"/>
              <w:rPr>
                <w:rFonts w:eastAsia="Times New Roman"/>
                <w:noProof/>
                <w:color w:val="000000"/>
                <w:szCs w:val="24"/>
                <w:lang w:eastAsia="en-GB"/>
              </w:rPr>
            </w:pPr>
          </w:p>
        </w:tc>
        <w:tc>
          <w:tcPr>
            <w:tcW w:w="2106" w:type="dxa"/>
          </w:tcPr>
          <w:p>
            <w:pPr>
              <w:autoSpaceDE w:val="0"/>
              <w:autoSpaceDN w:val="0"/>
              <w:adjustRightInd w:val="0"/>
              <w:spacing w:before="0" w:after="0"/>
              <w:contextualSpacing/>
              <w:mirrorIndents/>
              <w:rPr>
                <w:rFonts w:eastAsia="Times New Roman"/>
                <w:noProof/>
                <w:color w:val="000000"/>
                <w:szCs w:val="24"/>
                <w:lang w:eastAsia="en-GB"/>
              </w:rPr>
            </w:pPr>
          </w:p>
        </w:tc>
        <w:tc>
          <w:tcPr>
            <w:tcW w:w="2106" w:type="dxa"/>
          </w:tcPr>
          <w:p>
            <w:pPr>
              <w:autoSpaceDE w:val="0"/>
              <w:autoSpaceDN w:val="0"/>
              <w:adjustRightInd w:val="0"/>
              <w:spacing w:before="0" w:after="0"/>
              <w:contextualSpacing/>
              <w:mirrorIndents/>
              <w:rPr>
                <w:rFonts w:eastAsia="Times New Roman"/>
                <w:noProof/>
                <w:color w:val="000000"/>
                <w:szCs w:val="24"/>
                <w:lang w:eastAsia="en-GB"/>
              </w:rPr>
            </w:pPr>
          </w:p>
        </w:tc>
        <w:tc>
          <w:tcPr>
            <w:tcW w:w="2108" w:type="dxa"/>
          </w:tcPr>
          <w:p>
            <w:pPr>
              <w:autoSpaceDE w:val="0"/>
              <w:autoSpaceDN w:val="0"/>
              <w:adjustRightInd w:val="0"/>
              <w:spacing w:before="0" w:after="0"/>
              <w:contextualSpacing/>
              <w:mirrorIndents/>
              <w:rPr>
                <w:rFonts w:eastAsia="Times New Roman"/>
                <w:noProof/>
                <w:color w:val="000000"/>
                <w:szCs w:val="24"/>
                <w:lang w:eastAsia="en-GB"/>
              </w:rPr>
            </w:pPr>
          </w:p>
        </w:tc>
      </w:tr>
      <w:tr>
        <w:trPr>
          <w:trHeight w:val="377"/>
        </w:trPr>
        <w:tc>
          <w:tcPr>
            <w:tcW w:w="6318" w:type="dxa"/>
            <w:gridSpan w:val="3"/>
          </w:tcPr>
          <w:p>
            <w:pPr>
              <w:autoSpaceDE w:val="0"/>
              <w:autoSpaceDN w:val="0"/>
              <w:adjustRightInd w:val="0"/>
              <w:spacing w:before="0" w:after="0"/>
              <w:contextualSpacing/>
              <w:mirrorIndents/>
              <w:jc w:val="right"/>
              <w:rPr>
                <w:rFonts w:eastAsia="Times New Roman"/>
                <w:b/>
                <w:noProof/>
                <w:color w:val="000000"/>
                <w:szCs w:val="24"/>
                <w:lang w:eastAsia="en-GB"/>
              </w:rPr>
            </w:pPr>
            <w:r>
              <w:rPr>
                <w:rFonts w:eastAsia="Times New Roman"/>
                <w:b/>
                <w:noProof/>
                <w:color w:val="000000"/>
                <w:szCs w:val="24"/>
                <w:lang w:eastAsia="en-GB"/>
              </w:rPr>
              <w:lastRenderedPageBreak/>
              <w:t>Total value</w:t>
            </w:r>
          </w:p>
        </w:tc>
        <w:tc>
          <w:tcPr>
            <w:tcW w:w="2108" w:type="dxa"/>
          </w:tcPr>
          <w:p>
            <w:pPr>
              <w:autoSpaceDE w:val="0"/>
              <w:autoSpaceDN w:val="0"/>
              <w:adjustRightInd w:val="0"/>
              <w:spacing w:before="0" w:after="0"/>
              <w:contextualSpacing/>
              <w:mirrorIndents/>
              <w:rPr>
                <w:rFonts w:eastAsia="Times New Roman"/>
                <w:noProof/>
                <w:color w:val="000000"/>
                <w:szCs w:val="24"/>
                <w:lang w:eastAsia="en-GB"/>
              </w:rPr>
            </w:pPr>
          </w:p>
        </w:tc>
      </w:tr>
    </w:tbl>
    <w:p>
      <w:pPr>
        <w:tabs>
          <w:tab w:val="left" w:pos="4252"/>
        </w:tabs>
        <w:spacing w:before="0" w:after="0"/>
        <w:contextualSpacing/>
        <w:mirrorIndents/>
        <w:rPr>
          <w:rFonts w:eastAsia="Times New Roman"/>
          <w:noProof/>
          <w:szCs w:val="24"/>
        </w:rPr>
      </w:pPr>
    </w:p>
    <w:p>
      <w:pPr>
        <w:tabs>
          <w:tab w:val="left" w:pos="4252"/>
        </w:tabs>
        <w:spacing w:before="0" w:after="240"/>
        <w:rPr>
          <w:rFonts w:eastAsia="Times New Roman"/>
          <w:noProof/>
          <w:szCs w:val="24"/>
        </w:rPr>
      </w:pPr>
    </w:p>
    <w:p>
      <w:pPr>
        <w:tabs>
          <w:tab w:val="left" w:pos="4252"/>
        </w:tabs>
        <w:spacing w:before="0" w:after="240"/>
        <w:rPr>
          <w:rFonts w:eastAsia="Times New Roman"/>
          <w:noProof/>
          <w:szCs w:val="24"/>
        </w:rPr>
      </w:pPr>
      <w:r>
        <w:rPr>
          <w:rFonts w:eastAsia="Times New Roman"/>
          <w:noProof/>
          <w:szCs w:val="24"/>
        </w:rPr>
        <w:t>2. All the other materials used in the CEFTA Parties to produce these goods originate in the CEFTA Parties;</w:t>
      </w:r>
    </w:p>
    <w:p>
      <w:pPr>
        <w:tabs>
          <w:tab w:val="left" w:pos="4252"/>
        </w:tabs>
        <w:spacing w:before="0" w:after="240"/>
        <w:rPr>
          <w:rFonts w:eastAsia="Times New Roman"/>
          <w:noProof/>
          <w:szCs w:val="24"/>
        </w:rPr>
      </w:pPr>
      <w:r>
        <w:rPr>
          <w:rFonts w:eastAsia="Times New Roman"/>
          <w:noProof/>
          <w:szCs w:val="24"/>
        </w:rPr>
        <w:t>3. The following goods have undergone working or processing outside CEFTA Parties, in accordance with Article 11 of Appendix I to the Regional Convention on pan-Euro-Mediterranean preferential rules of origin and have acquired the following total added value there:</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88"/>
        <w:gridCol w:w="5246"/>
      </w:tblGrid>
      <w:tr>
        <w:tc>
          <w:tcPr>
            <w:tcW w:w="3588" w:type="dxa"/>
            <w:shd w:val="clear" w:color="auto" w:fill="auto"/>
          </w:tcPr>
          <w:p>
            <w:pPr>
              <w:tabs>
                <w:tab w:val="left" w:pos="4252"/>
              </w:tabs>
              <w:spacing w:before="0" w:after="0"/>
              <w:contextualSpacing/>
              <w:mirrorIndents/>
              <w:rPr>
                <w:rFonts w:eastAsia="Times New Roman"/>
                <w:noProof/>
                <w:sz w:val="22"/>
                <w:szCs w:val="24"/>
              </w:rPr>
            </w:pPr>
            <w:r>
              <w:rPr>
                <w:rFonts w:eastAsia="Times New Roman"/>
                <w:noProof/>
                <w:sz w:val="22"/>
                <w:szCs w:val="24"/>
              </w:rPr>
              <w:t xml:space="preserve">Description of the goods supplied </w:t>
            </w:r>
          </w:p>
        </w:tc>
        <w:tc>
          <w:tcPr>
            <w:tcW w:w="5246" w:type="dxa"/>
            <w:shd w:val="clear" w:color="auto" w:fill="auto"/>
          </w:tcPr>
          <w:p>
            <w:pPr>
              <w:tabs>
                <w:tab w:val="left" w:pos="4252"/>
              </w:tabs>
              <w:spacing w:before="0" w:after="0"/>
              <w:contextualSpacing/>
              <w:mirrorIndents/>
              <w:rPr>
                <w:rFonts w:eastAsia="Times New Roman"/>
                <w:noProof/>
                <w:sz w:val="22"/>
                <w:szCs w:val="24"/>
              </w:rPr>
            </w:pPr>
            <w:r>
              <w:rPr>
                <w:rFonts w:eastAsia="Times New Roman"/>
                <w:noProof/>
                <w:sz w:val="22"/>
                <w:szCs w:val="24"/>
              </w:rPr>
              <w:t>Total added value acquired outside the CEFTA Parties</w:t>
            </w:r>
            <w:r>
              <w:rPr>
                <w:rStyle w:val="FootnoteReference"/>
                <w:noProof/>
              </w:rPr>
              <w:footnoteReference w:id="10"/>
            </w:r>
          </w:p>
        </w:tc>
      </w:tr>
      <w:tr>
        <w:tc>
          <w:tcPr>
            <w:tcW w:w="3588" w:type="dxa"/>
            <w:shd w:val="clear" w:color="auto" w:fill="auto"/>
          </w:tcPr>
          <w:p>
            <w:pPr>
              <w:tabs>
                <w:tab w:val="left" w:pos="4252"/>
              </w:tabs>
              <w:spacing w:before="0" w:after="0"/>
              <w:contextualSpacing/>
              <w:mirrorIndents/>
              <w:rPr>
                <w:rFonts w:eastAsia="Times New Roman"/>
                <w:noProof/>
                <w:szCs w:val="24"/>
              </w:rPr>
            </w:pPr>
          </w:p>
          <w:p>
            <w:pPr>
              <w:tabs>
                <w:tab w:val="left" w:pos="4252"/>
              </w:tabs>
              <w:spacing w:before="0" w:after="0"/>
              <w:contextualSpacing/>
              <w:mirrorIndents/>
              <w:rPr>
                <w:rFonts w:eastAsia="Times New Roman"/>
                <w:noProof/>
                <w:szCs w:val="24"/>
              </w:rPr>
            </w:pPr>
          </w:p>
        </w:tc>
        <w:tc>
          <w:tcPr>
            <w:tcW w:w="5246" w:type="dxa"/>
            <w:shd w:val="clear" w:color="auto" w:fill="auto"/>
          </w:tcPr>
          <w:p>
            <w:pPr>
              <w:tabs>
                <w:tab w:val="left" w:pos="4252"/>
              </w:tabs>
              <w:spacing w:before="0" w:after="0"/>
              <w:contextualSpacing/>
              <w:mirrorIndents/>
              <w:rPr>
                <w:rFonts w:eastAsia="Times New Roman"/>
                <w:noProof/>
                <w:szCs w:val="24"/>
              </w:rPr>
            </w:pPr>
          </w:p>
        </w:tc>
      </w:tr>
      <w:tr>
        <w:tc>
          <w:tcPr>
            <w:tcW w:w="3588" w:type="dxa"/>
            <w:shd w:val="clear" w:color="auto" w:fill="auto"/>
          </w:tcPr>
          <w:p>
            <w:pPr>
              <w:tabs>
                <w:tab w:val="left" w:pos="4252"/>
              </w:tabs>
              <w:spacing w:before="0" w:after="0"/>
              <w:contextualSpacing/>
              <w:mirrorIndents/>
              <w:rPr>
                <w:rFonts w:eastAsia="Times New Roman"/>
                <w:noProof/>
                <w:szCs w:val="24"/>
              </w:rPr>
            </w:pPr>
          </w:p>
          <w:p>
            <w:pPr>
              <w:tabs>
                <w:tab w:val="left" w:pos="4252"/>
              </w:tabs>
              <w:spacing w:before="0" w:after="0"/>
              <w:contextualSpacing/>
              <w:mirrorIndents/>
              <w:rPr>
                <w:rFonts w:eastAsia="Times New Roman"/>
                <w:noProof/>
                <w:szCs w:val="24"/>
              </w:rPr>
            </w:pPr>
          </w:p>
        </w:tc>
        <w:tc>
          <w:tcPr>
            <w:tcW w:w="5246" w:type="dxa"/>
            <w:shd w:val="clear" w:color="auto" w:fill="auto"/>
          </w:tcPr>
          <w:p>
            <w:pPr>
              <w:tabs>
                <w:tab w:val="left" w:pos="4252"/>
              </w:tabs>
              <w:spacing w:before="0" w:after="0"/>
              <w:contextualSpacing/>
              <w:mirrorIndents/>
              <w:rPr>
                <w:rFonts w:eastAsia="Times New Roman"/>
                <w:noProof/>
                <w:szCs w:val="24"/>
              </w:rPr>
            </w:pPr>
          </w:p>
        </w:tc>
      </w:tr>
      <w:tr>
        <w:tc>
          <w:tcPr>
            <w:tcW w:w="3588" w:type="dxa"/>
            <w:shd w:val="clear" w:color="auto" w:fill="auto"/>
          </w:tcPr>
          <w:p>
            <w:pPr>
              <w:tabs>
                <w:tab w:val="left" w:pos="4252"/>
              </w:tabs>
              <w:spacing w:before="0" w:after="0"/>
              <w:contextualSpacing/>
              <w:mirrorIndents/>
              <w:rPr>
                <w:rFonts w:eastAsia="Times New Roman"/>
                <w:noProof/>
                <w:szCs w:val="24"/>
              </w:rPr>
            </w:pPr>
          </w:p>
          <w:p>
            <w:pPr>
              <w:tabs>
                <w:tab w:val="left" w:pos="4252"/>
              </w:tabs>
              <w:spacing w:before="0" w:after="0"/>
              <w:contextualSpacing/>
              <w:mirrorIndents/>
              <w:rPr>
                <w:rFonts w:eastAsia="Times New Roman"/>
                <w:noProof/>
                <w:szCs w:val="24"/>
              </w:rPr>
            </w:pPr>
          </w:p>
        </w:tc>
        <w:tc>
          <w:tcPr>
            <w:tcW w:w="5246" w:type="dxa"/>
            <w:shd w:val="clear" w:color="auto" w:fill="auto"/>
          </w:tcPr>
          <w:p>
            <w:pPr>
              <w:tabs>
                <w:tab w:val="left" w:pos="4252"/>
              </w:tabs>
              <w:spacing w:before="0" w:after="0"/>
              <w:contextualSpacing/>
              <w:mirrorIndents/>
              <w:rPr>
                <w:rFonts w:eastAsia="Times New Roman"/>
                <w:noProof/>
                <w:szCs w:val="24"/>
              </w:rPr>
            </w:pPr>
          </w:p>
        </w:tc>
      </w:tr>
    </w:tbl>
    <w:p>
      <w:pPr>
        <w:tabs>
          <w:tab w:val="left" w:pos="4252"/>
        </w:tabs>
        <w:spacing w:before="0" w:after="240"/>
        <w:rPr>
          <w:rFonts w:eastAsia="Times New Roman"/>
          <w:noProof/>
          <w:szCs w:val="24"/>
        </w:rPr>
      </w:pPr>
    </w:p>
    <w:p>
      <w:pPr>
        <w:tabs>
          <w:tab w:val="left" w:pos="4252"/>
        </w:tabs>
        <w:spacing w:before="0" w:after="240"/>
        <w:rPr>
          <w:rFonts w:eastAsia="Times New Roman"/>
          <w:noProof/>
          <w:szCs w:val="24"/>
        </w:rPr>
      </w:pPr>
      <w:r>
        <w:rPr>
          <w:rFonts w:eastAsia="Times New Roman"/>
          <w:noProof/>
          <w:szCs w:val="24"/>
        </w:rPr>
        <w:t>This declaration is valid for all subsequent consignments of these goods dispatched from………………………………………………………………</w:t>
      </w:r>
    </w:p>
    <w:p>
      <w:pPr>
        <w:tabs>
          <w:tab w:val="left" w:pos="4252"/>
        </w:tabs>
        <w:spacing w:before="0" w:after="240"/>
        <w:rPr>
          <w:rFonts w:eastAsia="Times New Roman"/>
          <w:noProof/>
          <w:szCs w:val="24"/>
        </w:rPr>
      </w:pPr>
      <w:r>
        <w:rPr>
          <w:rFonts w:eastAsia="Times New Roman"/>
          <w:noProof/>
          <w:szCs w:val="24"/>
        </w:rPr>
        <w:t>to………………………………………………………………...</w:t>
      </w:r>
      <w:r>
        <w:rPr>
          <w:rStyle w:val="FootnoteReference"/>
          <w:noProof/>
        </w:rPr>
        <w:footnoteReference w:id="11"/>
      </w:r>
      <w:r>
        <w:rPr>
          <w:rFonts w:eastAsia="Times New Roman"/>
          <w:noProof/>
          <w:szCs w:val="24"/>
        </w:rPr>
        <w:t>.</w:t>
      </w:r>
    </w:p>
    <w:p>
      <w:pPr>
        <w:tabs>
          <w:tab w:val="left" w:pos="4252"/>
        </w:tabs>
        <w:spacing w:before="0" w:after="240"/>
        <w:rPr>
          <w:rFonts w:eastAsia="Times New Roman"/>
          <w:noProof/>
          <w:szCs w:val="24"/>
        </w:rPr>
      </w:pPr>
      <w:r>
        <w:rPr>
          <w:rFonts w:eastAsia="Times New Roman"/>
          <w:noProof/>
          <w:szCs w:val="24"/>
        </w:rPr>
        <w:t>I undertake to inform…………………………………………….(1) immediately if this declaration is no longer valid.</w:t>
      </w:r>
    </w:p>
    <w:tbl>
      <w:tblPr>
        <w:tblW w:w="0" w:type="auto"/>
        <w:tblLook w:val="04A0" w:firstRow="1" w:lastRow="0" w:firstColumn="1" w:lastColumn="0" w:noHBand="0" w:noVBand="1"/>
      </w:tblPr>
      <w:tblGrid>
        <w:gridCol w:w="3468"/>
        <w:gridCol w:w="5376"/>
      </w:tblGrid>
      <w:tr>
        <w:tc>
          <w:tcPr>
            <w:tcW w:w="3468" w:type="dxa"/>
            <w:shd w:val="clear" w:color="auto" w:fill="auto"/>
          </w:tcPr>
          <w:p>
            <w:pPr>
              <w:tabs>
                <w:tab w:val="left" w:pos="4252"/>
              </w:tabs>
              <w:spacing w:before="0" w:after="240"/>
              <w:rPr>
                <w:rFonts w:eastAsia="Times New Roman"/>
                <w:noProof/>
                <w:szCs w:val="24"/>
              </w:rPr>
            </w:pPr>
          </w:p>
        </w:tc>
        <w:tc>
          <w:tcPr>
            <w:tcW w:w="5366" w:type="dxa"/>
            <w:shd w:val="clear" w:color="auto" w:fill="auto"/>
          </w:tcPr>
          <w:p>
            <w:pPr>
              <w:tabs>
                <w:tab w:val="left" w:pos="4252"/>
              </w:tabs>
              <w:spacing w:before="0" w:after="240"/>
              <w:rPr>
                <w:rFonts w:eastAsia="Times New Roman"/>
                <w:noProof/>
                <w:szCs w:val="24"/>
              </w:rPr>
            </w:pPr>
            <w:r>
              <w:rPr>
                <w:rFonts w:eastAsia="Times New Roman"/>
                <w:noProof/>
                <w:szCs w:val="24"/>
              </w:rPr>
              <w:t>……………………………………………………….</w:t>
            </w:r>
          </w:p>
          <w:p>
            <w:pPr>
              <w:tabs>
                <w:tab w:val="left" w:pos="4252"/>
              </w:tabs>
              <w:spacing w:before="0" w:after="240"/>
              <w:jc w:val="center"/>
              <w:rPr>
                <w:rFonts w:eastAsia="Times New Roman"/>
                <w:i/>
                <w:noProof/>
                <w:szCs w:val="24"/>
              </w:rPr>
            </w:pPr>
            <w:r>
              <w:rPr>
                <w:rFonts w:eastAsia="Times New Roman"/>
                <w:i/>
                <w:noProof/>
                <w:szCs w:val="24"/>
              </w:rPr>
              <w:t>(Place and date)</w:t>
            </w:r>
          </w:p>
          <w:p>
            <w:pPr>
              <w:tabs>
                <w:tab w:val="left" w:pos="4252"/>
              </w:tabs>
              <w:spacing w:before="0" w:after="240"/>
              <w:rPr>
                <w:rFonts w:eastAsia="Times New Roman"/>
                <w:noProof/>
                <w:szCs w:val="24"/>
              </w:rPr>
            </w:pPr>
            <w:r>
              <w:rPr>
                <w:rFonts w:eastAsia="Times New Roman"/>
                <w:noProof/>
                <w:szCs w:val="24"/>
              </w:rPr>
              <w:t>………………………………………………………..</w:t>
            </w:r>
          </w:p>
          <w:p>
            <w:pPr>
              <w:tabs>
                <w:tab w:val="left" w:pos="4252"/>
              </w:tabs>
              <w:spacing w:before="0" w:after="240"/>
              <w:rPr>
                <w:rFonts w:eastAsia="Times New Roman"/>
                <w:noProof/>
                <w:szCs w:val="24"/>
              </w:rPr>
            </w:pPr>
            <w:r>
              <w:rPr>
                <w:rFonts w:eastAsia="Times New Roman"/>
                <w:noProof/>
                <w:szCs w:val="24"/>
              </w:rPr>
              <w:t>………………………………………………………..</w:t>
            </w:r>
          </w:p>
          <w:p>
            <w:pPr>
              <w:tabs>
                <w:tab w:val="left" w:pos="4252"/>
              </w:tabs>
              <w:spacing w:before="0" w:after="240"/>
              <w:rPr>
                <w:rFonts w:eastAsia="Times New Roman"/>
                <w:noProof/>
                <w:szCs w:val="24"/>
              </w:rPr>
            </w:pPr>
            <w:r>
              <w:rPr>
                <w:rFonts w:eastAsia="Times New Roman"/>
                <w:noProof/>
                <w:szCs w:val="24"/>
              </w:rPr>
              <w:t>………………………………………………………..</w:t>
            </w:r>
          </w:p>
          <w:p>
            <w:pPr>
              <w:tabs>
                <w:tab w:val="left" w:pos="4252"/>
              </w:tabs>
              <w:spacing w:before="0" w:after="240"/>
              <w:rPr>
                <w:rFonts w:eastAsia="Times New Roman"/>
                <w:i/>
                <w:noProof/>
                <w:szCs w:val="24"/>
              </w:rPr>
            </w:pPr>
          </w:p>
          <w:p>
            <w:pPr>
              <w:tabs>
                <w:tab w:val="left" w:pos="4252"/>
              </w:tabs>
              <w:spacing w:before="0" w:after="240"/>
              <w:jc w:val="center"/>
              <w:rPr>
                <w:rFonts w:eastAsia="Times New Roman"/>
                <w:i/>
                <w:noProof/>
                <w:szCs w:val="24"/>
              </w:rPr>
            </w:pPr>
            <w:r>
              <w:rPr>
                <w:rFonts w:eastAsia="Times New Roman"/>
                <w:i/>
                <w:noProof/>
                <w:szCs w:val="24"/>
              </w:rPr>
              <w:t>(Address and signature of the supplier; in addition the name of the person signing the declaration has to be indicated in clear script)</w:t>
            </w:r>
          </w:p>
          <w:p>
            <w:pPr>
              <w:tabs>
                <w:tab w:val="left" w:pos="4252"/>
              </w:tabs>
              <w:spacing w:before="0" w:after="240"/>
              <w:rPr>
                <w:rFonts w:eastAsia="Times New Roman"/>
                <w:noProof/>
                <w:szCs w:val="24"/>
              </w:rPr>
            </w:pPr>
          </w:p>
        </w:tc>
      </w:tr>
    </w:tbl>
    <w:p>
      <w:pPr>
        <w:rPr>
          <w:noProof/>
        </w:rPr>
      </w:pPr>
    </w:p>
    <w:sectPr>
      <w:footnotePr>
        <w:numRestart w:val="eachSect"/>
      </w:foot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54, 26.2.2013, p. 4.</w:t>
      </w:r>
    </w:p>
  </w:footnote>
  <w:footnote w:id="2">
    <w:p>
      <w:pPr>
        <w:pStyle w:val="FootnoteText"/>
        <w:rPr>
          <w:sz w:val="16"/>
        </w:rPr>
      </w:pPr>
      <w:r>
        <w:rPr>
          <w:rStyle w:val="FootnoteReference"/>
        </w:rPr>
        <w:footnoteRef/>
      </w:r>
      <w:r>
        <w:tab/>
      </w:r>
      <w:r>
        <w:rPr>
          <w:sz w:val="16"/>
        </w:rPr>
        <w:t>When the invoice, delivery note or other commercial document to which the declaration is annexed relates to different kinds of goods, or to goods which do not incorporate non-originating materials to the same extent, the supplier must clearly differentiate them.</w:t>
      </w:r>
      <w:r>
        <w:rPr>
          <w:sz w:val="16"/>
        </w:rPr>
        <w:br/>
        <w:t>Example:</w:t>
      </w:r>
      <w:r>
        <w:rPr>
          <w:sz w:val="16"/>
        </w:rPr>
        <w:br/>
        <w:t>The document relates to different models of electric motor of heading 8501 to be used in the manufacture of washing machines of heading 8450. The nature and value of the non-originating materials used in the manufacture of these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footnote>
  <w:footnote w:id="3">
    <w:p>
      <w:pPr>
        <w:pStyle w:val="FootnoteText"/>
        <w:rPr>
          <w:sz w:val="16"/>
        </w:rPr>
      </w:pPr>
      <w:r>
        <w:rPr>
          <w:rStyle w:val="FootnoteReference"/>
        </w:rPr>
        <w:footnoteRef/>
      </w:r>
      <w:r>
        <w:rPr>
          <w:sz w:val="16"/>
        </w:rPr>
        <w:tab/>
        <w:t>The indications requested in these columns should only be given if they are necessary.</w:t>
      </w:r>
    </w:p>
    <w:p>
      <w:pPr>
        <w:pStyle w:val="FootnoteText"/>
        <w:ind w:firstLine="0"/>
        <w:rPr>
          <w:sz w:val="16"/>
        </w:rPr>
      </w:pPr>
      <w:r>
        <w:rPr>
          <w:sz w:val="16"/>
        </w:rPr>
        <w:t>Examples:</w:t>
      </w:r>
      <w:r>
        <w:rPr>
          <w:sz w:val="16"/>
        </w:rPr>
        <w:br/>
        <w:t>The rule for garments of ex Chapter  62 says that non-originating yarn may be used. If a manufacturer of such garments in Serbia uses fabric imported from Montenegro which has been obtained there by weaving non-originating yarn, it is sufficient for the Montenegrin supplier to describe in his declaration the non-originating material used as yarn, without it being necessary to indicate the heading and value of such yarn.</w:t>
      </w:r>
    </w:p>
    <w:p>
      <w:pPr>
        <w:pStyle w:val="FootnoteText"/>
        <w:ind w:firstLine="0"/>
        <w:rPr>
          <w:sz w:val="16"/>
        </w:rPr>
      </w:pPr>
      <w:r>
        <w:rPr>
          <w:sz w:val="16"/>
        </w:rPr>
        <w:t>A producer of iron of heading 7217 who has produced it from non-originating iron bars should indicate in the second column 'bars of iron'. Where this wire is to be used in the production of a machine for which the rule contains a limitation for all non-originating materials used to a certain percentage value it is necessary to indicate in the third column the value of non-originating bars.</w:t>
      </w:r>
    </w:p>
  </w:footnote>
  <w:footnote w:id="4">
    <w:p>
      <w:pPr>
        <w:pStyle w:val="FootnoteText"/>
      </w:pPr>
      <w:r>
        <w:rPr>
          <w:rStyle w:val="FootnoteReference"/>
        </w:rPr>
        <w:footnoteRef/>
      </w:r>
      <w:r>
        <w:rPr>
          <w:sz w:val="16"/>
        </w:rPr>
        <w:tab/>
        <w:t>'Value of materials' means the customs value at the time of importation of the non-originating materials used, or, if this is not known and cannot be ascertained, the first ascertainable price paid for the materials in one of the CEFTA Parties. The exact value for each non-originating material used must be given per unit of the goods specified in the first column.</w:t>
      </w:r>
    </w:p>
  </w:footnote>
  <w:footnote w:id="5">
    <w:p>
      <w:pPr>
        <w:pStyle w:val="FootnoteText"/>
      </w:pPr>
      <w:r>
        <w:rPr>
          <w:rStyle w:val="FootnoteReference"/>
        </w:rPr>
        <w:footnoteRef/>
      </w:r>
      <w:r>
        <w:tab/>
      </w:r>
      <w:r>
        <w:rPr>
          <w:sz w:val="16"/>
          <w:szCs w:val="16"/>
        </w:rPr>
        <w:t>'Total added value' shall mean all costs accumulated outside the CEFTA Parties, including the value of all materials added there. The exact total added value acquired outside the CEFTA Parties must be given per unit of the goods specified in the first column.</w:t>
      </w:r>
    </w:p>
  </w:footnote>
  <w:footnote w:id="6">
    <w:p>
      <w:pPr>
        <w:pStyle w:val="FootnoteText"/>
        <w:keepNext/>
        <w:keepLines/>
        <w:pageBreakBefore/>
        <w:rPr>
          <w:sz w:val="16"/>
        </w:rPr>
      </w:pPr>
      <w:r>
        <w:rPr>
          <w:rStyle w:val="FootnoteReference"/>
        </w:rPr>
        <w:footnoteRef/>
      </w:r>
      <w:r>
        <w:tab/>
      </w:r>
      <w:r>
        <w:rPr>
          <w:sz w:val="16"/>
        </w:rPr>
        <w:t>Name and address of customer.</w:t>
      </w:r>
    </w:p>
  </w:footnote>
  <w:footnote w:id="7">
    <w:p>
      <w:pPr>
        <w:pStyle w:val="FootnoteText"/>
        <w:keepNext/>
        <w:keepLines/>
        <w:pageBreakBefore/>
        <w:rPr>
          <w:sz w:val="16"/>
        </w:rPr>
      </w:pPr>
      <w:r>
        <w:rPr>
          <w:rStyle w:val="FootnoteReference"/>
        </w:rPr>
        <w:footnoteRef/>
      </w:r>
      <w:r>
        <w:rPr>
          <w:sz w:val="16"/>
        </w:rPr>
        <w:tab/>
        <w:t xml:space="preserve">When the invoice, delivery note or other commercial document to which the declaration is annexed relates to different kinds of goods, or to goods which do not incorporate non-originating materials to the same extent, the supplier must clearly differentiate them. </w:t>
      </w:r>
    </w:p>
    <w:p>
      <w:pPr>
        <w:pStyle w:val="FootnoteText"/>
        <w:keepNext/>
        <w:keepLines/>
        <w:pageBreakBefore/>
        <w:ind w:firstLine="0"/>
        <w:rPr>
          <w:sz w:val="16"/>
        </w:rPr>
      </w:pPr>
      <w:r>
        <w:rPr>
          <w:sz w:val="16"/>
        </w:rPr>
        <w:t xml:space="preserve">Example: </w:t>
      </w:r>
      <w:r>
        <w:rPr>
          <w:sz w:val="16"/>
        </w:rPr>
        <w:br/>
        <w:t>The document relates to different models of electric motor of heading 8501 to be used in the manufacture of washing machines of heading 8450. The nature and value of the non-originating materials used in the manufacture of these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footnote>
  <w:footnote w:id="8">
    <w:p>
      <w:pPr>
        <w:pStyle w:val="FootnoteText"/>
        <w:keepNext/>
        <w:keepLines/>
        <w:pageBreakBefore/>
        <w:rPr>
          <w:sz w:val="16"/>
        </w:rPr>
      </w:pPr>
      <w:r>
        <w:rPr>
          <w:rStyle w:val="FootnoteReference"/>
        </w:rPr>
        <w:footnoteRef/>
      </w:r>
      <w:r>
        <w:rPr>
          <w:sz w:val="16"/>
        </w:rPr>
        <w:tab/>
        <w:t>The indications requested in these columns should only be given if they are necessary.</w:t>
      </w:r>
    </w:p>
    <w:p>
      <w:pPr>
        <w:pStyle w:val="FootnoteText"/>
        <w:keepNext/>
        <w:keepLines/>
        <w:pageBreakBefore/>
        <w:ind w:firstLine="0"/>
        <w:rPr>
          <w:sz w:val="12"/>
        </w:rPr>
      </w:pPr>
      <w:r>
        <w:rPr>
          <w:sz w:val="16"/>
        </w:rPr>
        <w:t>Examples:</w:t>
      </w:r>
      <w:r>
        <w:rPr>
          <w:sz w:val="16"/>
        </w:rPr>
        <w:br/>
        <w:t>The rule for garments of ex Chapter 62 says that non-originating yarn may be used. If a manufacturer of such garments in Serbia uses fabric imported from Montenegro which has been obtained there by weaving non-originating yarn, it is sufficient for the Montenegrin supplier to describe in his declaration the non-originating material used as yarn, without it being necessary to indicate the heading and value of such yarn. A producer of iron of heading 7217 who has produced it from non-originating iron bars should indicate in the second column 'bars of iron'. Where this wire is to be used in the production of a machine for which the rule contains a limitation for all non-originating materials used to a certain percentage value it is necessary to indicate in the third column the value of non</w:t>
      </w:r>
      <w:r>
        <w:rPr>
          <w:sz w:val="16"/>
          <w:szCs w:val="16"/>
        </w:rPr>
        <w:t>-originating bars.</w:t>
      </w:r>
    </w:p>
  </w:footnote>
  <w:footnote w:id="9">
    <w:p>
      <w:pPr>
        <w:pStyle w:val="FootnoteText"/>
        <w:keepNext/>
        <w:keepLines/>
        <w:pageBreakBefore/>
        <w:rPr>
          <w:sz w:val="16"/>
        </w:rPr>
      </w:pPr>
      <w:r>
        <w:rPr>
          <w:rStyle w:val="FootnoteReference"/>
        </w:rPr>
        <w:footnoteRef/>
      </w:r>
      <w:r>
        <w:rPr>
          <w:sz w:val="16"/>
        </w:rPr>
        <w:tab/>
        <w:t>'Value of materials means the customs value at the time of importation of the non-originating materials used, or, if this is not known and cannot be ascertained, the first ascertainable price paid for the materials in one of the CEFTA Parties.</w:t>
      </w:r>
      <w:r>
        <w:rPr>
          <w:sz w:val="16"/>
        </w:rPr>
        <w:br/>
        <w:t>The exact value for each non-originating material used must be given per unit of the goods specified in the first column.</w:t>
      </w:r>
    </w:p>
  </w:footnote>
  <w:footnote w:id="10">
    <w:p>
      <w:pPr>
        <w:pStyle w:val="FootnoteText"/>
        <w:keepNext/>
        <w:keepLines/>
        <w:pageBreakBefore/>
        <w:rPr>
          <w:sz w:val="16"/>
        </w:rPr>
      </w:pPr>
      <w:r>
        <w:rPr>
          <w:rStyle w:val="FootnoteReference"/>
        </w:rPr>
        <w:footnoteRef/>
      </w:r>
      <w:r>
        <w:tab/>
      </w:r>
      <w:r>
        <w:rPr>
          <w:sz w:val="16"/>
        </w:rPr>
        <w:t>'Total added value' shall mean all costs accumulated outside the CEFTA Parties, including the value of all materials added there. The exact total added value acquired outside the CEFTA Parties must be given per unit of the goods specified in the first column.</w:t>
      </w:r>
    </w:p>
  </w:footnote>
  <w:footnote w:id="11">
    <w:p>
      <w:pPr>
        <w:pStyle w:val="FootnoteText"/>
        <w:keepNext/>
        <w:keepLines/>
        <w:pageBreakBefore/>
        <w:rPr>
          <w:sz w:val="16"/>
        </w:rPr>
      </w:pPr>
      <w:r>
        <w:rPr>
          <w:rStyle w:val="FootnoteReference"/>
        </w:rPr>
        <w:footnoteRef/>
      </w:r>
      <w:r>
        <w:rPr>
          <w:sz w:val="16"/>
        </w:rPr>
        <w:tab/>
        <w:t>Insert dates. The period of validity of the long term supplier’s declaration should not normally exceed 12 months, subject to the conditions laid down by the customs authorities of the country where the long term supplier’s declaration is made out.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21C313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7044C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5123CB8"/>
    <w:lvl w:ilvl="0">
      <w:start w:val="1"/>
      <w:numFmt w:val="decimal"/>
      <w:pStyle w:val="ListNumber2"/>
      <w:lvlText w:val="%1."/>
      <w:lvlJc w:val="left"/>
      <w:pPr>
        <w:tabs>
          <w:tab w:val="num" w:pos="643"/>
        </w:tabs>
        <w:ind w:left="643" w:hanging="360"/>
      </w:pPr>
    </w:lvl>
  </w:abstractNum>
  <w:abstractNum w:abstractNumId="3">
    <w:nsid w:val="FFFFFF81"/>
    <w:multiLevelType w:val="singleLevel"/>
    <w:tmpl w:val="21701B4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AA8211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CAB46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9A7D3E"/>
    <w:lvl w:ilvl="0">
      <w:start w:val="1"/>
      <w:numFmt w:val="decimal"/>
      <w:pStyle w:val="ListNumber"/>
      <w:lvlText w:val="%1."/>
      <w:lvlJc w:val="left"/>
      <w:pPr>
        <w:tabs>
          <w:tab w:val="num" w:pos="360"/>
        </w:tabs>
        <w:ind w:left="360" w:hanging="360"/>
      </w:pPr>
    </w:lvl>
  </w:abstractNum>
  <w:abstractNum w:abstractNumId="7">
    <w:nsid w:val="FFFFFF89"/>
    <w:multiLevelType w:val="singleLevel"/>
    <w:tmpl w:val="7604085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3-20 11:54:5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67"/>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1C0DB71CFDDE4A2BA52A53115D61A905"/>
    <w:docVar w:name="LW_CROSSREFERENCE" w:val="&lt;UNUSED&gt;"/>
    <w:docVar w:name="LW_DocType" w:val="ANNEX"/>
    <w:docVar w:name="LW_EMISSION" w:val="21.3.2017"/>
    <w:docVar w:name="LW_EMISSION_ISODATE" w:val="2017-03-21"/>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position to be adopted, on behalf of the European Union, in the Joint Committee of the Regional Convention of pan-Euro-Mediterranean preferential rules of origin with regard to the amendment of Appendix II to that Convention"/>
    <w:docVar w:name="LW_PART_NBR" w:val="1"/>
    <w:docVar w:name="LW_PART_NBR_TOTAL" w:val="1"/>
    <w:docVar w:name="LW_REF.INST.NEW" w:val="COM"/>
    <w:docVar w:name="LW_REF.INST.NEW_ADOPTED" w:val="final"/>
    <w:docVar w:name="LW_REF.INST.NEW_TEXT" w:val="(2017) 133"/>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FEBB0-A487-4A5D-94A3-1855C4D97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13</Pages>
  <Words>2443</Words>
  <Characters>13291</Characters>
  <Application>Microsoft Office Word</Application>
  <DocSecurity>0</DocSecurity>
  <Lines>415</Lines>
  <Paragraphs>171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DIGIT/A3</cp:lastModifiedBy>
  <cp:revision>7</cp:revision>
  <cp:lastPrinted>2016-10-26T15:19:00Z</cp:lastPrinted>
  <dcterms:created xsi:type="dcterms:W3CDTF">2017-03-06T08:51:00Z</dcterms:created>
  <dcterms:modified xsi:type="dcterms:W3CDTF">2017-03-20T10:54:00Z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LWCR Document">
    <vt:lpwstr>True</vt:lpwstr>
  </property>
  <property fmtid="{D5CDD505-2E9C-101B-9397-08002B2CF9AE}" pid="13" name="LWCR Version">
    <vt:lpwstr>1.6.413</vt:lpwstr>
  </property>
  <property fmtid="{D5CDD505-2E9C-101B-9397-08002B2CF9AE}" pid="14" name="DQCStatus">
    <vt:lpwstr>Green (DQC version 03)</vt:lpwstr>
  </property>
</Properties>
</file>