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3A1EE8B04D4D90B3B0219A2B998D26" style="width:450.5pt;height:321pt">
            <v:imagedata r:id="rId8" o:title=""/>
          </v:shape>
        </w:pict>
      </w:r>
    </w:p>
    <w:bookmarkEnd w:id="0"/>
    <w:p>
      <w:pPr>
        <w:spacing w:before="120" w:after="120"/>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OC1"/>
        <w:rPr>
          <w:noProof/>
        </w:rPr>
      </w:pPr>
      <w:bookmarkStart w:id="1" w:name="_Toc327522977"/>
      <w:bookmarkStart w:id="2" w:name="_GoBack"/>
      <w:bookmarkEnd w:id="2"/>
    </w:p>
    <w:p>
      <w:pPr>
        <w:pStyle w:val="TOC1"/>
        <w:rPr>
          <w:noProof/>
        </w:rPr>
      </w:pPr>
    </w:p>
    <w:p>
      <w:pPr>
        <w:pStyle w:val="TOC1"/>
        <w:rPr>
          <w:noProof/>
        </w:rPr>
      </w:pPr>
      <w:r>
        <w:rPr>
          <w:noProof/>
          <w:szCs w:val="24"/>
        </w:rPr>
        <w:t>TABLE OF CONTENTS</w:t>
      </w:r>
    </w:p>
    <w:p>
      <w:pPr>
        <w:pStyle w:val="TOC1"/>
        <w:rPr>
          <w:noProof/>
        </w:rPr>
      </w:pPr>
    </w:p>
    <w:p>
      <w:pPr>
        <w:pStyle w:val="TOC1"/>
        <w:rPr>
          <w:noProof/>
        </w:rPr>
      </w:pPr>
    </w:p>
    <w:p>
      <w:pPr>
        <w:pStyle w:val="TOC1"/>
        <w:rPr>
          <w:rFonts w:asciiTheme="minorHAnsi" w:eastAsiaTheme="minorEastAsia" w:hAnsiTheme="minorHAnsi" w:cstheme="minorBidi"/>
          <w:b w:val="0"/>
          <w:noProof/>
          <w:sz w:val="22"/>
          <w:szCs w:val="22"/>
        </w:rPr>
      </w:pPr>
      <w:r>
        <w:rPr>
          <w:smallCaps/>
          <w:noProof/>
        </w:rPr>
        <w:fldChar w:fldCharType="begin"/>
      </w:r>
      <w:r>
        <w:rPr>
          <w:smallCaps/>
          <w:noProof/>
        </w:rPr>
        <w:instrText xml:space="preserve"> TOC \o "1-3" \h \z \u </w:instrText>
      </w:r>
      <w:r>
        <w:rPr>
          <w:smallCaps/>
          <w:noProof/>
        </w:rPr>
        <w:fldChar w:fldCharType="separate"/>
      </w:r>
      <w:hyperlink w:anchor="_Toc468978075" w:history="1">
        <w:r>
          <w:rPr>
            <w:rStyle w:val="Hyperlink"/>
            <w:smallCaps/>
            <w:noProof/>
          </w:rPr>
          <w:t>1.</w:t>
        </w:r>
        <w:r>
          <w:rPr>
            <w:rFonts w:asciiTheme="minorHAnsi" w:eastAsiaTheme="minorEastAsia" w:hAnsiTheme="minorHAnsi" w:cstheme="minorBidi"/>
            <w:b w:val="0"/>
            <w:noProof/>
            <w:sz w:val="22"/>
            <w:szCs w:val="22"/>
          </w:rPr>
          <w:tab/>
        </w:r>
        <w:r>
          <w:rPr>
            <w:rStyle w:val="Hyperlink"/>
            <w:smallCaps/>
            <w:noProof/>
          </w:rPr>
          <w:t>INTRODUCTION</w:t>
        </w:r>
        <w:r>
          <w:rPr>
            <w:noProof/>
            <w:webHidden/>
          </w:rPr>
          <w:tab/>
        </w:r>
        <w:r>
          <w:rPr>
            <w:noProof/>
            <w:webHidden/>
          </w:rPr>
          <w:fldChar w:fldCharType="begin"/>
        </w:r>
        <w:r>
          <w:rPr>
            <w:noProof/>
            <w:webHidden/>
          </w:rPr>
          <w:instrText xml:space="preserve"> PAGEREF _Toc468978075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noProof/>
          <w:sz w:val="22"/>
          <w:szCs w:val="22"/>
        </w:rPr>
      </w:pPr>
      <w:hyperlink w:anchor="_Toc468978076" w:history="1">
        <w:r>
          <w:rPr>
            <w:rStyle w:val="Hyperlink"/>
            <w:smallCaps/>
            <w:noProof/>
          </w:rPr>
          <w:t>2.</w:t>
        </w:r>
        <w:r>
          <w:rPr>
            <w:rFonts w:asciiTheme="minorHAnsi" w:eastAsiaTheme="minorEastAsia" w:hAnsiTheme="minorHAnsi" w:cstheme="minorBidi"/>
            <w:b w:val="0"/>
            <w:noProof/>
            <w:sz w:val="22"/>
            <w:szCs w:val="22"/>
          </w:rPr>
          <w:tab/>
        </w:r>
        <w:r>
          <w:rPr>
            <w:rStyle w:val="Hyperlink"/>
            <w:smallCaps/>
            <w:noProof/>
          </w:rPr>
          <w:t>GENERAL PRINCIPLES OF THE NORDIC AID</w:t>
        </w:r>
        <w:r>
          <w:rPr>
            <w:noProof/>
            <w:webHidden/>
          </w:rPr>
          <w:tab/>
        </w:r>
        <w:r>
          <w:rPr>
            <w:noProof/>
            <w:webHidden/>
          </w:rPr>
          <w:fldChar w:fldCharType="begin"/>
        </w:r>
        <w:r>
          <w:rPr>
            <w:noProof/>
            <w:webHidden/>
          </w:rPr>
          <w:instrText xml:space="preserve"> PAGEREF _Toc468978076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77" w:history="1">
        <w:r>
          <w:rPr>
            <w:rStyle w:val="Hyperlink"/>
            <w:b/>
            <w:noProof/>
          </w:rPr>
          <w:t>2.1.</w:t>
        </w:r>
        <w:r>
          <w:rPr>
            <w:rFonts w:asciiTheme="minorHAnsi" w:eastAsiaTheme="minorEastAsia" w:hAnsiTheme="minorHAnsi" w:cstheme="minorBidi"/>
            <w:noProof/>
            <w:sz w:val="22"/>
            <w:szCs w:val="22"/>
          </w:rPr>
          <w:tab/>
        </w:r>
        <w:r>
          <w:rPr>
            <w:rStyle w:val="Hyperlink"/>
            <w:b/>
            <w:noProof/>
          </w:rPr>
          <w:t>Objectives of the Aid</w:t>
        </w:r>
        <w:r>
          <w:rPr>
            <w:noProof/>
            <w:webHidden/>
          </w:rPr>
          <w:tab/>
        </w:r>
        <w:r>
          <w:rPr>
            <w:noProof/>
            <w:webHidden/>
          </w:rPr>
          <w:fldChar w:fldCharType="begin"/>
        </w:r>
        <w:r>
          <w:rPr>
            <w:noProof/>
            <w:webHidden/>
          </w:rPr>
          <w:instrText xml:space="preserve"> PAGEREF _Toc468978077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78" w:history="1">
        <w:r>
          <w:rPr>
            <w:rStyle w:val="Hyperlink"/>
            <w:b/>
            <w:noProof/>
          </w:rPr>
          <w:t>2.2.</w:t>
        </w:r>
        <w:r>
          <w:rPr>
            <w:rFonts w:asciiTheme="minorHAnsi" w:eastAsiaTheme="minorEastAsia" w:hAnsiTheme="minorHAnsi" w:cstheme="minorBidi"/>
            <w:noProof/>
            <w:sz w:val="22"/>
            <w:szCs w:val="22"/>
          </w:rPr>
          <w:tab/>
        </w:r>
        <w:r>
          <w:rPr>
            <w:rStyle w:val="Hyperlink"/>
            <w:b/>
            <w:noProof/>
          </w:rPr>
          <w:t>Commission authorisations</w:t>
        </w:r>
        <w:r>
          <w:rPr>
            <w:noProof/>
            <w:webHidden/>
          </w:rPr>
          <w:tab/>
        </w:r>
        <w:r>
          <w:rPr>
            <w:noProof/>
            <w:webHidden/>
          </w:rPr>
          <w:fldChar w:fldCharType="begin"/>
        </w:r>
        <w:r>
          <w:rPr>
            <w:noProof/>
            <w:webHidden/>
          </w:rPr>
          <w:instrText xml:space="preserve"> PAGEREF _Toc468978078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79" w:history="1">
        <w:r>
          <w:rPr>
            <w:rStyle w:val="Hyperlink"/>
            <w:b/>
            <w:noProof/>
          </w:rPr>
          <w:t>2.3.</w:t>
        </w:r>
        <w:r>
          <w:rPr>
            <w:rFonts w:asciiTheme="minorHAnsi" w:eastAsiaTheme="minorEastAsia" w:hAnsiTheme="minorHAnsi" w:cstheme="minorBidi"/>
            <w:noProof/>
            <w:sz w:val="22"/>
            <w:szCs w:val="22"/>
          </w:rPr>
          <w:tab/>
        </w:r>
        <w:r>
          <w:rPr>
            <w:rStyle w:val="Hyperlink"/>
            <w:b/>
            <w:noProof/>
          </w:rPr>
          <w:t>Regions covered by aid</w:t>
        </w:r>
        <w:r>
          <w:rPr>
            <w:noProof/>
            <w:webHidden/>
          </w:rPr>
          <w:tab/>
        </w:r>
        <w:r>
          <w:rPr>
            <w:noProof/>
            <w:webHidden/>
          </w:rPr>
          <w:fldChar w:fldCharType="begin"/>
        </w:r>
        <w:r>
          <w:rPr>
            <w:noProof/>
            <w:webHidden/>
          </w:rPr>
          <w:instrText xml:space="preserve"> PAGEREF _Toc468978079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0" w:history="1">
        <w:r>
          <w:rPr>
            <w:rStyle w:val="Hyperlink"/>
            <w:b/>
            <w:noProof/>
          </w:rPr>
          <w:t>2.4.</w:t>
        </w:r>
        <w:r>
          <w:rPr>
            <w:rFonts w:asciiTheme="minorHAnsi" w:eastAsiaTheme="minorEastAsia" w:hAnsiTheme="minorHAnsi" w:cstheme="minorBidi"/>
            <w:noProof/>
            <w:sz w:val="22"/>
            <w:szCs w:val="22"/>
          </w:rPr>
          <w:tab/>
        </w:r>
        <w:r>
          <w:rPr>
            <w:rStyle w:val="Hyperlink"/>
            <w:b/>
            <w:noProof/>
          </w:rPr>
          <w:t>Relation with the production</w:t>
        </w:r>
        <w:r>
          <w:rPr>
            <w:noProof/>
            <w:webHidden/>
          </w:rPr>
          <w:tab/>
        </w:r>
        <w:r>
          <w:rPr>
            <w:noProof/>
            <w:webHidden/>
          </w:rPr>
          <w:fldChar w:fldCharType="begin"/>
        </w:r>
        <w:r>
          <w:rPr>
            <w:noProof/>
            <w:webHidden/>
          </w:rPr>
          <w:instrText xml:space="preserve"> PAGEREF _Toc468978080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noProof/>
          <w:sz w:val="22"/>
          <w:szCs w:val="22"/>
        </w:rPr>
      </w:pPr>
      <w:hyperlink w:anchor="_Toc468978081" w:history="1">
        <w:r>
          <w:rPr>
            <w:rStyle w:val="Hyperlink"/>
            <w:smallCaps/>
            <w:noProof/>
          </w:rPr>
          <w:t>3.</w:t>
        </w:r>
        <w:r>
          <w:rPr>
            <w:rFonts w:asciiTheme="minorHAnsi" w:eastAsiaTheme="minorEastAsia" w:hAnsiTheme="minorHAnsi" w:cstheme="minorBidi"/>
            <w:b w:val="0"/>
            <w:noProof/>
            <w:sz w:val="22"/>
            <w:szCs w:val="22"/>
          </w:rPr>
          <w:tab/>
        </w:r>
        <w:r>
          <w:rPr>
            <w:rStyle w:val="Hyperlink"/>
            <w:smallCaps/>
            <w:noProof/>
          </w:rPr>
          <w:t>REFORM OF THE NORDIC AID SCHEME</w:t>
        </w:r>
        <w:r>
          <w:rPr>
            <w:noProof/>
            <w:webHidden/>
          </w:rPr>
          <w:tab/>
        </w:r>
        <w:r>
          <w:rPr>
            <w:noProof/>
            <w:webHidden/>
          </w:rPr>
          <w:fldChar w:fldCharType="begin"/>
        </w:r>
        <w:r>
          <w:rPr>
            <w:noProof/>
            <w:webHidden/>
          </w:rPr>
          <w:instrText xml:space="preserve"> PAGEREF _Toc468978081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noProof/>
          <w:sz w:val="22"/>
          <w:szCs w:val="22"/>
        </w:rPr>
      </w:pPr>
      <w:hyperlink w:anchor="_Toc468978082" w:history="1">
        <w:r>
          <w:rPr>
            <w:rStyle w:val="Hyperlink"/>
            <w:smallCaps/>
            <w:noProof/>
          </w:rPr>
          <w:t>4.</w:t>
        </w:r>
        <w:r>
          <w:rPr>
            <w:rFonts w:asciiTheme="minorHAnsi" w:eastAsiaTheme="minorEastAsia" w:hAnsiTheme="minorHAnsi" w:cstheme="minorBidi"/>
            <w:b w:val="0"/>
            <w:noProof/>
            <w:sz w:val="22"/>
            <w:szCs w:val="22"/>
          </w:rPr>
          <w:tab/>
        </w:r>
        <w:r>
          <w:rPr>
            <w:rStyle w:val="Hyperlink"/>
            <w:smallCaps/>
            <w:noProof/>
          </w:rPr>
          <w:t>NORDIC AID IN FINLAND 2011-2015</w:t>
        </w:r>
        <w:r>
          <w:rPr>
            <w:noProof/>
            <w:webHidden/>
          </w:rPr>
          <w:tab/>
        </w:r>
        <w:r>
          <w:rPr>
            <w:noProof/>
            <w:webHidden/>
          </w:rPr>
          <w:fldChar w:fldCharType="begin"/>
        </w:r>
        <w:r>
          <w:rPr>
            <w:noProof/>
            <w:webHidden/>
          </w:rPr>
          <w:instrText xml:space="preserve"> PAGEREF _Toc468978082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3" w:history="1">
        <w:r>
          <w:rPr>
            <w:rStyle w:val="Hyperlink"/>
            <w:b/>
            <w:noProof/>
          </w:rPr>
          <w:t>4.1.</w:t>
        </w:r>
        <w:r>
          <w:rPr>
            <w:rFonts w:asciiTheme="minorHAnsi" w:eastAsiaTheme="minorEastAsia" w:hAnsiTheme="minorHAnsi" w:cstheme="minorBidi"/>
            <w:noProof/>
            <w:sz w:val="22"/>
            <w:szCs w:val="22"/>
          </w:rPr>
          <w:tab/>
        </w:r>
        <w:r>
          <w:rPr>
            <w:rStyle w:val="Hyperlink"/>
            <w:b/>
            <w:noProof/>
          </w:rPr>
          <w:t>Authorisations granted</w:t>
        </w:r>
        <w:r>
          <w:rPr>
            <w:noProof/>
            <w:webHidden/>
          </w:rPr>
          <w:tab/>
        </w:r>
        <w:r>
          <w:rPr>
            <w:noProof/>
            <w:webHidden/>
          </w:rPr>
          <w:fldChar w:fldCharType="begin"/>
        </w:r>
        <w:r>
          <w:rPr>
            <w:noProof/>
            <w:webHidden/>
          </w:rPr>
          <w:instrText xml:space="preserve"> PAGEREF _Toc468978083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4" w:history="1">
        <w:r>
          <w:rPr>
            <w:rStyle w:val="Hyperlink"/>
            <w:b/>
            <w:noProof/>
          </w:rPr>
          <w:t>4.2.</w:t>
        </w:r>
        <w:r>
          <w:rPr>
            <w:rFonts w:asciiTheme="minorHAnsi" w:eastAsiaTheme="minorEastAsia" w:hAnsiTheme="minorHAnsi" w:cstheme="minorBidi"/>
            <w:noProof/>
            <w:sz w:val="22"/>
            <w:szCs w:val="22"/>
          </w:rPr>
          <w:tab/>
        </w:r>
        <w:r>
          <w:rPr>
            <w:rStyle w:val="Hyperlink"/>
            <w:b/>
            <w:noProof/>
          </w:rPr>
          <w:t>Aid disbursed</w:t>
        </w:r>
        <w:r>
          <w:rPr>
            <w:noProof/>
            <w:webHidden/>
          </w:rPr>
          <w:tab/>
        </w:r>
        <w:r>
          <w:rPr>
            <w:noProof/>
            <w:webHidden/>
          </w:rPr>
          <w:fldChar w:fldCharType="begin"/>
        </w:r>
        <w:r>
          <w:rPr>
            <w:noProof/>
            <w:webHidden/>
          </w:rPr>
          <w:instrText xml:space="preserve"> PAGEREF _Toc468978084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5" w:history="1">
        <w:r>
          <w:rPr>
            <w:rStyle w:val="Hyperlink"/>
            <w:b/>
            <w:noProof/>
          </w:rPr>
          <w:t>4.3.</w:t>
        </w:r>
        <w:r>
          <w:rPr>
            <w:rFonts w:asciiTheme="minorHAnsi" w:eastAsiaTheme="minorEastAsia" w:hAnsiTheme="minorHAnsi" w:cstheme="minorBidi"/>
            <w:noProof/>
            <w:sz w:val="22"/>
            <w:szCs w:val="22"/>
          </w:rPr>
          <w:tab/>
        </w:r>
        <w:r>
          <w:rPr>
            <w:rStyle w:val="Hyperlink"/>
            <w:b/>
            <w:noProof/>
          </w:rPr>
          <w:t>Production volumes in the Nordic aid area</w:t>
        </w:r>
        <w:r>
          <w:rPr>
            <w:noProof/>
            <w:webHidden/>
          </w:rPr>
          <w:tab/>
        </w:r>
        <w:r>
          <w:rPr>
            <w:noProof/>
            <w:webHidden/>
          </w:rPr>
          <w:fldChar w:fldCharType="begin"/>
        </w:r>
        <w:r>
          <w:rPr>
            <w:noProof/>
            <w:webHidden/>
          </w:rPr>
          <w:instrText xml:space="preserve"> PAGEREF _Toc468978085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6" w:history="1">
        <w:r>
          <w:rPr>
            <w:rStyle w:val="Hyperlink"/>
            <w:b/>
            <w:noProof/>
          </w:rPr>
          <w:t>4.4.</w:t>
        </w:r>
        <w:r>
          <w:rPr>
            <w:rFonts w:asciiTheme="minorHAnsi" w:eastAsiaTheme="minorEastAsia" w:hAnsiTheme="minorHAnsi" w:cstheme="minorBidi"/>
            <w:noProof/>
            <w:sz w:val="22"/>
            <w:szCs w:val="22"/>
          </w:rPr>
          <w:tab/>
        </w:r>
        <w:r>
          <w:rPr>
            <w:rStyle w:val="Hyperlink"/>
            <w:b/>
            <w:noProof/>
          </w:rPr>
          <w:t>Development of the agricultural economy in the Nordic aid region</w:t>
        </w:r>
        <w:r>
          <w:rPr>
            <w:noProof/>
            <w:webHidden/>
          </w:rPr>
          <w:tab/>
        </w:r>
        <w:r>
          <w:rPr>
            <w:noProof/>
            <w:webHidden/>
          </w:rPr>
          <w:fldChar w:fldCharType="begin"/>
        </w:r>
        <w:r>
          <w:rPr>
            <w:noProof/>
            <w:webHidden/>
          </w:rPr>
          <w:instrText xml:space="preserve"> PAGEREF _Toc468978086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b w:val="0"/>
          <w:noProof/>
          <w:sz w:val="22"/>
          <w:szCs w:val="22"/>
        </w:rPr>
      </w:pPr>
      <w:hyperlink w:anchor="_Toc468978087" w:history="1">
        <w:r>
          <w:rPr>
            <w:rStyle w:val="Hyperlink"/>
            <w:smallCaps/>
            <w:noProof/>
          </w:rPr>
          <w:t>5.</w:t>
        </w:r>
        <w:r>
          <w:rPr>
            <w:rFonts w:asciiTheme="minorHAnsi" w:eastAsiaTheme="minorEastAsia" w:hAnsiTheme="minorHAnsi" w:cstheme="minorBidi"/>
            <w:b w:val="0"/>
            <w:noProof/>
            <w:sz w:val="22"/>
            <w:szCs w:val="22"/>
          </w:rPr>
          <w:tab/>
        </w:r>
        <w:r>
          <w:rPr>
            <w:rStyle w:val="Hyperlink"/>
            <w:smallCaps/>
            <w:noProof/>
          </w:rPr>
          <w:t>NORDIC AID IN SWEDEN 2011-2015</w:t>
        </w:r>
        <w:r>
          <w:rPr>
            <w:noProof/>
            <w:webHidden/>
          </w:rPr>
          <w:tab/>
        </w:r>
        <w:r>
          <w:rPr>
            <w:noProof/>
            <w:webHidden/>
          </w:rPr>
          <w:fldChar w:fldCharType="begin"/>
        </w:r>
        <w:r>
          <w:rPr>
            <w:noProof/>
            <w:webHidden/>
          </w:rPr>
          <w:instrText xml:space="preserve"> PAGEREF _Toc468978087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8" w:history="1">
        <w:r>
          <w:rPr>
            <w:rStyle w:val="Hyperlink"/>
            <w:b/>
            <w:noProof/>
          </w:rPr>
          <w:t>5.1.</w:t>
        </w:r>
        <w:r>
          <w:rPr>
            <w:rFonts w:asciiTheme="minorHAnsi" w:eastAsiaTheme="minorEastAsia" w:hAnsiTheme="minorHAnsi" w:cstheme="minorBidi"/>
            <w:noProof/>
            <w:sz w:val="22"/>
            <w:szCs w:val="22"/>
          </w:rPr>
          <w:tab/>
        </w:r>
        <w:r>
          <w:rPr>
            <w:rStyle w:val="Hyperlink"/>
            <w:b/>
            <w:noProof/>
          </w:rPr>
          <w:t>Authorisations granted</w:t>
        </w:r>
        <w:r>
          <w:rPr>
            <w:noProof/>
            <w:webHidden/>
          </w:rPr>
          <w:tab/>
        </w:r>
        <w:r>
          <w:rPr>
            <w:noProof/>
            <w:webHidden/>
          </w:rPr>
          <w:fldChar w:fldCharType="begin"/>
        </w:r>
        <w:r>
          <w:rPr>
            <w:noProof/>
            <w:webHidden/>
          </w:rPr>
          <w:instrText xml:space="preserve"> PAGEREF _Toc468978088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89" w:history="1">
        <w:r>
          <w:rPr>
            <w:rStyle w:val="Hyperlink"/>
            <w:b/>
            <w:noProof/>
          </w:rPr>
          <w:t>5.2.</w:t>
        </w:r>
        <w:r>
          <w:rPr>
            <w:rFonts w:asciiTheme="minorHAnsi" w:eastAsiaTheme="minorEastAsia" w:hAnsiTheme="minorHAnsi" w:cstheme="minorBidi"/>
            <w:noProof/>
            <w:sz w:val="22"/>
            <w:szCs w:val="22"/>
          </w:rPr>
          <w:tab/>
        </w:r>
        <w:r>
          <w:rPr>
            <w:rStyle w:val="Hyperlink"/>
            <w:b/>
            <w:noProof/>
          </w:rPr>
          <w:t>Aid disbursed</w:t>
        </w:r>
        <w:r>
          <w:rPr>
            <w:noProof/>
            <w:webHidden/>
          </w:rPr>
          <w:tab/>
        </w:r>
        <w:r>
          <w:rPr>
            <w:noProof/>
            <w:webHidden/>
          </w:rPr>
          <w:fldChar w:fldCharType="begin"/>
        </w:r>
        <w:r>
          <w:rPr>
            <w:noProof/>
            <w:webHidden/>
          </w:rPr>
          <w:instrText xml:space="preserve"> PAGEREF _Toc468978089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90" w:history="1">
        <w:r>
          <w:rPr>
            <w:rStyle w:val="Hyperlink"/>
            <w:b/>
            <w:noProof/>
          </w:rPr>
          <w:t>5.3.</w:t>
        </w:r>
        <w:r>
          <w:rPr>
            <w:rFonts w:asciiTheme="minorHAnsi" w:eastAsiaTheme="minorEastAsia" w:hAnsiTheme="minorHAnsi" w:cstheme="minorBidi"/>
            <w:noProof/>
            <w:sz w:val="22"/>
            <w:szCs w:val="22"/>
          </w:rPr>
          <w:tab/>
        </w:r>
        <w:r>
          <w:rPr>
            <w:rStyle w:val="Hyperlink"/>
            <w:b/>
            <w:noProof/>
          </w:rPr>
          <w:t>Production volumes in the Aid area</w:t>
        </w:r>
        <w:r>
          <w:rPr>
            <w:noProof/>
            <w:webHidden/>
          </w:rPr>
          <w:tab/>
        </w:r>
        <w:r>
          <w:rPr>
            <w:noProof/>
            <w:webHidden/>
          </w:rPr>
          <w:fldChar w:fldCharType="begin"/>
        </w:r>
        <w:r>
          <w:rPr>
            <w:noProof/>
            <w:webHidden/>
          </w:rPr>
          <w:instrText xml:space="preserve"> PAGEREF _Toc468978090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91" w:history="1">
        <w:r>
          <w:rPr>
            <w:rStyle w:val="Hyperlink"/>
            <w:b/>
            <w:noProof/>
          </w:rPr>
          <w:t>5.4.</w:t>
        </w:r>
        <w:r>
          <w:rPr>
            <w:rFonts w:asciiTheme="minorHAnsi" w:eastAsiaTheme="minorEastAsia" w:hAnsiTheme="minorHAnsi" w:cstheme="minorBidi"/>
            <w:noProof/>
            <w:sz w:val="22"/>
            <w:szCs w:val="22"/>
          </w:rPr>
          <w:tab/>
        </w:r>
        <w:r>
          <w:rPr>
            <w:rStyle w:val="Hyperlink"/>
            <w:b/>
            <w:noProof/>
          </w:rPr>
          <w:t>Development of the agricultural economy in the Aid region</w:t>
        </w:r>
        <w:r>
          <w:rPr>
            <w:noProof/>
            <w:webHidden/>
          </w:rPr>
          <w:tab/>
        </w:r>
        <w:r>
          <w:rPr>
            <w:noProof/>
            <w:webHidden/>
          </w:rPr>
          <w:fldChar w:fldCharType="begin"/>
        </w:r>
        <w:r>
          <w:rPr>
            <w:noProof/>
            <w:webHidden/>
          </w:rPr>
          <w:instrText xml:space="preserve"> PAGEREF _Toc468978091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b w:val="0"/>
          <w:noProof/>
          <w:sz w:val="22"/>
          <w:szCs w:val="22"/>
        </w:rPr>
      </w:pPr>
      <w:hyperlink w:anchor="_Toc468978092" w:history="1">
        <w:r>
          <w:rPr>
            <w:rStyle w:val="Hyperlink"/>
            <w:smallCaps/>
            <w:noProof/>
          </w:rPr>
          <w:t>6.</w:t>
        </w:r>
        <w:r>
          <w:rPr>
            <w:rFonts w:asciiTheme="minorHAnsi" w:eastAsiaTheme="minorEastAsia" w:hAnsiTheme="minorHAnsi" w:cstheme="minorBidi"/>
            <w:b w:val="0"/>
            <w:noProof/>
            <w:sz w:val="22"/>
            <w:szCs w:val="22"/>
          </w:rPr>
          <w:tab/>
        </w:r>
        <w:r>
          <w:rPr>
            <w:rStyle w:val="Hyperlink"/>
            <w:smallCaps/>
            <w:noProof/>
          </w:rPr>
          <w:t>CONCLUSIONS</w:t>
        </w:r>
        <w:r>
          <w:rPr>
            <w:noProof/>
            <w:webHidden/>
          </w:rPr>
          <w:tab/>
        </w:r>
        <w:r>
          <w:rPr>
            <w:noProof/>
            <w:webHidden/>
          </w:rPr>
          <w:fldChar w:fldCharType="begin"/>
        </w:r>
        <w:r>
          <w:rPr>
            <w:noProof/>
            <w:webHidden/>
          </w:rPr>
          <w:instrText xml:space="preserve"> PAGEREF _Toc468978092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93" w:history="1">
        <w:r>
          <w:rPr>
            <w:rStyle w:val="Hyperlink"/>
            <w:b/>
            <w:noProof/>
          </w:rPr>
          <w:t>6.1.</w:t>
        </w:r>
        <w:r>
          <w:rPr>
            <w:rFonts w:asciiTheme="minorHAnsi" w:eastAsiaTheme="minorEastAsia" w:hAnsiTheme="minorHAnsi" w:cstheme="minorBidi"/>
            <w:noProof/>
            <w:sz w:val="22"/>
            <w:szCs w:val="22"/>
          </w:rPr>
          <w:tab/>
        </w:r>
        <w:r>
          <w:rPr>
            <w:rStyle w:val="Hyperlink"/>
            <w:b/>
            <w:noProof/>
          </w:rPr>
          <w:t>Finland</w:t>
        </w:r>
        <w:r>
          <w:rPr>
            <w:noProof/>
            <w:webHidden/>
          </w:rPr>
          <w:tab/>
        </w:r>
        <w:r>
          <w:rPr>
            <w:noProof/>
            <w:webHidden/>
          </w:rPr>
          <w:fldChar w:fldCharType="begin"/>
        </w:r>
        <w:r>
          <w:rPr>
            <w:noProof/>
            <w:webHidden/>
          </w:rPr>
          <w:instrText xml:space="preserve"> PAGEREF _Toc468978093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68978094" w:history="1">
        <w:r>
          <w:rPr>
            <w:rStyle w:val="Hyperlink"/>
            <w:b/>
            <w:noProof/>
          </w:rPr>
          <w:t>6.2.</w:t>
        </w:r>
        <w:r>
          <w:rPr>
            <w:rFonts w:asciiTheme="minorHAnsi" w:eastAsiaTheme="minorEastAsia" w:hAnsiTheme="minorHAnsi" w:cstheme="minorBidi"/>
            <w:noProof/>
            <w:sz w:val="22"/>
            <w:szCs w:val="22"/>
          </w:rPr>
          <w:tab/>
        </w:r>
        <w:r>
          <w:rPr>
            <w:rStyle w:val="Hyperlink"/>
            <w:b/>
            <w:noProof/>
          </w:rPr>
          <w:t>Sweden</w:t>
        </w:r>
        <w:r>
          <w:rPr>
            <w:noProof/>
            <w:webHidden/>
          </w:rPr>
          <w:tab/>
        </w:r>
        <w:r>
          <w:rPr>
            <w:noProof/>
            <w:webHidden/>
          </w:rPr>
          <w:fldChar w:fldCharType="begin"/>
        </w:r>
        <w:r>
          <w:rPr>
            <w:noProof/>
            <w:webHidden/>
          </w:rPr>
          <w:instrText xml:space="preserve"> PAGEREF _Toc468978094 \h </w:instrText>
        </w:r>
        <w:r>
          <w:rPr>
            <w:noProof/>
            <w:webHidden/>
          </w:rPr>
        </w:r>
        <w:r>
          <w:rPr>
            <w:noProof/>
            <w:webHidden/>
          </w:rPr>
          <w:fldChar w:fldCharType="separate"/>
        </w:r>
        <w:r>
          <w:rPr>
            <w:noProof/>
            <w:webHidden/>
          </w:rPr>
          <w:t>14</w:t>
        </w:r>
        <w:r>
          <w:rPr>
            <w:noProof/>
            <w:webHidden/>
          </w:rPr>
          <w:fldChar w:fldCharType="end"/>
        </w:r>
      </w:hyperlink>
    </w:p>
    <w:p>
      <w:pPr>
        <w:keepNext/>
        <w:tabs>
          <w:tab w:val="left" w:pos="850"/>
        </w:tabs>
        <w:spacing w:before="120" w:after="120"/>
        <w:outlineLvl w:val="0"/>
        <w:rPr>
          <w:b/>
          <w:smallCaps/>
          <w:noProof/>
        </w:rPr>
      </w:pPr>
      <w:r>
        <w:rPr>
          <w:b/>
          <w:smallCaps/>
          <w:noProof/>
        </w:rPr>
        <w:fldChar w:fldCharType="end"/>
      </w:r>
    </w:p>
    <w:p>
      <w:pPr>
        <w:rPr>
          <w:noProof/>
        </w:rPr>
      </w:pPr>
      <w:r>
        <w:rPr>
          <w:noProof/>
        </w:rPr>
        <w:br w:type="page"/>
      </w:r>
    </w:p>
    <w:p>
      <w:pPr>
        <w:keepNext/>
        <w:tabs>
          <w:tab w:val="left" w:pos="850"/>
        </w:tabs>
        <w:spacing w:before="120" w:after="120"/>
        <w:outlineLvl w:val="0"/>
        <w:rPr>
          <w:b/>
          <w:smallCaps/>
          <w:noProof/>
        </w:rPr>
      </w:pPr>
      <w:bookmarkStart w:id="3" w:name="_Toc468978075"/>
      <w:r>
        <w:rPr>
          <w:b/>
          <w:smallCaps/>
          <w:noProof/>
        </w:rPr>
        <w:t>1.</w:t>
      </w:r>
      <w:r>
        <w:rPr>
          <w:b/>
          <w:smallCaps/>
          <w:noProof/>
        </w:rPr>
        <w:tab/>
        <w:t>INTRODUCTION</w:t>
      </w:r>
      <w:bookmarkEnd w:id="1"/>
      <w:bookmarkEnd w:id="3"/>
    </w:p>
    <w:p>
      <w:pPr>
        <w:spacing w:before="120" w:after="120"/>
        <w:jc w:val="both"/>
        <w:rPr>
          <w:noProof/>
        </w:rPr>
      </w:pPr>
      <w:r>
        <w:rPr>
          <w:noProof/>
        </w:rPr>
        <w:t>Pursuant to Article 142 of the Act of Accession to the European Union of Austria, Finland and Sweden</w:t>
      </w:r>
      <w:r>
        <w:rPr>
          <w:rStyle w:val="FootnoteReference"/>
          <w:noProof/>
        </w:rPr>
        <w:footnoteReference w:id="1"/>
      </w:r>
      <w:r>
        <w:rPr>
          <w:noProof/>
        </w:rPr>
        <w:t>, the Commission has authorised Finland and Sweden to grant long-term national aid to agriculture in the northern regions, in order to maintain agricultural activity. This aid is referred to as the Nordic aid ("the Aid").</w:t>
      </w:r>
    </w:p>
    <w:p>
      <w:pPr>
        <w:spacing w:before="120" w:after="120"/>
        <w:jc w:val="both"/>
        <w:rPr>
          <w:noProof/>
        </w:rPr>
      </w:pPr>
      <w:r>
        <w:rPr>
          <w:noProof/>
        </w:rPr>
        <w:t>The present report is submitted to the Council in compliance with the reporting requirement of Article 143 of the Act of Accession, where it is laid down that the Commission shall submit to the Council one year after accession and subsequently every five years a report on the authorisations granted and the results of the aid granted under such authorisations. Previous reports were made in 1996, 2002</w:t>
      </w:r>
      <w:r>
        <w:rPr>
          <w:rStyle w:val="FootnoteReference"/>
          <w:noProof/>
        </w:rPr>
        <w:footnoteReference w:id="2"/>
      </w:r>
      <w:r>
        <w:rPr>
          <w:noProof/>
        </w:rPr>
        <w:t>, 2007</w:t>
      </w:r>
      <w:r>
        <w:rPr>
          <w:rStyle w:val="FootnoteReference"/>
          <w:noProof/>
        </w:rPr>
        <w:footnoteReference w:id="3"/>
      </w:r>
      <w:r>
        <w:rPr>
          <w:noProof/>
        </w:rPr>
        <w:t xml:space="preserve"> and 2012</w:t>
      </w:r>
      <w:r>
        <w:rPr>
          <w:rStyle w:val="FootnoteReference"/>
          <w:noProof/>
        </w:rPr>
        <w:footnoteReference w:id="4"/>
      </w:r>
      <w:r>
        <w:rPr>
          <w:noProof/>
        </w:rPr>
        <w:t xml:space="preserve">. </w:t>
      </w:r>
    </w:p>
    <w:p>
      <w:pPr>
        <w:keepNext/>
        <w:tabs>
          <w:tab w:val="left" w:pos="850"/>
        </w:tabs>
        <w:spacing w:before="360" w:after="120"/>
        <w:outlineLvl w:val="0"/>
        <w:rPr>
          <w:b/>
          <w:smallCaps/>
          <w:noProof/>
        </w:rPr>
      </w:pPr>
      <w:bookmarkStart w:id="4" w:name="_Toc327522978"/>
      <w:bookmarkStart w:id="5" w:name="_Toc468978076"/>
      <w:r>
        <w:rPr>
          <w:b/>
          <w:smallCaps/>
          <w:noProof/>
        </w:rPr>
        <w:t>2.</w:t>
      </w:r>
      <w:r>
        <w:rPr>
          <w:b/>
          <w:smallCaps/>
          <w:noProof/>
        </w:rPr>
        <w:tab/>
        <w:t>GENERAL PRINCIPLES OF THE NORDIC AID</w:t>
      </w:r>
      <w:bookmarkEnd w:id="4"/>
      <w:bookmarkEnd w:id="5"/>
    </w:p>
    <w:p>
      <w:pPr>
        <w:keepNext/>
        <w:tabs>
          <w:tab w:val="left" w:pos="850"/>
        </w:tabs>
        <w:spacing w:before="240" w:after="120"/>
        <w:outlineLvl w:val="1"/>
        <w:rPr>
          <w:b/>
          <w:noProof/>
        </w:rPr>
      </w:pPr>
      <w:bookmarkStart w:id="6" w:name="_Toc327522979"/>
      <w:bookmarkStart w:id="7" w:name="_Toc468978077"/>
      <w:r>
        <w:rPr>
          <w:b/>
          <w:noProof/>
        </w:rPr>
        <w:t>2.1.</w:t>
      </w:r>
      <w:r>
        <w:rPr>
          <w:b/>
          <w:noProof/>
        </w:rPr>
        <w:tab/>
        <w:t>Objectives of the Aid</w:t>
      </w:r>
      <w:bookmarkEnd w:id="6"/>
      <w:bookmarkEnd w:id="7"/>
    </w:p>
    <w:p>
      <w:pPr>
        <w:spacing w:before="120" w:after="120"/>
        <w:jc w:val="both"/>
        <w:rPr>
          <w:noProof/>
        </w:rPr>
      </w:pPr>
      <w:r>
        <w:rPr>
          <w:noProof/>
        </w:rPr>
        <w:t>The Aid is granted in particular to maintain traditional primary production and processing naturally suited to the climatic conditions of the regions concerned, to improve structures for the production, marketing and processing of agricultural products, to facilitate the disposal of such products, and to ensure that the environment is protected and the countryside preserved.</w:t>
      </w:r>
    </w:p>
    <w:p>
      <w:pPr>
        <w:keepNext/>
        <w:tabs>
          <w:tab w:val="left" w:pos="850"/>
        </w:tabs>
        <w:spacing w:before="240" w:after="120"/>
        <w:outlineLvl w:val="1"/>
        <w:rPr>
          <w:b/>
          <w:noProof/>
        </w:rPr>
      </w:pPr>
      <w:bookmarkStart w:id="8" w:name="_Toc327522980"/>
      <w:bookmarkStart w:id="9" w:name="_Toc468978078"/>
      <w:r>
        <w:rPr>
          <w:b/>
          <w:noProof/>
        </w:rPr>
        <w:t>2.2.</w:t>
      </w:r>
      <w:r>
        <w:rPr>
          <w:b/>
          <w:noProof/>
        </w:rPr>
        <w:tab/>
        <w:t>Commission authorisations</w:t>
      </w:r>
      <w:bookmarkEnd w:id="8"/>
      <w:bookmarkEnd w:id="9"/>
    </w:p>
    <w:p>
      <w:pPr>
        <w:spacing w:before="120" w:after="120"/>
        <w:jc w:val="both"/>
        <w:rPr>
          <w:noProof/>
        </w:rPr>
      </w:pPr>
      <w:r>
        <w:rPr>
          <w:noProof/>
        </w:rPr>
        <w:t>The Aid is authorised by separate Commission Decisions</w:t>
      </w:r>
      <w:r>
        <w:rPr>
          <w:rStyle w:val="FootnoteReference"/>
          <w:noProof/>
        </w:rPr>
        <w:footnoteReference w:id="5"/>
      </w:r>
      <w:r>
        <w:rPr>
          <w:noProof/>
        </w:rPr>
        <w:t xml:space="preserve"> for Finland and Sweden respectively. The maximum annual payment for Finland is currently EUR 382 million. For Sweden, the maximum annual payment authorised amounts to SEK 318.67 million (approximately EUR 35 million)</w:t>
      </w:r>
      <w:r>
        <w:rPr>
          <w:rStyle w:val="FootnoteReference"/>
          <w:noProof/>
        </w:rPr>
        <w:footnoteReference w:id="6"/>
      </w:r>
      <w:r>
        <w:rPr>
          <w:noProof/>
        </w:rPr>
        <w:t>.</w:t>
      </w:r>
    </w:p>
    <w:p>
      <w:pPr>
        <w:spacing w:before="120" w:after="120"/>
        <w:jc w:val="both"/>
        <w:rPr>
          <w:noProof/>
        </w:rPr>
      </w:pPr>
      <w:r>
        <w:rPr>
          <w:noProof/>
        </w:rPr>
        <w:t>The basic conditions are fixed in Article 142 of the Act of Accession; the total amount of the aid granted should be sufficient to maintain agricultural activity in the northern areas but may not lead to overall support exceeding the level of support during a pre-accession reference period, defined in the authorisations. Also, aid may not be linked to future production or bring about an increase in production, in relation to reference levels, as determined by the Commission.</w:t>
      </w:r>
    </w:p>
    <w:p>
      <w:pPr>
        <w:keepNext/>
        <w:tabs>
          <w:tab w:val="left" w:pos="850"/>
        </w:tabs>
        <w:spacing w:before="240" w:after="120"/>
        <w:outlineLvl w:val="1"/>
        <w:rPr>
          <w:b/>
          <w:noProof/>
        </w:rPr>
      </w:pPr>
      <w:bookmarkStart w:id="10" w:name="_Toc327522981"/>
      <w:bookmarkStart w:id="11" w:name="_Toc468978079"/>
      <w:r>
        <w:rPr>
          <w:b/>
          <w:noProof/>
        </w:rPr>
        <w:t>2.3.</w:t>
      </w:r>
      <w:r>
        <w:rPr>
          <w:b/>
          <w:noProof/>
        </w:rPr>
        <w:tab/>
        <w:t>Regions covered by aid</w:t>
      </w:r>
      <w:bookmarkEnd w:id="10"/>
      <w:bookmarkEnd w:id="11"/>
    </w:p>
    <w:p>
      <w:pPr>
        <w:spacing w:before="120" w:after="120"/>
        <w:jc w:val="both"/>
        <w:rPr>
          <w:noProof/>
        </w:rPr>
      </w:pPr>
      <w:r>
        <w:rPr>
          <w:noProof/>
        </w:rPr>
        <w:t>The regions covered by the Aid scheme are defined in the respective Decisions and are situated north of the 62</w:t>
      </w:r>
      <w:r>
        <w:rPr>
          <w:noProof/>
          <w:vertAlign w:val="superscript"/>
        </w:rPr>
        <w:t>nd</w:t>
      </w:r>
      <w:r>
        <w:rPr>
          <w:noProof/>
        </w:rPr>
        <w:t xml:space="preserve"> parallel and some adjacent areas south of the parallel affected by comparable climatic conditions rendering agricultural activity particularly difficult. The factors taken into consideration when determining the areas are low population density (max 10 inhabitants/km</w:t>
      </w:r>
      <w:r>
        <w:rPr>
          <w:noProof/>
          <w:vertAlign w:val="superscript"/>
        </w:rPr>
        <w:t>2</w:t>
      </w:r>
      <w:r>
        <w:rPr>
          <w:noProof/>
        </w:rPr>
        <w:t xml:space="preserve">), Utilised Agricultural Area (UAA) as a proportion of the total area (&lt;10%), agricultural area used for the cultivation of crops intended for human consumption as a proportion of UAA (≤ 20%), and municipalities surrounded by others within before mentioned areas (even where they do not satisfy the same requirements). </w:t>
      </w:r>
    </w:p>
    <w:p>
      <w:pPr>
        <w:spacing w:before="120" w:after="120"/>
        <w:rPr>
          <w:noProof/>
        </w:rPr>
      </w:pPr>
      <w:r>
        <w:rPr>
          <w:noProof/>
        </w:rPr>
        <w:t>In Finland, the Aid area reported on in this Communication covers 1 417 140 hectares (ha) of UAA (55.5% of total UAA) and in Sweden 335 881 ha of UAA (11 % of total UAA).</w:t>
      </w:r>
    </w:p>
    <w:p>
      <w:pPr>
        <w:spacing w:before="120" w:after="120"/>
        <w:jc w:val="center"/>
        <w:rPr>
          <w:noProof/>
        </w:rPr>
      </w:pPr>
      <w:r>
        <w:rPr>
          <w:noProof/>
          <w:lang w:val="en-US" w:eastAsia="en-US"/>
        </w:rPr>
        <w:drawing>
          <wp:inline distT="0" distB="0" distL="0" distR="0">
            <wp:extent cx="2356485" cy="321437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6485" cy="3214370"/>
                    </a:xfrm>
                    <a:prstGeom prst="rect">
                      <a:avLst/>
                    </a:prstGeom>
                    <a:noFill/>
                    <a:ln>
                      <a:noFill/>
                    </a:ln>
                  </pic:spPr>
                </pic:pic>
              </a:graphicData>
            </a:graphic>
          </wp:inline>
        </w:drawing>
      </w:r>
    </w:p>
    <w:p>
      <w:pPr>
        <w:spacing w:before="120" w:after="120"/>
        <w:jc w:val="center"/>
        <w:rPr>
          <w:b/>
          <w:bCs/>
          <w:noProof/>
          <w:sz w:val="20"/>
          <w:szCs w:val="20"/>
        </w:rPr>
      </w:pPr>
      <w:r>
        <w:rPr>
          <w:b/>
          <w:bCs/>
          <w:noProof/>
          <w:sz w:val="20"/>
          <w:szCs w:val="20"/>
        </w:rPr>
        <w:t>Figure 1: Finnish (C1-C4) and Swedish (1-3) support areas</w:t>
      </w:r>
    </w:p>
    <w:p>
      <w:pPr>
        <w:keepNext/>
        <w:tabs>
          <w:tab w:val="left" w:pos="850"/>
        </w:tabs>
        <w:spacing w:before="240" w:after="120"/>
        <w:outlineLvl w:val="1"/>
        <w:rPr>
          <w:b/>
          <w:noProof/>
        </w:rPr>
      </w:pPr>
      <w:bookmarkStart w:id="12" w:name="_Toc327522982"/>
      <w:bookmarkStart w:id="13" w:name="_Toc468978080"/>
      <w:r>
        <w:rPr>
          <w:b/>
          <w:noProof/>
        </w:rPr>
        <w:t>2.4.</w:t>
      </w:r>
      <w:r>
        <w:rPr>
          <w:b/>
          <w:noProof/>
        </w:rPr>
        <w:tab/>
        <w:t>Relation with the production</w:t>
      </w:r>
      <w:bookmarkEnd w:id="12"/>
      <w:bookmarkEnd w:id="13"/>
    </w:p>
    <w:p>
      <w:pPr>
        <w:spacing w:before="120" w:after="120"/>
        <w:jc w:val="both"/>
        <w:rPr>
          <w:noProof/>
        </w:rPr>
      </w:pPr>
      <w:r>
        <w:rPr>
          <w:noProof/>
        </w:rPr>
        <w:t>The Aid is limited to specific agricultural sectors, as defined for each Member State in the respective Decision.</w:t>
      </w:r>
    </w:p>
    <w:p>
      <w:pPr>
        <w:spacing w:before="120" w:after="120"/>
        <w:jc w:val="both"/>
        <w:rPr>
          <w:noProof/>
        </w:rPr>
      </w:pPr>
      <w:r>
        <w:rPr>
          <w:noProof/>
        </w:rPr>
        <w:t>The Aid is granted on the basis of production units, either livestock units (LU) or ha, with the exception of support to and transport of milk, where the quantities delivered and transported are supported. The Finnish aid to reindeer is on a per animal basis.</w:t>
      </w:r>
    </w:p>
    <w:p>
      <w:pPr>
        <w:spacing w:before="120" w:after="120"/>
        <w:jc w:val="both"/>
        <w:rPr>
          <w:noProof/>
        </w:rPr>
      </w:pPr>
      <w:r>
        <w:rPr>
          <w:noProof/>
        </w:rPr>
        <w:t>As stated above, aid may not be linked to future production or bring about an increase in production in relation to a reference period. Reference periods are stipulated in the respective Decision for each Member State per sector. The reference quantity for milk production in Finland has been aligned several times with developments of the Common Agricultural Policy (CAP) as regards the milk sector. However, the 2009-2010 review of the Finnish Aid scheme removed the link between the individual CAP milk quotas and the aid payments. Instead, it introduced a restriction, applied until the end of the milk quota system, not to pay such aid for any quantity of milk in the region subject to surplus levy.</w:t>
      </w:r>
    </w:p>
    <w:p>
      <w:pPr>
        <w:keepNext/>
        <w:tabs>
          <w:tab w:val="left" w:pos="850"/>
        </w:tabs>
        <w:spacing w:before="360" w:after="120"/>
        <w:outlineLvl w:val="0"/>
        <w:rPr>
          <w:b/>
          <w:smallCaps/>
          <w:noProof/>
        </w:rPr>
      </w:pPr>
      <w:bookmarkStart w:id="14" w:name="_Toc327522983"/>
      <w:bookmarkStart w:id="15" w:name="_Toc468978081"/>
      <w:r>
        <w:rPr>
          <w:b/>
          <w:smallCaps/>
          <w:noProof/>
        </w:rPr>
        <w:t>3.</w:t>
      </w:r>
      <w:r>
        <w:rPr>
          <w:b/>
          <w:smallCaps/>
          <w:noProof/>
        </w:rPr>
        <w:tab/>
        <w:t>REFORM OF THE NORDIC AID SCHEME</w:t>
      </w:r>
      <w:bookmarkEnd w:id="14"/>
      <w:bookmarkEnd w:id="15"/>
    </w:p>
    <w:p>
      <w:pPr>
        <w:spacing w:before="120" w:after="120"/>
        <w:jc w:val="both"/>
        <w:rPr>
          <w:noProof/>
        </w:rPr>
      </w:pPr>
      <w:r>
        <w:rPr>
          <w:noProof/>
        </w:rPr>
        <w:t xml:space="preserve">Following an evaluation of the Aid scheme finialised in 2007 a review was conducted, which aimed at simplifying the schemes and aligning the authorisations with the objectives of the Act of Accession. As regards simplification, the recasts finalised in 2009 and 2010 regrouped different production sectors and specified the maximum average aid rates for the entire Finnish and Swedish aid areas, respectively. </w:t>
      </w:r>
    </w:p>
    <w:p>
      <w:pPr>
        <w:spacing w:before="120" w:after="120"/>
        <w:jc w:val="both"/>
        <w:rPr>
          <w:noProof/>
        </w:rPr>
      </w:pPr>
      <w:r>
        <w:rPr>
          <w:noProof/>
        </w:rPr>
        <w:t>In relation to aligning the authorisations with the objectives set in the Act of Accession, the review of production and payment authorisations led to a reduction of the maximum annual payment authorisation for Finland from EUR 448.59 million to 358 million. Also, aid to the pig and poultry sectors was decoupled from the type of production. In 2009 a compensation for predator damage was introduced. This compensation was abolished in 2015.</w:t>
      </w:r>
    </w:p>
    <w:p>
      <w:pPr>
        <w:spacing w:before="120" w:after="120"/>
        <w:jc w:val="both"/>
        <w:rPr>
          <w:noProof/>
        </w:rPr>
      </w:pPr>
      <w:r>
        <w:rPr>
          <w:noProof/>
        </w:rPr>
        <w:t>Concerning the Swedish Aid area, the review revealed that production levels had in the preceeding years been decreasing. On proposal by the Swedish authorities, the revision of the Decision finalised in 2010 allows for concentrating the aid on the remaining production to stop this decline. In 2013 an additional amendment was introduced, which incorporated the previous state aid to potato growers into the Nordic Aid, while respecting the overall ceiling.</w:t>
      </w:r>
    </w:p>
    <w:p>
      <w:pPr>
        <w:keepNext/>
        <w:tabs>
          <w:tab w:val="left" w:pos="850"/>
        </w:tabs>
        <w:spacing w:before="360" w:after="120"/>
        <w:outlineLvl w:val="0"/>
        <w:rPr>
          <w:b/>
          <w:smallCaps/>
          <w:noProof/>
        </w:rPr>
      </w:pPr>
      <w:bookmarkStart w:id="16" w:name="_Toc327522986"/>
      <w:bookmarkStart w:id="17" w:name="_Toc468978082"/>
      <w:r>
        <w:rPr>
          <w:b/>
          <w:smallCaps/>
          <w:noProof/>
        </w:rPr>
        <w:t>4.</w:t>
      </w:r>
      <w:r>
        <w:rPr>
          <w:b/>
          <w:smallCaps/>
          <w:noProof/>
        </w:rPr>
        <w:tab/>
        <w:t>NORDIC AID IN FINLAND 2011-</w:t>
      </w:r>
      <w:bookmarkEnd w:id="16"/>
      <w:r>
        <w:rPr>
          <w:b/>
          <w:smallCaps/>
          <w:noProof/>
        </w:rPr>
        <w:t>2015</w:t>
      </w:r>
      <w:bookmarkEnd w:id="17"/>
    </w:p>
    <w:p>
      <w:pPr>
        <w:keepNext/>
        <w:tabs>
          <w:tab w:val="left" w:pos="850"/>
        </w:tabs>
        <w:spacing w:before="120" w:after="120"/>
        <w:outlineLvl w:val="1"/>
        <w:rPr>
          <w:b/>
          <w:noProof/>
        </w:rPr>
      </w:pPr>
      <w:bookmarkStart w:id="18" w:name="_Toc327522987"/>
      <w:bookmarkStart w:id="19" w:name="_Toc468978083"/>
      <w:r>
        <w:rPr>
          <w:b/>
          <w:noProof/>
        </w:rPr>
        <w:t>4.1.</w:t>
      </w:r>
      <w:r>
        <w:rPr>
          <w:b/>
          <w:noProof/>
        </w:rPr>
        <w:tab/>
        <w:t>Authorisations granted</w:t>
      </w:r>
      <w:bookmarkEnd w:id="18"/>
      <w:bookmarkEnd w:id="19"/>
    </w:p>
    <w:p>
      <w:pPr>
        <w:spacing w:before="120" w:after="120"/>
        <w:jc w:val="both"/>
        <w:rPr>
          <w:noProof/>
        </w:rPr>
      </w:pPr>
      <w:r>
        <w:rPr>
          <w:noProof/>
        </w:rPr>
        <w:t>Decision C(2009)3067 authorised a maximum annual aid amounting to EUR 358 million from 1 January 2009 to 31 December 2014. Decision C(2015)2790) applies from 1 January 2015 and authorises a maximum amount of EUR 382 million, aid as shown in Table 1. The maximum annual total aid was increased since the EUR 24 million available under Article 182(7) of Regulation (EC) No 1234/2007 ("Health Check") were exhausted in February 2014. In that Decision the maximum unit aid and total aid allowed for ruminants were also increased in order to provide an incentive against declining production.</w:t>
      </w:r>
    </w:p>
    <w:p>
      <w:pPr>
        <w:spacing w:before="240" w:after="120"/>
        <w:jc w:val="center"/>
        <w:rPr>
          <w:b/>
          <w:noProof/>
        </w:rPr>
      </w:pPr>
      <w:r>
        <w:rPr>
          <w:b/>
          <w:noProof/>
        </w:rPr>
        <w:t>Table 1: Annual aid authorised according to Decision C(2015)2790</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40"/>
        <w:gridCol w:w="1586"/>
        <w:gridCol w:w="1116"/>
        <w:gridCol w:w="1449"/>
        <w:gridCol w:w="1815"/>
      </w:tblGrid>
      <w:tr>
        <w:tc>
          <w:tcPr>
            <w:tcW w:w="3240" w:type="dxa"/>
          </w:tcPr>
          <w:p>
            <w:pPr>
              <w:tabs>
                <w:tab w:val="left" w:pos="1080"/>
              </w:tabs>
              <w:spacing w:before="120" w:after="120"/>
              <w:rPr>
                <w:b/>
                <w:noProof/>
                <w:color w:val="000000"/>
                <w:sz w:val="18"/>
                <w:szCs w:val="18"/>
              </w:rPr>
            </w:pPr>
          </w:p>
        </w:tc>
        <w:tc>
          <w:tcPr>
            <w:tcW w:w="540" w:type="dxa"/>
          </w:tcPr>
          <w:p>
            <w:pPr>
              <w:tabs>
                <w:tab w:val="left" w:pos="1080"/>
              </w:tabs>
              <w:spacing w:before="120" w:after="120"/>
              <w:jc w:val="center"/>
              <w:rPr>
                <w:b/>
                <w:noProof/>
                <w:color w:val="000000"/>
                <w:sz w:val="16"/>
                <w:szCs w:val="16"/>
              </w:rPr>
            </w:pPr>
          </w:p>
        </w:tc>
        <w:tc>
          <w:tcPr>
            <w:tcW w:w="1586" w:type="dxa"/>
          </w:tcPr>
          <w:p>
            <w:pPr>
              <w:tabs>
                <w:tab w:val="left" w:pos="1080"/>
              </w:tabs>
              <w:spacing w:before="120" w:after="120"/>
              <w:jc w:val="center"/>
              <w:rPr>
                <w:b/>
                <w:noProof/>
                <w:color w:val="000000"/>
                <w:sz w:val="20"/>
                <w:szCs w:val="20"/>
              </w:rPr>
            </w:pPr>
            <w:r>
              <w:rPr>
                <w:b/>
                <w:noProof/>
                <w:color w:val="000000"/>
                <w:sz w:val="20"/>
                <w:szCs w:val="20"/>
              </w:rPr>
              <w:t>Maximum average aid allowed / unit</w:t>
            </w:r>
            <w:r>
              <w:rPr>
                <w:b/>
                <w:noProof/>
                <w:color w:val="000000"/>
                <w:sz w:val="20"/>
                <w:szCs w:val="20"/>
                <w:vertAlign w:val="superscript"/>
              </w:rPr>
              <w:t xml:space="preserve"> 1)</w:t>
            </w:r>
          </w:p>
        </w:tc>
        <w:tc>
          <w:tcPr>
            <w:tcW w:w="1116" w:type="dxa"/>
          </w:tcPr>
          <w:p>
            <w:pPr>
              <w:tabs>
                <w:tab w:val="left" w:pos="1080"/>
              </w:tabs>
              <w:spacing w:before="120" w:after="120"/>
              <w:jc w:val="center"/>
              <w:rPr>
                <w:b/>
                <w:noProof/>
                <w:color w:val="000000"/>
                <w:sz w:val="20"/>
                <w:szCs w:val="20"/>
              </w:rPr>
            </w:pPr>
            <w:r>
              <w:rPr>
                <w:b/>
                <w:noProof/>
                <w:color w:val="000000"/>
                <w:sz w:val="20"/>
                <w:szCs w:val="20"/>
              </w:rPr>
              <w:t xml:space="preserve">Unit </w:t>
            </w:r>
          </w:p>
        </w:tc>
        <w:tc>
          <w:tcPr>
            <w:tcW w:w="1449" w:type="dxa"/>
          </w:tcPr>
          <w:p>
            <w:pPr>
              <w:tabs>
                <w:tab w:val="left" w:pos="1080"/>
              </w:tabs>
              <w:spacing w:before="120" w:after="120"/>
              <w:jc w:val="center"/>
              <w:rPr>
                <w:b/>
                <w:noProof/>
                <w:color w:val="000000"/>
                <w:sz w:val="20"/>
                <w:szCs w:val="20"/>
              </w:rPr>
            </w:pPr>
            <w:r>
              <w:rPr>
                <w:b/>
                <w:noProof/>
                <w:color w:val="000000"/>
                <w:sz w:val="20"/>
                <w:szCs w:val="20"/>
              </w:rPr>
              <w:t>Maximum aid allowed</w:t>
            </w:r>
          </w:p>
          <w:p>
            <w:pPr>
              <w:tabs>
                <w:tab w:val="left" w:pos="1080"/>
              </w:tabs>
              <w:spacing w:before="120" w:after="120"/>
              <w:jc w:val="center"/>
              <w:rPr>
                <w:b/>
                <w:noProof/>
                <w:color w:val="000000"/>
                <w:sz w:val="20"/>
                <w:szCs w:val="20"/>
                <w:vertAlign w:val="superscript"/>
              </w:rPr>
            </w:pPr>
            <w:r>
              <w:rPr>
                <w:b/>
                <w:noProof/>
                <w:color w:val="000000"/>
                <w:sz w:val="20"/>
                <w:szCs w:val="20"/>
              </w:rPr>
              <w:t xml:space="preserve">(EUR mill) </w:t>
            </w:r>
            <w:r>
              <w:rPr>
                <w:b/>
                <w:noProof/>
                <w:color w:val="000000"/>
                <w:sz w:val="20"/>
                <w:szCs w:val="20"/>
                <w:vertAlign w:val="superscript"/>
              </w:rPr>
              <w:t>2)</w:t>
            </w:r>
            <w:r>
              <w:rPr>
                <w:b/>
                <w:noProof/>
                <w:color w:val="000000"/>
                <w:sz w:val="20"/>
                <w:szCs w:val="20"/>
              </w:rPr>
              <w:t xml:space="preserve"> </w:t>
            </w:r>
          </w:p>
        </w:tc>
        <w:tc>
          <w:tcPr>
            <w:tcW w:w="1815" w:type="dxa"/>
          </w:tcPr>
          <w:p>
            <w:pPr>
              <w:tabs>
                <w:tab w:val="left" w:pos="1080"/>
              </w:tabs>
              <w:spacing w:before="120" w:after="120"/>
              <w:jc w:val="center"/>
              <w:rPr>
                <w:b/>
                <w:noProof/>
                <w:color w:val="000000"/>
                <w:sz w:val="20"/>
                <w:szCs w:val="20"/>
              </w:rPr>
            </w:pPr>
            <w:r>
              <w:rPr>
                <w:b/>
                <w:noProof/>
                <w:color w:val="000000"/>
                <w:sz w:val="20"/>
                <w:szCs w:val="20"/>
              </w:rPr>
              <w:t>Maximum number of eligible production factors</w:t>
            </w:r>
          </w:p>
        </w:tc>
      </w:tr>
      <w:tr>
        <w:tc>
          <w:tcPr>
            <w:tcW w:w="3240" w:type="dxa"/>
          </w:tcPr>
          <w:p>
            <w:pPr>
              <w:tabs>
                <w:tab w:val="left" w:pos="1080"/>
              </w:tabs>
              <w:spacing w:before="120" w:after="120"/>
              <w:rPr>
                <w:b/>
                <w:noProof/>
                <w:color w:val="000000"/>
                <w:sz w:val="18"/>
                <w:szCs w:val="18"/>
              </w:rPr>
            </w:pPr>
          </w:p>
        </w:tc>
        <w:tc>
          <w:tcPr>
            <w:tcW w:w="540" w:type="dxa"/>
          </w:tcPr>
          <w:p>
            <w:pPr>
              <w:tabs>
                <w:tab w:val="left" w:pos="1080"/>
              </w:tabs>
              <w:spacing w:before="120" w:after="120"/>
              <w:jc w:val="center"/>
              <w:rPr>
                <w:noProof/>
                <w:color w:val="000000"/>
                <w:sz w:val="16"/>
                <w:szCs w:val="16"/>
              </w:rPr>
            </w:pPr>
          </w:p>
        </w:tc>
        <w:tc>
          <w:tcPr>
            <w:tcW w:w="1586" w:type="dxa"/>
          </w:tcPr>
          <w:p>
            <w:pPr>
              <w:tabs>
                <w:tab w:val="left" w:pos="1080"/>
              </w:tabs>
              <w:spacing w:before="120" w:after="120"/>
              <w:jc w:val="center"/>
              <w:rPr>
                <w:noProof/>
                <w:color w:val="000000"/>
                <w:sz w:val="18"/>
                <w:szCs w:val="18"/>
              </w:rPr>
            </w:pPr>
          </w:p>
        </w:tc>
        <w:tc>
          <w:tcPr>
            <w:tcW w:w="1116" w:type="dxa"/>
          </w:tcPr>
          <w:p>
            <w:pPr>
              <w:tabs>
                <w:tab w:val="left" w:pos="1080"/>
              </w:tabs>
              <w:spacing w:before="120" w:after="120"/>
              <w:jc w:val="center"/>
              <w:rPr>
                <w:noProof/>
                <w:color w:val="000000"/>
                <w:sz w:val="18"/>
                <w:szCs w:val="18"/>
              </w:rPr>
            </w:pPr>
          </w:p>
        </w:tc>
        <w:tc>
          <w:tcPr>
            <w:tcW w:w="1449" w:type="dxa"/>
          </w:tcPr>
          <w:p>
            <w:pPr>
              <w:tabs>
                <w:tab w:val="left" w:pos="1080"/>
              </w:tabs>
              <w:spacing w:before="120" w:after="120"/>
              <w:jc w:val="center"/>
              <w:rPr>
                <w:noProof/>
                <w:color w:val="000000"/>
                <w:sz w:val="18"/>
                <w:szCs w:val="18"/>
              </w:rPr>
            </w:pPr>
          </w:p>
        </w:tc>
        <w:tc>
          <w:tcPr>
            <w:tcW w:w="1815" w:type="dxa"/>
          </w:tcPr>
          <w:p>
            <w:pPr>
              <w:tabs>
                <w:tab w:val="left" w:pos="1080"/>
              </w:tabs>
              <w:spacing w:before="120" w:after="120"/>
              <w:jc w:val="center"/>
              <w:rPr>
                <w:noProof/>
                <w:color w:val="000000"/>
                <w:sz w:val="18"/>
                <w:szCs w:val="18"/>
              </w:rPr>
            </w:pPr>
          </w:p>
        </w:tc>
      </w:tr>
      <w:tr>
        <w:tc>
          <w:tcPr>
            <w:tcW w:w="3240" w:type="dxa"/>
          </w:tcPr>
          <w:p>
            <w:pPr>
              <w:tabs>
                <w:tab w:val="left" w:pos="1080"/>
              </w:tabs>
              <w:spacing w:before="120" w:after="120"/>
              <w:rPr>
                <w:b/>
                <w:noProof/>
                <w:color w:val="000000"/>
                <w:sz w:val="20"/>
                <w:szCs w:val="20"/>
              </w:rPr>
            </w:pPr>
            <w:r>
              <w:rPr>
                <w:b/>
                <w:noProof/>
                <w:color w:val="000000"/>
                <w:sz w:val="20"/>
                <w:szCs w:val="20"/>
              </w:rPr>
              <w:t>1. MILK</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szCs w:val="20"/>
              </w:rPr>
              <w:t>10.9</w:t>
            </w:r>
          </w:p>
        </w:tc>
        <w:tc>
          <w:tcPr>
            <w:tcW w:w="1116" w:type="dxa"/>
          </w:tcPr>
          <w:p>
            <w:pPr>
              <w:tabs>
                <w:tab w:val="left" w:pos="1080"/>
              </w:tabs>
              <w:spacing w:before="120" w:after="120"/>
              <w:jc w:val="center"/>
              <w:rPr>
                <w:noProof/>
                <w:color w:val="000000"/>
                <w:sz w:val="20"/>
                <w:szCs w:val="20"/>
              </w:rPr>
            </w:pPr>
            <w:r>
              <w:rPr>
                <w:noProof/>
                <w:color w:val="000000"/>
                <w:sz w:val="20"/>
                <w:szCs w:val="20"/>
              </w:rPr>
              <w:t>cents/kg</w:t>
            </w:r>
          </w:p>
        </w:tc>
        <w:tc>
          <w:tcPr>
            <w:tcW w:w="1449" w:type="dxa"/>
          </w:tcPr>
          <w:p>
            <w:pPr>
              <w:tabs>
                <w:tab w:val="left" w:pos="1080"/>
              </w:tabs>
              <w:spacing w:before="120" w:after="120"/>
              <w:jc w:val="center"/>
              <w:rPr>
                <w:noProof/>
                <w:color w:val="000000"/>
                <w:sz w:val="20"/>
                <w:szCs w:val="20"/>
              </w:rPr>
            </w:pPr>
            <w:r>
              <w:rPr>
                <w:noProof/>
                <w:color w:val="000000"/>
                <w:sz w:val="20"/>
                <w:szCs w:val="20"/>
              </w:rPr>
              <w:t>193.7</w:t>
            </w:r>
          </w:p>
        </w:tc>
        <w:tc>
          <w:tcPr>
            <w:tcW w:w="1815" w:type="dxa"/>
          </w:tcPr>
          <w:p>
            <w:pPr>
              <w:tabs>
                <w:tab w:val="left" w:pos="1080"/>
              </w:tabs>
              <w:spacing w:before="120" w:after="120"/>
              <w:jc w:val="center"/>
              <w:rPr>
                <w:noProof/>
                <w:color w:val="000000"/>
                <w:sz w:val="20"/>
                <w:szCs w:val="20"/>
                <w:vertAlign w:val="superscript"/>
              </w:rPr>
            </w:pPr>
            <w:r>
              <w:rPr>
                <w:noProof/>
                <w:color w:val="000000"/>
                <w:sz w:val="20"/>
                <w:szCs w:val="20"/>
              </w:rPr>
              <w:t xml:space="preserve">1 776 765 t. </w:t>
            </w:r>
            <w:r>
              <w:rPr>
                <w:noProof/>
                <w:color w:val="000000"/>
                <w:sz w:val="20"/>
                <w:szCs w:val="20"/>
                <w:vertAlign w:val="superscript"/>
              </w:rPr>
              <w:t>3)</w:t>
            </w:r>
          </w:p>
        </w:tc>
      </w:tr>
      <w:tr>
        <w:tc>
          <w:tcPr>
            <w:tcW w:w="3240" w:type="dxa"/>
          </w:tcPr>
          <w:p>
            <w:pPr>
              <w:tabs>
                <w:tab w:val="left" w:pos="1080"/>
              </w:tabs>
              <w:spacing w:before="120" w:after="120"/>
              <w:rPr>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szCs w:val="20"/>
              </w:rPr>
              <w:t xml:space="preserve">2.RUMINANTS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szCs w:val="20"/>
              </w:rPr>
              <w:t>97.7</w:t>
            </w:r>
          </w:p>
        </w:tc>
        <w:tc>
          <w:tcPr>
            <w:tcW w:w="1815" w:type="dxa"/>
          </w:tcPr>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szCs w:val="20"/>
              </w:rPr>
              <w:t>Bovines</w:t>
            </w:r>
          </w:p>
        </w:tc>
        <w:tc>
          <w:tcPr>
            <w:tcW w:w="540" w:type="dxa"/>
          </w:tcPr>
          <w:p>
            <w:pPr>
              <w:tabs>
                <w:tab w:val="left" w:pos="1080"/>
              </w:tabs>
              <w:spacing w:before="120" w:after="120"/>
              <w:jc w:val="center"/>
              <w:rPr>
                <w:noProof/>
                <w:color w:val="000000"/>
                <w:sz w:val="20"/>
                <w:szCs w:val="20"/>
              </w:rPr>
            </w:pPr>
            <w:r>
              <w:rPr>
                <w:noProof/>
                <w:color w:val="000000"/>
                <w:sz w:val="20"/>
                <w:szCs w:val="20"/>
              </w:rPr>
              <w:t>4)</w:t>
            </w:r>
          </w:p>
        </w:tc>
        <w:tc>
          <w:tcPr>
            <w:tcW w:w="1586" w:type="dxa"/>
          </w:tcPr>
          <w:p>
            <w:pPr>
              <w:tabs>
                <w:tab w:val="left" w:pos="1080"/>
              </w:tabs>
              <w:spacing w:before="120" w:after="120"/>
              <w:jc w:val="center"/>
              <w:rPr>
                <w:noProof/>
                <w:color w:val="000000"/>
                <w:sz w:val="20"/>
                <w:szCs w:val="20"/>
              </w:rPr>
            </w:pPr>
            <w:r>
              <w:rPr>
                <w:noProof/>
                <w:color w:val="000000"/>
                <w:sz w:val="20"/>
                <w:szCs w:val="20"/>
              </w:rPr>
              <w:t>546</w:t>
            </w:r>
          </w:p>
        </w:tc>
        <w:tc>
          <w:tcPr>
            <w:tcW w:w="1116" w:type="dxa"/>
          </w:tcPr>
          <w:p>
            <w:pPr>
              <w:tabs>
                <w:tab w:val="left" w:pos="1080"/>
              </w:tabs>
              <w:spacing w:before="120" w:after="120"/>
              <w:jc w:val="center"/>
              <w:rPr>
                <w:noProof/>
                <w:color w:val="000000"/>
                <w:sz w:val="20"/>
                <w:szCs w:val="20"/>
              </w:rPr>
            </w:pPr>
            <w:r>
              <w:rPr>
                <w:noProof/>
                <w:color w:val="000000"/>
                <w:sz w:val="20"/>
                <w:szCs w:val="20"/>
              </w:rPr>
              <w:t>EUR/LU</w:t>
            </w:r>
          </w:p>
        </w:tc>
        <w:tc>
          <w:tcPr>
            <w:tcW w:w="1449" w:type="dxa"/>
          </w:tcPr>
          <w:p>
            <w:pPr>
              <w:tabs>
                <w:tab w:val="left" w:pos="1080"/>
              </w:tabs>
              <w:spacing w:before="120" w:after="120"/>
              <w:jc w:val="center"/>
              <w:rPr>
                <w:noProof/>
                <w:color w:val="000000"/>
                <w:sz w:val="20"/>
                <w:szCs w:val="20"/>
              </w:rPr>
            </w:pPr>
          </w:p>
        </w:tc>
        <w:tc>
          <w:tcPr>
            <w:tcW w:w="1815" w:type="dxa"/>
            <w:vMerge w:val="restart"/>
          </w:tcPr>
          <w:p>
            <w:pPr>
              <w:tabs>
                <w:tab w:val="left" w:pos="1080"/>
              </w:tabs>
              <w:spacing w:before="120" w:after="120"/>
              <w:jc w:val="center"/>
              <w:rPr>
                <w:noProof/>
                <w:color w:val="000000"/>
                <w:sz w:val="20"/>
                <w:szCs w:val="20"/>
              </w:rPr>
            </w:pPr>
          </w:p>
          <w:p>
            <w:pPr>
              <w:tabs>
                <w:tab w:val="left" w:pos="1080"/>
              </w:tabs>
              <w:spacing w:before="120" w:after="120"/>
              <w:jc w:val="center"/>
              <w:rPr>
                <w:noProof/>
                <w:color w:val="000000"/>
                <w:sz w:val="20"/>
                <w:szCs w:val="20"/>
              </w:rPr>
            </w:pPr>
            <w:r>
              <w:rPr>
                <w:noProof/>
                <w:color w:val="000000"/>
                <w:sz w:val="20"/>
                <w:szCs w:val="20"/>
              </w:rPr>
              <w:t xml:space="preserve">181 000 LU </w:t>
            </w:r>
          </w:p>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szCs w:val="20"/>
              </w:rPr>
              <w:t>Ewes and she-goats</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szCs w:val="20"/>
              </w:rPr>
              <w:t>584</w:t>
            </w:r>
          </w:p>
        </w:tc>
        <w:tc>
          <w:tcPr>
            <w:tcW w:w="1116" w:type="dxa"/>
          </w:tcPr>
          <w:p>
            <w:pPr>
              <w:tabs>
                <w:tab w:val="left" w:pos="1080"/>
              </w:tabs>
              <w:spacing w:before="120" w:after="120"/>
              <w:jc w:val="center"/>
              <w:rPr>
                <w:noProof/>
                <w:color w:val="000000"/>
                <w:sz w:val="20"/>
                <w:szCs w:val="20"/>
              </w:rPr>
            </w:pPr>
            <w:r>
              <w:rPr>
                <w:noProof/>
                <w:color w:val="000000"/>
                <w:sz w:val="20"/>
                <w:szCs w:val="20"/>
              </w:rPr>
              <w:t>EUR/LU</w:t>
            </w:r>
          </w:p>
        </w:tc>
        <w:tc>
          <w:tcPr>
            <w:tcW w:w="1449" w:type="dxa"/>
          </w:tcPr>
          <w:p>
            <w:pPr>
              <w:tabs>
                <w:tab w:val="left" w:pos="1080"/>
              </w:tabs>
              <w:spacing w:before="120" w:after="120"/>
              <w:jc w:val="center"/>
              <w:rPr>
                <w:noProof/>
                <w:color w:val="000000"/>
                <w:sz w:val="20"/>
                <w:szCs w:val="20"/>
              </w:rPr>
            </w:pPr>
          </w:p>
        </w:tc>
        <w:tc>
          <w:tcPr>
            <w:tcW w:w="1815" w:type="dxa"/>
            <w:vMerge/>
          </w:tcPr>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szCs w:val="20"/>
              </w:rPr>
              <w:t>Horses</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szCs w:val="20"/>
              </w:rPr>
              <w:t>252</w:t>
            </w:r>
          </w:p>
        </w:tc>
        <w:tc>
          <w:tcPr>
            <w:tcW w:w="1116" w:type="dxa"/>
          </w:tcPr>
          <w:p>
            <w:pPr>
              <w:tabs>
                <w:tab w:val="left" w:pos="1080"/>
              </w:tabs>
              <w:spacing w:before="120" w:after="120"/>
              <w:jc w:val="center"/>
              <w:rPr>
                <w:noProof/>
                <w:color w:val="000000"/>
                <w:sz w:val="20"/>
                <w:szCs w:val="20"/>
              </w:rPr>
            </w:pPr>
            <w:r>
              <w:rPr>
                <w:noProof/>
                <w:color w:val="000000"/>
                <w:sz w:val="20"/>
                <w:szCs w:val="20"/>
              </w:rPr>
              <w:t>EUR/LU</w:t>
            </w:r>
          </w:p>
        </w:tc>
        <w:tc>
          <w:tcPr>
            <w:tcW w:w="1449" w:type="dxa"/>
          </w:tcPr>
          <w:p>
            <w:pPr>
              <w:tabs>
                <w:tab w:val="left" w:pos="1080"/>
              </w:tabs>
              <w:spacing w:before="120" w:after="120"/>
              <w:jc w:val="center"/>
              <w:rPr>
                <w:noProof/>
                <w:color w:val="000000"/>
                <w:sz w:val="20"/>
                <w:szCs w:val="20"/>
              </w:rPr>
            </w:pPr>
          </w:p>
        </w:tc>
        <w:tc>
          <w:tcPr>
            <w:tcW w:w="1815" w:type="dxa"/>
            <w:vMerge/>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szCs w:val="20"/>
              </w:rPr>
              <w:t xml:space="preserve">3. PIGS AND POULTRY </w:t>
            </w:r>
          </w:p>
        </w:tc>
        <w:tc>
          <w:tcPr>
            <w:tcW w:w="540" w:type="dxa"/>
          </w:tcPr>
          <w:p>
            <w:pPr>
              <w:tabs>
                <w:tab w:val="left" w:pos="1080"/>
              </w:tabs>
              <w:spacing w:before="120" w:after="120"/>
              <w:jc w:val="center"/>
              <w:rPr>
                <w:noProof/>
                <w:color w:val="000000"/>
                <w:sz w:val="20"/>
                <w:szCs w:val="20"/>
              </w:rPr>
            </w:pPr>
            <w:r>
              <w:rPr>
                <w:noProof/>
                <w:color w:val="000000"/>
                <w:sz w:val="20"/>
                <w:szCs w:val="20"/>
              </w:rPr>
              <w:t>5)</w:t>
            </w:r>
          </w:p>
        </w:tc>
        <w:tc>
          <w:tcPr>
            <w:tcW w:w="1586" w:type="dxa"/>
          </w:tcPr>
          <w:p>
            <w:pPr>
              <w:tabs>
                <w:tab w:val="left" w:pos="1080"/>
              </w:tabs>
              <w:spacing w:before="120" w:after="120"/>
              <w:jc w:val="center"/>
              <w:rPr>
                <w:noProof/>
                <w:color w:val="000000"/>
                <w:sz w:val="20"/>
                <w:szCs w:val="20"/>
              </w:rPr>
            </w:pPr>
            <w:r>
              <w:rPr>
                <w:noProof/>
                <w:color w:val="000000"/>
                <w:sz w:val="20"/>
                <w:szCs w:val="20"/>
              </w:rPr>
              <w:t>266</w:t>
            </w:r>
          </w:p>
        </w:tc>
        <w:tc>
          <w:tcPr>
            <w:tcW w:w="1116" w:type="dxa"/>
          </w:tcPr>
          <w:p>
            <w:pPr>
              <w:tabs>
                <w:tab w:val="left" w:pos="1080"/>
              </w:tabs>
              <w:spacing w:before="120" w:after="120"/>
              <w:jc w:val="center"/>
              <w:rPr>
                <w:noProof/>
                <w:color w:val="000000"/>
                <w:sz w:val="20"/>
                <w:szCs w:val="20"/>
              </w:rPr>
            </w:pPr>
            <w:r>
              <w:rPr>
                <w:noProof/>
                <w:color w:val="000000"/>
                <w:sz w:val="20"/>
                <w:szCs w:val="20"/>
              </w:rPr>
              <w:t>EUR/LU</w:t>
            </w:r>
          </w:p>
        </w:tc>
        <w:tc>
          <w:tcPr>
            <w:tcW w:w="1449" w:type="dxa"/>
          </w:tcPr>
          <w:p>
            <w:pPr>
              <w:tabs>
                <w:tab w:val="left" w:pos="1080"/>
              </w:tabs>
              <w:spacing w:before="120" w:after="120"/>
              <w:jc w:val="center"/>
              <w:rPr>
                <w:noProof/>
                <w:color w:val="000000"/>
                <w:sz w:val="20"/>
                <w:szCs w:val="20"/>
              </w:rPr>
            </w:pPr>
            <w:r>
              <w:rPr>
                <w:noProof/>
                <w:color w:val="000000"/>
                <w:sz w:val="20"/>
                <w:szCs w:val="20"/>
              </w:rPr>
              <w:t>37.0</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szCs w:val="20"/>
              </w:rPr>
              <w:t>4. HORTICULTURE</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szCs w:val="20"/>
              </w:rPr>
              <w:t>25.4</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szCs w:val="20"/>
              </w:rPr>
              <w:t>Greenhouses</w:t>
            </w:r>
          </w:p>
        </w:tc>
        <w:tc>
          <w:tcPr>
            <w:tcW w:w="540" w:type="dxa"/>
          </w:tcPr>
          <w:p>
            <w:pPr>
              <w:tabs>
                <w:tab w:val="left" w:pos="1080"/>
              </w:tabs>
              <w:spacing w:before="120" w:after="120"/>
              <w:jc w:val="center"/>
              <w:rPr>
                <w:noProof/>
                <w:color w:val="000000"/>
                <w:sz w:val="20"/>
                <w:szCs w:val="20"/>
              </w:rPr>
            </w:pPr>
            <w:r>
              <w:rPr>
                <w:noProof/>
                <w:color w:val="000000"/>
                <w:sz w:val="20"/>
                <w:szCs w:val="20"/>
              </w:rPr>
              <w:t>6)</w:t>
            </w:r>
          </w:p>
        </w:tc>
        <w:tc>
          <w:tcPr>
            <w:tcW w:w="1586" w:type="dxa"/>
          </w:tcPr>
          <w:p>
            <w:pPr>
              <w:tabs>
                <w:tab w:val="left" w:pos="1080"/>
              </w:tabs>
              <w:spacing w:before="120" w:after="120"/>
              <w:jc w:val="center"/>
              <w:rPr>
                <w:noProof/>
                <w:color w:val="000000"/>
                <w:sz w:val="20"/>
                <w:szCs w:val="20"/>
              </w:rPr>
            </w:pPr>
            <w:r>
              <w:rPr>
                <w:noProof/>
                <w:color w:val="000000"/>
                <w:sz w:val="20"/>
                <w:szCs w:val="20"/>
              </w:rPr>
              <w:t>11.3</w:t>
            </w:r>
          </w:p>
        </w:tc>
        <w:tc>
          <w:tcPr>
            <w:tcW w:w="1116" w:type="dxa"/>
          </w:tcPr>
          <w:p>
            <w:pPr>
              <w:tabs>
                <w:tab w:val="left" w:pos="1080"/>
              </w:tabs>
              <w:spacing w:before="120" w:after="120"/>
              <w:jc w:val="center"/>
              <w:rPr>
                <w:noProof/>
                <w:color w:val="000000"/>
                <w:sz w:val="20"/>
                <w:szCs w:val="20"/>
                <w:vertAlign w:val="superscript"/>
              </w:rPr>
            </w:pPr>
            <w:r>
              <w:rPr>
                <w:noProof/>
                <w:color w:val="000000"/>
                <w:sz w:val="20"/>
                <w:szCs w:val="20"/>
              </w:rPr>
              <w:t>EUR/m</w:t>
            </w:r>
            <w:r>
              <w:rPr>
                <w:noProof/>
                <w:color w:val="000000"/>
                <w:sz w:val="20"/>
                <w:szCs w:val="20"/>
                <w:vertAlign w:val="superscript"/>
              </w:rPr>
              <w:t>2</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szCs w:val="20"/>
              </w:rPr>
              <w:t>202.9 ha</w:t>
            </w:r>
          </w:p>
        </w:tc>
      </w:tr>
      <w:tr>
        <w:tc>
          <w:tcPr>
            <w:tcW w:w="3240" w:type="dxa"/>
          </w:tcPr>
          <w:p>
            <w:pPr>
              <w:tabs>
                <w:tab w:val="left" w:pos="1080"/>
              </w:tabs>
              <w:spacing w:before="120" w:after="120"/>
              <w:rPr>
                <w:noProof/>
                <w:color w:val="000000"/>
                <w:sz w:val="20"/>
                <w:szCs w:val="20"/>
              </w:rPr>
            </w:pPr>
            <w:r>
              <w:rPr>
                <w:noProof/>
                <w:color w:val="000000"/>
                <w:sz w:val="20"/>
                <w:szCs w:val="20"/>
              </w:rPr>
              <w:t>Storage of horticultural products</w:t>
            </w:r>
          </w:p>
        </w:tc>
        <w:tc>
          <w:tcPr>
            <w:tcW w:w="540" w:type="dxa"/>
          </w:tcPr>
          <w:p>
            <w:pPr>
              <w:tabs>
                <w:tab w:val="left" w:pos="1080"/>
              </w:tabs>
              <w:spacing w:before="120" w:after="120"/>
              <w:jc w:val="center"/>
              <w:rPr>
                <w:noProof/>
                <w:color w:val="000000"/>
                <w:sz w:val="20"/>
                <w:szCs w:val="20"/>
              </w:rPr>
            </w:pPr>
            <w:r>
              <w:rPr>
                <w:noProof/>
                <w:color w:val="000000"/>
                <w:sz w:val="20"/>
                <w:szCs w:val="20"/>
              </w:rPr>
              <w:t>7)</w:t>
            </w:r>
          </w:p>
        </w:tc>
        <w:tc>
          <w:tcPr>
            <w:tcW w:w="1586" w:type="dxa"/>
          </w:tcPr>
          <w:p>
            <w:pPr>
              <w:tabs>
                <w:tab w:val="left" w:pos="1080"/>
              </w:tabs>
              <w:spacing w:before="120" w:after="120"/>
              <w:jc w:val="center"/>
              <w:rPr>
                <w:noProof/>
                <w:color w:val="000000"/>
                <w:sz w:val="20"/>
                <w:szCs w:val="20"/>
              </w:rPr>
            </w:pPr>
            <w:r>
              <w:rPr>
                <w:noProof/>
                <w:color w:val="000000"/>
                <w:sz w:val="20"/>
                <w:szCs w:val="20"/>
              </w:rPr>
              <w:t>18.5</w:t>
            </w:r>
          </w:p>
        </w:tc>
        <w:tc>
          <w:tcPr>
            <w:tcW w:w="1116" w:type="dxa"/>
          </w:tcPr>
          <w:p>
            <w:pPr>
              <w:tabs>
                <w:tab w:val="left" w:pos="1080"/>
              </w:tabs>
              <w:spacing w:before="120" w:after="120"/>
              <w:jc w:val="center"/>
              <w:rPr>
                <w:noProof/>
                <w:color w:val="000000"/>
                <w:sz w:val="20"/>
                <w:szCs w:val="20"/>
                <w:vertAlign w:val="superscript"/>
              </w:rPr>
            </w:pPr>
            <w:r>
              <w:rPr>
                <w:noProof/>
                <w:color w:val="000000"/>
                <w:sz w:val="20"/>
                <w:szCs w:val="20"/>
              </w:rPr>
              <w:t>EUR/m</w:t>
            </w:r>
            <w:r>
              <w:rPr>
                <w:noProof/>
                <w:color w:val="000000"/>
                <w:sz w:val="20"/>
                <w:szCs w:val="20"/>
                <w:vertAlign w:val="superscript"/>
              </w:rPr>
              <w:t>3</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szCs w:val="20"/>
              </w:rPr>
              <w:t xml:space="preserve">5. CROP PRODUCTION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szCs w:val="20"/>
              </w:rPr>
              <w:t>58.3</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szCs w:val="20"/>
              </w:rPr>
              <w:t>General hectare-based aid</w:t>
            </w:r>
          </w:p>
        </w:tc>
        <w:tc>
          <w:tcPr>
            <w:tcW w:w="540" w:type="dxa"/>
          </w:tcPr>
          <w:p>
            <w:pPr>
              <w:tabs>
                <w:tab w:val="left" w:pos="1080"/>
              </w:tabs>
              <w:spacing w:before="120" w:after="120"/>
              <w:jc w:val="center"/>
              <w:rPr>
                <w:noProof/>
                <w:color w:val="000000"/>
                <w:sz w:val="20"/>
                <w:szCs w:val="20"/>
              </w:rPr>
            </w:pPr>
            <w:r>
              <w:rPr>
                <w:noProof/>
                <w:color w:val="000000"/>
                <w:sz w:val="20"/>
                <w:szCs w:val="20"/>
              </w:rPr>
              <w:t>8)</w:t>
            </w:r>
          </w:p>
        </w:tc>
        <w:tc>
          <w:tcPr>
            <w:tcW w:w="1586" w:type="dxa"/>
          </w:tcPr>
          <w:p>
            <w:pPr>
              <w:tabs>
                <w:tab w:val="left" w:pos="1080"/>
              </w:tabs>
              <w:spacing w:before="120" w:after="120"/>
              <w:jc w:val="center"/>
              <w:rPr>
                <w:noProof/>
                <w:color w:val="000000"/>
                <w:sz w:val="20"/>
                <w:szCs w:val="20"/>
              </w:rPr>
            </w:pPr>
            <w:r>
              <w:rPr>
                <w:noProof/>
                <w:color w:val="000000"/>
                <w:sz w:val="20"/>
                <w:szCs w:val="20"/>
              </w:rPr>
              <w:t>37</w:t>
            </w:r>
          </w:p>
        </w:tc>
        <w:tc>
          <w:tcPr>
            <w:tcW w:w="1116" w:type="dxa"/>
          </w:tcPr>
          <w:p>
            <w:pPr>
              <w:tabs>
                <w:tab w:val="left" w:pos="1080"/>
              </w:tabs>
              <w:spacing w:before="120" w:after="120"/>
              <w:jc w:val="center"/>
              <w:rPr>
                <w:noProof/>
                <w:color w:val="000000"/>
                <w:sz w:val="20"/>
                <w:szCs w:val="20"/>
              </w:rPr>
            </w:pPr>
            <w:r>
              <w:rPr>
                <w:noProof/>
                <w:color w:val="000000"/>
                <w:sz w:val="20"/>
                <w:szCs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szCs w:val="20"/>
              </w:rPr>
              <w:t>881 825 ha</w:t>
            </w:r>
          </w:p>
        </w:tc>
      </w:tr>
      <w:tr>
        <w:tc>
          <w:tcPr>
            <w:tcW w:w="3240" w:type="dxa"/>
          </w:tcPr>
          <w:p>
            <w:pPr>
              <w:tabs>
                <w:tab w:val="left" w:pos="1080"/>
              </w:tabs>
              <w:spacing w:before="120" w:after="120"/>
              <w:rPr>
                <w:noProof/>
                <w:color w:val="000000"/>
                <w:sz w:val="20"/>
                <w:szCs w:val="20"/>
              </w:rPr>
            </w:pPr>
            <w:r>
              <w:rPr>
                <w:noProof/>
                <w:color w:val="000000"/>
                <w:sz w:val="20"/>
                <w:szCs w:val="20"/>
              </w:rPr>
              <w:t>Aid for certain crops</w:t>
            </w:r>
          </w:p>
        </w:tc>
        <w:tc>
          <w:tcPr>
            <w:tcW w:w="540" w:type="dxa"/>
          </w:tcPr>
          <w:p>
            <w:pPr>
              <w:tabs>
                <w:tab w:val="left" w:pos="1080"/>
              </w:tabs>
              <w:spacing w:before="120" w:after="120"/>
              <w:jc w:val="center"/>
              <w:rPr>
                <w:noProof/>
                <w:color w:val="000000"/>
                <w:sz w:val="20"/>
                <w:szCs w:val="20"/>
              </w:rPr>
            </w:pPr>
            <w:r>
              <w:rPr>
                <w:noProof/>
                <w:color w:val="000000"/>
                <w:sz w:val="20"/>
                <w:szCs w:val="20"/>
              </w:rPr>
              <w:t>9)</w:t>
            </w:r>
          </w:p>
        </w:tc>
        <w:tc>
          <w:tcPr>
            <w:tcW w:w="1586" w:type="dxa"/>
          </w:tcPr>
          <w:p>
            <w:pPr>
              <w:tabs>
                <w:tab w:val="left" w:pos="1080"/>
              </w:tabs>
              <w:spacing w:before="120" w:after="120"/>
              <w:jc w:val="center"/>
              <w:rPr>
                <w:noProof/>
                <w:color w:val="000000"/>
                <w:sz w:val="20"/>
                <w:szCs w:val="20"/>
              </w:rPr>
            </w:pPr>
            <w:r>
              <w:rPr>
                <w:noProof/>
                <w:color w:val="000000"/>
                <w:sz w:val="20"/>
                <w:szCs w:val="20"/>
              </w:rPr>
              <w:t>145</w:t>
            </w:r>
          </w:p>
        </w:tc>
        <w:tc>
          <w:tcPr>
            <w:tcW w:w="1116" w:type="dxa"/>
          </w:tcPr>
          <w:p>
            <w:pPr>
              <w:tabs>
                <w:tab w:val="left" w:pos="1080"/>
              </w:tabs>
              <w:spacing w:before="120" w:after="120"/>
              <w:jc w:val="center"/>
              <w:rPr>
                <w:noProof/>
                <w:color w:val="000000"/>
                <w:sz w:val="20"/>
                <w:szCs w:val="20"/>
              </w:rPr>
            </w:pPr>
            <w:r>
              <w:rPr>
                <w:noProof/>
                <w:color w:val="000000"/>
                <w:sz w:val="20"/>
                <w:szCs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szCs w:val="20"/>
              </w:rPr>
              <w:t>62 475 ha</w:t>
            </w:r>
          </w:p>
        </w:tc>
      </w:tr>
      <w:tr>
        <w:tc>
          <w:tcPr>
            <w:tcW w:w="3240" w:type="dxa"/>
          </w:tcPr>
          <w:p>
            <w:pPr>
              <w:tabs>
                <w:tab w:val="left" w:pos="1080"/>
              </w:tabs>
              <w:spacing w:before="120" w:after="120"/>
              <w:rPr>
                <w:noProof/>
                <w:color w:val="000000"/>
                <w:sz w:val="20"/>
                <w:szCs w:val="20"/>
              </w:rPr>
            </w:pPr>
            <w:r>
              <w:rPr>
                <w:noProof/>
                <w:color w:val="000000"/>
                <w:sz w:val="20"/>
                <w:szCs w:val="20"/>
              </w:rPr>
              <w:t>Aid for young farmers</w:t>
            </w:r>
          </w:p>
        </w:tc>
        <w:tc>
          <w:tcPr>
            <w:tcW w:w="540" w:type="dxa"/>
          </w:tcPr>
          <w:p>
            <w:pPr>
              <w:tabs>
                <w:tab w:val="left" w:pos="1080"/>
              </w:tabs>
              <w:spacing w:before="120" w:after="120"/>
              <w:jc w:val="center"/>
              <w:rPr>
                <w:noProof/>
                <w:color w:val="000000"/>
                <w:sz w:val="20"/>
                <w:szCs w:val="20"/>
              </w:rPr>
            </w:pPr>
            <w:r>
              <w:rPr>
                <w:noProof/>
                <w:color w:val="000000"/>
                <w:sz w:val="20"/>
                <w:szCs w:val="20"/>
              </w:rPr>
              <w:t>10)</w:t>
            </w:r>
          </w:p>
        </w:tc>
        <w:tc>
          <w:tcPr>
            <w:tcW w:w="1586" w:type="dxa"/>
          </w:tcPr>
          <w:p>
            <w:pPr>
              <w:tabs>
                <w:tab w:val="left" w:pos="1080"/>
              </w:tabs>
              <w:spacing w:before="120" w:after="120"/>
              <w:jc w:val="center"/>
              <w:rPr>
                <w:noProof/>
                <w:color w:val="000000"/>
                <w:sz w:val="20"/>
                <w:szCs w:val="20"/>
              </w:rPr>
            </w:pPr>
            <w:r>
              <w:rPr>
                <w:noProof/>
                <w:color w:val="000000"/>
                <w:sz w:val="20"/>
                <w:szCs w:val="20"/>
              </w:rPr>
              <w:t>36</w:t>
            </w:r>
          </w:p>
        </w:tc>
        <w:tc>
          <w:tcPr>
            <w:tcW w:w="1116" w:type="dxa"/>
          </w:tcPr>
          <w:p>
            <w:pPr>
              <w:tabs>
                <w:tab w:val="left" w:pos="1080"/>
              </w:tabs>
              <w:spacing w:before="120" w:after="120"/>
              <w:jc w:val="center"/>
              <w:rPr>
                <w:noProof/>
                <w:color w:val="000000"/>
                <w:sz w:val="20"/>
                <w:szCs w:val="20"/>
              </w:rPr>
            </w:pPr>
            <w:r>
              <w:rPr>
                <w:noProof/>
                <w:color w:val="000000"/>
                <w:sz w:val="20"/>
                <w:szCs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szCs w:val="20"/>
              </w:rPr>
              <w:t xml:space="preserve">6. OTHER AID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szCs w:val="20"/>
              </w:rPr>
              <w:t>14.9</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szCs w:val="20"/>
              </w:rPr>
              <w:t>Reindeer</w:t>
            </w:r>
          </w:p>
        </w:tc>
        <w:tc>
          <w:tcPr>
            <w:tcW w:w="540" w:type="dxa"/>
            <w:tcBorders>
              <w:bottom w:val="single" w:sz="4" w:space="0" w:color="auto"/>
            </w:tcBorders>
          </w:tcPr>
          <w:p>
            <w:pPr>
              <w:tabs>
                <w:tab w:val="left" w:pos="1080"/>
              </w:tabs>
              <w:spacing w:before="120" w:after="120"/>
              <w:jc w:val="center"/>
              <w:rPr>
                <w:noProof/>
                <w:color w:val="000000"/>
                <w:sz w:val="20"/>
                <w:szCs w:val="20"/>
              </w:rPr>
            </w:pPr>
            <w:r>
              <w:rPr>
                <w:noProof/>
                <w:color w:val="000000"/>
                <w:sz w:val="20"/>
                <w:szCs w:val="20"/>
              </w:rPr>
              <w:t>11)</w:t>
            </w:r>
          </w:p>
        </w:tc>
        <w:tc>
          <w:tcPr>
            <w:tcW w:w="1586" w:type="dxa"/>
          </w:tcPr>
          <w:p>
            <w:pPr>
              <w:tabs>
                <w:tab w:val="left" w:pos="1080"/>
              </w:tabs>
              <w:spacing w:before="120" w:after="120"/>
              <w:jc w:val="center"/>
              <w:rPr>
                <w:noProof/>
                <w:color w:val="000000"/>
                <w:sz w:val="20"/>
                <w:szCs w:val="20"/>
              </w:rPr>
            </w:pPr>
            <w:r>
              <w:rPr>
                <w:noProof/>
                <w:color w:val="000000"/>
                <w:sz w:val="20"/>
                <w:szCs w:val="20"/>
              </w:rPr>
              <w:t>36</w:t>
            </w:r>
          </w:p>
        </w:tc>
        <w:tc>
          <w:tcPr>
            <w:tcW w:w="1116" w:type="dxa"/>
          </w:tcPr>
          <w:p>
            <w:pPr>
              <w:tabs>
                <w:tab w:val="left" w:pos="1080"/>
              </w:tabs>
              <w:spacing w:before="120" w:after="120"/>
              <w:jc w:val="center"/>
              <w:rPr>
                <w:noProof/>
                <w:color w:val="000000"/>
                <w:sz w:val="20"/>
                <w:szCs w:val="20"/>
              </w:rPr>
            </w:pPr>
            <w:r>
              <w:rPr>
                <w:noProof/>
                <w:color w:val="000000"/>
                <w:sz w:val="20"/>
                <w:szCs w:val="20"/>
              </w:rPr>
              <w:t>EUR/animal</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szCs w:val="20"/>
              </w:rPr>
              <w:t>171 100 animals</w:t>
            </w:r>
          </w:p>
        </w:tc>
      </w:tr>
      <w:tr>
        <w:tc>
          <w:tcPr>
            <w:tcW w:w="3240" w:type="dxa"/>
          </w:tcPr>
          <w:p>
            <w:pPr>
              <w:tabs>
                <w:tab w:val="left" w:pos="1080"/>
              </w:tabs>
              <w:spacing w:before="120" w:after="120"/>
              <w:ind w:left="72"/>
              <w:rPr>
                <w:noProof/>
                <w:color w:val="000000"/>
                <w:sz w:val="20"/>
                <w:szCs w:val="20"/>
              </w:rPr>
            </w:pPr>
            <w:r>
              <w:rPr>
                <w:noProof/>
                <w:color w:val="000000"/>
                <w:sz w:val="20"/>
                <w:szCs w:val="20"/>
              </w:rPr>
              <w:t xml:space="preserve"> Aid for transport of milk and meat</w:t>
            </w:r>
          </w:p>
        </w:tc>
        <w:tc>
          <w:tcPr>
            <w:tcW w:w="540" w:type="dxa"/>
            <w:tcBorders>
              <w:top w:val="single" w:sz="4" w:space="0" w:color="auto"/>
            </w:tcBorders>
          </w:tcPr>
          <w:p>
            <w:pPr>
              <w:tabs>
                <w:tab w:val="left" w:pos="1080"/>
              </w:tabs>
              <w:spacing w:before="120" w:after="120"/>
              <w:jc w:val="center"/>
              <w:rPr>
                <w:noProof/>
                <w:color w:val="000000"/>
                <w:sz w:val="20"/>
                <w:szCs w:val="20"/>
              </w:rPr>
            </w:pPr>
            <w:r>
              <w:rPr>
                <w:noProof/>
                <w:color w:val="000000"/>
                <w:sz w:val="20"/>
                <w:szCs w:val="20"/>
              </w:rPr>
              <w:t>12)</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szCs w:val="20"/>
              </w:rPr>
              <w:t xml:space="preserve">Safeguarding services for livestock </w:t>
            </w:r>
          </w:p>
          <w:p>
            <w:pPr>
              <w:tabs>
                <w:tab w:val="left" w:pos="1080"/>
              </w:tabs>
              <w:spacing w:before="120" w:after="120"/>
              <w:rPr>
                <w:noProof/>
                <w:color w:val="000000"/>
                <w:sz w:val="20"/>
                <w:szCs w:val="20"/>
              </w:rPr>
            </w:pPr>
            <w:r>
              <w:rPr>
                <w:noProof/>
                <w:color w:val="000000"/>
                <w:sz w:val="20"/>
                <w:szCs w:val="20"/>
              </w:rPr>
              <w:t xml:space="preserve">production </w:t>
            </w:r>
          </w:p>
        </w:tc>
        <w:tc>
          <w:tcPr>
            <w:tcW w:w="540" w:type="dxa"/>
          </w:tcPr>
          <w:p>
            <w:pPr>
              <w:tabs>
                <w:tab w:val="left" w:pos="1080"/>
              </w:tabs>
              <w:spacing w:before="120" w:after="120"/>
              <w:jc w:val="center"/>
              <w:rPr>
                <w:noProof/>
                <w:color w:val="000000"/>
                <w:sz w:val="20"/>
                <w:szCs w:val="20"/>
              </w:rPr>
            </w:pPr>
            <w:r>
              <w:rPr>
                <w:noProof/>
                <w:color w:val="000000"/>
                <w:sz w:val="20"/>
                <w:szCs w:val="20"/>
              </w:rPr>
              <w:t>13)</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szCs w:val="20"/>
              </w:rPr>
              <w:t xml:space="preserve">Aid for storage of wild berries and </w:t>
            </w:r>
          </w:p>
          <w:p>
            <w:pPr>
              <w:tabs>
                <w:tab w:val="left" w:pos="1080"/>
              </w:tabs>
              <w:spacing w:before="120" w:after="120"/>
              <w:rPr>
                <w:noProof/>
                <w:color w:val="000000"/>
                <w:sz w:val="20"/>
                <w:szCs w:val="20"/>
              </w:rPr>
            </w:pPr>
            <w:r>
              <w:rPr>
                <w:noProof/>
                <w:color w:val="000000"/>
                <w:sz w:val="20"/>
                <w:szCs w:val="20"/>
              </w:rPr>
              <w:t>mushrooms</w:t>
            </w:r>
          </w:p>
        </w:tc>
        <w:tc>
          <w:tcPr>
            <w:tcW w:w="540" w:type="dxa"/>
          </w:tcPr>
          <w:p>
            <w:pPr>
              <w:tabs>
                <w:tab w:val="left" w:pos="1080"/>
              </w:tabs>
              <w:spacing w:before="120" w:after="120"/>
              <w:jc w:val="center"/>
              <w:rPr>
                <w:noProof/>
                <w:color w:val="000000"/>
                <w:sz w:val="20"/>
                <w:szCs w:val="20"/>
              </w:rPr>
            </w:pPr>
            <w:r>
              <w:rPr>
                <w:noProof/>
                <w:color w:val="000000"/>
                <w:sz w:val="20"/>
                <w:szCs w:val="20"/>
              </w:rPr>
              <w:t>14)</w:t>
            </w:r>
          </w:p>
        </w:tc>
        <w:tc>
          <w:tcPr>
            <w:tcW w:w="1586" w:type="dxa"/>
          </w:tcPr>
          <w:p>
            <w:pPr>
              <w:tabs>
                <w:tab w:val="left" w:pos="1080"/>
              </w:tabs>
              <w:spacing w:before="120" w:after="120"/>
              <w:jc w:val="center"/>
              <w:rPr>
                <w:noProof/>
                <w:color w:val="000000"/>
                <w:sz w:val="20"/>
                <w:szCs w:val="20"/>
              </w:rPr>
            </w:pPr>
            <w:r>
              <w:rPr>
                <w:noProof/>
                <w:color w:val="000000"/>
                <w:sz w:val="20"/>
                <w:szCs w:val="20"/>
              </w:rPr>
              <w:t>0.10–0.42</w:t>
            </w:r>
          </w:p>
        </w:tc>
        <w:tc>
          <w:tcPr>
            <w:tcW w:w="1116" w:type="dxa"/>
          </w:tcPr>
          <w:p>
            <w:pPr>
              <w:tabs>
                <w:tab w:val="left" w:pos="1080"/>
              </w:tabs>
              <w:spacing w:before="120" w:after="120"/>
              <w:jc w:val="center"/>
              <w:rPr>
                <w:noProof/>
                <w:color w:val="000000"/>
                <w:sz w:val="20"/>
                <w:szCs w:val="20"/>
                <w:vertAlign w:val="superscript"/>
              </w:rPr>
            </w:pPr>
            <w:r>
              <w:rPr>
                <w:noProof/>
                <w:color w:val="000000"/>
                <w:sz w:val="20"/>
                <w:szCs w:val="20"/>
              </w:rPr>
              <w:t>EUR/kg</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szCs w:val="20"/>
              </w:rPr>
              <w:t>Other aid</w:t>
            </w:r>
          </w:p>
        </w:tc>
        <w:tc>
          <w:tcPr>
            <w:tcW w:w="540" w:type="dxa"/>
          </w:tcPr>
          <w:p>
            <w:pPr>
              <w:tabs>
                <w:tab w:val="left" w:pos="1080"/>
              </w:tabs>
              <w:spacing w:before="120" w:after="120"/>
              <w:jc w:val="center"/>
              <w:rPr>
                <w:noProof/>
                <w:color w:val="000000"/>
                <w:sz w:val="20"/>
                <w:szCs w:val="20"/>
              </w:rPr>
            </w:pPr>
            <w:r>
              <w:rPr>
                <w:noProof/>
                <w:color w:val="000000"/>
                <w:sz w:val="20"/>
                <w:szCs w:val="20"/>
              </w:rPr>
              <w:t>15)</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bl>
    <w:p>
      <w:pPr>
        <w:tabs>
          <w:tab w:val="left" w:pos="360"/>
          <w:tab w:val="left" w:pos="1080"/>
        </w:tabs>
        <w:spacing w:before="120" w:after="120"/>
        <w:rPr>
          <w:noProof/>
          <w:color w:val="000000"/>
          <w:sz w:val="20"/>
          <w:szCs w:val="20"/>
        </w:rPr>
      </w:pPr>
      <w:r>
        <w:rPr>
          <w:noProof/>
          <w:color w:val="000000"/>
          <w:sz w:val="16"/>
          <w:szCs w:val="16"/>
          <w:vertAlign w:val="superscript"/>
        </w:rPr>
        <w:t>1)</w:t>
      </w:r>
      <w:r>
        <w:rPr>
          <w:noProof/>
          <w:color w:val="000000"/>
          <w:sz w:val="16"/>
          <w:szCs w:val="16"/>
        </w:rPr>
        <w:tab/>
      </w:r>
      <w:r>
        <w:rPr>
          <w:noProof/>
          <w:color w:val="000000"/>
          <w:sz w:val="20"/>
          <w:szCs w:val="20"/>
        </w:rPr>
        <w:t>Aid per unit may be differentiated by region within the limits of the maximum average.</w:t>
      </w:r>
    </w:p>
    <w:p>
      <w:pPr>
        <w:tabs>
          <w:tab w:val="left" w:pos="360"/>
          <w:tab w:val="left" w:pos="1080"/>
        </w:tabs>
        <w:spacing w:before="120" w:after="120"/>
        <w:rPr>
          <w:noProof/>
          <w:color w:val="000000"/>
          <w:sz w:val="20"/>
          <w:szCs w:val="20"/>
        </w:rPr>
      </w:pPr>
      <w:r>
        <w:rPr>
          <w:noProof/>
          <w:color w:val="000000"/>
          <w:sz w:val="20"/>
          <w:szCs w:val="20"/>
          <w:vertAlign w:val="superscript"/>
        </w:rPr>
        <w:t>2)</w:t>
      </w:r>
      <w:r>
        <w:rPr>
          <w:noProof/>
          <w:color w:val="000000"/>
          <w:sz w:val="20"/>
          <w:szCs w:val="20"/>
        </w:rPr>
        <w:tab/>
        <w:t xml:space="preserve">Maximum aid allowed EUR 382 million per year. </w:t>
      </w:r>
    </w:p>
    <w:p>
      <w:pPr>
        <w:tabs>
          <w:tab w:val="left" w:pos="360"/>
          <w:tab w:val="left" w:pos="1080"/>
        </w:tabs>
        <w:spacing w:before="120" w:after="120"/>
        <w:rPr>
          <w:noProof/>
          <w:color w:val="000000"/>
          <w:sz w:val="20"/>
          <w:szCs w:val="20"/>
        </w:rPr>
      </w:pPr>
      <w:r>
        <w:rPr>
          <w:noProof/>
          <w:color w:val="000000"/>
          <w:sz w:val="20"/>
          <w:szCs w:val="20"/>
          <w:vertAlign w:val="superscript"/>
        </w:rPr>
        <w:t>3)</w:t>
      </w:r>
      <w:r>
        <w:rPr>
          <w:noProof/>
          <w:color w:val="000000"/>
          <w:sz w:val="20"/>
          <w:szCs w:val="20"/>
        </w:rPr>
        <w:tab/>
        <w:t xml:space="preserve">Maximum eligible per calendar year and for the quota year 2014/2015. </w:t>
      </w:r>
    </w:p>
    <w:p>
      <w:pPr>
        <w:tabs>
          <w:tab w:val="left" w:pos="360"/>
          <w:tab w:val="left" w:pos="1080"/>
        </w:tabs>
        <w:spacing w:before="120" w:after="120"/>
        <w:rPr>
          <w:noProof/>
          <w:color w:val="000000"/>
          <w:sz w:val="20"/>
          <w:szCs w:val="20"/>
        </w:rPr>
      </w:pPr>
      <w:r>
        <w:rPr>
          <w:noProof/>
          <w:color w:val="000000"/>
          <w:sz w:val="20"/>
          <w:szCs w:val="20"/>
          <w:vertAlign w:val="superscript"/>
        </w:rPr>
        <w:t>4)</w:t>
      </w:r>
      <w:r>
        <w:rPr>
          <w:noProof/>
          <w:color w:val="000000"/>
          <w:sz w:val="20"/>
          <w:szCs w:val="20"/>
        </w:rPr>
        <w:tab/>
        <w:t>Suckler cows, suckler cow heifers, male bovines &gt; 6 months and slaughtered heifers as well as slaughtered bulls and steers in support regions C3 and C4.</w:t>
      </w:r>
    </w:p>
    <w:p>
      <w:pPr>
        <w:tabs>
          <w:tab w:val="left" w:pos="360"/>
          <w:tab w:val="left" w:pos="1080"/>
        </w:tabs>
        <w:spacing w:before="120" w:after="120"/>
        <w:rPr>
          <w:noProof/>
          <w:color w:val="000000"/>
          <w:sz w:val="20"/>
          <w:szCs w:val="20"/>
        </w:rPr>
      </w:pPr>
      <w:r>
        <w:rPr>
          <w:noProof/>
          <w:color w:val="000000"/>
          <w:sz w:val="20"/>
          <w:szCs w:val="20"/>
          <w:vertAlign w:val="superscript"/>
        </w:rPr>
        <w:t>5)</w:t>
      </w:r>
      <w:r>
        <w:rPr>
          <w:noProof/>
          <w:color w:val="000000"/>
          <w:sz w:val="20"/>
          <w:szCs w:val="20"/>
          <w:vertAlign w:val="superscript"/>
        </w:rPr>
        <w:tab/>
      </w:r>
      <w:r>
        <w:rPr>
          <w:noProof/>
          <w:color w:val="000000"/>
          <w:sz w:val="20"/>
          <w:szCs w:val="20"/>
        </w:rPr>
        <w:t>Decoupled aid. Reference quantity not exceeding 139 200 LU's</w:t>
      </w:r>
    </w:p>
    <w:p>
      <w:pPr>
        <w:tabs>
          <w:tab w:val="left" w:pos="360"/>
          <w:tab w:val="left" w:pos="1080"/>
        </w:tabs>
        <w:spacing w:before="120" w:after="120"/>
        <w:rPr>
          <w:noProof/>
          <w:color w:val="000000"/>
          <w:sz w:val="20"/>
          <w:szCs w:val="20"/>
        </w:rPr>
      </w:pPr>
      <w:r>
        <w:rPr>
          <w:noProof/>
          <w:color w:val="000000"/>
          <w:sz w:val="20"/>
          <w:szCs w:val="20"/>
          <w:vertAlign w:val="superscript"/>
        </w:rPr>
        <w:t>6)</w:t>
      </w:r>
      <w:r>
        <w:rPr>
          <w:noProof/>
          <w:color w:val="000000"/>
          <w:sz w:val="20"/>
          <w:szCs w:val="20"/>
        </w:rPr>
        <w:tab/>
        <w:t>Aid for greenhouse production may be differentiated according to the length of the growing period.</w:t>
      </w:r>
    </w:p>
    <w:p>
      <w:pPr>
        <w:tabs>
          <w:tab w:val="left" w:pos="360"/>
          <w:tab w:val="left" w:pos="1080"/>
        </w:tabs>
        <w:spacing w:before="120" w:after="120"/>
        <w:rPr>
          <w:noProof/>
          <w:color w:val="000000"/>
          <w:sz w:val="20"/>
          <w:szCs w:val="20"/>
        </w:rPr>
      </w:pPr>
      <w:r>
        <w:rPr>
          <w:noProof/>
          <w:color w:val="000000"/>
          <w:sz w:val="20"/>
          <w:szCs w:val="20"/>
          <w:vertAlign w:val="superscript"/>
        </w:rPr>
        <w:t>7)</w:t>
      </w:r>
      <w:r>
        <w:rPr>
          <w:noProof/>
          <w:color w:val="000000"/>
          <w:sz w:val="20"/>
          <w:szCs w:val="20"/>
        </w:rPr>
        <w:tab/>
        <w:t xml:space="preserve">Aid may be differentiated according to the technical standard of the storage facility. </w:t>
      </w:r>
    </w:p>
    <w:p>
      <w:pPr>
        <w:tabs>
          <w:tab w:val="left" w:pos="360"/>
          <w:tab w:val="left" w:pos="1080"/>
        </w:tabs>
        <w:spacing w:before="120" w:after="120"/>
        <w:rPr>
          <w:noProof/>
          <w:color w:val="000000"/>
          <w:sz w:val="20"/>
          <w:szCs w:val="20"/>
        </w:rPr>
      </w:pPr>
      <w:r>
        <w:rPr>
          <w:noProof/>
          <w:color w:val="000000"/>
          <w:sz w:val="20"/>
          <w:szCs w:val="20"/>
          <w:vertAlign w:val="superscript"/>
        </w:rPr>
        <w:t>8)</w:t>
      </w:r>
      <w:r>
        <w:rPr>
          <w:noProof/>
          <w:color w:val="000000"/>
          <w:sz w:val="20"/>
          <w:szCs w:val="20"/>
        </w:rPr>
        <w:tab/>
        <w:t>General hectare-based aid for utilised agricultural area (UAA) in support regions C2–C4.</w:t>
      </w:r>
    </w:p>
    <w:p>
      <w:pPr>
        <w:tabs>
          <w:tab w:val="left" w:pos="360"/>
          <w:tab w:val="left" w:pos="1080"/>
        </w:tabs>
        <w:spacing w:before="120" w:after="120"/>
        <w:rPr>
          <w:noProof/>
          <w:color w:val="000000"/>
          <w:sz w:val="20"/>
          <w:szCs w:val="20"/>
        </w:rPr>
      </w:pPr>
      <w:r>
        <w:rPr>
          <w:noProof/>
          <w:color w:val="000000"/>
          <w:sz w:val="20"/>
          <w:szCs w:val="20"/>
          <w:vertAlign w:val="superscript"/>
        </w:rPr>
        <w:t>9)</w:t>
      </w:r>
      <w:r>
        <w:rPr>
          <w:noProof/>
          <w:color w:val="000000"/>
          <w:sz w:val="20"/>
          <w:szCs w:val="20"/>
        </w:rPr>
        <w:tab/>
        <w:t xml:space="preserve">On the basis of the cultivation area of cereals (except for barley, oats and mixed cereals) and other crops (oilseed and other oil crops, protein and fibre crops), sugar beets, starch potatoes and apples in support regions C1, C2 and C2north. The aid for vegetables grown in the open can be paid in support regions C1–C4. </w:t>
      </w:r>
    </w:p>
    <w:p>
      <w:pPr>
        <w:tabs>
          <w:tab w:val="left" w:pos="360"/>
          <w:tab w:val="left" w:pos="1080"/>
        </w:tabs>
        <w:spacing w:before="120" w:after="120"/>
        <w:rPr>
          <w:noProof/>
          <w:color w:val="000000"/>
          <w:sz w:val="20"/>
          <w:szCs w:val="20"/>
        </w:rPr>
      </w:pPr>
      <w:r>
        <w:rPr>
          <w:noProof/>
          <w:color w:val="000000"/>
          <w:sz w:val="20"/>
          <w:szCs w:val="20"/>
          <w:vertAlign w:val="superscript"/>
        </w:rPr>
        <w:t>10)</w:t>
      </w:r>
      <w:r>
        <w:rPr>
          <w:noProof/>
          <w:color w:val="000000"/>
          <w:sz w:val="20"/>
          <w:szCs w:val="20"/>
        </w:rPr>
        <w:tab/>
        <w:t xml:space="preserve">Aid for young farmers for utilised agricultural area (UAA) in support regions C1–C4. </w:t>
      </w:r>
    </w:p>
    <w:p>
      <w:pPr>
        <w:tabs>
          <w:tab w:val="left" w:pos="360"/>
          <w:tab w:val="left" w:pos="1080"/>
        </w:tabs>
        <w:spacing w:before="120" w:after="120"/>
        <w:rPr>
          <w:noProof/>
          <w:color w:val="000000"/>
          <w:sz w:val="20"/>
          <w:szCs w:val="20"/>
        </w:rPr>
      </w:pPr>
      <w:r>
        <w:rPr>
          <w:noProof/>
          <w:color w:val="000000"/>
          <w:sz w:val="20"/>
          <w:szCs w:val="20"/>
          <w:vertAlign w:val="superscript"/>
        </w:rPr>
        <w:t>11)</w:t>
      </w:r>
      <w:r>
        <w:rPr>
          <w:noProof/>
          <w:color w:val="000000"/>
          <w:sz w:val="20"/>
          <w:szCs w:val="20"/>
        </w:rPr>
        <w:tab/>
        <w:t>In support regions C3 and C4.</w:t>
      </w:r>
      <w:r>
        <w:rPr>
          <w:noProof/>
          <w:color w:val="000000"/>
          <w:sz w:val="20"/>
          <w:szCs w:val="20"/>
          <w:vertAlign w:val="superscript"/>
        </w:rPr>
        <w:t xml:space="preserve"> </w:t>
      </w:r>
    </w:p>
    <w:p>
      <w:pPr>
        <w:tabs>
          <w:tab w:val="left" w:pos="360"/>
          <w:tab w:val="left" w:pos="1080"/>
        </w:tabs>
        <w:spacing w:before="120" w:after="120"/>
        <w:rPr>
          <w:noProof/>
          <w:color w:val="000000"/>
          <w:sz w:val="20"/>
          <w:szCs w:val="20"/>
        </w:rPr>
      </w:pPr>
      <w:r>
        <w:rPr>
          <w:noProof/>
          <w:color w:val="000000"/>
          <w:sz w:val="20"/>
          <w:szCs w:val="20"/>
          <w:vertAlign w:val="superscript"/>
        </w:rPr>
        <w:t>12)</w:t>
      </w:r>
      <w:r>
        <w:rPr>
          <w:noProof/>
          <w:color w:val="000000"/>
          <w:sz w:val="20"/>
          <w:szCs w:val="20"/>
          <w:vertAlign w:val="superscript"/>
        </w:rPr>
        <w:tab/>
      </w:r>
      <w:r>
        <w:rPr>
          <w:noProof/>
          <w:color w:val="000000"/>
          <w:sz w:val="20"/>
          <w:szCs w:val="20"/>
        </w:rPr>
        <w:t>Milk: Kainuu and Province of Lapland and Koillismaa (North-East Finland). Meat: Province of Lapland.</w:t>
      </w:r>
    </w:p>
    <w:p>
      <w:pPr>
        <w:tabs>
          <w:tab w:val="left" w:pos="360"/>
          <w:tab w:val="left" w:pos="1080"/>
        </w:tabs>
        <w:spacing w:before="120" w:after="120"/>
        <w:rPr>
          <w:noProof/>
          <w:color w:val="000000"/>
          <w:sz w:val="20"/>
          <w:szCs w:val="20"/>
        </w:rPr>
      </w:pPr>
      <w:r>
        <w:rPr>
          <w:noProof/>
          <w:color w:val="000000"/>
          <w:sz w:val="20"/>
          <w:szCs w:val="20"/>
          <w:vertAlign w:val="superscript"/>
        </w:rPr>
        <w:t>13)</w:t>
      </w:r>
      <w:r>
        <w:rPr>
          <w:noProof/>
          <w:color w:val="000000"/>
          <w:sz w:val="20"/>
          <w:szCs w:val="20"/>
        </w:rPr>
        <w:tab/>
        <w:t>Aid may be paid for services that maintain the operating conditions for livestock production in areas, where distances are longer than the average.</w:t>
      </w:r>
    </w:p>
    <w:p>
      <w:pPr>
        <w:tabs>
          <w:tab w:val="left" w:pos="360"/>
          <w:tab w:val="left" w:pos="1080"/>
        </w:tabs>
        <w:spacing w:before="120" w:after="120"/>
        <w:rPr>
          <w:noProof/>
          <w:color w:val="000000"/>
          <w:sz w:val="20"/>
          <w:szCs w:val="20"/>
        </w:rPr>
      </w:pPr>
      <w:r>
        <w:rPr>
          <w:noProof/>
          <w:color w:val="000000"/>
          <w:sz w:val="20"/>
          <w:szCs w:val="20"/>
          <w:vertAlign w:val="superscript"/>
        </w:rPr>
        <w:t>14)</w:t>
      </w:r>
      <w:r>
        <w:rPr>
          <w:noProof/>
          <w:color w:val="000000"/>
          <w:sz w:val="20"/>
          <w:szCs w:val="20"/>
        </w:rPr>
        <w:tab/>
        <w:t xml:space="preserve">Maximum amount of aid: Aid is granted for quantities in storage at the end of June up to the following maximums 0.34 EUR/kg for wild cloudberries, 0.10 EUR/kg for other wild berries and 0.42 EUR/kg for wild mushrooms. </w:t>
      </w:r>
    </w:p>
    <w:p>
      <w:pPr>
        <w:tabs>
          <w:tab w:val="left" w:pos="360"/>
          <w:tab w:val="left" w:pos="1080"/>
        </w:tabs>
        <w:spacing w:before="120" w:after="120"/>
        <w:rPr>
          <w:noProof/>
          <w:color w:val="000000"/>
          <w:sz w:val="20"/>
          <w:szCs w:val="20"/>
        </w:rPr>
      </w:pPr>
      <w:r>
        <w:rPr>
          <w:noProof/>
          <w:color w:val="000000"/>
          <w:sz w:val="20"/>
          <w:szCs w:val="20"/>
          <w:vertAlign w:val="superscript"/>
        </w:rPr>
        <w:t>15)</w:t>
      </w:r>
      <w:r>
        <w:rPr>
          <w:noProof/>
          <w:color w:val="000000"/>
          <w:sz w:val="20"/>
          <w:szCs w:val="20"/>
        </w:rPr>
        <w:tab/>
        <w:t>Skolts, natural livelihoods and reindeer husbandry. "</w:t>
      </w:r>
    </w:p>
    <w:p>
      <w:pPr>
        <w:keepNext/>
        <w:tabs>
          <w:tab w:val="left" w:pos="850"/>
        </w:tabs>
        <w:spacing w:before="360" w:after="120"/>
        <w:outlineLvl w:val="1"/>
        <w:rPr>
          <w:b/>
          <w:noProof/>
        </w:rPr>
      </w:pPr>
      <w:bookmarkStart w:id="20" w:name="_Toc327522988"/>
      <w:bookmarkStart w:id="21" w:name="_Toc468978084"/>
      <w:r>
        <w:rPr>
          <w:b/>
          <w:noProof/>
        </w:rPr>
        <w:t>4.2.</w:t>
      </w:r>
      <w:r>
        <w:rPr>
          <w:b/>
          <w:noProof/>
        </w:rPr>
        <w:tab/>
        <w:t>Aid disbursed</w:t>
      </w:r>
      <w:bookmarkEnd w:id="20"/>
      <w:bookmarkEnd w:id="21"/>
      <w:r>
        <w:rPr>
          <w:b/>
          <w:noProof/>
        </w:rPr>
        <w:t xml:space="preserve"> </w:t>
      </w:r>
    </w:p>
    <w:p>
      <w:pPr>
        <w:spacing w:before="120" w:after="120"/>
        <w:rPr>
          <w:i/>
          <w:noProof/>
        </w:rPr>
      </w:pPr>
      <w:r>
        <w:rPr>
          <w:i/>
          <w:noProof/>
        </w:rPr>
        <w:t>Nordic aid</w:t>
      </w:r>
    </w:p>
    <w:p>
      <w:pPr>
        <w:spacing w:before="120" w:after="120"/>
        <w:jc w:val="both"/>
        <w:rPr>
          <w:noProof/>
        </w:rPr>
      </w:pPr>
      <w:r>
        <w:rPr>
          <w:noProof/>
        </w:rPr>
        <w:t xml:space="preserve">During the years 2011-2015 the total annual aid paid out was between EUR 336.1 and 310.1 million (Table 2). </w:t>
      </w:r>
    </w:p>
    <w:p>
      <w:pPr>
        <w:spacing w:before="120" w:after="120"/>
        <w:jc w:val="center"/>
        <w:rPr>
          <w:b/>
          <w:noProof/>
        </w:rPr>
      </w:pPr>
      <w:r>
        <w:rPr>
          <w:b/>
          <w:noProof/>
        </w:rPr>
        <w:t>Table 2: Nordic aid disbursed in Finland (mEUR)</w:t>
      </w:r>
    </w:p>
    <w:tbl>
      <w:tblPr>
        <w:tblW w:w="901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0"/>
        <w:gridCol w:w="1260"/>
        <w:gridCol w:w="1260"/>
        <w:gridCol w:w="1260"/>
        <w:gridCol w:w="1260"/>
        <w:gridCol w:w="1260"/>
      </w:tblGrid>
      <w:tr>
        <w:tc>
          <w:tcPr>
            <w:tcW w:w="2710" w:type="dxa"/>
            <w:noWrap/>
            <w:vAlign w:val="bottom"/>
          </w:tcPr>
          <w:p>
            <w:pPr>
              <w:spacing w:before="120" w:after="120"/>
              <w:rPr>
                <w:b/>
                <w:noProof/>
                <w:sz w:val="20"/>
                <w:szCs w:val="20"/>
              </w:rPr>
            </w:pPr>
            <w:r>
              <w:rPr>
                <w:b/>
                <w:noProof/>
                <w:sz w:val="20"/>
                <w:szCs w:val="20"/>
              </w:rPr>
              <w:t>Sector supported</w:t>
            </w:r>
          </w:p>
        </w:tc>
        <w:tc>
          <w:tcPr>
            <w:tcW w:w="1260" w:type="dxa"/>
            <w:noWrap/>
            <w:vAlign w:val="bottom"/>
          </w:tcPr>
          <w:p>
            <w:pPr>
              <w:spacing w:before="120" w:after="120"/>
              <w:jc w:val="center"/>
              <w:rPr>
                <w:b/>
                <w:noProof/>
                <w:sz w:val="20"/>
                <w:szCs w:val="20"/>
              </w:rPr>
            </w:pPr>
            <w:r>
              <w:rPr>
                <w:b/>
                <w:noProof/>
                <w:sz w:val="20"/>
                <w:szCs w:val="20"/>
              </w:rPr>
              <w:t>2011</w:t>
            </w:r>
          </w:p>
        </w:tc>
        <w:tc>
          <w:tcPr>
            <w:tcW w:w="1260" w:type="dxa"/>
            <w:noWrap/>
            <w:vAlign w:val="bottom"/>
          </w:tcPr>
          <w:p>
            <w:pPr>
              <w:spacing w:before="120" w:after="120"/>
              <w:jc w:val="center"/>
              <w:rPr>
                <w:b/>
                <w:noProof/>
                <w:sz w:val="20"/>
                <w:szCs w:val="20"/>
              </w:rPr>
            </w:pPr>
            <w:r>
              <w:rPr>
                <w:b/>
                <w:noProof/>
                <w:sz w:val="20"/>
                <w:szCs w:val="20"/>
              </w:rPr>
              <w:t>2012</w:t>
            </w:r>
          </w:p>
        </w:tc>
        <w:tc>
          <w:tcPr>
            <w:tcW w:w="1260" w:type="dxa"/>
            <w:noWrap/>
            <w:vAlign w:val="bottom"/>
          </w:tcPr>
          <w:p>
            <w:pPr>
              <w:spacing w:before="120" w:after="120"/>
              <w:jc w:val="center"/>
              <w:rPr>
                <w:b/>
                <w:noProof/>
                <w:sz w:val="20"/>
                <w:szCs w:val="20"/>
              </w:rPr>
            </w:pPr>
            <w:r>
              <w:rPr>
                <w:b/>
                <w:noProof/>
                <w:sz w:val="20"/>
                <w:szCs w:val="20"/>
              </w:rPr>
              <w:t>2013</w:t>
            </w:r>
          </w:p>
        </w:tc>
        <w:tc>
          <w:tcPr>
            <w:tcW w:w="1260" w:type="dxa"/>
            <w:noWrap/>
            <w:vAlign w:val="bottom"/>
          </w:tcPr>
          <w:p>
            <w:pPr>
              <w:spacing w:before="120" w:after="120"/>
              <w:jc w:val="center"/>
              <w:rPr>
                <w:b/>
                <w:noProof/>
                <w:sz w:val="20"/>
                <w:szCs w:val="20"/>
              </w:rPr>
            </w:pPr>
            <w:r>
              <w:rPr>
                <w:b/>
                <w:noProof/>
                <w:sz w:val="20"/>
                <w:szCs w:val="20"/>
              </w:rPr>
              <w:t>2014</w:t>
            </w:r>
          </w:p>
        </w:tc>
        <w:tc>
          <w:tcPr>
            <w:tcW w:w="1260" w:type="dxa"/>
            <w:noWrap/>
            <w:vAlign w:val="bottom"/>
          </w:tcPr>
          <w:p>
            <w:pPr>
              <w:spacing w:before="120" w:after="120"/>
              <w:jc w:val="center"/>
              <w:rPr>
                <w:b/>
                <w:noProof/>
                <w:sz w:val="20"/>
                <w:szCs w:val="20"/>
              </w:rPr>
            </w:pPr>
            <w:r>
              <w:rPr>
                <w:b/>
                <w:noProof/>
                <w:sz w:val="20"/>
                <w:szCs w:val="20"/>
              </w:rPr>
              <w:t>2015</w:t>
            </w:r>
          </w:p>
        </w:tc>
      </w:tr>
      <w:tr>
        <w:tc>
          <w:tcPr>
            <w:tcW w:w="2710" w:type="dxa"/>
            <w:noWrap/>
            <w:vAlign w:val="bottom"/>
          </w:tcPr>
          <w:p>
            <w:pPr>
              <w:spacing w:before="120" w:after="120"/>
              <w:rPr>
                <w:noProof/>
                <w:sz w:val="20"/>
                <w:szCs w:val="20"/>
              </w:rPr>
            </w:pPr>
            <w:r>
              <w:rPr>
                <w:noProof/>
                <w:sz w:val="20"/>
                <w:szCs w:val="20"/>
              </w:rPr>
              <w:t>Milk</w:t>
            </w:r>
          </w:p>
        </w:tc>
        <w:tc>
          <w:tcPr>
            <w:tcW w:w="1260" w:type="dxa"/>
            <w:noWrap/>
            <w:vAlign w:val="bottom"/>
          </w:tcPr>
          <w:p>
            <w:pPr>
              <w:spacing w:before="120" w:after="120"/>
              <w:jc w:val="center"/>
              <w:rPr>
                <w:noProof/>
                <w:sz w:val="20"/>
                <w:szCs w:val="20"/>
              </w:rPr>
            </w:pPr>
            <w:r>
              <w:rPr>
                <w:noProof/>
                <w:sz w:val="20"/>
                <w:szCs w:val="20"/>
              </w:rPr>
              <w:t>161.1</w:t>
            </w:r>
          </w:p>
        </w:tc>
        <w:tc>
          <w:tcPr>
            <w:tcW w:w="1260" w:type="dxa"/>
            <w:noWrap/>
            <w:vAlign w:val="bottom"/>
          </w:tcPr>
          <w:p>
            <w:pPr>
              <w:spacing w:before="120" w:after="120"/>
              <w:jc w:val="center"/>
              <w:rPr>
                <w:noProof/>
                <w:sz w:val="20"/>
                <w:szCs w:val="20"/>
              </w:rPr>
            </w:pPr>
            <w:r>
              <w:rPr>
                <w:noProof/>
                <w:sz w:val="20"/>
                <w:szCs w:val="20"/>
              </w:rPr>
              <w:t>161.1</w:t>
            </w:r>
          </w:p>
        </w:tc>
        <w:tc>
          <w:tcPr>
            <w:tcW w:w="1260" w:type="dxa"/>
            <w:noWrap/>
            <w:vAlign w:val="bottom"/>
          </w:tcPr>
          <w:p>
            <w:pPr>
              <w:spacing w:before="120" w:after="120"/>
              <w:jc w:val="center"/>
              <w:rPr>
                <w:noProof/>
                <w:sz w:val="20"/>
                <w:szCs w:val="20"/>
              </w:rPr>
            </w:pPr>
            <w:r>
              <w:rPr>
                <w:noProof/>
                <w:sz w:val="20"/>
                <w:szCs w:val="20"/>
              </w:rPr>
              <w:t>161.1</w:t>
            </w:r>
          </w:p>
        </w:tc>
        <w:tc>
          <w:tcPr>
            <w:tcW w:w="1260" w:type="dxa"/>
            <w:noWrap/>
            <w:vAlign w:val="bottom"/>
          </w:tcPr>
          <w:p>
            <w:pPr>
              <w:spacing w:before="120" w:after="120"/>
              <w:jc w:val="center"/>
              <w:rPr>
                <w:noProof/>
                <w:sz w:val="20"/>
                <w:szCs w:val="20"/>
              </w:rPr>
            </w:pPr>
            <w:r>
              <w:rPr>
                <w:noProof/>
                <w:sz w:val="20"/>
                <w:szCs w:val="20"/>
              </w:rPr>
              <w:t>167.5</w:t>
            </w:r>
          </w:p>
        </w:tc>
        <w:tc>
          <w:tcPr>
            <w:tcW w:w="1260" w:type="dxa"/>
            <w:noWrap/>
            <w:vAlign w:val="bottom"/>
          </w:tcPr>
          <w:p>
            <w:pPr>
              <w:spacing w:before="120" w:after="120"/>
              <w:jc w:val="center"/>
              <w:rPr>
                <w:noProof/>
                <w:sz w:val="20"/>
                <w:szCs w:val="20"/>
              </w:rPr>
            </w:pPr>
            <w:r>
              <w:rPr>
                <w:noProof/>
                <w:sz w:val="20"/>
                <w:szCs w:val="20"/>
              </w:rPr>
              <w:t>170</w:t>
            </w:r>
          </w:p>
        </w:tc>
      </w:tr>
      <w:tr>
        <w:tc>
          <w:tcPr>
            <w:tcW w:w="2710" w:type="dxa"/>
            <w:noWrap/>
            <w:vAlign w:val="bottom"/>
          </w:tcPr>
          <w:p>
            <w:pPr>
              <w:spacing w:before="120" w:after="120"/>
              <w:rPr>
                <w:noProof/>
                <w:sz w:val="20"/>
                <w:szCs w:val="20"/>
              </w:rPr>
            </w:pPr>
            <w:r>
              <w:rPr>
                <w:noProof/>
                <w:sz w:val="20"/>
                <w:szCs w:val="20"/>
              </w:rPr>
              <w:t>Ruminants</w:t>
            </w:r>
          </w:p>
        </w:tc>
        <w:tc>
          <w:tcPr>
            <w:tcW w:w="1260" w:type="dxa"/>
            <w:noWrap/>
            <w:vAlign w:val="bottom"/>
          </w:tcPr>
          <w:p>
            <w:pPr>
              <w:spacing w:before="120" w:after="120"/>
              <w:jc w:val="center"/>
              <w:rPr>
                <w:noProof/>
                <w:sz w:val="20"/>
                <w:szCs w:val="20"/>
              </w:rPr>
            </w:pPr>
            <w:r>
              <w:rPr>
                <w:noProof/>
                <w:sz w:val="20"/>
                <w:szCs w:val="20"/>
              </w:rPr>
              <w:t>71.1</w:t>
            </w:r>
          </w:p>
        </w:tc>
        <w:tc>
          <w:tcPr>
            <w:tcW w:w="1260" w:type="dxa"/>
            <w:noWrap/>
            <w:vAlign w:val="bottom"/>
          </w:tcPr>
          <w:p>
            <w:pPr>
              <w:spacing w:before="120" w:after="120"/>
              <w:jc w:val="center"/>
              <w:rPr>
                <w:noProof/>
                <w:sz w:val="20"/>
                <w:szCs w:val="20"/>
              </w:rPr>
            </w:pPr>
            <w:r>
              <w:rPr>
                <w:noProof/>
                <w:sz w:val="20"/>
                <w:szCs w:val="20"/>
              </w:rPr>
              <w:t>70</w:t>
            </w:r>
          </w:p>
        </w:tc>
        <w:tc>
          <w:tcPr>
            <w:tcW w:w="1260" w:type="dxa"/>
            <w:noWrap/>
            <w:vAlign w:val="bottom"/>
          </w:tcPr>
          <w:p>
            <w:pPr>
              <w:spacing w:before="120" w:after="120"/>
              <w:jc w:val="center"/>
              <w:rPr>
                <w:noProof/>
                <w:sz w:val="20"/>
                <w:szCs w:val="20"/>
              </w:rPr>
            </w:pPr>
            <w:r>
              <w:rPr>
                <w:noProof/>
                <w:sz w:val="20"/>
                <w:szCs w:val="20"/>
              </w:rPr>
              <w:t>69.7</w:t>
            </w:r>
          </w:p>
        </w:tc>
        <w:tc>
          <w:tcPr>
            <w:tcW w:w="1260" w:type="dxa"/>
            <w:noWrap/>
            <w:vAlign w:val="bottom"/>
          </w:tcPr>
          <w:p>
            <w:pPr>
              <w:spacing w:before="120" w:after="120"/>
              <w:jc w:val="center"/>
              <w:rPr>
                <w:noProof/>
                <w:sz w:val="20"/>
                <w:szCs w:val="20"/>
              </w:rPr>
            </w:pPr>
            <w:r>
              <w:rPr>
                <w:noProof/>
                <w:sz w:val="20"/>
                <w:szCs w:val="20"/>
              </w:rPr>
              <w:t>70.3</w:t>
            </w:r>
          </w:p>
        </w:tc>
        <w:tc>
          <w:tcPr>
            <w:tcW w:w="1260" w:type="dxa"/>
            <w:noWrap/>
            <w:vAlign w:val="bottom"/>
          </w:tcPr>
          <w:p>
            <w:pPr>
              <w:spacing w:before="120" w:after="120"/>
              <w:jc w:val="center"/>
              <w:rPr>
                <w:noProof/>
                <w:sz w:val="20"/>
                <w:szCs w:val="20"/>
              </w:rPr>
            </w:pPr>
            <w:r>
              <w:rPr>
                <w:noProof/>
                <w:sz w:val="20"/>
                <w:szCs w:val="20"/>
              </w:rPr>
              <w:t>70.1</w:t>
            </w:r>
          </w:p>
        </w:tc>
      </w:tr>
      <w:tr>
        <w:tc>
          <w:tcPr>
            <w:tcW w:w="2710" w:type="dxa"/>
            <w:noWrap/>
            <w:vAlign w:val="bottom"/>
          </w:tcPr>
          <w:p>
            <w:pPr>
              <w:spacing w:before="120" w:after="120"/>
              <w:rPr>
                <w:noProof/>
                <w:sz w:val="20"/>
                <w:szCs w:val="20"/>
              </w:rPr>
            </w:pPr>
            <w:r>
              <w:rPr>
                <w:noProof/>
                <w:sz w:val="20"/>
                <w:szCs w:val="20"/>
              </w:rPr>
              <w:t>Pig, poultry</w:t>
            </w:r>
          </w:p>
        </w:tc>
        <w:tc>
          <w:tcPr>
            <w:tcW w:w="1260" w:type="dxa"/>
            <w:noWrap/>
            <w:vAlign w:val="bottom"/>
          </w:tcPr>
          <w:p>
            <w:pPr>
              <w:spacing w:before="120" w:after="120"/>
              <w:jc w:val="center"/>
              <w:rPr>
                <w:noProof/>
                <w:sz w:val="20"/>
                <w:szCs w:val="20"/>
              </w:rPr>
            </w:pPr>
            <w:r>
              <w:rPr>
                <w:noProof/>
                <w:sz w:val="20"/>
                <w:szCs w:val="20"/>
              </w:rPr>
              <w:t>30.84</w:t>
            </w:r>
          </w:p>
        </w:tc>
        <w:tc>
          <w:tcPr>
            <w:tcW w:w="1260" w:type="dxa"/>
            <w:noWrap/>
            <w:vAlign w:val="bottom"/>
          </w:tcPr>
          <w:p>
            <w:pPr>
              <w:spacing w:before="120" w:after="120"/>
              <w:jc w:val="center"/>
              <w:rPr>
                <w:noProof/>
                <w:sz w:val="20"/>
                <w:szCs w:val="20"/>
              </w:rPr>
            </w:pPr>
            <w:r>
              <w:rPr>
                <w:noProof/>
                <w:sz w:val="20"/>
                <w:szCs w:val="20"/>
              </w:rPr>
              <w:t>26.41</w:t>
            </w:r>
          </w:p>
        </w:tc>
        <w:tc>
          <w:tcPr>
            <w:tcW w:w="1260" w:type="dxa"/>
            <w:noWrap/>
            <w:vAlign w:val="bottom"/>
          </w:tcPr>
          <w:p>
            <w:pPr>
              <w:spacing w:before="120" w:after="120"/>
              <w:jc w:val="center"/>
              <w:rPr>
                <w:noProof/>
                <w:sz w:val="20"/>
                <w:szCs w:val="20"/>
              </w:rPr>
            </w:pPr>
            <w:r>
              <w:rPr>
                <w:noProof/>
                <w:sz w:val="20"/>
                <w:szCs w:val="20"/>
              </w:rPr>
              <w:t>20.85</w:t>
            </w:r>
          </w:p>
        </w:tc>
        <w:tc>
          <w:tcPr>
            <w:tcW w:w="1260" w:type="dxa"/>
            <w:noWrap/>
            <w:vAlign w:val="bottom"/>
          </w:tcPr>
          <w:p>
            <w:pPr>
              <w:spacing w:before="120" w:after="120"/>
              <w:jc w:val="center"/>
              <w:rPr>
                <w:noProof/>
                <w:sz w:val="20"/>
                <w:szCs w:val="20"/>
              </w:rPr>
            </w:pPr>
            <w:r>
              <w:rPr>
                <w:noProof/>
                <w:sz w:val="20"/>
                <w:szCs w:val="20"/>
              </w:rPr>
              <w:t>20.26</w:t>
            </w:r>
          </w:p>
        </w:tc>
        <w:tc>
          <w:tcPr>
            <w:tcW w:w="1260" w:type="dxa"/>
            <w:noWrap/>
            <w:vAlign w:val="bottom"/>
          </w:tcPr>
          <w:p>
            <w:pPr>
              <w:spacing w:before="120" w:after="120"/>
              <w:jc w:val="center"/>
              <w:rPr>
                <w:noProof/>
                <w:sz w:val="20"/>
                <w:szCs w:val="20"/>
              </w:rPr>
            </w:pPr>
            <w:r>
              <w:rPr>
                <w:noProof/>
                <w:sz w:val="20"/>
                <w:szCs w:val="20"/>
              </w:rPr>
              <w:t>18.5</w:t>
            </w:r>
          </w:p>
        </w:tc>
      </w:tr>
      <w:tr>
        <w:tc>
          <w:tcPr>
            <w:tcW w:w="2710" w:type="dxa"/>
            <w:noWrap/>
            <w:vAlign w:val="bottom"/>
          </w:tcPr>
          <w:p>
            <w:pPr>
              <w:spacing w:before="120" w:after="120"/>
              <w:rPr>
                <w:noProof/>
                <w:sz w:val="20"/>
                <w:szCs w:val="20"/>
              </w:rPr>
            </w:pPr>
            <w:r>
              <w:rPr>
                <w:noProof/>
                <w:sz w:val="20"/>
                <w:szCs w:val="20"/>
              </w:rPr>
              <w:t>Horticulture</w:t>
            </w:r>
          </w:p>
        </w:tc>
        <w:tc>
          <w:tcPr>
            <w:tcW w:w="1260" w:type="dxa"/>
            <w:noWrap/>
            <w:vAlign w:val="bottom"/>
          </w:tcPr>
          <w:p>
            <w:pPr>
              <w:spacing w:before="120" w:after="120"/>
              <w:jc w:val="center"/>
              <w:rPr>
                <w:noProof/>
                <w:sz w:val="20"/>
                <w:szCs w:val="20"/>
              </w:rPr>
            </w:pPr>
            <w:r>
              <w:rPr>
                <w:noProof/>
                <w:sz w:val="20"/>
                <w:szCs w:val="20"/>
              </w:rPr>
              <w:t>21.3</w:t>
            </w:r>
          </w:p>
        </w:tc>
        <w:tc>
          <w:tcPr>
            <w:tcW w:w="1260" w:type="dxa"/>
            <w:noWrap/>
            <w:vAlign w:val="bottom"/>
          </w:tcPr>
          <w:p>
            <w:pPr>
              <w:spacing w:before="120" w:after="120"/>
              <w:jc w:val="center"/>
              <w:rPr>
                <w:noProof/>
                <w:sz w:val="20"/>
                <w:szCs w:val="20"/>
              </w:rPr>
            </w:pPr>
            <w:r>
              <w:rPr>
                <w:noProof/>
                <w:sz w:val="20"/>
                <w:szCs w:val="20"/>
              </w:rPr>
              <w:t>19.5</w:t>
            </w:r>
          </w:p>
        </w:tc>
        <w:tc>
          <w:tcPr>
            <w:tcW w:w="1260" w:type="dxa"/>
            <w:noWrap/>
            <w:vAlign w:val="bottom"/>
          </w:tcPr>
          <w:p>
            <w:pPr>
              <w:spacing w:before="120" w:after="120"/>
              <w:jc w:val="center"/>
              <w:rPr>
                <w:noProof/>
                <w:sz w:val="20"/>
                <w:szCs w:val="20"/>
              </w:rPr>
            </w:pPr>
            <w:r>
              <w:rPr>
                <w:noProof/>
                <w:sz w:val="20"/>
                <w:szCs w:val="20"/>
              </w:rPr>
              <w:t>18.0</w:t>
            </w:r>
          </w:p>
        </w:tc>
        <w:tc>
          <w:tcPr>
            <w:tcW w:w="1260" w:type="dxa"/>
            <w:noWrap/>
            <w:vAlign w:val="bottom"/>
          </w:tcPr>
          <w:p>
            <w:pPr>
              <w:spacing w:before="120" w:after="120"/>
              <w:jc w:val="center"/>
              <w:rPr>
                <w:noProof/>
                <w:sz w:val="20"/>
                <w:szCs w:val="20"/>
              </w:rPr>
            </w:pPr>
            <w:r>
              <w:rPr>
                <w:noProof/>
                <w:sz w:val="20"/>
                <w:szCs w:val="20"/>
              </w:rPr>
              <w:t>18.9</w:t>
            </w:r>
          </w:p>
        </w:tc>
        <w:tc>
          <w:tcPr>
            <w:tcW w:w="1260" w:type="dxa"/>
            <w:noWrap/>
            <w:vAlign w:val="bottom"/>
          </w:tcPr>
          <w:p>
            <w:pPr>
              <w:spacing w:before="120" w:after="120"/>
              <w:jc w:val="center"/>
              <w:rPr>
                <w:noProof/>
                <w:sz w:val="20"/>
                <w:szCs w:val="20"/>
              </w:rPr>
            </w:pPr>
            <w:r>
              <w:rPr>
                <w:noProof/>
                <w:sz w:val="20"/>
                <w:szCs w:val="20"/>
              </w:rPr>
              <w:t>17.5</w:t>
            </w:r>
          </w:p>
        </w:tc>
      </w:tr>
      <w:tr>
        <w:tc>
          <w:tcPr>
            <w:tcW w:w="2710" w:type="dxa"/>
            <w:noWrap/>
            <w:vAlign w:val="bottom"/>
          </w:tcPr>
          <w:p>
            <w:pPr>
              <w:spacing w:before="120" w:after="120"/>
              <w:rPr>
                <w:noProof/>
                <w:sz w:val="20"/>
                <w:szCs w:val="20"/>
              </w:rPr>
            </w:pPr>
            <w:r>
              <w:rPr>
                <w:noProof/>
                <w:sz w:val="20"/>
                <w:szCs w:val="20"/>
              </w:rPr>
              <w:t>Crop production</w:t>
            </w:r>
          </w:p>
        </w:tc>
        <w:tc>
          <w:tcPr>
            <w:tcW w:w="1260" w:type="dxa"/>
            <w:noWrap/>
            <w:vAlign w:val="bottom"/>
          </w:tcPr>
          <w:p>
            <w:pPr>
              <w:spacing w:before="120" w:after="120"/>
              <w:jc w:val="center"/>
              <w:rPr>
                <w:noProof/>
                <w:sz w:val="20"/>
                <w:szCs w:val="20"/>
              </w:rPr>
            </w:pPr>
            <w:r>
              <w:rPr>
                <w:noProof/>
                <w:sz w:val="20"/>
                <w:szCs w:val="20"/>
              </w:rPr>
              <w:t>41.11</w:t>
            </w:r>
          </w:p>
        </w:tc>
        <w:tc>
          <w:tcPr>
            <w:tcW w:w="1260" w:type="dxa"/>
            <w:noWrap/>
            <w:vAlign w:val="bottom"/>
          </w:tcPr>
          <w:p>
            <w:pPr>
              <w:spacing w:before="120" w:after="120"/>
              <w:jc w:val="center"/>
              <w:rPr>
                <w:noProof/>
                <w:sz w:val="20"/>
                <w:szCs w:val="20"/>
              </w:rPr>
            </w:pPr>
            <w:r>
              <w:rPr>
                <w:noProof/>
                <w:sz w:val="20"/>
                <w:szCs w:val="20"/>
              </w:rPr>
              <w:t>39.94</w:t>
            </w:r>
          </w:p>
        </w:tc>
        <w:tc>
          <w:tcPr>
            <w:tcW w:w="1260" w:type="dxa"/>
            <w:noWrap/>
            <w:vAlign w:val="bottom"/>
          </w:tcPr>
          <w:p>
            <w:pPr>
              <w:spacing w:before="120" w:after="120"/>
              <w:jc w:val="center"/>
              <w:rPr>
                <w:noProof/>
                <w:sz w:val="20"/>
                <w:szCs w:val="20"/>
              </w:rPr>
            </w:pPr>
            <w:r>
              <w:rPr>
                <w:noProof/>
                <w:sz w:val="20"/>
                <w:szCs w:val="20"/>
              </w:rPr>
              <w:t>38.93</w:t>
            </w:r>
          </w:p>
        </w:tc>
        <w:tc>
          <w:tcPr>
            <w:tcW w:w="1260" w:type="dxa"/>
            <w:noWrap/>
            <w:vAlign w:val="bottom"/>
          </w:tcPr>
          <w:p>
            <w:pPr>
              <w:spacing w:before="120" w:after="120"/>
              <w:jc w:val="center"/>
              <w:rPr>
                <w:noProof/>
                <w:sz w:val="20"/>
                <w:szCs w:val="20"/>
              </w:rPr>
            </w:pPr>
            <w:r>
              <w:rPr>
                <w:noProof/>
                <w:sz w:val="20"/>
                <w:szCs w:val="20"/>
              </w:rPr>
              <w:t>36.64</w:t>
            </w:r>
          </w:p>
        </w:tc>
        <w:tc>
          <w:tcPr>
            <w:tcW w:w="1260" w:type="dxa"/>
            <w:noWrap/>
            <w:vAlign w:val="bottom"/>
          </w:tcPr>
          <w:p>
            <w:pPr>
              <w:spacing w:before="120" w:after="120"/>
              <w:jc w:val="center"/>
              <w:rPr>
                <w:noProof/>
                <w:sz w:val="20"/>
                <w:szCs w:val="20"/>
              </w:rPr>
            </w:pPr>
            <w:r>
              <w:rPr>
                <w:noProof/>
                <w:sz w:val="20"/>
                <w:szCs w:val="20"/>
              </w:rPr>
              <w:t>19.2</w:t>
            </w:r>
          </w:p>
        </w:tc>
      </w:tr>
      <w:tr>
        <w:tc>
          <w:tcPr>
            <w:tcW w:w="2710" w:type="dxa"/>
            <w:noWrap/>
            <w:vAlign w:val="bottom"/>
          </w:tcPr>
          <w:p>
            <w:pPr>
              <w:spacing w:before="120" w:after="120"/>
              <w:rPr>
                <w:noProof/>
                <w:sz w:val="20"/>
                <w:szCs w:val="20"/>
              </w:rPr>
            </w:pPr>
            <w:r>
              <w:rPr>
                <w:noProof/>
                <w:sz w:val="20"/>
                <w:szCs w:val="20"/>
              </w:rPr>
              <w:t>Other aid</w:t>
            </w:r>
          </w:p>
        </w:tc>
        <w:tc>
          <w:tcPr>
            <w:tcW w:w="1260" w:type="dxa"/>
            <w:noWrap/>
            <w:vAlign w:val="bottom"/>
          </w:tcPr>
          <w:p>
            <w:pPr>
              <w:spacing w:before="120" w:after="120"/>
              <w:jc w:val="center"/>
              <w:rPr>
                <w:noProof/>
                <w:sz w:val="20"/>
                <w:szCs w:val="20"/>
              </w:rPr>
            </w:pPr>
            <w:r>
              <w:rPr>
                <w:noProof/>
                <w:sz w:val="20"/>
                <w:szCs w:val="20"/>
              </w:rPr>
              <w:t>10.7</w:t>
            </w:r>
          </w:p>
        </w:tc>
        <w:tc>
          <w:tcPr>
            <w:tcW w:w="1260" w:type="dxa"/>
            <w:noWrap/>
            <w:vAlign w:val="bottom"/>
          </w:tcPr>
          <w:p>
            <w:pPr>
              <w:spacing w:before="120" w:after="120"/>
              <w:jc w:val="center"/>
              <w:rPr>
                <w:noProof/>
                <w:sz w:val="20"/>
                <w:szCs w:val="20"/>
              </w:rPr>
            </w:pPr>
            <w:r>
              <w:rPr>
                <w:noProof/>
                <w:sz w:val="20"/>
                <w:szCs w:val="20"/>
              </w:rPr>
              <w:t>12</w:t>
            </w:r>
          </w:p>
        </w:tc>
        <w:tc>
          <w:tcPr>
            <w:tcW w:w="1260" w:type="dxa"/>
            <w:noWrap/>
            <w:vAlign w:val="bottom"/>
          </w:tcPr>
          <w:p>
            <w:pPr>
              <w:spacing w:before="120" w:after="120"/>
              <w:jc w:val="center"/>
              <w:rPr>
                <w:noProof/>
                <w:sz w:val="20"/>
                <w:szCs w:val="20"/>
              </w:rPr>
            </w:pPr>
            <w:r>
              <w:rPr>
                <w:noProof/>
                <w:sz w:val="20"/>
                <w:szCs w:val="20"/>
              </w:rPr>
              <w:t>14.1</w:t>
            </w:r>
          </w:p>
        </w:tc>
        <w:tc>
          <w:tcPr>
            <w:tcW w:w="1260" w:type="dxa"/>
            <w:noWrap/>
            <w:vAlign w:val="bottom"/>
          </w:tcPr>
          <w:p>
            <w:pPr>
              <w:spacing w:before="120" w:after="120"/>
              <w:jc w:val="center"/>
              <w:rPr>
                <w:noProof/>
                <w:sz w:val="20"/>
                <w:szCs w:val="20"/>
              </w:rPr>
            </w:pPr>
            <w:r>
              <w:rPr>
                <w:noProof/>
                <w:sz w:val="20"/>
                <w:szCs w:val="20"/>
              </w:rPr>
              <w:t>15.5</w:t>
            </w:r>
          </w:p>
        </w:tc>
        <w:tc>
          <w:tcPr>
            <w:tcW w:w="1260" w:type="dxa"/>
            <w:noWrap/>
            <w:vAlign w:val="bottom"/>
          </w:tcPr>
          <w:p>
            <w:pPr>
              <w:spacing w:before="120" w:after="120"/>
              <w:jc w:val="center"/>
              <w:rPr>
                <w:noProof/>
                <w:sz w:val="20"/>
                <w:szCs w:val="20"/>
              </w:rPr>
            </w:pPr>
            <w:r>
              <w:rPr>
                <w:noProof/>
                <w:sz w:val="20"/>
                <w:szCs w:val="20"/>
              </w:rPr>
              <w:t>14.7</w:t>
            </w:r>
          </w:p>
        </w:tc>
      </w:tr>
      <w:tr>
        <w:tc>
          <w:tcPr>
            <w:tcW w:w="2710" w:type="dxa"/>
            <w:noWrap/>
            <w:vAlign w:val="bottom"/>
          </w:tcPr>
          <w:p>
            <w:pPr>
              <w:spacing w:before="120" w:after="120"/>
              <w:rPr>
                <w:b/>
                <w:noProof/>
                <w:sz w:val="20"/>
                <w:szCs w:val="20"/>
              </w:rPr>
            </w:pPr>
            <w:r>
              <w:rPr>
                <w:b/>
                <w:noProof/>
                <w:sz w:val="20"/>
                <w:szCs w:val="20"/>
              </w:rPr>
              <w:t>Total</w:t>
            </w:r>
          </w:p>
        </w:tc>
        <w:tc>
          <w:tcPr>
            <w:tcW w:w="1260" w:type="dxa"/>
            <w:noWrap/>
            <w:vAlign w:val="bottom"/>
          </w:tcPr>
          <w:p>
            <w:pPr>
              <w:spacing w:before="120" w:after="120"/>
              <w:jc w:val="center"/>
              <w:rPr>
                <w:b/>
                <w:noProof/>
                <w:sz w:val="20"/>
                <w:szCs w:val="20"/>
              </w:rPr>
            </w:pPr>
            <w:r>
              <w:rPr>
                <w:b/>
                <w:noProof/>
                <w:sz w:val="20"/>
                <w:szCs w:val="20"/>
              </w:rPr>
              <w:t>336.1</w:t>
            </w:r>
          </w:p>
        </w:tc>
        <w:tc>
          <w:tcPr>
            <w:tcW w:w="1260" w:type="dxa"/>
            <w:noWrap/>
            <w:vAlign w:val="bottom"/>
          </w:tcPr>
          <w:p>
            <w:pPr>
              <w:spacing w:before="120" w:after="120"/>
              <w:jc w:val="center"/>
              <w:rPr>
                <w:b/>
                <w:noProof/>
                <w:sz w:val="20"/>
                <w:szCs w:val="20"/>
              </w:rPr>
            </w:pPr>
            <w:r>
              <w:rPr>
                <w:b/>
                <w:noProof/>
                <w:sz w:val="20"/>
                <w:szCs w:val="20"/>
              </w:rPr>
              <w:t>329</w:t>
            </w:r>
          </w:p>
        </w:tc>
        <w:tc>
          <w:tcPr>
            <w:tcW w:w="1260" w:type="dxa"/>
            <w:noWrap/>
            <w:vAlign w:val="bottom"/>
          </w:tcPr>
          <w:p>
            <w:pPr>
              <w:spacing w:before="120" w:after="120"/>
              <w:jc w:val="center"/>
              <w:rPr>
                <w:b/>
                <w:noProof/>
                <w:sz w:val="20"/>
                <w:szCs w:val="20"/>
              </w:rPr>
            </w:pPr>
            <w:r>
              <w:rPr>
                <w:b/>
                <w:noProof/>
                <w:sz w:val="20"/>
                <w:szCs w:val="20"/>
              </w:rPr>
              <w:t>322.8</w:t>
            </w:r>
          </w:p>
        </w:tc>
        <w:tc>
          <w:tcPr>
            <w:tcW w:w="1260" w:type="dxa"/>
            <w:noWrap/>
            <w:vAlign w:val="bottom"/>
          </w:tcPr>
          <w:p>
            <w:pPr>
              <w:spacing w:before="120" w:after="120"/>
              <w:jc w:val="center"/>
              <w:rPr>
                <w:b/>
                <w:noProof/>
                <w:sz w:val="20"/>
                <w:szCs w:val="20"/>
              </w:rPr>
            </w:pPr>
            <w:r>
              <w:rPr>
                <w:b/>
                <w:noProof/>
                <w:sz w:val="20"/>
                <w:szCs w:val="20"/>
              </w:rPr>
              <w:t>329.1</w:t>
            </w:r>
          </w:p>
        </w:tc>
        <w:tc>
          <w:tcPr>
            <w:tcW w:w="1260" w:type="dxa"/>
            <w:noWrap/>
            <w:vAlign w:val="bottom"/>
          </w:tcPr>
          <w:p>
            <w:pPr>
              <w:spacing w:before="120" w:after="120"/>
              <w:jc w:val="center"/>
              <w:rPr>
                <w:b/>
                <w:noProof/>
                <w:sz w:val="20"/>
                <w:szCs w:val="20"/>
              </w:rPr>
            </w:pPr>
            <w:r>
              <w:rPr>
                <w:b/>
                <w:noProof/>
                <w:sz w:val="20"/>
                <w:szCs w:val="20"/>
              </w:rPr>
              <w:t>310.1</w:t>
            </w:r>
          </w:p>
        </w:tc>
      </w:tr>
    </w:tbl>
    <w:p>
      <w:pPr>
        <w:spacing w:before="120" w:after="120"/>
        <w:jc w:val="both"/>
        <w:rPr>
          <w:noProof/>
        </w:rPr>
      </w:pPr>
    </w:p>
    <w:p>
      <w:pPr>
        <w:spacing w:before="120" w:after="120"/>
        <w:jc w:val="both"/>
        <w:rPr>
          <w:noProof/>
        </w:rPr>
      </w:pPr>
      <w:r>
        <w:rPr>
          <w:noProof/>
        </w:rPr>
        <w:t>Apart from an excess payment of EUR 0.6 million in 2014 in the category "other aid", the annual Nordic aid granted in Finland respected the maximum levels set in the Decisions. It should be noted, that for those sectors where total production exceeded the authorised number of eligible production factors, a pro-rata reduction of aid per unit of production factor was applied in order to respect the financial ceiling authorised by the Decision. As for the excess payment in the category "other aid", an unforeseen increase in compensations for the damage done by predators from EUR 6.83 Million (2013) to EUR 8 Million (2014) has been identified as the cause. In 2015 such compensations were removed from the scope of the Nordic aid decision.</w:t>
      </w:r>
    </w:p>
    <w:p>
      <w:pPr>
        <w:spacing w:before="120" w:after="120"/>
        <w:rPr>
          <w:i/>
          <w:noProof/>
        </w:rPr>
      </w:pPr>
      <w:r>
        <w:rPr>
          <w:i/>
          <w:noProof/>
        </w:rPr>
        <w:t>Total support in the Nordic aid area</w:t>
      </w:r>
    </w:p>
    <w:p>
      <w:pPr>
        <w:spacing w:before="120" w:after="120"/>
        <w:jc w:val="both"/>
        <w:rPr>
          <w:noProof/>
        </w:rPr>
      </w:pPr>
      <w:r>
        <w:rPr>
          <w:noProof/>
        </w:rPr>
        <w:t>Agriculture in the support areas in the Aid scheme benefits also from instruments financed by the EU, notably the two pillars under the CAP. Of the second pillar measures, support for less-favoured areas (LFA, since 2014 ANC) and agri-environmental (AE) measures are of particular importance for the agricultural sector in the support areas. Decision C 2000/405</w:t>
      </w:r>
      <w:r>
        <w:rPr>
          <w:rStyle w:val="FootnoteReference"/>
          <w:noProof/>
        </w:rPr>
        <w:footnoteReference w:id="7"/>
      </w:r>
      <w:r>
        <w:rPr>
          <w:noProof/>
        </w:rPr>
        <w:t xml:space="preserve"> fixed the maximum ceiling of total annual support in the Aid area at EUR 1118.9 million (1993 level). Table 3 shows that aid disbursed in the Aid area in the years 2011-2015 according to the legal basis used, respected the maximum ceiling set in the Decision. </w:t>
      </w:r>
    </w:p>
    <w:p>
      <w:pPr>
        <w:rPr>
          <w:noProof/>
        </w:rPr>
      </w:pPr>
      <w:r>
        <w:rPr>
          <w:noProof/>
        </w:rPr>
        <w:br w:type="page"/>
      </w:r>
    </w:p>
    <w:p>
      <w:pPr>
        <w:spacing w:before="120" w:after="120"/>
        <w:jc w:val="center"/>
        <w:rPr>
          <w:b/>
          <w:noProof/>
          <w:sz w:val="22"/>
        </w:rPr>
      </w:pPr>
      <w:r>
        <w:rPr>
          <w:b/>
          <w:noProof/>
        </w:rPr>
        <w:t>Table 3: Summary of the total annual aid disbursed in Finland, including EU aid (mEUR)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134"/>
        <w:gridCol w:w="1276"/>
        <w:gridCol w:w="992"/>
      </w:tblGrid>
      <w:tr>
        <w:tc>
          <w:tcPr>
            <w:tcW w:w="1548" w:type="dxa"/>
            <w:shd w:val="clear" w:color="auto" w:fill="auto"/>
          </w:tcPr>
          <w:p>
            <w:pPr>
              <w:spacing w:before="120" w:after="120"/>
              <w:rPr>
                <w:b/>
                <w:noProof/>
                <w:sz w:val="20"/>
                <w:szCs w:val="20"/>
              </w:rPr>
            </w:pPr>
            <w:r>
              <w:rPr>
                <w:b/>
                <w:noProof/>
                <w:sz w:val="20"/>
                <w:szCs w:val="20"/>
              </w:rPr>
              <w:t>Year</w:t>
            </w:r>
          </w:p>
        </w:tc>
        <w:tc>
          <w:tcPr>
            <w:tcW w:w="1548" w:type="dxa"/>
            <w:shd w:val="clear" w:color="auto" w:fill="auto"/>
          </w:tcPr>
          <w:p>
            <w:pPr>
              <w:spacing w:before="120" w:after="120"/>
              <w:rPr>
                <w:b/>
                <w:noProof/>
                <w:sz w:val="20"/>
                <w:szCs w:val="20"/>
              </w:rPr>
            </w:pPr>
            <w:r>
              <w:rPr>
                <w:b/>
                <w:noProof/>
                <w:sz w:val="20"/>
                <w:szCs w:val="20"/>
              </w:rPr>
              <w:t xml:space="preserve">Direct aid, fully EU financed </w:t>
            </w:r>
          </w:p>
        </w:tc>
        <w:tc>
          <w:tcPr>
            <w:tcW w:w="1548" w:type="dxa"/>
            <w:shd w:val="clear" w:color="auto" w:fill="auto"/>
          </w:tcPr>
          <w:p>
            <w:pPr>
              <w:spacing w:before="120" w:after="120"/>
              <w:rPr>
                <w:b/>
                <w:noProof/>
                <w:sz w:val="20"/>
                <w:szCs w:val="20"/>
              </w:rPr>
            </w:pPr>
            <w:r>
              <w:rPr>
                <w:b/>
                <w:noProof/>
                <w:sz w:val="20"/>
                <w:szCs w:val="20"/>
              </w:rPr>
              <w:t>LFA (ANC), including national aid under State aid rules</w:t>
            </w:r>
          </w:p>
        </w:tc>
        <w:tc>
          <w:tcPr>
            <w:tcW w:w="1134" w:type="dxa"/>
            <w:shd w:val="clear" w:color="auto" w:fill="auto"/>
          </w:tcPr>
          <w:p>
            <w:pPr>
              <w:spacing w:before="120" w:after="120"/>
              <w:rPr>
                <w:b/>
                <w:noProof/>
                <w:sz w:val="20"/>
                <w:szCs w:val="20"/>
              </w:rPr>
            </w:pPr>
            <w:r>
              <w:rPr>
                <w:b/>
                <w:noProof/>
                <w:sz w:val="20"/>
                <w:szCs w:val="20"/>
              </w:rPr>
              <w:t>AE- support</w:t>
            </w:r>
          </w:p>
        </w:tc>
        <w:tc>
          <w:tcPr>
            <w:tcW w:w="1276" w:type="dxa"/>
            <w:shd w:val="clear" w:color="auto" w:fill="auto"/>
          </w:tcPr>
          <w:p>
            <w:pPr>
              <w:spacing w:before="120" w:after="120"/>
              <w:rPr>
                <w:b/>
                <w:noProof/>
                <w:sz w:val="20"/>
                <w:szCs w:val="20"/>
              </w:rPr>
            </w:pPr>
            <w:r>
              <w:rPr>
                <w:b/>
                <w:noProof/>
                <w:sz w:val="20"/>
                <w:szCs w:val="20"/>
              </w:rPr>
              <w:t>Nordic aid</w:t>
            </w:r>
          </w:p>
        </w:tc>
        <w:tc>
          <w:tcPr>
            <w:tcW w:w="992" w:type="dxa"/>
            <w:shd w:val="clear" w:color="auto" w:fill="auto"/>
          </w:tcPr>
          <w:p>
            <w:pPr>
              <w:spacing w:before="120" w:after="120"/>
              <w:rPr>
                <w:b/>
                <w:noProof/>
                <w:sz w:val="20"/>
                <w:szCs w:val="20"/>
              </w:rPr>
            </w:pPr>
            <w:r>
              <w:rPr>
                <w:b/>
                <w:noProof/>
                <w:sz w:val="20"/>
                <w:szCs w:val="20"/>
              </w:rPr>
              <w:t>Total</w:t>
            </w:r>
          </w:p>
        </w:tc>
      </w:tr>
      <w:tr>
        <w:tc>
          <w:tcPr>
            <w:tcW w:w="1548" w:type="dxa"/>
            <w:shd w:val="clear" w:color="auto" w:fill="auto"/>
          </w:tcPr>
          <w:p>
            <w:pPr>
              <w:spacing w:before="120" w:after="120"/>
              <w:jc w:val="center"/>
              <w:rPr>
                <w:noProof/>
                <w:sz w:val="20"/>
                <w:szCs w:val="20"/>
              </w:rPr>
            </w:pPr>
            <w:r>
              <w:rPr>
                <w:noProof/>
                <w:sz w:val="20"/>
                <w:szCs w:val="20"/>
              </w:rPr>
              <w:t>2011</w:t>
            </w:r>
          </w:p>
        </w:tc>
        <w:tc>
          <w:tcPr>
            <w:tcW w:w="1548" w:type="dxa"/>
            <w:shd w:val="clear" w:color="auto" w:fill="auto"/>
          </w:tcPr>
          <w:p>
            <w:pPr>
              <w:spacing w:before="120" w:after="120"/>
              <w:jc w:val="center"/>
              <w:rPr>
                <w:noProof/>
                <w:sz w:val="20"/>
                <w:szCs w:val="20"/>
              </w:rPr>
            </w:pPr>
            <w:r>
              <w:rPr>
                <w:noProof/>
                <w:sz w:val="20"/>
                <w:szCs w:val="20"/>
              </w:rPr>
              <w:t>274.2</w:t>
            </w:r>
          </w:p>
        </w:tc>
        <w:tc>
          <w:tcPr>
            <w:tcW w:w="1548" w:type="dxa"/>
            <w:shd w:val="clear" w:color="auto" w:fill="auto"/>
          </w:tcPr>
          <w:p>
            <w:pPr>
              <w:spacing w:before="120" w:after="120"/>
              <w:jc w:val="center"/>
              <w:rPr>
                <w:noProof/>
                <w:sz w:val="20"/>
                <w:szCs w:val="20"/>
              </w:rPr>
            </w:pPr>
            <w:r>
              <w:rPr>
                <w:noProof/>
                <w:sz w:val="20"/>
                <w:szCs w:val="20"/>
              </w:rPr>
              <w:t>311.5</w:t>
            </w:r>
          </w:p>
        </w:tc>
        <w:tc>
          <w:tcPr>
            <w:tcW w:w="1134" w:type="dxa"/>
            <w:shd w:val="clear" w:color="auto" w:fill="auto"/>
          </w:tcPr>
          <w:p>
            <w:pPr>
              <w:spacing w:before="120" w:after="120"/>
              <w:jc w:val="center"/>
              <w:rPr>
                <w:noProof/>
                <w:sz w:val="20"/>
                <w:szCs w:val="20"/>
              </w:rPr>
            </w:pPr>
            <w:r>
              <w:rPr>
                <w:noProof/>
                <w:sz w:val="20"/>
                <w:szCs w:val="20"/>
              </w:rPr>
              <w:t>177.3</w:t>
            </w:r>
          </w:p>
        </w:tc>
        <w:tc>
          <w:tcPr>
            <w:tcW w:w="1276" w:type="dxa"/>
            <w:shd w:val="clear" w:color="auto" w:fill="auto"/>
          </w:tcPr>
          <w:p>
            <w:pPr>
              <w:spacing w:before="120" w:after="120"/>
              <w:jc w:val="center"/>
              <w:rPr>
                <w:noProof/>
                <w:sz w:val="20"/>
                <w:szCs w:val="20"/>
              </w:rPr>
            </w:pPr>
            <w:r>
              <w:rPr>
                <w:noProof/>
                <w:sz w:val="20"/>
                <w:szCs w:val="20"/>
              </w:rPr>
              <w:t>336.1</w:t>
            </w:r>
          </w:p>
        </w:tc>
        <w:tc>
          <w:tcPr>
            <w:tcW w:w="992" w:type="dxa"/>
            <w:shd w:val="clear" w:color="auto" w:fill="auto"/>
          </w:tcPr>
          <w:p>
            <w:pPr>
              <w:spacing w:before="120" w:after="120"/>
              <w:jc w:val="center"/>
              <w:rPr>
                <w:noProof/>
                <w:sz w:val="20"/>
                <w:szCs w:val="20"/>
              </w:rPr>
            </w:pPr>
            <w:r>
              <w:rPr>
                <w:noProof/>
                <w:sz w:val="20"/>
                <w:szCs w:val="20"/>
              </w:rPr>
              <w:t>1099.1</w:t>
            </w:r>
          </w:p>
        </w:tc>
      </w:tr>
      <w:tr>
        <w:tc>
          <w:tcPr>
            <w:tcW w:w="1548" w:type="dxa"/>
            <w:shd w:val="clear" w:color="auto" w:fill="auto"/>
          </w:tcPr>
          <w:p>
            <w:pPr>
              <w:spacing w:before="120" w:after="120"/>
              <w:jc w:val="center"/>
              <w:rPr>
                <w:noProof/>
                <w:sz w:val="20"/>
                <w:szCs w:val="20"/>
              </w:rPr>
            </w:pPr>
            <w:r>
              <w:rPr>
                <w:noProof/>
                <w:sz w:val="20"/>
                <w:szCs w:val="20"/>
              </w:rPr>
              <w:t>2012</w:t>
            </w:r>
          </w:p>
        </w:tc>
        <w:tc>
          <w:tcPr>
            <w:tcW w:w="1548" w:type="dxa"/>
            <w:shd w:val="clear" w:color="auto" w:fill="auto"/>
          </w:tcPr>
          <w:p>
            <w:pPr>
              <w:spacing w:before="120" w:after="120"/>
              <w:jc w:val="center"/>
              <w:rPr>
                <w:noProof/>
                <w:sz w:val="20"/>
                <w:szCs w:val="20"/>
              </w:rPr>
            </w:pPr>
            <w:r>
              <w:rPr>
                <w:noProof/>
                <w:sz w:val="20"/>
                <w:szCs w:val="20"/>
              </w:rPr>
              <w:t>272.3</w:t>
            </w:r>
          </w:p>
        </w:tc>
        <w:tc>
          <w:tcPr>
            <w:tcW w:w="1548" w:type="dxa"/>
            <w:shd w:val="clear" w:color="auto" w:fill="auto"/>
          </w:tcPr>
          <w:p>
            <w:pPr>
              <w:spacing w:before="120" w:after="120"/>
              <w:jc w:val="center"/>
              <w:rPr>
                <w:noProof/>
                <w:sz w:val="20"/>
                <w:szCs w:val="20"/>
              </w:rPr>
            </w:pPr>
            <w:r>
              <w:rPr>
                <w:noProof/>
                <w:sz w:val="20"/>
                <w:szCs w:val="20"/>
              </w:rPr>
              <w:t>312.3</w:t>
            </w:r>
          </w:p>
        </w:tc>
        <w:tc>
          <w:tcPr>
            <w:tcW w:w="1134" w:type="dxa"/>
            <w:shd w:val="clear" w:color="auto" w:fill="auto"/>
          </w:tcPr>
          <w:p>
            <w:pPr>
              <w:spacing w:before="120" w:after="120"/>
              <w:jc w:val="center"/>
              <w:rPr>
                <w:noProof/>
                <w:sz w:val="20"/>
                <w:szCs w:val="20"/>
              </w:rPr>
            </w:pPr>
            <w:r>
              <w:rPr>
                <w:noProof/>
                <w:sz w:val="20"/>
                <w:szCs w:val="20"/>
              </w:rPr>
              <w:t>203.8</w:t>
            </w:r>
          </w:p>
        </w:tc>
        <w:tc>
          <w:tcPr>
            <w:tcW w:w="1276" w:type="dxa"/>
            <w:shd w:val="clear" w:color="auto" w:fill="auto"/>
          </w:tcPr>
          <w:p>
            <w:pPr>
              <w:spacing w:before="120" w:after="120"/>
              <w:rPr>
                <w:noProof/>
                <w:sz w:val="20"/>
                <w:szCs w:val="20"/>
              </w:rPr>
            </w:pPr>
            <w:r>
              <w:rPr>
                <w:noProof/>
                <w:sz w:val="20"/>
                <w:szCs w:val="20"/>
              </w:rPr>
              <w:t xml:space="preserve">      329.0</w:t>
            </w:r>
          </w:p>
        </w:tc>
        <w:tc>
          <w:tcPr>
            <w:tcW w:w="992" w:type="dxa"/>
            <w:shd w:val="clear" w:color="auto" w:fill="auto"/>
          </w:tcPr>
          <w:p>
            <w:pPr>
              <w:spacing w:before="120" w:after="120"/>
              <w:jc w:val="center"/>
              <w:rPr>
                <w:noProof/>
                <w:sz w:val="20"/>
                <w:szCs w:val="20"/>
              </w:rPr>
            </w:pPr>
            <w:r>
              <w:rPr>
                <w:noProof/>
                <w:sz w:val="20"/>
                <w:szCs w:val="20"/>
              </w:rPr>
              <w:t>1117.4</w:t>
            </w:r>
          </w:p>
        </w:tc>
      </w:tr>
      <w:tr>
        <w:tc>
          <w:tcPr>
            <w:tcW w:w="1548" w:type="dxa"/>
            <w:shd w:val="clear" w:color="auto" w:fill="auto"/>
          </w:tcPr>
          <w:p>
            <w:pPr>
              <w:spacing w:before="120" w:after="120"/>
              <w:jc w:val="center"/>
              <w:rPr>
                <w:noProof/>
                <w:sz w:val="20"/>
                <w:szCs w:val="20"/>
              </w:rPr>
            </w:pPr>
            <w:r>
              <w:rPr>
                <w:noProof/>
                <w:sz w:val="20"/>
                <w:szCs w:val="20"/>
              </w:rPr>
              <w:t>2013</w:t>
            </w:r>
          </w:p>
        </w:tc>
        <w:tc>
          <w:tcPr>
            <w:tcW w:w="1548" w:type="dxa"/>
            <w:shd w:val="clear" w:color="auto" w:fill="auto"/>
          </w:tcPr>
          <w:p>
            <w:pPr>
              <w:spacing w:before="120" w:after="120"/>
              <w:jc w:val="center"/>
              <w:rPr>
                <w:noProof/>
                <w:sz w:val="20"/>
                <w:szCs w:val="20"/>
              </w:rPr>
            </w:pPr>
            <w:r>
              <w:rPr>
                <w:noProof/>
                <w:sz w:val="20"/>
                <w:szCs w:val="20"/>
              </w:rPr>
              <w:t>258.9</w:t>
            </w:r>
          </w:p>
        </w:tc>
        <w:tc>
          <w:tcPr>
            <w:tcW w:w="1548" w:type="dxa"/>
            <w:shd w:val="clear" w:color="auto" w:fill="auto"/>
          </w:tcPr>
          <w:p>
            <w:pPr>
              <w:spacing w:before="120" w:after="120"/>
              <w:jc w:val="center"/>
              <w:rPr>
                <w:noProof/>
                <w:sz w:val="20"/>
                <w:szCs w:val="20"/>
              </w:rPr>
            </w:pPr>
            <w:r>
              <w:rPr>
                <w:noProof/>
                <w:sz w:val="20"/>
                <w:szCs w:val="20"/>
              </w:rPr>
              <w:t>311.3</w:t>
            </w:r>
          </w:p>
        </w:tc>
        <w:tc>
          <w:tcPr>
            <w:tcW w:w="1134" w:type="dxa"/>
            <w:shd w:val="clear" w:color="auto" w:fill="auto"/>
          </w:tcPr>
          <w:p>
            <w:pPr>
              <w:spacing w:before="120" w:after="120"/>
              <w:jc w:val="center"/>
              <w:rPr>
                <w:noProof/>
                <w:sz w:val="20"/>
                <w:szCs w:val="20"/>
              </w:rPr>
            </w:pPr>
            <w:r>
              <w:rPr>
                <w:noProof/>
                <w:sz w:val="20"/>
                <w:szCs w:val="20"/>
              </w:rPr>
              <w:t>193.2</w:t>
            </w:r>
          </w:p>
        </w:tc>
        <w:tc>
          <w:tcPr>
            <w:tcW w:w="1276" w:type="dxa"/>
            <w:shd w:val="clear" w:color="auto" w:fill="auto"/>
          </w:tcPr>
          <w:p>
            <w:pPr>
              <w:spacing w:before="120" w:after="120"/>
              <w:jc w:val="center"/>
              <w:rPr>
                <w:noProof/>
                <w:sz w:val="20"/>
                <w:szCs w:val="20"/>
              </w:rPr>
            </w:pPr>
            <w:r>
              <w:rPr>
                <w:noProof/>
                <w:sz w:val="20"/>
                <w:szCs w:val="20"/>
              </w:rPr>
              <w:t>322.8</w:t>
            </w:r>
          </w:p>
        </w:tc>
        <w:tc>
          <w:tcPr>
            <w:tcW w:w="992" w:type="dxa"/>
            <w:shd w:val="clear" w:color="auto" w:fill="auto"/>
          </w:tcPr>
          <w:p>
            <w:pPr>
              <w:spacing w:before="120" w:after="120"/>
              <w:jc w:val="center"/>
              <w:rPr>
                <w:noProof/>
                <w:sz w:val="20"/>
                <w:szCs w:val="20"/>
              </w:rPr>
            </w:pPr>
            <w:r>
              <w:rPr>
                <w:noProof/>
                <w:sz w:val="20"/>
                <w:szCs w:val="20"/>
              </w:rPr>
              <w:t>1086.2</w:t>
            </w:r>
          </w:p>
        </w:tc>
      </w:tr>
      <w:tr>
        <w:tc>
          <w:tcPr>
            <w:tcW w:w="1548" w:type="dxa"/>
            <w:shd w:val="clear" w:color="auto" w:fill="auto"/>
          </w:tcPr>
          <w:p>
            <w:pPr>
              <w:spacing w:before="120" w:after="120"/>
              <w:jc w:val="center"/>
              <w:rPr>
                <w:noProof/>
                <w:sz w:val="20"/>
                <w:szCs w:val="20"/>
              </w:rPr>
            </w:pPr>
            <w:r>
              <w:rPr>
                <w:noProof/>
                <w:sz w:val="20"/>
                <w:szCs w:val="20"/>
              </w:rPr>
              <w:t>2014</w:t>
            </w:r>
          </w:p>
        </w:tc>
        <w:tc>
          <w:tcPr>
            <w:tcW w:w="1548" w:type="dxa"/>
            <w:shd w:val="clear" w:color="auto" w:fill="auto"/>
          </w:tcPr>
          <w:p>
            <w:pPr>
              <w:spacing w:before="120" w:after="120"/>
              <w:jc w:val="center"/>
              <w:rPr>
                <w:noProof/>
                <w:sz w:val="20"/>
                <w:szCs w:val="20"/>
              </w:rPr>
            </w:pPr>
            <w:r>
              <w:rPr>
                <w:noProof/>
                <w:sz w:val="20"/>
                <w:szCs w:val="20"/>
              </w:rPr>
              <w:t>253.5</w:t>
            </w:r>
          </w:p>
        </w:tc>
        <w:tc>
          <w:tcPr>
            <w:tcW w:w="1548" w:type="dxa"/>
            <w:shd w:val="clear" w:color="auto" w:fill="auto"/>
          </w:tcPr>
          <w:p>
            <w:pPr>
              <w:spacing w:before="120" w:after="120"/>
              <w:jc w:val="center"/>
              <w:rPr>
                <w:noProof/>
                <w:sz w:val="20"/>
                <w:szCs w:val="20"/>
              </w:rPr>
            </w:pPr>
            <w:r>
              <w:rPr>
                <w:noProof/>
                <w:sz w:val="20"/>
                <w:szCs w:val="20"/>
              </w:rPr>
              <w:t>309.9</w:t>
            </w:r>
          </w:p>
        </w:tc>
        <w:tc>
          <w:tcPr>
            <w:tcW w:w="1134" w:type="dxa"/>
            <w:shd w:val="clear" w:color="auto" w:fill="auto"/>
          </w:tcPr>
          <w:p>
            <w:pPr>
              <w:spacing w:before="120" w:after="120"/>
              <w:jc w:val="center"/>
              <w:rPr>
                <w:noProof/>
                <w:sz w:val="20"/>
                <w:szCs w:val="20"/>
              </w:rPr>
            </w:pPr>
            <w:r>
              <w:rPr>
                <w:noProof/>
                <w:sz w:val="20"/>
                <w:szCs w:val="20"/>
              </w:rPr>
              <w:t>174.4</w:t>
            </w:r>
          </w:p>
        </w:tc>
        <w:tc>
          <w:tcPr>
            <w:tcW w:w="1276" w:type="dxa"/>
            <w:shd w:val="clear" w:color="auto" w:fill="auto"/>
          </w:tcPr>
          <w:p>
            <w:pPr>
              <w:spacing w:before="120" w:after="120"/>
              <w:jc w:val="center"/>
              <w:rPr>
                <w:noProof/>
                <w:sz w:val="20"/>
                <w:szCs w:val="20"/>
              </w:rPr>
            </w:pPr>
            <w:r>
              <w:rPr>
                <w:noProof/>
                <w:sz w:val="20"/>
                <w:szCs w:val="20"/>
              </w:rPr>
              <w:t>329.1</w:t>
            </w:r>
          </w:p>
        </w:tc>
        <w:tc>
          <w:tcPr>
            <w:tcW w:w="992" w:type="dxa"/>
            <w:shd w:val="clear" w:color="auto" w:fill="auto"/>
          </w:tcPr>
          <w:p>
            <w:pPr>
              <w:spacing w:before="120" w:after="120"/>
              <w:jc w:val="center"/>
              <w:rPr>
                <w:noProof/>
                <w:sz w:val="20"/>
                <w:szCs w:val="20"/>
              </w:rPr>
            </w:pPr>
            <w:r>
              <w:rPr>
                <w:noProof/>
                <w:sz w:val="20"/>
                <w:szCs w:val="20"/>
              </w:rPr>
              <w:t>1066.9</w:t>
            </w:r>
          </w:p>
        </w:tc>
      </w:tr>
      <w:tr>
        <w:tc>
          <w:tcPr>
            <w:tcW w:w="1548" w:type="dxa"/>
            <w:shd w:val="clear" w:color="auto" w:fill="auto"/>
          </w:tcPr>
          <w:p>
            <w:pPr>
              <w:spacing w:before="120" w:after="120"/>
              <w:jc w:val="center"/>
              <w:rPr>
                <w:noProof/>
                <w:sz w:val="20"/>
                <w:szCs w:val="20"/>
              </w:rPr>
            </w:pPr>
            <w:r>
              <w:rPr>
                <w:noProof/>
                <w:sz w:val="20"/>
                <w:szCs w:val="20"/>
              </w:rPr>
              <w:t>2015</w:t>
            </w:r>
          </w:p>
        </w:tc>
        <w:tc>
          <w:tcPr>
            <w:tcW w:w="1548" w:type="dxa"/>
            <w:shd w:val="clear" w:color="auto" w:fill="auto"/>
          </w:tcPr>
          <w:p>
            <w:pPr>
              <w:spacing w:before="120" w:after="120"/>
              <w:jc w:val="center"/>
              <w:rPr>
                <w:noProof/>
                <w:sz w:val="20"/>
                <w:szCs w:val="20"/>
              </w:rPr>
            </w:pPr>
            <w:r>
              <w:rPr>
                <w:noProof/>
                <w:sz w:val="20"/>
                <w:szCs w:val="20"/>
              </w:rPr>
              <w:t>212.7</w:t>
            </w:r>
          </w:p>
        </w:tc>
        <w:tc>
          <w:tcPr>
            <w:tcW w:w="1548" w:type="dxa"/>
            <w:shd w:val="clear" w:color="auto" w:fill="auto"/>
          </w:tcPr>
          <w:p>
            <w:pPr>
              <w:spacing w:before="120" w:after="120"/>
              <w:jc w:val="center"/>
              <w:rPr>
                <w:noProof/>
                <w:sz w:val="20"/>
                <w:szCs w:val="20"/>
              </w:rPr>
            </w:pPr>
            <w:r>
              <w:rPr>
                <w:noProof/>
                <w:sz w:val="20"/>
                <w:szCs w:val="20"/>
              </w:rPr>
              <w:t>276.5</w:t>
            </w:r>
          </w:p>
        </w:tc>
        <w:tc>
          <w:tcPr>
            <w:tcW w:w="1134" w:type="dxa"/>
            <w:shd w:val="clear" w:color="auto" w:fill="auto"/>
          </w:tcPr>
          <w:p>
            <w:pPr>
              <w:spacing w:before="120" w:after="120"/>
              <w:jc w:val="center"/>
              <w:rPr>
                <w:noProof/>
                <w:sz w:val="20"/>
                <w:szCs w:val="20"/>
              </w:rPr>
            </w:pPr>
            <w:r>
              <w:rPr>
                <w:noProof/>
                <w:sz w:val="20"/>
                <w:szCs w:val="20"/>
              </w:rPr>
              <w:t>146.7</w:t>
            </w:r>
          </w:p>
        </w:tc>
        <w:tc>
          <w:tcPr>
            <w:tcW w:w="1276" w:type="dxa"/>
            <w:shd w:val="clear" w:color="auto" w:fill="auto"/>
          </w:tcPr>
          <w:p>
            <w:pPr>
              <w:spacing w:before="120" w:after="120"/>
              <w:jc w:val="center"/>
              <w:rPr>
                <w:noProof/>
                <w:sz w:val="20"/>
                <w:szCs w:val="20"/>
              </w:rPr>
            </w:pPr>
            <w:r>
              <w:rPr>
                <w:noProof/>
                <w:sz w:val="20"/>
                <w:szCs w:val="20"/>
              </w:rPr>
              <w:t>310.1</w:t>
            </w:r>
          </w:p>
        </w:tc>
        <w:tc>
          <w:tcPr>
            <w:tcW w:w="992" w:type="dxa"/>
            <w:shd w:val="clear" w:color="auto" w:fill="auto"/>
          </w:tcPr>
          <w:p>
            <w:pPr>
              <w:spacing w:before="120" w:after="120"/>
              <w:jc w:val="center"/>
              <w:rPr>
                <w:noProof/>
                <w:sz w:val="20"/>
                <w:szCs w:val="20"/>
              </w:rPr>
            </w:pPr>
            <w:r>
              <w:rPr>
                <w:noProof/>
                <w:sz w:val="20"/>
                <w:szCs w:val="20"/>
              </w:rPr>
              <w:t xml:space="preserve">  946.0</w:t>
            </w:r>
          </w:p>
        </w:tc>
      </w:tr>
    </w:tbl>
    <w:p>
      <w:pPr>
        <w:keepNext/>
        <w:tabs>
          <w:tab w:val="left" w:pos="850"/>
        </w:tabs>
        <w:spacing w:before="360" w:after="120"/>
        <w:outlineLvl w:val="1"/>
        <w:rPr>
          <w:b/>
          <w:noProof/>
        </w:rPr>
      </w:pPr>
      <w:bookmarkStart w:id="22" w:name="_Toc327522989"/>
      <w:bookmarkStart w:id="23" w:name="_Toc468978085"/>
      <w:r>
        <w:rPr>
          <w:b/>
          <w:noProof/>
        </w:rPr>
        <w:t>4.3.</w:t>
      </w:r>
      <w:r>
        <w:rPr>
          <w:b/>
          <w:noProof/>
        </w:rPr>
        <w:tab/>
        <w:t>Production volumes in the Nordic aid area</w:t>
      </w:r>
      <w:bookmarkEnd w:id="22"/>
      <w:bookmarkEnd w:id="23"/>
    </w:p>
    <w:p>
      <w:pPr>
        <w:spacing w:before="120" w:after="120"/>
        <w:rPr>
          <w:i/>
          <w:noProof/>
        </w:rPr>
      </w:pPr>
      <w:r>
        <w:rPr>
          <w:i/>
          <w:noProof/>
        </w:rPr>
        <w:t>Milk sector</w:t>
      </w:r>
    </w:p>
    <w:p>
      <w:pPr>
        <w:spacing w:before="120" w:after="120"/>
        <w:jc w:val="both"/>
        <w:rPr>
          <w:noProof/>
        </w:rPr>
      </w:pPr>
      <w:r>
        <w:rPr>
          <w:noProof/>
        </w:rPr>
        <w:t xml:space="preserve">Almost 80% of the Finnish milk is produced in the Aid area (2014 data). The production is concentrated in the C2 area. </w:t>
      </w:r>
    </w:p>
    <w:p>
      <w:pPr>
        <w:spacing w:before="120" w:after="120"/>
        <w:jc w:val="both"/>
        <w:rPr>
          <w:noProof/>
        </w:rPr>
      </w:pPr>
      <w:r>
        <w:rPr>
          <w:noProof/>
        </w:rPr>
        <w:t xml:space="preserve">During the five-year period, the milk production grew 4% in the Nordic aid area. In other areas of Finland the production declined 1.5%. The production was highest in the 2014/2015 and lowest in the 2012/2013 marketing year (1 874.2 vs. 1 774.5 thousand tonnes). Production exceeded the set reference level in all marketing years except 2012/2013. The excess in 2014/2015 was in the order of 5.5%. </w:t>
      </w:r>
    </w:p>
    <w:p>
      <w:pPr>
        <w:spacing w:before="120" w:after="120"/>
        <w:rPr>
          <w:i/>
          <w:noProof/>
        </w:rPr>
      </w:pPr>
      <w:r>
        <w:rPr>
          <w:i/>
          <w:noProof/>
        </w:rPr>
        <w:t>Ruminants</w:t>
      </w:r>
    </w:p>
    <w:p>
      <w:pPr>
        <w:spacing w:before="120" w:after="120"/>
        <w:jc w:val="both"/>
        <w:rPr>
          <w:noProof/>
        </w:rPr>
      </w:pPr>
      <w:r>
        <w:rPr>
          <w:noProof/>
        </w:rPr>
        <w:t xml:space="preserve">The revised Decision of 2009 authorising the aid grouped together the production factors for bovines, ewes, she-goats, and horses. </w:t>
      </w:r>
    </w:p>
    <w:p>
      <w:pPr>
        <w:spacing w:before="120" w:after="120"/>
        <w:jc w:val="both"/>
        <w:rPr>
          <w:noProof/>
        </w:rPr>
      </w:pPr>
      <w:r>
        <w:rPr>
          <w:noProof/>
        </w:rPr>
        <w:t>Beef production decreased in 2012 and 2013 in all Nordic aid areas and the decline continued in the northernmost areas in 2014, while it increased slightlyin areas C1 and C2 in 2014 and in all areas in 2015. The 2015 level was higher than in 2011 level in all parts of the country. Of the national beef production of 85.8 million kg (2015) 68.5 million kg was in the Aid area, in particular in the area C2 due to the close relationship between milk and beef production. The overall ruminant production stayed below the maximum eligible number of production factors (livestock units) throughout the reporting period.</w:t>
      </w:r>
    </w:p>
    <w:p>
      <w:pPr>
        <w:spacing w:before="120" w:after="120"/>
        <w:rPr>
          <w:i/>
          <w:noProof/>
        </w:rPr>
      </w:pPr>
      <w:r>
        <w:rPr>
          <w:i/>
          <w:noProof/>
        </w:rPr>
        <w:t>Pigs and poultry</w:t>
      </w:r>
    </w:p>
    <w:p>
      <w:pPr>
        <w:spacing w:before="120" w:after="120"/>
        <w:jc w:val="both"/>
        <w:rPr>
          <w:noProof/>
        </w:rPr>
      </w:pPr>
      <w:r>
        <w:rPr>
          <w:noProof/>
        </w:rPr>
        <w:t xml:space="preserve">Pig production decreased from 93.6 to 87.7 million kg between 2011 and 2014 and was under the 2005 levels. In the rest of the country the drop in production was somewhat bigger. About 70% of the pork meat production takes place in cereal producing areas in the most southern Aid sub-regions (C1), where also the poultry production is concentrated. The production of poultry meat has grown constantly, from 34.9 to 43.9 million kg from 2011- 2014. The growth rate has been higher than outside the Aid area. The Aid to this group was decoupled from production as of 2009 at reference quantity of 139 200 LU. This level was not exceeded in the 2011-2015 period. </w:t>
      </w:r>
    </w:p>
    <w:p>
      <w:pPr>
        <w:keepNext/>
        <w:spacing w:before="120" w:after="120"/>
        <w:rPr>
          <w:i/>
          <w:noProof/>
        </w:rPr>
      </w:pPr>
      <w:r>
        <w:rPr>
          <w:i/>
          <w:noProof/>
        </w:rPr>
        <w:t>Horticulture</w:t>
      </w:r>
    </w:p>
    <w:p>
      <w:pPr>
        <w:spacing w:before="120" w:after="120"/>
        <w:jc w:val="both"/>
        <w:rPr>
          <w:noProof/>
        </w:rPr>
      </w:pPr>
      <w:r>
        <w:rPr>
          <w:noProof/>
        </w:rPr>
        <w:t xml:space="preserve">The Aid for horticulture is granted towards glasshouse production and storage of horticultural products. The production is concentrated in the C1 area (ca 74% of the total production). It declined from ca 202 ha to 194 ha in the 2011-2015 period. Outside the Aid area the production declined somewhat more. The annual reference level for horticulture production in the Aid area was not exceeded. </w:t>
      </w:r>
    </w:p>
    <w:p>
      <w:pPr>
        <w:spacing w:before="120" w:after="120"/>
        <w:rPr>
          <w:i/>
          <w:noProof/>
        </w:rPr>
      </w:pPr>
      <w:r>
        <w:rPr>
          <w:i/>
          <w:noProof/>
        </w:rPr>
        <w:t>Crop production</w:t>
      </w:r>
    </w:p>
    <w:p>
      <w:pPr>
        <w:spacing w:before="120" w:after="120"/>
        <w:jc w:val="both"/>
        <w:rPr>
          <w:noProof/>
        </w:rPr>
      </w:pPr>
      <w:r>
        <w:rPr>
          <w:noProof/>
        </w:rPr>
        <w:t xml:space="preserve">The Aid for crop production comprises "general hectare based aid", "young farmers' aid", and "aid for certain crops", as defined in the Decision. As regards "general hectare based aid", the UAA supported in the Aid region has remained stable during this five-year period (630 000-640 000 ha), although the reduction in UAA compared with pre-accession reference level has been substantial (30%). For "young farmers' aid" there is no maximum level of eligible production factors set in the Decision and no comparison can be made. The area of "certain crops" exceeded the maximum number of eligible hectares by between ca 15% and 45% throughout the 2011-2015 period. The excess production was mostly due to changes in the market situation, in particular increased demand for protein crops, as well as to the exceptionally good wheat crops in 2011, 2014 and 2015. </w:t>
      </w:r>
    </w:p>
    <w:p>
      <w:pPr>
        <w:spacing w:before="120" w:after="120"/>
        <w:rPr>
          <w:i/>
          <w:noProof/>
        </w:rPr>
      </w:pPr>
      <w:r>
        <w:rPr>
          <w:i/>
          <w:noProof/>
        </w:rPr>
        <w:t>Other aid</w:t>
      </w:r>
    </w:p>
    <w:p>
      <w:pPr>
        <w:spacing w:before="120" w:after="120"/>
        <w:jc w:val="both"/>
        <w:rPr>
          <w:noProof/>
        </w:rPr>
      </w:pPr>
      <w:r>
        <w:rPr>
          <w:noProof/>
        </w:rPr>
        <w:t>Reindeer production was ca 156 000 animals in 2011 and almost 157 000 animals in 2015 after significant drops in the number of animals in 2013 and 2014. The maximum number of eligible production factors set in the Decision was not exceeded. The remaining part of the other aids is not directly linked to production.</w:t>
      </w:r>
    </w:p>
    <w:p>
      <w:pPr>
        <w:spacing w:before="120" w:after="120"/>
        <w:rPr>
          <w:i/>
          <w:noProof/>
        </w:rPr>
      </w:pPr>
      <w:r>
        <w:rPr>
          <w:i/>
          <w:noProof/>
        </w:rPr>
        <w:t>Conclusions related to production volumes</w:t>
      </w:r>
    </w:p>
    <w:p>
      <w:pPr>
        <w:spacing w:before="120" w:after="120"/>
        <w:jc w:val="both"/>
        <w:rPr>
          <w:noProof/>
        </w:rPr>
      </w:pPr>
      <w:r>
        <w:rPr>
          <w:noProof/>
        </w:rPr>
        <w:t>In conclusion, the total production of the supported sectors increased in the Aid area during the reporting period, exceeding the maximum number of eligible production factors for milk, and "certain crops". This production overrun was not significant nor systematic for milk, but substantial and persistent for "certain crops" throughout the reporting period. Finland took measures to reduce the incentive for the cultivation of certain crops by reducing the supported area from 58 575 ha in 2011 to ca 45 641 ha in 2013.</w:t>
      </w:r>
    </w:p>
    <w:p>
      <w:pPr>
        <w:keepNext/>
        <w:tabs>
          <w:tab w:val="left" w:pos="850"/>
        </w:tabs>
        <w:spacing w:before="360" w:after="120"/>
        <w:outlineLvl w:val="1"/>
        <w:rPr>
          <w:b/>
          <w:noProof/>
        </w:rPr>
      </w:pPr>
      <w:bookmarkStart w:id="24" w:name="_Toc327522990"/>
      <w:bookmarkStart w:id="25" w:name="_Toc468978086"/>
      <w:r>
        <w:rPr>
          <w:b/>
          <w:noProof/>
        </w:rPr>
        <w:t>4.4.</w:t>
      </w:r>
      <w:r>
        <w:rPr>
          <w:b/>
          <w:noProof/>
        </w:rPr>
        <w:tab/>
        <w:t>Development of the agricultural economy in the Nordic aid region</w:t>
      </w:r>
      <w:bookmarkEnd w:id="24"/>
      <w:bookmarkEnd w:id="25"/>
    </w:p>
    <w:p>
      <w:pPr>
        <w:spacing w:before="120" w:after="120"/>
        <w:jc w:val="both"/>
        <w:rPr>
          <w:noProof/>
        </w:rPr>
      </w:pPr>
      <w:r>
        <w:rPr>
          <w:noProof/>
        </w:rPr>
        <w:t xml:space="preserve">There were 52 775 farms in Finland in 2014 of which 57% in the Aid area; a drop of 11% from 2010 nationwide. The UAA remained more or less the same, while the number of ha/farm increased, indicating a structural adjustment. The structural development has been similar in all parts of the country, but in the northernmost areas the number of farms has decreased proportionally less than in other areas. </w:t>
      </w:r>
    </w:p>
    <w:p>
      <w:pPr>
        <w:spacing w:before="120" w:after="120"/>
        <w:jc w:val="both"/>
        <w:rPr>
          <w:noProof/>
        </w:rPr>
      </w:pPr>
      <w:r>
        <w:rPr>
          <w:noProof/>
        </w:rPr>
        <w:t>The number of horticultural farms has decreased proportionally the most (-35%) in Finland in the 2010-2014 period, followed by pigmeat farms (-31%) and milk farms (ca -25% in all areas except Nordic aid subregions C2 and C4, where the decrease was -18%). The number of beef producing farms and cereal farms was rather stable in particular in the Nordic aid region and the number of poultry farms has risen by 13%, in particular in the C-area.</w:t>
      </w:r>
    </w:p>
    <w:p>
      <w:pPr>
        <w:spacing w:before="120" w:after="120"/>
        <w:jc w:val="both"/>
        <w:rPr>
          <w:noProof/>
        </w:rPr>
      </w:pPr>
      <w:r>
        <w:rPr>
          <w:noProof/>
        </w:rPr>
        <w:t>The data on production and farm numbers appear to indicate that the production is preserved in the Nordic aid area, including the northenmost areas. An econometric analysis of milk production by the PTT research centre (Finland) has concluded that Nordic aid has been successful in maintaining milk production in the Nordic aid region.</w:t>
      </w:r>
    </w:p>
    <w:p>
      <w:pPr>
        <w:spacing w:before="120" w:after="120"/>
        <w:jc w:val="both"/>
        <w:rPr>
          <w:noProof/>
        </w:rPr>
      </w:pPr>
      <w:r>
        <w:rPr>
          <w:noProof/>
        </w:rPr>
        <w:t>The importance of Nordic aid of the total farm revenue varies among the sectors of production, being the highest in milk production (from 13% to 28%) and the lowest in cereal production (from 3% to 7%). The importance of the aid increases towards the north in all sectors.</w:t>
      </w:r>
    </w:p>
    <w:p>
      <w:pPr>
        <w:spacing w:before="120" w:after="120"/>
        <w:jc w:val="both"/>
        <w:rPr>
          <w:noProof/>
        </w:rPr>
      </w:pPr>
      <w:r>
        <w:rPr>
          <w:noProof/>
        </w:rPr>
        <w:t>The economic context has been very challenging throughout the country. The employment in agriculture has decreased in agriculture by 7.7% but less than the number of farms (-11%). Agricultural employment is proportionately much more important in the Nordic aid area than in the rest of Finland. For example in the C2 area the share of agriculture of the total employment is 10.2% whereas outside the Nordic aid area the corresponding figure is between 1.1 and 2.8%. The number of jobs in the food industry has increased in the Nordic aid area.</w:t>
      </w:r>
    </w:p>
    <w:p>
      <w:pPr>
        <w:spacing w:before="120" w:after="120"/>
        <w:jc w:val="both"/>
        <w:rPr>
          <w:b/>
          <w:smallCaps/>
          <w:noProof/>
        </w:rPr>
      </w:pPr>
      <w:r>
        <w:rPr>
          <w:noProof/>
        </w:rPr>
        <w:t xml:space="preserve">Continuation of agricultural production in the Aid area has maintained many environmental services and the open agricultural landscape, which is a scarcity in the region. This development contributes significantly to reducing erosion and the nutrient leach and has a positive effect on biodiversity. While total the grassland area has decreased in the Nordic aid area, the area used as grassland for more than five successive years has increased by 20%. This is in contrast with Southern Finland where such area has decreased by 40% during the same period. </w:t>
      </w:r>
      <w:bookmarkStart w:id="26" w:name="_Toc327522991"/>
      <w:bookmarkStart w:id="27" w:name="_Toc468978087"/>
      <w:r>
        <w:rPr>
          <w:b/>
          <w:smallCaps/>
          <w:noProof/>
        </w:rPr>
        <w:br w:type="page"/>
      </w:r>
    </w:p>
    <w:p>
      <w:pPr>
        <w:keepNext/>
        <w:tabs>
          <w:tab w:val="left" w:pos="850"/>
        </w:tabs>
        <w:spacing w:before="480" w:after="120"/>
        <w:outlineLvl w:val="0"/>
        <w:rPr>
          <w:b/>
          <w:smallCaps/>
          <w:noProof/>
        </w:rPr>
      </w:pPr>
      <w:r>
        <w:rPr>
          <w:b/>
          <w:smallCaps/>
          <w:noProof/>
        </w:rPr>
        <w:t>5.</w:t>
      </w:r>
      <w:r>
        <w:rPr>
          <w:b/>
          <w:smallCaps/>
          <w:noProof/>
        </w:rPr>
        <w:tab/>
        <w:t>NORDIC AID IN SWEDEN 2011-2015</w:t>
      </w:r>
      <w:bookmarkEnd w:id="26"/>
      <w:bookmarkEnd w:id="27"/>
    </w:p>
    <w:p>
      <w:pPr>
        <w:keepNext/>
        <w:tabs>
          <w:tab w:val="left" w:pos="850"/>
        </w:tabs>
        <w:spacing w:before="240" w:after="120"/>
        <w:outlineLvl w:val="1"/>
        <w:rPr>
          <w:b/>
          <w:noProof/>
        </w:rPr>
      </w:pPr>
      <w:bookmarkStart w:id="28" w:name="_Toc327522992"/>
      <w:bookmarkStart w:id="29" w:name="_Toc468978088"/>
      <w:r>
        <w:rPr>
          <w:b/>
          <w:noProof/>
        </w:rPr>
        <w:t>5.1.</w:t>
      </w:r>
      <w:r>
        <w:rPr>
          <w:b/>
          <w:noProof/>
        </w:rPr>
        <w:tab/>
        <w:t>Authorisations granted</w:t>
      </w:r>
      <w:bookmarkEnd w:id="28"/>
      <w:bookmarkEnd w:id="29"/>
    </w:p>
    <w:p>
      <w:pPr>
        <w:spacing w:before="120" w:after="120"/>
        <w:jc w:val="both"/>
        <w:rPr>
          <w:noProof/>
        </w:rPr>
      </w:pPr>
      <w:r>
        <w:rPr>
          <w:noProof/>
        </w:rPr>
        <w:t>As followed the previous five-year period Sweden was authorised to pay SEK 318.67 million/year (EUR 35.41 million). From the 1 July 2010, Decision C(2010)6050 authorises Sweden to pay aid as shown in Table 4 below.</w:t>
      </w:r>
    </w:p>
    <w:tbl>
      <w:tblPr>
        <w:tblpPr w:leftFromText="180" w:rightFromText="180" w:vertAnchor="page" w:horzAnchor="margin" w:tblpY="4161"/>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24"/>
        <w:gridCol w:w="706"/>
        <w:gridCol w:w="1136"/>
        <w:gridCol w:w="1134"/>
        <w:gridCol w:w="851"/>
        <w:gridCol w:w="1134"/>
        <w:gridCol w:w="1138"/>
        <w:gridCol w:w="2265"/>
      </w:tblGrid>
      <w:tr>
        <w:tc>
          <w:tcPr>
            <w:tcW w:w="620" w:type="pct"/>
            <w:shd w:val="clear" w:color="auto" w:fill="auto"/>
          </w:tcPr>
          <w:p>
            <w:pPr>
              <w:spacing w:before="120" w:after="120"/>
              <w:rPr>
                <w:noProof/>
                <w:sz w:val="20"/>
                <w:szCs w:val="20"/>
              </w:rPr>
            </w:pPr>
          </w:p>
        </w:tc>
        <w:tc>
          <w:tcPr>
            <w:tcW w:w="212" w:type="pct"/>
            <w:shd w:val="clear" w:color="auto" w:fill="auto"/>
          </w:tcPr>
          <w:p>
            <w:pPr>
              <w:spacing w:before="120" w:after="120"/>
              <w:rPr>
                <w:b/>
                <w:noProof/>
                <w:sz w:val="20"/>
                <w:szCs w:val="20"/>
              </w:rPr>
            </w:pPr>
          </w:p>
        </w:tc>
        <w:tc>
          <w:tcPr>
            <w:tcW w:w="918" w:type="pct"/>
            <w:gridSpan w:val="2"/>
            <w:shd w:val="clear" w:color="auto" w:fill="auto"/>
          </w:tcPr>
          <w:p>
            <w:pPr>
              <w:spacing w:before="120" w:after="120"/>
              <w:jc w:val="center"/>
              <w:rPr>
                <w:b/>
                <w:noProof/>
                <w:sz w:val="20"/>
                <w:szCs w:val="20"/>
              </w:rPr>
            </w:pPr>
            <w:r>
              <w:rPr>
                <w:b/>
                <w:noProof/>
                <w:sz w:val="20"/>
                <w:szCs w:val="20"/>
              </w:rPr>
              <w:t>Maximum average aid allowed/unit 1)</w:t>
            </w:r>
          </w:p>
        </w:tc>
        <w:tc>
          <w:tcPr>
            <w:tcW w:w="565" w:type="pct"/>
            <w:shd w:val="clear" w:color="auto" w:fill="auto"/>
          </w:tcPr>
          <w:p>
            <w:pPr>
              <w:spacing w:before="120" w:after="120"/>
              <w:jc w:val="center"/>
              <w:rPr>
                <w:b/>
                <w:noProof/>
                <w:sz w:val="20"/>
                <w:szCs w:val="20"/>
                <w:lang w:val="sv-SE"/>
              </w:rPr>
            </w:pPr>
            <w:r>
              <w:rPr>
                <w:b/>
                <w:noProof/>
                <w:sz w:val="20"/>
                <w:szCs w:val="20"/>
                <w:lang w:val="sv-SE"/>
              </w:rPr>
              <w:t>Unit</w:t>
            </w:r>
          </w:p>
        </w:tc>
        <w:tc>
          <w:tcPr>
            <w:tcW w:w="989" w:type="pct"/>
            <w:gridSpan w:val="2"/>
            <w:shd w:val="clear" w:color="auto" w:fill="auto"/>
          </w:tcPr>
          <w:p>
            <w:pPr>
              <w:spacing w:before="120" w:after="120"/>
              <w:rPr>
                <w:b/>
                <w:noProof/>
                <w:sz w:val="20"/>
                <w:szCs w:val="20"/>
              </w:rPr>
            </w:pPr>
            <w:r>
              <w:rPr>
                <w:b/>
                <w:noProof/>
                <w:sz w:val="20"/>
                <w:szCs w:val="20"/>
              </w:rPr>
              <w:t>Maximum aid allowed 2) (SEK million/year)</w:t>
            </w:r>
          </w:p>
        </w:tc>
        <w:tc>
          <w:tcPr>
            <w:tcW w:w="1696" w:type="pct"/>
            <w:gridSpan w:val="2"/>
            <w:shd w:val="clear" w:color="auto" w:fill="auto"/>
          </w:tcPr>
          <w:p>
            <w:pPr>
              <w:spacing w:before="120" w:after="120"/>
              <w:rPr>
                <w:b/>
                <w:noProof/>
                <w:sz w:val="20"/>
                <w:szCs w:val="20"/>
              </w:rPr>
            </w:pPr>
            <w:r>
              <w:rPr>
                <w:b/>
                <w:noProof/>
                <w:sz w:val="20"/>
                <w:szCs w:val="20"/>
              </w:rPr>
              <w:t>Maximum number of eligible production factors</w:t>
            </w:r>
          </w:p>
        </w:tc>
      </w:tr>
      <w:tr>
        <w:tc>
          <w:tcPr>
            <w:tcW w:w="620" w:type="pct"/>
            <w:shd w:val="clear" w:color="auto" w:fill="auto"/>
          </w:tcPr>
          <w:p>
            <w:pPr>
              <w:spacing w:before="120" w:after="120"/>
              <w:rPr>
                <w:noProof/>
                <w:sz w:val="20"/>
                <w:szCs w:val="20"/>
              </w:rPr>
            </w:pPr>
          </w:p>
        </w:tc>
        <w:tc>
          <w:tcPr>
            <w:tcW w:w="212" w:type="pct"/>
            <w:shd w:val="clear" w:color="auto" w:fill="auto"/>
          </w:tcPr>
          <w:p>
            <w:pPr>
              <w:spacing w:before="120" w:after="120"/>
              <w:rPr>
                <w:noProof/>
                <w:sz w:val="20"/>
                <w:szCs w:val="20"/>
              </w:rPr>
            </w:pPr>
          </w:p>
        </w:tc>
        <w:tc>
          <w:tcPr>
            <w:tcW w:w="352" w:type="pct"/>
            <w:shd w:val="clear" w:color="auto" w:fill="auto"/>
          </w:tcPr>
          <w:p>
            <w:pPr>
              <w:spacing w:before="120" w:after="120"/>
              <w:rPr>
                <w:noProof/>
                <w:sz w:val="20"/>
                <w:szCs w:val="20"/>
              </w:rPr>
            </w:pPr>
          </w:p>
        </w:tc>
        <w:tc>
          <w:tcPr>
            <w:tcW w:w="566" w:type="pct"/>
          </w:tcPr>
          <w:p>
            <w:pPr>
              <w:spacing w:before="120" w:after="120"/>
              <w:rPr>
                <w:b/>
                <w:i/>
                <w:noProof/>
                <w:sz w:val="20"/>
                <w:szCs w:val="20"/>
              </w:rPr>
            </w:pPr>
            <w:r>
              <w:rPr>
                <w:b/>
                <w:i/>
                <w:noProof/>
                <w:sz w:val="20"/>
                <w:szCs w:val="20"/>
              </w:rPr>
              <w:t>Max 2011-2015</w:t>
            </w:r>
          </w:p>
        </w:tc>
        <w:tc>
          <w:tcPr>
            <w:tcW w:w="565" w:type="pct"/>
            <w:shd w:val="clear" w:color="auto" w:fill="auto"/>
          </w:tcPr>
          <w:p>
            <w:pPr>
              <w:spacing w:before="120" w:after="120"/>
              <w:rPr>
                <w:noProof/>
                <w:sz w:val="20"/>
                <w:szCs w:val="20"/>
              </w:rPr>
            </w:pPr>
          </w:p>
        </w:tc>
        <w:tc>
          <w:tcPr>
            <w:tcW w:w="424" w:type="pct"/>
            <w:shd w:val="clear" w:color="auto" w:fill="auto"/>
          </w:tcPr>
          <w:p>
            <w:pPr>
              <w:spacing w:before="120" w:after="120"/>
              <w:rPr>
                <w:noProof/>
                <w:sz w:val="20"/>
                <w:szCs w:val="20"/>
              </w:rPr>
            </w:pPr>
          </w:p>
        </w:tc>
        <w:tc>
          <w:tcPr>
            <w:tcW w:w="565" w:type="pct"/>
          </w:tcPr>
          <w:p>
            <w:pPr>
              <w:spacing w:before="120" w:after="120"/>
              <w:rPr>
                <w:b/>
                <w:i/>
                <w:noProof/>
                <w:sz w:val="20"/>
                <w:szCs w:val="20"/>
              </w:rPr>
            </w:pPr>
            <w:r>
              <w:rPr>
                <w:b/>
                <w:i/>
                <w:noProof/>
                <w:sz w:val="20"/>
                <w:szCs w:val="20"/>
              </w:rPr>
              <w:t>Max 2011-2015</w:t>
            </w:r>
          </w:p>
        </w:tc>
        <w:tc>
          <w:tcPr>
            <w:tcW w:w="567" w:type="pct"/>
            <w:shd w:val="clear" w:color="auto" w:fill="auto"/>
          </w:tcPr>
          <w:p>
            <w:pPr>
              <w:spacing w:before="120" w:after="120"/>
              <w:rPr>
                <w:noProof/>
                <w:sz w:val="20"/>
                <w:szCs w:val="20"/>
              </w:rPr>
            </w:pPr>
          </w:p>
        </w:tc>
        <w:tc>
          <w:tcPr>
            <w:tcW w:w="1129" w:type="pct"/>
          </w:tcPr>
          <w:p>
            <w:pPr>
              <w:spacing w:before="120" w:after="120"/>
              <w:rPr>
                <w:b/>
                <w:i/>
                <w:noProof/>
                <w:sz w:val="20"/>
                <w:szCs w:val="20"/>
              </w:rPr>
            </w:pPr>
            <w:r>
              <w:rPr>
                <w:b/>
                <w:i/>
                <w:noProof/>
                <w:sz w:val="20"/>
                <w:szCs w:val="20"/>
              </w:rPr>
              <w:t>Max 2011-2015</w:t>
            </w:r>
          </w:p>
        </w:tc>
      </w:tr>
      <w:tr>
        <w:tc>
          <w:tcPr>
            <w:tcW w:w="620" w:type="pct"/>
            <w:shd w:val="clear" w:color="auto" w:fill="auto"/>
          </w:tcPr>
          <w:p>
            <w:pPr>
              <w:spacing w:before="120" w:after="120"/>
              <w:rPr>
                <w:noProof/>
                <w:sz w:val="20"/>
                <w:szCs w:val="20"/>
                <w:lang w:val="sv-SE"/>
              </w:rPr>
            </w:pPr>
            <w:r>
              <w:rPr>
                <w:noProof/>
                <w:sz w:val="20"/>
                <w:szCs w:val="20"/>
                <w:lang w:val="sv-SE"/>
              </w:rPr>
              <w:t>1. Milk sector</w:t>
            </w:r>
          </w:p>
        </w:tc>
        <w:tc>
          <w:tcPr>
            <w:tcW w:w="212" w:type="pct"/>
            <w:shd w:val="clear" w:color="auto" w:fill="auto"/>
          </w:tcPr>
          <w:p>
            <w:pPr>
              <w:spacing w:before="120" w:after="120"/>
              <w:rPr>
                <w:noProof/>
                <w:sz w:val="20"/>
                <w:szCs w:val="20"/>
                <w:lang w:val="sv-SE"/>
              </w:rPr>
            </w:pPr>
          </w:p>
        </w:tc>
        <w:tc>
          <w:tcPr>
            <w:tcW w:w="352" w:type="pct"/>
            <w:shd w:val="clear" w:color="auto" w:fill="auto"/>
          </w:tcPr>
          <w:p>
            <w:pPr>
              <w:spacing w:before="120" w:after="120"/>
              <w:rPr>
                <w:noProof/>
                <w:sz w:val="20"/>
                <w:szCs w:val="20"/>
                <w:lang w:val="sv-SE"/>
              </w:rPr>
            </w:pPr>
          </w:p>
        </w:tc>
        <w:tc>
          <w:tcPr>
            <w:tcW w:w="566" w:type="pct"/>
          </w:tcPr>
          <w:p>
            <w:pPr>
              <w:spacing w:before="120" w:after="120"/>
              <w:rPr>
                <w:i/>
                <w:noProof/>
                <w:sz w:val="20"/>
                <w:szCs w:val="20"/>
                <w:lang w:val="sv-SE"/>
              </w:rPr>
            </w:pPr>
          </w:p>
        </w:tc>
        <w:tc>
          <w:tcPr>
            <w:tcW w:w="565" w:type="pct"/>
            <w:shd w:val="clear" w:color="auto" w:fill="auto"/>
          </w:tcPr>
          <w:p>
            <w:pPr>
              <w:spacing w:before="120" w:after="120"/>
              <w:rPr>
                <w:noProof/>
                <w:sz w:val="20"/>
                <w:szCs w:val="20"/>
                <w:lang w:val="sv-SE"/>
              </w:rPr>
            </w:pPr>
          </w:p>
        </w:tc>
        <w:tc>
          <w:tcPr>
            <w:tcW w:w="424" w:type="pct"/>
            <w:vMerge w:val="restart"/>
            <w:shd w:val="clear" w:color="auto" w:fill="auto"/>
          </w:tcPr>
          <w:p>
            <w:pPr>
              <w:spacing w:before="120" w:after="120"/>
              <w:rPr>
                <w:noProof/>
                <w:sz w:val="20"/>
                <w:szCs w:val="20"/>
                <w:lang w:val="sv-SE"/>
              </w:rPr>
            </w:pPr>
            <w:r>
              <w:rPr>
                <w:noProof/>
                <w:sz w:val="20"/>
                <w:szCs w:val="20"/>
                <w:lang w:val="sv-SE"/>
              </w:rPr>
              <w:t>293.00</w:t>
            </w:r>
          </w:p>
        </w:tc>
        <w:tc>
          <w:tcPr>
            <w:tcW w:w="565" w:type="pct"/>
            <w:vMerge w:val="restart"/>
          </w:tcPr>
          <w:p>
            <w:pPr>
              <w:spacing w:before="120" w:after="120"/>
              <w:rPr>
                <w:i/>
                <w:noProof/>
                <w:sz w:val="20"/>
                <w:szCs w:val="20"/>
                <w:lang w:val="sv-SE"/>
              </w:rPr>
            </w:pPr>
            <w:r>
              <w:rPr>
                <w:i/>
                <w:noProof/>
                <w:sz w:val="20"/>
                <w:szCs w:val="20"/>
                <w:lang w:val="sv-SE"/>
              </w:rPr>
              <w:t>288.87</w:t>
            </w:r>
          </w:p>
        </w:tc>
        <w:tc>
          <w:tcPr>
            <w:tcW w:w="567" w:type="pct"/>
            <w:vMerge w:val="restart"/>
            <w:shd w:val="clear" w:color="auto" w:fill="auto"/>
          </w:tcPr>
          <w:p>
            <w:pPr>
              <w:spacing w:before="120" w:after="120"/>
              <w:rPr>
                <w:noProof/>
                <w:sz w:val="20"/>
                <w:szCs w:val="20"/>
                <w:lang w:val="sv-SE"/>
              </w:rPr>
            </w:pPr>
            <w:r>
              <w:rPr>
                <w:noProof/>
                <w:sz w:val="20"/>
                <w:szCs w:val="20"/>
                <w:lang w:val="sv-SE"/>
              </w:rPr>
              <w:t>450 000 tonnes</w:t>
            </w:r>
          </w:p>
        </w:tc>
        <w:tc>
          <w:tcPr>
            <w:tcW w:w="1129" w:type="pct"/>
            <w:vMerge w:val="restart"/>
          </w:tcPr>
          <w:p>
            <w:pPr>
              <w:spacing w:before="120" w:after="120"/>
              <w:rPr>
                <w:i/>
                <w:noProof/>
                <w:sz w:val="20"/>
                <w:szCs w:val="20"/>
                <w:lang w:val="sv-SE"/>
              </w:rPr>
            </w:pPr>
            <w:r>
              <w:rPr>
                <w:i/>
                <w:noProof/>
                <w:sz w:val="20"/>
                <w:szCs w:val="20"/>
                <w:lang w:val="sv-SE"/>
              </w:rPr>
              <w:t>394 464 tonnes</w:t>
            </w:r>
          </w:p>
        </w:tc>
      </w:tr>
      <w:tr>
        <w:tc>
          <w:tcPr>
            <w:tcW w:w="620" w:type="pct"/>
            <w:shd w:val="clear" w:color="auto" w:fill="auto"/>
          </w:tcPr>
          <w:p>
            <w:pPr>
              <w:spacing w:before="120" w:after="120"/>
              <w:rPr>
                <w:noProof/>
                <w:sz w:val="20"/>
                <w:szCs w:val="20"/>
                <w:lang w:val="sv-SE"/>
              </w:rPr>
            </w:pPr>
            <w:r>
              <w:rPr>
                <w:noProof/>
                <w:sz w:val="20"/>
                <w:szCs w:val="20"/>
                <w:lang w:val="sv-SE"/>
              </w:rPr>
              <w:t>-Dairy cow milk</w:t>
            </w:r>
          </w:p>
        </w:tc>
        <w:tc>
          <w:tcPr>
            <w:tcW w:w="212" w:type="pct"/>
            <w:shd w:val="clear" w:color="auto" w:fill="auto"/>
          </w:tcPr>
          <w:p>
            <w:pPr>
              <w:spacing w:before="120" w:after="120"/>
              <w:rPr>
                <w:noProof/>
                <w:sz w:val="20"/>
                <w:szCs w:val="20"/>
                <w:lang w:val="sv-SE"/>
              </w:rPr>
            </w:pPr>
          </w:p>
        </w:tc>
        <w:tc>
          <w:tcPr>
            <w:tcW w:w="352" w:type="pct"/>
            <w:shd w:val="clear" w:color="auto" w:fill="auto"/>
          </w:tcPr>
          <w:p>
            <w:pPr>
              <w:spacing w:before="120" w:after="120"/>
              <w:rPr>
                <w:noProof/>
                <w:sz w:val="20"/>
                <w:szCs w:val="20"/>
                <w:lang w:val="sv-SE"/>
              </w:rPr>
            </w:pPr>
            <w:r>
              <w:rPr>
                <w:noProof/>
                <w:sz w:val="20"/>
                <w:szCs w:val="20"/>
                <w:lang w:val="sv-SE"/>
              </w:rPr>
              <w:t>0.73</w:t>
            </w:r>
          </w:p>
        </w:tc>
        <w:tc>
          <w:tcPr>
            <w:tcW w:w="566" w:type="pct"/>
          </w:tcPr>
          <w:p>
            <w:pPr>
              <w:spacing w:before="120" w:after="120"/>
              <w:rPr>
                <w:i/>
                <w:noProof/>
                <w:sz w:val="20"/>
                <w:szCs w:val="20"/>
                <w:lang w:val="sv-SE"/>
              </w:rPr>
            </w:pPr>
            <w:r>
              <w:rPr>
                <w:i/>
                <w:noProof/>
                <w:sz w:val="20"/>
                <w:szCs w:val="20"/>
                <w:lang w:val="sv-SE"/>
              </w:rPr>
              <w:t>0.70</w:t>
            </w:r>
          </w:p>
        </w:tc>
        <w:tc>
          <w:tcPr>
            <w:tcW w:w="565" w:type="pct"/>
            <w:shd w:val="clear" w:color="auto" w:fill="auto"/>
          </w:tcPr>
          <w:p>
            <w:pPr>
              <w:spacing w:before="120" w:after="120"/>
              <w:rPr>
                <w:noProof/>
                <w:sz w:val="20"/>
                <w:szCs w:val="20"/>
                <w:lang w:val="sv-SE"/>
              </w:rPr>
            </w:pPr>
            <w:r>
              <w:rPr>
                <w:noProof/>
                <w:sz w:val="20"/>
                <w:szCs w:val="20"/>
                <w:lang w:val="sv-SE"/>
              </w:rPr>
              <w:t>SEK/kg</w:t>
            </w:r>
          </w:p>
        </w:tc>
        <w:tc>
          <w:tcPr>
            <w:tcW w:w="424" w:type="pct"/>
            <w:vMerge/>
            <w:shd w:val="clear" w:color="auto" w:fill="auto"/>
          </w:tcPr>
          <w:p>
            <w:pPr>
              <w:spacing w:before="120" w:after="120"/>
              <w:rPr>
                <w:i/>
                <w:noProof/>
                <w:sz w:val="20"/>
                <w:szCs w:val="20"/>
                <w:lang w:val="sv-SE"/>
              </w:rPr>
            </w:pPr>
          </w:p>
        </w:tc>
        <w:tc>
          <w:tcPr>
            <w:tcW w:w="565" w:type="pct"/>
            <w:vMerge/>
          </w:tcPr>
          <w:p>
            <w:pPr>
              <w:spacing w:before="120" w:after="120"/>
              <w:rPr>
                <w:i/>
                <w:noProof/>
                <w:sz w:val="20"/>
                <w:szCs w:val="20"/>
                <w:lang w:val="sv-SE"/>
              </w:rPr>
            </w:pPr>
          </w:p>
        </w:tc>
        <w:tc>
          <w:tcPr>
            <w:tcW w:w="567" w:type="pct"/>
            <w:vMerge/>
            <w:shd w:val="clear" w:color="auto" w:fill="auto"/>
          </w:tcPr>
          <w:p>
            <w:pPr>
              <w:spacing w:before="120" w:after="120"/>
              <w:rPr>
                <w:noProof/>
                <w:sz w:val="20"/>
                <w:szCs w:val="20"/>
                <w:lang w:val="sv-SE"/>
              </w:rPr>
            </w:pPr>
          </w:p>
        </w:tc>
        <w:tc>
          <w:tcPr>
            <w:tcW w:w="1129" w:type="pct"/>
            <w:vMerge/>
          </w:tcPr>
          <w:p>
            <w:pPr>
              <w:spacing w:before="120" w:after="120"/>
              <w:rPr>
                <w:i/>
                <w:noProof/>
                <w:sz w:val="20"/>
                <w:szCs w:val="20"/>
                <w:lang w:val="sv-SE"/>
              </w:rPr>
            </w:pPr>
          </w:p>
        </w:tc>
      </w:tr>
      <w:tr>
        <w:tc>
          <w:tcPr>
            <w:tcW w:w="620" w:type="pct"/>
            <w:shd w:val="clear" w:color="auto" w:fill="auto"/>
          </w:tcPr>
          <w:p>
            <w:pPr>
              <w:spacing w:before="120" w:after="120"/>
              <w:rPr>
                <w:noProof/>
                <w:sz w:val="20"/>
                <w:szCs w:val="20"/>
                <w:lang w:val="sv-SE"/>
              </w:rPr>
            </w:pPr>
            <w:r>
              <w:rPr>
                <w:noProof/>
                <w:sz w:val="20"/>
                <w:szCs w:val="20"/>
                <w:lang w:val="sv-SE"/>
              </w:rPr>
              <w:t>-She goats</w:t>
            </w:r>
          </w:p>
        </w:tc>
        <w:tc>
          <w:tcPr>
            <w:tcW w:w="212" w:type="pct"/>
            <w:shd w:val="clear" w:color="auto" w:fill="auto"/>
          </w:tcPr>
          <w:p>
            <w:pPr>
              <w:spacing w:before="120" w:after="120"/>
              <w:rPr>
                <w:noProof/>
                <w:sz w:val="20"/>
                <w:szCs w:val="20"/>
                <w:lang w:val="sv-SE"/>
              </w:rPr>
            </w:pPr>
            <w:r>
              <w:rPr>
                <w:noProof/>
                <w:sz w:val="20"/>
                <w:szCs w:val="20"/>
                <w:lang w:val="sv-SE"/>
              </w:rPr>
              <w:t>3)</w:t>
            </w:r>
          </w:p>
        </w:tc>
        <w:tc>
          <w:tcPr>
            <w:tcW w:w="352" w:type="pct"/>
            <w:shd w:val="clear" w:color="auto" w:fill="auto"/>
          </w:tcPr>
          <w:p>
            <w:pPr>
              <w:spacing w:before="120" w:after="120"/>
              <w:rPr>
                <w:noProof/>
                <w:sz w:val="20"/>
                <w:szCs w:val="20"/>
                <w:lang w:val="sv-SE"/>
              </w:rPr>
            </w:pPr>
            <w:r>
              <w:rPr>
                <w:noProof/>
                <w:sz w:val="20"/>
                <w:szCs w:val="20"/>
                <w:lang w:val="sv-SE"/>
              </w:rPr>
              <w:t>500</w:t>
            </w:r>
          </w:p>
        </w:tc>
        <w:tc>
          <w:tcPr>
            <w:tcW w:w="566" w:type="pct"/>
          </w:tcPr>
          <w:p>
            <w:pPr>
              <w:spacing w:before="120" w:after="120"/>
              <w:rPr>
                <w:i/>
                <w:noProof/>
                <w:sz w:val="20"/>
                <w:szCs w:val="20"/>
                <w:lang w:val="sv-SE"/>
              </w:rPr>
            </w:pPr>
            <w:r>
              <w:rPr>
                <w:i/>
                <w:noProof/>
                <w:sz w:val="20"/>
                <w:szCs w:val="20"/>
                <w:lang w:val="sv-SE"/>
              </w:rPr>
              <w:t>466</w:t>
            </w:r>
          </w:p>
        </w:tc>
        <w:tc>
          <w:tcPr>
            <w:tcW w:w="565" w:type="pct"/>
            <w:shd w:val="clear" w:color="auto" w:fill="auto"/>
          </w:tcPr>
          <w:p>
            <w:pPr>
              <w:spacing w:before="120" w:after="120"/>
              <w:rPr>
                <w:noProof/>
                <w:sz w:val="20"/>
                <w:szCs w:val="20"/>
                <w:lang w:val="sv-SE"/>
              </w:rPr>
            </w:pPr>
            <w:r>
              <w:rPr>
                <w:noProof/>
                <w:sz w:val="20"/>
                <w:szCs w:val="20"/>
                <w:lang w:val="sv-SE"/>
              </w:rPr>
              <w:t>SEK/head</w:t>
            </w:r>
          </w:p>
        </w:tc>
        <w:tc>
          <w:tcPr>
            <w:tcW w:w="424" w:type="pct"/>
            <w:vMerge/>
            <w:shd w:val="clear" w:color="auto" w:fill="auto"/>
          </w:tcPr>
          <w:p>
            <w:pPr>
              <w:spacing w:before="120" w:after="120"/>
              <w:rPr>
                <w:i/>
                <w:noProof/>
                <w:sz w:val="20"/>
                <w:szCs w:val="20"/>
                <w:lang w:val="sv-SE"/>
              </w:rPr>
            </w:pPr>
          </w:p>
        </w:tc>
        <w:tc>
          <w:tcPr>
            <w:tcW w:w="565" w:type="pct"/>
            <w:vMerge/>
          </w:tcPr>
          <w:p>
            <w:pPr>
              <w:spacing w:before="120" w:after="120"/>
              <w:rPr>
                <w:i/>
                <w:noProof/>
                <w:sz w:val="20"/>
                <w:szCs w:val="20"/>
                <w:lang w:val="sv-SE"/>
              </w:rPr>
            </w:pPr>
          </w:p>
        </w:tc>
        <w:tc>
          <w:tcPr>
            <w:tcW w:w="567" w:type="pct"/>
            <w:vMerge/>
            <w:shd w:val="clear" w:color="auto" w:fill="auto"/>
          </w:tcPr>
          <w:p>
            <w:pPr>
              <w:spacing w:before="120" w:after="120"/>
              <w:rPr>
                <w:noProof/>
                <w:sz w:val="20"/>
                <w:szCs w:val="20"/>
                <w:lang w:val="sv-SE"/>
              </w:rPr>
            </w:pPr>
          </w:p>
        </w:tc>
        <w:tc>
          <w:tcPr>
            <w:tcW w:w="1129" w:type="pct"/>
            <w:vMerge/>
          </w:tcPr>
          <w:p>
            <w:pPr>
              <w:spacing w:before="120" w:after="120"/>
              <w:rPr>
                <w:i/>
                <w:noProof/>
                <w:sz w:val="20"/>
                <w:szCs w:val="20"/>
                <w:lang w:val="sv-SE"/>
              </w:rPr>
            </w:pPr>
          </w:p>
        </w:tc>
      </w:tr>
      <w:tr>
        <w:tc>
          <w:tcPr>
            <w:tcW w:w="620" w:type="pct"/>
            <w:shd w:val="clear" w:color="auto" w:fill="auto"/>
          </w:tcPr>
          <w:p>
            <w:pPr>
              <w:spacing w:before="120" w:after="120"/>
              <w:rPr>
                <w:noProof/>
                <w:sz w:val="20"/>
                <w:szCs w:val="20"/>
              </w:rPr>
            </w:pPr>
            <w:r>
              <w:rPr>
                <w:noProof/>
                <w:sz w:val="20"/>
                <w:szCs w:val="20"/>
              </w:rPr>
              <w:t>-Transport aid for dairy cow milk</w:t>
            </w:r>
          </w:p>
        </w:tc>
        <w:tc>
          <w:tcPr>
            <w:tcW w:w="212" w:type="pct"/>
            <w:shd w:val="clear" w:color="auto" w:fill="auto"/>
          </w:tcPr>
          <w:p>
            <w:pPr>
              <w:spacing w:before="120" w:after="120"/>
              <w:rPr>
                <w:noProof/>
                <w:sz w:val="20"/>
                <w:szCs w:val="20"/>
                <w:lang w:val="sv-SE"/>
              </w:rPr>
            </w:pPr>
            <w:r>
              <w:rPr>
                <w:noProof/>
                <w:sz w:val="20"/>
                <w:szCs w:val="20"/>
                <w:lang w:val="sv-SE"/>
              </w:rPr>
              <w:t>4)</w:t>
            </w:r>
          </w:p>
        </w:tc>
        <w:tc>
          <w:tcPr>
            <w:tcW w:w="352" w:type="pct"/>
            <w:shd w:val="clear" w:color="auto" w:fill="auto"/>
          </w:tcPr>
          <w:p>
            <w:pPr>
              <w:spacing w:before="120" w:after="120"/>
              <w:rPr>
                <w:noProof/>
                <w:sz w:val="20"/>
                <w:szCs w:val="20"/>
                <w:lang w:val="sv-SE"/>
              </w:rPr>
            </w:pPr>
            <w:r>
              <w:rPr>
                <w:noProof/>
                <w:sz w:val="20"/>
                <w:szCs w:val="20"/>
                <w:lang w:val="sv-SE"/>
              </w:rPr>
              <w:t>0.039</w:t>
            </w:r>
          </w:p>
        </w:tc>
        <w:tc>
          <w:tcPr>
            <w:tcW w:w="566" w:type="pct"/>
          </w:tcPr>
          <w:p>
            <w:pPr>
              <w:spacing w:before="120" w:after="120"/>
              <w:rPr>
                <w:i/>
                <w:noProof/>
                <w:sz w:val="20"/>
                <w:szCs w:val="20"/>
                <w:lang w:val="sv-SE"/>
              </w:rPr>
            </w:pPr>
            <w:r>
              <w:rPr>
                <w:i/>
                <w:noProof/>
                <w:sz w:val="20"/>
                <w:szCs w:val="20"/>
                <w:lang w:val="sv-SE"/>
              </w:rPr>
              <w:t>0.038</w:t>
            </w:r>
          </w:p>
        </w:tc>
        <w:tc>
          <w:tcPr>
            <w:tcW w:w="565" w:type="pct"/>
            <w:shd w:val="clear" w:color="auto" w:fill="auto"/>
          </w:tcPr>
          <w:p>
            <w:pPr>
              <w:spacing w:before="120" w:after="120"/>
              <w:rPr>
                <w:noProof/>
                <w:sz w:val="20"/>
                <w:szCs w:val="20"/>
                <w:lang w:val="sv-SE"/>
              </w:rPr>
            </w:pPr>
            <w:r>
              <w:rPr>
                <w:noProof/>
                <w:sz w:val="20"/>
                <w:szCs w:val="20"/>
                <w:lang w:val="sv-SE"/>
              </w:rPr>
              <w:t>SEK/kg</w:t>
            </w:r>
          </w:p>
        </w:tc>
        <w:tc>
          <w:tcPr>
            <w:tcW w:w="424" w:type="pct"/>
            <w:vMerge/>
            <w:shd w:val="clear" w:color="auto" w:fill="auto"/>
          </w:tcPr>
          <w:p>
            <w:pPr>
              <w:spacing w:before="120" w:after="120"/>
              <w:rPr>
                <w:i/>
                <w:noProof/>
                <w:sz w:val="20"/>
                <w:szCs w:val="20"/>
                <w:lang w:val="sv-SE"/>
              </w:rPr>
            </w:pPr>
          </w:p>
        </w:tc>
        <w:tc>
          <w:tcPr>
            <w:tcW w:w="565" w:type="pct"/>
            <w:vMerge/>
          </w:tcPr>
          <w:p>
            <w:pPr>
              <w:spacing w:before="120" w:after="120"/>
              <w:rPr>
                <w:i/>
                <w:noProof/>
                <w:sz w:val="20"/>
                <w:szCs w:val="20"/>
                <w:lang w:val="sv-SE"/>
              </w:rPr>
            </w:pPr>
          </w:p>
        </w:tc>
        <w:tc>
          <w:tcPr>
            <w:tcW w:w="567" w:type="pct"/>
            <w:vMerge/>
            <w:shd w:val="clear" w:color="auto" w:fill="auto"/>
          </w:tcPr>
          <w:p>
            <w:pPr>
              <w:spacing w:before="120" w:after="120"/>
              <w:rPr>
                <w:i/>
                <w:noProof/>
                <w:sz w:val="20"/>
                <w:szCs w:val="20"/>
                <w:lang w:val="sv-SE"/>
              </w:rPr>
            </w:pPr>
          </w:p>
        </w:tc>
        <w:tc>
          <w:tcPr>
            <w:tcW w:w="1129" w:type="pct"/>
            <w:vMerge/>
          </w:tcPr>
          <w:p>
            <w:pPr>
              <w:spacing w:before="120" w:after="120"/>
              <w:rPr>
                <w:i/>
                <w:noProof/>
                <w:sz w:val="20"/>
                <w:szCs w:val="20"/>
                <w:lang w:val="sv-SE"/>
              </w:rPr>
            </w:pPr>
          </w:p>
        </w:tc>
      </w:tr>
      <w:tr>
        <w:tc>
          <w:tcPr>
            <w:tcW w:w="620" w:type="pct"/>
            <w:shd w:val="clear" w:color="auto" w:fill="auto"/>
          </w:tcPr>
          <w:p>
            <w:pPr>
              <w:spacing w:before="120" w:after="120"/>
              <w:rPr>
                <w:noProof/>
                <w:sz w:val="20"/>
                <w:szCs w:val="20"/>
                <w:lang w:val="sv-SE"/>
              </w:rPr>
            </w:pPr>
            <w:r>
              <w:rPr>
                <w:noProof/>
                <w:sz w:val="20"/>
                <w:szCs w:val="20"/>
                <w:lang w:val="sv-SE"/>
              </w:rPr>
              <w:t>2. Pigs and poultry</w:t>
            </w:r>
          </w:p>
        </w:tc>
        <w:tc>
          <w:tcPr>
            <w:tcW w:w="212" w:type="pct"/>
            <w:shd w:val="clear" w:color="auto" w:fill="auto"/>
          </w:tcPr>
          <w:p>
            <w:pPr>
              <w:spacing w:before="120" w:after="120"/>
              <w:rPr>
                <w:noProof/>
                <w:sz w:val="20"/>
                <w:szCs w:val="20"/>
                <w:lang w:val="sv-SE"/>
              </w:rPr>
            </w:pPr>
            <w:r>
              <w:rPr>
                <w:noProof/>
                <w:sz w:val="20"/>
                <w:szCs w:val="20"/>
                <w:lang w:val="sv-SE"/>
              </w:rPr>
              <w:t>5)</w:t>
            </w:r>
          </w:p>
        </w:tc>
        <w:tc>
          <w:tcPr>
            <w:tcW w:w="352" w:type="pct"/>
            <w:vMerge w:val="restart"/>
            <w:shd w:val="clear" w:color="auto" w:fill="auto"/>
          </w:tcPr>
          <w:p>
            <w:pPr>
              <w:spacing w:before="120" w:after="120"/>
              <w:rPr>
                <w:noProof/>
                <w:sz w:val="20"/>
                <w:szCs w:val="20"/>
                <w:lang w:val="sv-SE"/>
              </w:rPr>
            </w:pPr>
            <w:r>
              <w:rPr>
                <w:noProof/>
                <w:sz w:val="20"/>
                <w:szCs w:val="20"/>
                <w:lang w:val="sv-SE"/>
              </w:rPr>
              <w:t>1 350</w:t>
            </w:r>
          </w:p>
        </w:tc>
        <w:tc>
          <w:tcPr>
            <w:tcW w:w="566" w:type="pct"/>
            <w:vMerge w:val="restart"/>
          </w:tcPr>
          <w:p>
            <w:pPr>
              <w:spacing w:before="120" w:after="120"/>
              <w:rPr>
                <w:i/>
                <w:noProof/>
                <w:sz w:val="20"/>
                <w:szCs w:val="20"/>
                <w:lang w:val="sv-SE"/>
              </w:rPr>
            </w:pPr>
            <w:r>
              <w:rPr>
                <w:i/>
                <w:noProof/>
                <w:sz w:val="20"/>
                <w:szCs w:val="20"/>
                <w:lang w:val="sv-SE"/>
              </w:rPr>
              <w:t>1 347</w:t>
            </w:r>
          </w:p>
        </w:tc>
        <w:tc>
          <w:tcPr>
            <w:tcW w:w="565" w:type="pct"/>
            <w:vMerge w:val="restart"/>
            <w:shd w:val="clear" w:color="auto" w:fill="auto"/>
          </w:tcPr>
          <w:p>
            <w:pPr>
              <w:spacing w:before="120" w:after="120"/>
              <w:rPr>
                <w:noProof/>
                <w:sz w:val="20"/>
                <w:szCs w:val="20"/>
                <w:lang w:val="sv-SE"/>
              </w:rPr>
            </w:pPr>
            <w:r>
              <w:rPr>
                <w:noProof/>
                <w:sz w:val="20"/>
                <w:szCs w:val="20"/>
                <w:lang w:val="sv-SE"/>
              </w:rPr>
              <w:t>SEK/LU</w:t>
            </w:r>
          </w:p>
        </w:tc>
        <w:tc>
          <w:tcPr>
            <w:tcW w:w="424" w:type="pct"/>
            <w:vMerge w:val="restart"/>
            <w:shd w:val="clear" w:color="auto" w:fill="auto"/>
          </w:tcPr>
          <w:p>
            <w:pPr>
              <w:spacing w:before="120" w:after="120"/>
              <w:rPr>
                <w:noProof/>
                <w:sz w:val="20"/>
                <w:szCs w:val="20"/>
                <w:lang w:val="sv-SE"/>
              </w:rPr>
            </w:pPr>
            <w:r>
              <w:rPr>
                <w:noProof/>
                <w:sz w:val="20"/>
                <w:szCs w:val="20"/>
                <w:lang w:val="sv-SE"/>
              </w:rPr>
              <w:t>17.94</w:t>
            </w:r>
          </w:p>
        </w:tc>
        <w:tc>
          <w:tcPr>
            <w:tcW w:w="565" w:type="pct"/>
            <w:vMerge w:val="restart"/>
          </w:tcPr>
          <w:p>
            <w:pPr>
              <w:spacing w:before="120" w:after="120"/>
              <w:rPr>
                <w:i/>
                <w:noProof/>
                <w:sz w:val="20"/>
                <w:szCs w:val="20"/>
                <w:lang w:val="sv-SE"/>
              </w:rPr>
            </w:pPr>
            <w:r>
              <w:rPr>
                <w:i/>
                <w:noProof/>
                <w:sz w:val="20"/>
                <w:szCs w:val="20"/>
                <w:lang w:val="sv-SE"/>
              </w:rPr>
              <w:t>15.91</w:t>
            </w:r>
          </w:p>
        </w:tc>
        <w:tc>
          <w:tcPr>
            <w:tcW w:w="567" w:type="pct"/>
            <w:vMerge w:val="restart"/>
            <w:shd w:val="clear" w:color="auto" w:fill="auto"/>
          </w:tcPr>
          <w:p>
            <w:pPr>
              <w:spacing w:before="120" w:after="120"/>
              <w:rPr>
                <w:i/>
                <w:noProof/>
                <w:sz w:val="20"/>
                <w:szCs w:val="20"/>
                <w:lang w:val="sv-SE"/>
              </w:rPr>
            </w:pPr>
            <w:r>
              <w:rPr>
                <w:noProof/>
                <w:sz w:val="20"/>
                <w:szCs w:val="20"/>
                <w:lang w:val="sv-SE"/>
              </w:rPr>
              <w:t>16 532 LU</w:t>
            </w:r>
          </w:p>
        </w:tc>
        <w:tc>
          <w:tcPr>
            <w:tcW w:w="1129" w:type="pct"/>
            <w:vMerge w:val="restart"/>
          </w:tcPr>
          <w:p>
            <w:pPr>
              <w:spacing w:before="120" w:after="120"/>
              <w:rPr>
                <w:i/>
                <w:noProof/>
                <w:sz w:val="20"/>
                <w:szCs w:val="20"/>
                <w:lang w:val="sv-SE"/>
              </w:rPr>
            </w:pPr>
            <w:r>
              <w:rPr>
                <w:i/>
                <w:noProof/>
                <w:sz w:val="20"/>
                <w:szCs w:val="20"/>
                <w:lang w:val="sv-SE"/>
              </w:rPr>
              <w:t>11 982 LU</w:t>
            </w:r>
          </w:p>
        </w:tc>
      </w:tr>
      <w:tr>
        <w:tc>
          <w:tcPr>
            <w:tcW w:w="620" w:type="pct"/>
            <w:shd w:val="clear" w:color="auto" w:fill="auto"/>
          </w:tcPr>
          <w:p>
            <w:pPr>
              <w:spacing w:before="120" w:after="120"/>
              <w:rPr>
                <w:noProof/>
                <w:sz w:val="20"/>
                <w:szCs w:val="20"/>
                <w:lang w:val="sv-SE"/>
              </w:rPr>
            </w:pPr>
            <w:r>
              <w:rPr>
                <w:noProof/>
                <w:sz w:val="20"/>
                <w:szCs w:val="20"/>
                <w:lang w:val="sv-SE"/>
              </w:rPr>
              <w:t>-Pigs for slaughter</w:t>
            </w:r>
          </w:p>
          <w:p>
            <w:pPr>
              <w:spacing w:before="120" w:after="120"/>
              <w:rPr>
                <w:noProof/>
                <w:sz w:val="20"/>
                <w:szCs w:val="20"/>
                <w:lang w:val="sv-SE"/>
              </w:rPr>
            </w:pPr>
            <w:r>
              <w:rPr>
                <w:noProof/>
                <w:sz w:val="20"/>
                <w:szCs w:val="20"/>
                <w:lang w:val="sv-SE"/>
              </w:rPr>
              <w:t>-Sows</w:t>
            </w:r>
          </w:p>
          <w:p>
            <w:pPr>
              <w:spacing w:before="120" w:after="120"/>
              <w:rPr>
                <w:noProof/>
                <w:sz w:val="20"/>
                <w:szCs w:val="20"/>
                <w:lang w:val="sv-SE"/>
              </w:rPr>
            </w:pPr>
            <w:r>
              <w:rPr>
                <w:noProof/>
                <w:sz w:val="20"/>
                <w:szCs w:val="20"/>
                <w:lang w:val="sv-SE"/>
              </w:rPr>
              <w:t>-Laying hens</w:t>
            </w:r>
          </w:p>
        </w:tc>
        <w:tc>
          <w:tcPr>
            <w:tcW w:w="212" w:type="pct"/>
            <w:shd w:val="clear" w:color="auto" w:fill="auto"/>
          </w:tcPr>
          <w:p>
            <w:pPr>
              <w:spacing w:before="120" w:after="120"/>
              <w:rPr>
                <w:noProof/>
                <w:sz w:val="20"/>
                <w:szCs w:val="20"/>
                <w:lang w:val="sv-SE"/>
              </w:rPr>
            </w:pPr>
          </w:p>
        </w:tc>
        <w:tc>
          <w:tcPr>
            <w:tcW w:w="352" w:type="pct"/>
            <w:vMerge/>
            <w:shd w:val="clear" w:color="auto" w:fill="auto"/>
          </w:tcPr>
          <w:p>
            <w:pPr>
              <w:spacing w:before="120" w:after="120"/>
              <w:rPr>
                <w:noProof/>
                <w:sz w:val="20"/>
                <w:szCs w:val="20"/>
                <w:lang w:val="sv-SE"/>
              </w:rPr>
            </w:pPr>
          </w:p>
        </w:tc>
        <w:tc>
          <w:tcPr>
            <w:tcW w:w="566" w:type="pct"/>
            <w:vMerge/>
          </w:tcPr>
          <w:p>
            <w:pPr>
              <w:spacing w:before="120" w:after="120"/>
              <w:rPr>
                <w:i/>
                <w:noProof/>
                <w:sz w:val="20"/>
                <w:szCs w:val="20"/>
                <w:lang w:val="sv-SE"/>
              </w:rPr>
            </w:pPr>
          </w:p>
        </w:tc>
        <w:tc>
          <w:tcPr>
            <w:tcW w:w="565" w:type="pct"/>
            <w:vMerge/>
            <w:shd w:val="clear" w:color="auto" w:fill="auto"/>
          </w:tcPr>
          <w:p>
            <w:pPr>
              <w:spacing w:before="120" w:after="120"/>
              <w:rPr>
                <w:noProof/>
                <w:sz w:val="20"/>
                <w:szCs w:val="20"/>
                <w:lang w:val="sv-SE"/>
              </w:rPr>
            </w:pPr>
          </w:p>
        </w:tc>
        <w:tc>
          <w:tcPr>
            <w:tcW w:w="424" w:type="pct"/>
            <w:vMerge/>
            <w:shd w:val="clear" w:color="auto" w:fill="auto"/>
          </w:tcPr>
          <w:p>
            <w:pPr>
              <w:spacing w:before="120" w:after="120"/>
              <w:rPr>
                <w:noProof/>
                <w:sz w:val="20"/>
                <w:szCs w:val="20"/>
                <w:lang w:val="sv-SE"/>
              </w:rPr>
            </w:pPr>
          </w:p>
        </w:tc>
        <w:tc>
          <w:tcPr>
            <w:tcW w:w="565" w:type="pct"/>
            <w:vMerge/>
          </w:tcPr>
          <w:p>
            <w:pPr>
              <w:spacing w:before="120" w:after="120"/>
              <w:rPr>
                <w:i/>
                <w:noProof/>
                <w:sz w:val="20"/>
                <w:szCs w:val="20"/>
                <w:lang w:val="sv-SE"/>
              </w:rPr>
            </w:pPr>
          </w:p>
        </w:tc>
        <w:tc>
          <w:tcPr>
            <w:tcW w:w="567" w:type="pct"/>
            <w:vMerge/>
            <w:shd w:val="clear" w:color="auto" w:fill="auto"/>
          </w:tcPr>
          <w:p>
            <w:pPr>
              <w:spacing w:before="120" w:after="120"/>
              <w:rPr>
                <w:noProof/>
                <w:sz w:val="20"/>
                <w:szCs w:val="20"/>
                <w:lang w:val="sv-SE"/>
              </w:rPr>
            </w:pPr>
          </w:p>
        </w:tc>
        <w:tc>
          <w:tcPr>
            <w:tcW w:w="1129" w:type="pct"/>
            <w:vMerge/>
          </w:tcPr>
          <w:p>
            <w:pPr>
              <w:spacing w:before="120" w:after="120"/>
              <w:rPr>
                <w:i/>
                <w:noProof/>
                <w:sz w:val="20"/>
                <w:szCs w:val="20"/>
                <w:lang w:val="sv-SE"/>
              </w:rPr>
            </w:pPr>
          </w:p>
        </w:tc>
      </w:tr>
      <w:tr>
        <w:tc>
          <w:tcPr>
            <w:tcW w:w="620" w:type="pct"/>
            <w:shd w:val="clear" w:color="auto" w:fill="auto"/>
          </w:tcPr>
          <w:p>
            <w:pPr>
              <w:spacing w:before="120" w:after="120"/>
              <w:rPr>
                <w:noProof/>
                <w:sz w:val="20"/>
                <w:szCs w:val="20"/>
                <w:lang w:val="sv-SE"/>
              </w:rPr>
            </w:pPr>
            <w:r>
              <w:rPr>
                <w:noProof/>
                <w:sz w:val="20"/>
                <w:szCs w:val="20"/>
                <w:lang w:val="sv-SE"/>
              </w:rPr>
              <w:t xml:space="preserve">3. Soft fruit and vegetables </w:t>
            </w:r>
          </w:p>
        </w:tc>
        <w:tc>
          <w:tcPr>
            <w:tcW w:w="212" w:type="pct"/>
            <w:shd w:val="clear" w:color="auto" w:fill="auto"/>
          </w:tcPr>
          <w:p>
            <w:pPr>
              <w:spacing w:before="120" w:after="120"/>
              <w:rPr>
                <w:noProof/>
                <w:sz w:val="20"/>
                <w:szCs w:val="20"/>
                <w:lang w:val="sv-SE"/>
              </w:rPr>
            </w:pPr>
            <w:r>
              <w:rPr>
                <w:noProof/>
                <w:sz w:val="20"/>
                <w:szCs w:val="20"/>
                <w:lang w:val="sv-SE"/>
              </w:rPr>
              <w:t>6)</w:t>
            </w:r>
          </w:p>
        </w:tc>
        <w:tc>
          <w:tcPr>
            <w:tcW w:w="352" w:type="pct"/>
            <w:shd w:val="clear" w:color="auto" w:fill="auto"/>
          </w:tcPr>
          <w:p>
            <w:pPr>
              <w:spacing w:before="120" w:after="120"/>
              <w:rPr>
                <w:noProof/>
                <w:sz w:val="20"/>
                <w:szCs w:val="20"/>
                <w:lang w:val="sv-SE"/>
              </w:rPr>
            </w:pPr>
            <w:r>
              <w:rPr>
                <w:noProof/>
                <w:sz w:val="20"/>
                <w:szCs w:val="20"/>
                <w:lang w:val="sv-SE"/>
              </w:rPr>
              <w:t>2 800</w:t>
            </w:r>
          </w:p>
        </w:tc>
        <w:tc>
          <w:tcPr>
            <w:tcW w:w="566" w:type="pct"/>
          </w:tcPr>
          <w:p>
            <w:pPr>
              <w:spacing w:before="120" w:after="120"/>
              <w:rPr>
                <w:i/>
                <w:noProof/>
                <w:sz w:val="20"/>
                <w:szCs w:val="20"/>
                <w:lang w:val="sv-SE"/>
              </w:rPr>
            </w:pPr>
            <w:r>
              <w:rPr>
                <w:i/>
                <w:noProof/>
                <w:sz w:val="20"/>
                <w:szCs w:val="20"/>
                <w:lang w:val="sv-SE"/>
              </w:rPr>
              <w:t>2 761</w:t>
            </w:r>
          </w:p>
        </w:tc>
        <w:tc>
          <w:tcPr>
            <w:tcW w:w="565" w:type="pct"/>
            <w:shd w:val="clear" w:color="auto" w:fill="auto"/>
          </w:tcPr>
          <w:p>
            <w:pPr>
              <w:spacing w:before="120" w:after="120"/>
              <w:rPr>
                <w:noProof/>
                <w:sz w:val="20"/>
                <w:szCs w:val="20"/>
                <w:lang w:val="sv-SE"/>
              </w:rPr>
            </w:pPr>
            <w:r>
              <w:rPr>
                <w:noProof/>
                <w:sz w:val="20"/>
                <w:szCs w:val="20"/>
                <w:lang w:val="sv-SE"/>
              </w:rPr>
              <w:t>SEK/ha</w:t>
            </w:r>
          </w:p>
        </w:tc>
        <w:tc>
          <w:tcPr>
            <w:tcW w:w="424" w:type="pct"/>
            <w:shd w:val="clear" w:color="auto" w:fill="auto"/>
          </w:tcPr>
          <w:p>
            <w:pPr>
              <w:spacing w:before="120" w:after="120"/>
              <w:rPr>
                <w:noProof/>
                <w:sz w:val="20"/>
                <w:szCs w:val="20"/>
                <w:lang w:val="sv-SE"/>
              </w:rPr>
            </w:pPr>
            <w:r>
              <w:rPr>
                <w:noProof/>
                <w:sz w:val="20"/>
                <w:szCs w:val="20"/>
                <w:lang w:val="sv-SE"/>
              </w:rPr>
              <w:t>2.03</w:t>
            </w:r>
          </w:p>
        </w:tc>
        <w:tc>
          <w:tcPr>
            <w:tcW w:w="565" w:type="pct"/>
          </w:tcPr>
          <w:p>
            <w:pPr>
              <w:spacing w:before="120" w:after="120"/>
              <w:rPr>
                <w:i/>
                <w:noProof/>
                <w:sz w:val="20"/>
                <w:szCs w:val="20"/>
              </w:rPr>
            </w:pPr>
            <w:r>
              <w:rPr>
                <w:i/>
                <w:noProof/>
                <w:sz w:val="20"/>
                <w:szCs w:val="20"/>
                <w:lang w:val="sv-SE"/>
              </w:rPr>
              <w:t>1</w:t>
            </w:r>
            <w:r>
              <w:rPr>
                <w:i/>
                <w:noProof/>
                <w:sz w:val="20"/>
                <w:szCs w:val="20"/>
              </w:rPr>
              <w:t>.03</w:t>
            </w:r>
          </w:p>
        </w:tc>
        <w:tc>
          <w:tcPr>
            <w:tcW w:w="567" w:type="pct"/>
            <w:shd w:val="clear" w:color="auto" w:fill="auto"/>
          </w:tcPr>
          <w:p>
            <w:pPr>
              <w:spacing w:before="120" w:after="120"/>
              <w:rPr>
                <w:noProof/>
                <w:sz w:val="20"/>
                <w:szCs w:val="20"/>
              </w:rPr>
            </w:pPr>
            <w:r>
              <w:rPr>
                <w:noProof/>
                <w:sz w:val="20"/>
                <w:szCs w:val="20"/>
              </w:rPr>
              <w:t>750 ha</w:t>
            </w:r>
          </w:p>
        </w:tc>
        <w:tc>
          <w:tcPr>
            <w:tcW w:w="1129" w:type="pct"/>
          </w:tcPr>
          <w:p>
            <w:pPr>
              <w:spacing w:before="120" w:after="120"/>
              <w:rPr>
                <w:i/>
                <w:noProof/>
                <w:sz w:val="20"/>
                <w:szCs w:val="20"/>
              </w:rPr>
            </w:pPr>
            <w:r>
              <w:rPr>
                <w:i/>
                <w:noProof/>
                <w:sz w:val="20"/>
                <w:szCs w:val="20"/>
              </w:rPr>
              <w:t>374 ha</w:t>
            </w:r>
          </w:p>
        </w:tc>
      </w:tr>
      <w:tr>
        <w:tc>
          <w:tcPr>
            <w:tcW w:w="620" w:type="pct"/>
            <w:shd w:val="clear" w:color="auto" w:fill="auto"/>
          </w:tcPr>
          <w:p>
            <w:pPr>
              <w:spacing w:before="120" w:after="120"/>
              <w:rPr>
                <w:noProof/>
                <w:sz w:val="20"/>
                <w:szCs w:val="20"/>
              </w:rPr>
            </w:pPr>
            <w:r>
              <w:rPr>
                <w:noProof/>
                <w:sz w:val="20"/>
                <w:szCs w:val="20"/>
              </w:rPr>
              <w:t>4. Potatoes</w:t>
            </w:r>
          </w:p>
        </w:tc>
        <w:tc>
          <w:tcPr>
            <w:tcW w:w="212" w:type="pct"/>
            <w:shd w:val="clear" w:color="auto" w:fill="auto"/>
          </w:tcPr>
          <w:p>
            <w:pPr>
              <w:spacing w:before="120" w:after="120"/>
              <w:rPr>
                <w:noProof/>
                <w:sz w:val="20"/>
                <w:szCs w:val="20"/>
              </w:rPr>
            </w:pPr>
          </w:p>
        </w:tc>
        <w:tc>
          <w:tcPr>
            <w:tcW w:w="352" w:type="pct"/>
            <w:shd w:val="clear" w:color="auto" w:fill="auto"/>
          </w:tcPr>
          <w:p>
            <w:pPr>
              <w:spacing w:before="120" w:after="120"/>
              <w:rPr>
                <w:noProof/>
                <w:sz w:val="20"/>
                <w:szCs w:val="20"/>
              </w:rPr>
            </w:pPr>
            <w:r>
              <w:rPr>
                <w:noProof/>
                <w:sz w:val="20"/>
                <w:szCs w:val="20"/>
              </w:rPr>
              <w:t>2 500</w:t>
            </w:r>
          </w:p>
        </w:tc>
        <w:tc>
          <w:tcPr>
            <w:tcW w:w="566" w:type="pct"/>
          </w:tcPr>
          <w:p>
            <w:pPr>
              <w:spacing w:before="120" w:after="120"/>
              <w:rPr>
                <w:i/>
                <w:noProof/>
                <w:sz w:val="20"/>
                <w:szCs w:val="20"/>
              </w:rPr>
            </w:pPr>
            <w:r>
              <w:rPr>
                <w:i/>
                <w:noProof/>
                <w:sz w:val="20"/>
                <w:szCs w:val="20"/>
              </w:rPr>
              <w:t>2 216</w:t>
            </w:r>
          </w:p>
        </w:tc>
        <w:tc>
          <w:tcPr>
            <w:tcW w:w="565" w:type="pct"/>
            <w:shd w:val="clear" w:color="auto" w:fill="auto"/>
          </w:tcPr>
          <w:p>
            <w:pPr>
              <w:spacing w:before="120" w:after="120"/>
              <w:rPr>
                <w:noProof/>
                <w:sz w:val="20"/>
                <w:szCs w:val="20"/>
              </w:rPr>
            </w:pPr>
            <w:r>
              <w:rPr>
                <w:noProof/>
                <w:sz w:val="20"/>
                <w:szCs w:val="20"/>
              </w:rPr>
              <w:t>SEK/ha</w:t>
            </w:r>
          </w:p>
        </w:tc>
        <w:tc>
          <w:tcPr>
            <w:tcW w:w="424" w:type="pct"/>
            <w:shd w:val="clear" w:color="auto" w:fill="auto"/>
          </w:tcPr>
          <w:p>
            <w:pPr>
              <w:spacing w:before="120" w:after="120"/>
              <w:rPr>
                <w:noProof/>
                <w:sz w:val="20"/>
                <w:szCs w:val="20"/>
              </w:rPr>
            </w:pPr>
            <w:r>
              <w:rPr>
                <w:noProof/>
                <w:sz w:val="20"/>
                <w:szCs w:val="20"/>
              </w:rPr>
              <w:t>5.7</w:t>
            </w:r>
          </w:p>
        </w:tc>
        <w:tc>
          <w:tcPr>
            <w:tcW w:w="565" w:type="pct"/>
          </w:tcPr>
          <w:p>
            <w:pPr>
              <w:spacing w:before="120" w:after="120"/>
              <w:rPr>
                <w:i/>
                <w:noProof/>
                <w:sz w:val="20"/>
                <w:szCs w:val="20"/>
              </w:rPr>
            </w:pPr>
            <w:r>
              <w:rPr>
                <w:i/>
                <w:noProof/>
                <w:sz w:val="20"/>
                <w:szCs w:val="20"/>
              </w:rPr>
              <w:t>4.23</w:t>
            </w:r>
          </w:p>
        </w:tc>
        <w:tc>
          <w:tcPr>
            <w:tcW w:w="567" w:type="pct"/>
            <w:shd w:val="clear" w:color="auto" w:fill="auto"/>
          </w:tcPr>
          <w:p>
            <w:pPr>
              <w:spacing w:before="120" w:after="120"/>
              <w:rPr>
                <w:noProof/>
                <w:sz w:val="20"/>
                <w:szCs w:val="20"/>
              </w:rPr>
            </w:pPr>
            <w:r>
              <w:rPr>
                <w:noProof/>
                <w:sz w:val="20"/>
                <w:szCs w:val="20"/>
              </w:rPr>
              <w:t>2 910 ha</w:t>
            </w:r>
          </w:p>
        </w:tc>
        <w:tc>
          <w:tcPr>
            <w:tcW w:w="1129" w:type="pct"/>
          </w:tcPr>
          <w:p>
            <w:pPr>
              <w:spacing w:before="120" w:after="120"/>
              <w:rPr>
                <w:i/>
                <w:noProof/>
                <w:sz w:val="20"/>
                <w:szCs w:val="20"/>
              </w:rPr>
            </w:pPr>
            <w:r>
              <w:rPr>
                <w:i/>
                <w:noProof/>
                <w:sz w:val="20"/>
                <w:szCs w:val="20"/>
              </w:rPr>
              <w:t>1 908 ha</w:t>
            </w:r>
          </w:p>
        </w:tc>
      </w:tr>
    </w:tbl>
    <w:p>
      <w:pPr>
        <w:spacing w:before="120" w:after="120"/>
        <w:jc w:val="center"/>
        <w:rPr>
          <w:b/>
          <w:noProof/>
        </w:rPr>
      </w:pPr>
      <w:bookmarkStart w:id="30" w:name="_Ref316738411"/>
      <w:r>
        <w:rPr>
          <w:b/>
          <w:noProof/>
        </w:rPr>
        <w:t xml:space="preserve">Table </w:t>
      </w:r>
      <w:bookmarkEnd w:id="30"/>
      <w:r>
        <w:rPr>
          <w:b/>
          <w:noProof/>
        </w:rPr>
        <w:t xml:space="preserve">4: Aid authorised/year in accordance with Decision C(2010)6050 </w:t>
      </w:r>
      <w:r>
        <w:rPr>
          <w:b/>
          <w:noProof/>
        </w:rPr>
        <w:br/>
        <w:t>and max during 2011-2015 period</w:t>
      </w:r>
    </w:p>
    <w:p>
      <w:pPr>
        <w:rPr>
          <w:noProof/>
          <w:sz w:val="20"/>
          <w:szCs w:val="20"/>
        </w:rPr>
      </w:pPr>
      <w:r>
        <w:rPr>
          <w:noProof/>
          <w:sz w:val="20"/>
          <w:szCs w:val="20"/>
        </w:rPr>
        <w:t>1)</w:t>
      </w:r>
      <w:r>
        <w:rPr>
          <w:noProof/>
          <w:sz w:val="20"/>
          <w:szCs w:val="20"/>
        </w:rPr>
        <w:tab/>
        <w:t>Aid per unit may be differentiated by region within the limits of the maximum average.</w:t>
      </w:r>
    </w:p>
    <w:p>
      <w:pPr>
        <w:rPr>
          <w:noProof/>
          <w:sz w:val="20"/>
          <w:szCs w:val="20"/>
        </w:rPr>
      </w:pPr>
      <w:r>
        <w:rPr>
          <w:noProof/>
          <w:sz w:val="20"/>
          <w:szCs w:val="20"/>
        </w:rPr>
        <w:t>2)</w:t>
      </w:r>
      <w:r>
        <w:rPr>
          <w:noProof/>
          <w:sz w:val="20"/>
          <w:szCs w:val="20"/>
        </w:rPr>
        <w:tab/>
        <w:t>Maximum aid allowed: 318.67 million SEK.</w:t>
      </w:r>
    </w:p>
    <w:p>
      <w:pPr>
        <w:ind w:left="720" w:hanging="720"/>
        <w:rPr>
          <w:noProof/>
          <w:sz w:val="20"/>
          <w:szCs w:val="20"/>
        </w:rPr>
      </w:pPr>
      <w:r>
        <w:rPr>
          <w:noProof/>
          <w:sz w:val="20"/>
          <w:szCs w:val="20"/>
        </w:rPr>
        <w:t>3)</w:t>
      </w:r>
      <w:r>
        <w:rPr>
          <w:noProof/>
          <w:sz w:val="20"/>
          <w:szCs w:val="20"/>
        </w:rPr>
        <w:tab/>
        <w:t>Only goats used for milk production. The estimated milk production is 800 kg of milk per goat annually.</w:t>
      </w:r>
    </w:p>
    <w:p>
      <w:pPr>
        <w:rPr>
          <w:noProof/>
          <w:sz w:val="20"/>
          <w:szCs w:val="20"/>
        </w:rPr>
      </w:pPr>
      <w:r>
        <w:rPr>
          <w:noProof/>
          <w:sz w:val="20"/>
          <w:szCs w:val="20"/>
        </w:rPr>
        <w:t>4)</w:t>
      </w:r>
      <w:r>
        <w:rPr>
          <w:noProof/>
          <w:sz w:val="20"/>
          <w:szCs w:val="20"/>
        </w:rPr>
        <w:tab/>
        <w:t>Between the farm and the collection centre or first processing centre.</w:t>
      </w:r>
    </w:p>
    <w:p>
      <w:pPr>
        <w:rPr>
          <w:noProof/>
          <w:sz w:val="20"/>
          <w:szCs w:val="20"/>
        </w:rPr>
      </w:pPr>
      <w:r>
        <w:rPr>
          <w:noProof/>
          <w:sz w:val="20"/>
          <w:szCs w:val="20"/>
        </w:rPr>
        <w:t>5)</w:t>
      </w:r>
      <w:r>
        <w:rPr>
          <w:noProof/>
          <w:sz w:val="20"/>
          <w:szCs w:val="20"/>
        </w:rPr>
        <w:tab/>
        <w:t>Where 1 laying hen is 0.01 LU, sow is 0.33 LU and 1 pig for slaughter is 0.10 LU.</w:t>
      </w:r>
    </w:p>
    <w:p>
      <w:pPr>
        <w:rPr>
          <w:noProof/>
          <w:sz w:val="20"/>
          <w:szCs w:val="20"/>
        </w:rPr>
      </w:pPr>
      <w:r>
        <w:rPr>
          <w:noProof/>
          <w:sz w:val="20"/>
          <w:szCs w:val="20"/>
        </w:rPr>
        <w:t>6)</w:t>
      </w:r>
      <w:r>
        <w:rPr>
          <w:noProof/>
          <w:sz w:val="20"/>
          <w:szCs w:val="20"/>
        </w:rPr>
        <w:tab/>
        <w:t>Excluding potatoes.</w:t>
      </w:r>
    </w:p>
    <w:p>
      <w:pPr>
        <w:rPr>
          <w:noProof/>
          <w:sz w:val="20"/>
          <w:szCs w:val="20"/>
        </w:rPr>
      </w:pPr>
    </w:p>
    <w:p>
      <w:pPr>
        <w:rPr>
          <w:noProof/>
          <w:sz w:val="20"/>
          <w:szCs w:val="20"/>
        </w:rPr>
      </w:pPr>
      <w:r>
        <w:rPr>
          <w:noProof/>
          <w:sz w:val="20"/>
          <w:szCs w:val="20"/>
        </w:rPr>
        <w:br w:type="page"/>
      </w:r>
    </w:p>
    <w:p>
      <w:pPr>
        <w:rPr>
          <w:noProof/>
          <w:sz w:val="20"/>
          <w:szCs w:val="20"/>
        </w:rPr>
      </w:pPr>
    </w:p>
    <w:p>
      <w:pPr>
        <w:keepNext/>
        <w:tabs>
          <w:tab w:val="left" w:pos="850"/>
        </w:tabs>
        <w:spacing w:before="360" w:after="120"/>
        <w:outlineLvl w:val="1"/>
        <w:rPr>
          <w:b/>
          <w:noProof/>
        </w:rPr>
      </w:pPr>
      <w:bookmarkStart w:id="31" w:name="_Toc327522993"/>
      <w:bookmarkStart w:id="32" w:name="_Toc468978089"/>
      <w:r>
        <w:rPr>
          <w:b/>
          <w:noProof/>
        </w:rPr>
        <w:t>5.2.</w:t>
      </w:r>
      <w:r>
        <w:rPr>
          <w:b/>
          <w:noProof/>
        </w:rPr>
        <w:tab/>
        <w:t>Aid disbursed</w:t>
      </w:r>
      <w:bookmarkEnd w:id="31"/>
      <w:bookmarkEnd w:id="32"/>
    </w:p>
    <w:p>
      <w:pPr>
        <w:spacing w:before="120" w:after="120"/>
        <w:rPr>
          <w:i/>
          <w:noProof/>
        </w:rPr>
      </w:pPr>
      <w:r>
        <w:rPr>
          <w:i/>
          <w:noProof/>
        </w:rPr>
        <w:t>Nordic aid</w:t>
      </w:r>
    </w:p>
    <w:p>
      <w:pPr>
        <w:spacing w:before="120" w:after="120"/>
        <w:rPr>
          <w:noProof/>
        </w:rPr>
      </w:pPr>
      <w:r>
        <w:rPr>
          <w:noProof/>
        </w:rPr>
        <w:t>The total annual amounts paid as Aid varied between SEK 282.2–285.75 million (EUR 29.25-32.21 million) during the period (Table 5). The aid disbursed thus remained very balanced throughout the period with small variations between years.</w:t>
      </w:r>
    </w:p>
    <w:p>
      <w:pPr>
        <w:spacing w:before="120" w:after="120"/>
        <w:jc w:val="center"/>
        <w:rPr>
          <w:b/>
          <w:noProof/>
        </w:rPr>
      </w:pPr>
      <w:bookmarkStart w:id="33" w:name="_Ref316738889"/>
      <w:r>
        <w:rPr>
          <w:b/>
          <w:noProof/>
        </w:rPr>
        <w:t xml:space="preserve">Table </w:t>
      </w:r>
      <w:bookmarkEnd w:id="33"/>
      <w:r>
        <w:rPr>
          <w:b/>
          <w:noProof/>
        </w:rPr>
        <w:t>5: Nordic aid by sector, MSEK</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248"/>
        <w:gridCol w:w="1368"/>
        <w:gridCol w:w="1368"/>
        <w:gridCol w:w="1368"/>
        <w:gridCol w:w="1368"/>
      </w:tblGrid>
      <w:tr>
        <w:trPr>
          <w:trHeight w:val="247"/>
        </w:trPr>
        <w:tc>
          <w:tcPr>
            <w:tcW w:w="2280" w:type="dxa"/>
          </w:tcPr>
          <w:p>
            <w:pPr>
              <w:autoSpaceDE w:val="0"/>
              <w:autoSpaceDN w:val="0"/>
              <w:adjustRightInd w:val="0"/>
              <w:spacing w:before="120" w:after="120"/>
              <w:rPr>
                <w:b/>
                <w:noProof/>
                <w:color w:val="000000"/>
                <w:sz w:val="20"/>
                <w:szCs w:val="20"/>
              </w:rPr>
            </w:pPr>
            <w:r>
              <w:rPr>
                <w:b/>
                <w:noProof/>
                <w:color w:val="000000"/>
                <w:sz w:val="20"/>
                <w:szCs w:val="20"/>
              </w:rPr>
              <w:t>Sector supported</w:t>
            </w:r>
          </w:p>
        </w:tc>
        <w:tc>
          <w:tcPr>
            <w:tcW w:w="1248" w:type="dxa"/>
          </w:tcPr>
          <w:p>
            <w:pPr>
              <w:autoSpaceDE w:val="0"/>
              <w:autoSpaceDN w:val="0"/>
              <w:adjustRightInd w:val="0"/>
              <w:spacing w:before="120" w:after="120"/>
              <w:jc w:val="center"/>
              <w:rPr>
                <w:b/>
                <w:noProof/>
                <w:color w:val="000000"/>
                <w:sz w:val="20"/>
                <w:szCs w:val="20"/>
              </w:rPr>
            </w:pPr>
            <w:r>
              <w:rPr>
                <w:b/>
                <w:noProof/>
                <w:color w:val="000000"/>
                <w:sz w:val="20"/>
                <w:szCs w:val="20"/>
              </w:rPr>
              <w:t>2011</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szCs w:val="20"/>
              </w:rPr>
              <w:t>2012</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szCs w:val="20"/>
              </w:rPr>
              <w:t>2013</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szCs w:val="20"/>
              </w:rPr>
              <w:t>2014</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szCs w:val="20"/>
              </w:rPr>
              <w:t>2015</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szCs w:val="20"/>
              </w:rPr>
              <w:t>Milk</w:t>
            </w:r>
            <w:r>
              <w:rPr>
                <w:b/>
                <w:noProof/>
                <w:color w:val="000000"/>
                <w:sz w:val="20"/>
                <w:szCs w:val="20"/>
                <w:vertAlign w:val="superscript"/>
              </w:rPr>
              <w:t>1</w:t>
            </w:r>
          </w:p>
        </w:tc>
        <w:tc>
          <w:tcPr>
            <w:tcW w:w="1248" w:type="dxa"/>
          </w:tcPr>
          <w:p>
            <w:pPr>
              <w:spacing w:before="120" w:after="120"/>
              <w:jc w:val="center"/>
              <w:rPr>
                <w:noProof/>
                <w:sz w:val="20"/>
                <w:szCs w:val="20"/>
              </w:rPr>
            </w:pPr>
            <w:r>
              <w:rPr>
                <w:noProof/>
                <w:sz w:val="20"/>
                <w:szCs w:val="20"/>
              </w:rPr>
              <w:t>265.26</w:t>
            </w:r>
          </w:p>
        </w:tc>
        <w:tc>
          <w:tcPr>
            <w:tcW w:w="1368" w:type="dxa"/>
          </w:tcPr>
          <w:p>
            <w:pPr>
              <w:spacing w:before="120" w:after="120"/>
              <w:jc w:val="center"/>
              <w:rPr>
                <w:noProof/>
                <w:sz w:val="20"/>
                <w:szCs w:val="20"/>
              </w:rPr>
            </w:pPr>
            <w:r>
              <w:rPr>
                <w:noProof/>
                <w:sz w:val="20"/>
                <w:szCs w:val="20"/>
              </w:rPr>
              <w:t>270.07</w:t>
            </w:r>
          </w:p>
        </w:tc>
        <w:tc>
          <w:tcPr>
            <w:tcW w:w="1368" w:type="dxa"/>
          </w:tcPr>
          <w:p>
            <w:pPr>
              <w:spacing w:before="120" w:after="120"/>
              <w:jc w:val="center"/>
              <w:rPr>
                <w:noProof/>
                <w:sz w:val="20"/>
                <w:szCs w:val="20"/>
              </w:rPr>
            </w:pPr>
            <w:r>
              <w:rPr>
                <w:noProof/>
                <w:sz w:val="20"/>
                <w:szCs w:val="20"/>
              </w:rPr>
              <w:t>269.77</w:t>
            </w:r>
          </w:p>
        </w:tc>
        <w:tc>
          <w:tcPr>
            <w:tcW w:w="1368" w:type="dxa"/>
          </w:tcPr>
          <w:p>
            <w:pPr>
              <w:spacing w:before="120" w:after="120"/>
              <w:jc w:val="center"/>
              <w:rPr>
                <w:noProof/>
                <w:sz w:val="20"/>
                <w:szCs w:val="20"/>
              </w:rPr>
            </w:pPr>
            <w:r>
              <w:rPr>
                <w:noProof/>
                <w:sz w:val="20"/>
                <w:szCs w:val="20"/>
              </w:rPr>
              <w:t>272.65</w:t>
            </w:r>
          </w:p>
        </w:tc>
        <w:tc>
          <w:tcPr>
            <w:tcW w:w="1368" w:type="dxa"/>
          </w:tcPr>
          <w:p>
            <w:pPr>
              <w:spacing w:before="120" w:after="120"/>
              <w:jc w:val="center"/>
              <w:rPr>
                <w:noProof/>
                <w:sz w:val="20"/>
                <w:szCs w:val="20"/>
              </w:rPr>
            </w:pPr>
            <w:r>
              <w:rPr>
                <w:noProof/>
                <w:sz w:val="20"/>
                <w:szCs w:val="20"/>
              </w:rPr>
              <w:t>271.08</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szCs w:val="20"/>
              </w:rPr>
              <w:t>Pigs, poultry</w:t>
            </w:r>
          </w:p>
        </w:tc>
        <w:tc>
          <w:tcPr>
            <w:tcW w:w="1248" w:type="dxa"/>
          </w:tcPr>
          <w:p>
            <w:pPr>
              <w:spacing w:before="120" w:after="120"/>
              <w:jc w:val="center"/>
              <w:rPr>
                <w:noProof/>
                <w:sz w:val="20"/>
                <w:szCs w:val="20"/>
              </w:rPr>
            </w:pPr>
            <w:r>
              <w:rPr>
                <w:noProof/>
                <w:sz w:val="20"/>
                <w:szCs w:val="20"/>
              </w:rPr>
              <w:t>15.91</w:t>
            </w:r>
          </w:p>
        </w:tc>
        <w:tc>
          <w:tcPr>
            <w:tcW w:w="1368" w:type="dxa"/>
          </w:tcPr>
          <w:p>
            <w:pPr>
              <w:spacing w:before="120" w:after="120"/>
              <w:jc w:val="center"/>
              <w:rPr>
                <w:noProof/>
                <w:sz w:val="20"/>
                <w:szCs w:val="20"/>
              </w:rPr>
            </w:pPr>
            <w:r>
              <w:rPr>
                <w:noProof/>
                <w:sz w:val="20"/>
                <w:szCs w:val="20"/>
              </w:rPr>
              <w:t>13.75</w:t>
            </w:r>
          </w:p>
        </w:tc>
        <w:tc>
          <w:tcPr>
            <w:tcW w:w="1368" w:type="dxa"/>
          </w:tcPr>
          <w:p>
            <w:pPr>
              <w:spacing w:before="120" w:after="120"/>
              <w:jc w:val="center"/>
              <w:rPr>
                <w:noProof/>
                <w:sz w:val="20"/>
                <w:szCs w:val="20"/>
              </w:rPr>
            </w:pPr>
            <w:r>
              <w:rPr>
                <w:noProof/>
                <w:sz w:val="20"/>
                <w:szCs w:val="20"/>
              </w:rPr>
              <w:t>12.31</w:t>
            </w:r>
          </w:p>
        </w:tc>
        <w:tc>
          <w:tcPr>
            <w:tcW w:w="1368" w:type="dxa"/>
          </w:tcPr>
          <w:p>
            <w:pPr>
              <w:spacing w:before="120" w:after="120"/>
              <w:jc w:val="center"/>
              <w:rPr>
                <w:noProof/>
                <w:sz w:val="20"/>
                <w:szCs w:val="20"/>
              </w:rPr>
            </w:pPr>
            <w:r>
              <w:rPr>
                <w:noProof/>
                <w:sz w:val="20"/>
                <w:szCs w:val="20"/>
              </w:rPr>
              <w:t>12.13</w:t>
            </w:r>
          </w:p>
        </w:tc>
        <w:tc>
          <w:tcPr>
            <w:tcW w:w="1368" w:type="dxa"/>
          </w:tcPr>
          <w:p>
            <w:pPr>
              <w:spacing w:before="120" w:after="120"/>
              <w:jc w:val="center"/>
              <w:rPr>
                <w:noProof/>
                <w:sz w:val="20"/>
                <w:szCs w:val="20"/>
              </w:rPr>
            </w:pPr>
            <w:r>
              <w:rPr>
                <w:noProof/>
                <w:sz w:val="20"/>
                <w:szCs w:val="20"/>
              </w:rPr>
              <w:t>12.60</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szCs w:val="20"/>
              </w:rPr>
              <w:t>Soft fruit, vegetables incl. potatoes</w:t>
            </w:r>
          </w:p>
        </w:tc>
        <w:tc>
          <w:tcPr>
            <w:tcW w:w="1248" w:type="dxa"/>
          </w:tcPr>
          <w:p>
            <w:pPr>
              <w:spacing w:before="120" w:after="120"/>
              <w:jc w:val="center"/>
              <w:rPr>
                <w:noProof/>
                <w:sz w:val="20"/>
                <w:szCs w:val="20"/>
              </w:rPr>
            </w:pPr>
            <w:r>
              <w:rPr>
                <w:noProof/>
                <w:sz w:val="20"/>
                <w:szCs w:val="20"/>
              </w:rPr>
              <w:t>1.03</w:t>
            </w:r>
          </w:p>
        </w:tc>
        <w:tc>
          <w:tcPr>
            <w:tcW w:w="1368" w:type="dxa"/>
          </w:tcPr>
          <w:p>
            <w:pPr>
              <w:spacing w:before="120" w:after="120"/>
              <w:jc w:val="center"/>
              <w:rPr>
                <w:noProof/>
                <w:sz w:val="20"/>
                <w:szCs w:val="20"/>
              </w:rPr>
            </w:pPr>
            <w:r>
              <w:rPr>
                <w:noProof/>
                <w:sz w:val="20"/>
                <w:szCs w:val="20"/>
              </w:rPr>
              <w:t>1.03</w:t>
            </w:r>
          </w:p>
        </w:tc>
        <w:tc>
          <w:tcPr>
            <w:tcW w:w="1368" w:type="dxa"/>
          </w:tcPr>
          <w:p>
            <w:pPr>
              <w:spacing w:before="120" w:after="120"/>
              <w:jc w:val="center"/>
              <w:rPr>
                <w:noProof/>
                <w:sz w:val="20"/>
                <w:szCs w:val="20"/>
              </w:rPr>
            </w:pPr>
            <w:r>
              <w:rPr>
                <w:noProof/>
                <w:sz w:val="20"/>
                <w:szCs w:val="20"/>
              </w:rPr>
              <w:t>0.99</w:t>
            </w:r>
          </w:p>
        </w:tc>
        <w:tc>
          <w:tcPr>
            <w:tcW w:w="1368" w:type="dxa"/>
          </w:tcPr>
          <w:p>
            <w:pPr>
              <w:spacing w:before="120" w:after="120"/>
              <w:jc w:val="center"/>
              <w:rPr>
                <w:noProof/>
                <w:sz w:val="20"/>
                <w:szCs w:val="20"/>
              </w:rPr>
            </w:pPr>
            <w:r>
              <w:rPr>
                <w:noProof/>
                <w:sz w:val="20"/>
                <w:szCs w:val="20"/>
              </w:rPr>
              <w:t>0.97</w:t>
            </w:r>
          </w:p>
        </w:tc>
        <w:tc>
          <w:tcPr>
            <w:tcW w:w="1368" w:type="dxa"/>
          </w:tcPr>
          <w:p>
            <w:pPr>
              <w:spacing w:before="120" w:after="120"/>
              <w:jc w:val="center"/>
              <w:rPr>
                <w:noProof/>
                <w:sz w:val="20"/>
                <w:szCs w:val="20"/>
              </w:rPr>
            </w:pPr>
            <w:r>
              <w:rPr>
                <w:noProof/>
                <w:sz w:val="20"/>
                <w:szCs w:val="20"/>
              </w:rPr>
              <w:t>0.92</w:t>
            </w:r>
          </w:p>
        </w:tc>
      </w:tr>
      <w:tr>
        <w:trPr>
          <w:trHeight w:val="247"/>
        </w:trPr>
        <w:tc>
          <w:tcPr>
            <w:tcW w:w="2280" w:type="dxa"/>
          </w:tcPr>
          <w:p>
            <w:pPr>
              <w:autoSpaceDE w:val="0"/>
              <w:autoSpaceDN w:val="0"/>
              <w:adjustRightInd w:val="0"/>
              <w:spacing w:before="120" w:after="120"/>
              <w:rPr>
                <w:b/>
                <w:noProof/>
                <w:color w:val="000000"/>
                <w:sz w:val="20"/>
                <w:szCs w:val="20"/>
              </w:rPr>
            </w:pPr>
            <w:r>
              <w:rPr>
                <w:b/>
                <w:noProof/>
                <w:color w:val="000000"/>
                <w:sz w:val="20"/>
                <w:szCs w:val="20"/>
              </w:rPr>
              <w:t>Total</w:t>
            </w:r>
          </w:p>
        </w:tc>
        <w:tc>
          <w:tcPr>
            <w:tcW w:w="1248" w:type="dxa"/>
          </w:tcPr>
          <w:p>
            <w:pPr>
              <w:spacing w:before="120" w:after="120"/>
              <w:jc w:val="center"/>
              <w:rPr>
                <w:b/>
                <w:noProof/>
                <w:sz w:val="20"/>
                <w:szCs w:val="20"/>
              </w:rPr>
            </w:pPr>
            <w:r>
              <w:rPr>
                <w:b/>
                <w:noProof/>
                <w:sz w:val="20"/>
                <w:szCs w:val="20"/>
              </w:rPr>
              <w:t>282.20</w:t>
            </w:r>
          </w:p>
        </w:tc>
        <w:tc>
          <w:tcPr>
            <w:tcW w:w="1368" w:type="dxa"/>
          </w:tcPr>
          <w:p>
            <w:pPr>
              <w:spacing w:before="120" w:after="120"/>
              <w:jc w:val="center"/>
              <w:rPr>
                <w:b/>
                <w:noProof/>
                <w:sz w:val="20"/>
                <w:szCs w:val="20"/>
              </w:rPr>
            </w:pPr>
            <w:r>
              <w:rPr>
                <w:b/>
                <w:noProof/>
                <w:sz w:val="20"/>
                <w:szCs w:val="20"/>
              </w:rPr>
              <w:t>284.85</w:t>
            </w:r>
          </w:p>
        </w:tc>
        <w:tc>
          <w:tcPr>
            <w:tcW w:w="1368" w:type="dxa"/>
          </w:tcPr>
          <w:p>
            <w:pPr>
              <w:spacing w:before="120" w:after="120"/>
              <w:jc w:val="center"/>
              <w:rPr>
                <w:b/>
                <w:noProof/>
                <w:sz w:val="20"/>
                <w:szCs w:val="20"/>
              </w:rPr>
            </w:pPr>
            <w:r>
              <w:rPr>
                <w:b/>
                <w:noProof/>
                <w:sz w:val="20"/>
                <w:szCs w:val="20"/>
              </w:rPr>
              <w:t>283.07</w:t>
            </w:r>
          </w:p>
        </w:tc>
        <w:tc>
          <w:tcPr>
            <w:tcW w:w="1368" w:type="dxa"/>
          </w:tcPr>
          <w:p>
            <w:pPr>
              <w:spacing w:before="120" w:after="120"/>
              <w:jc w:val="center"/>
              <w:rPr>
                <w:b/>
                <w:noProof/>
                <w:sz w:val="20"/>
                <w:szCs w:val="20"/>
              </w:rPr>
            </w:pPr>
            <w:r>
              <w:rPr>
                <w:b/>
                <w:noProof/>
                <w:sz w:val="20"/>
                <w:szCs w:val="20"/>
              </w:rPr>
              <w:t>285.75</w:t>
            </w:r>
          </w:p>
        </w:tc>
        <w:tc>
          <w:tcPr>
            <w:tcW w:w="1368" w:type="dxa"/>
          </w:tcPr>
          <w:p>
            <w:pPr>
              <w:spacing w:before="120" w:after="120"/>
              <w:jc w:val="center"/>
              <w:rPr>
                <w:b/>
                <w:noProof/>
                <w:sz w:val="20"/>
                <w:szCs w:val="20"/>
              </w:rPr>
            </w:pPr>
            <w:r>
              <w:rPr>
                <w:b/>
                <w:noProof/>
                <w:sz w:val="20"/>
                <w:szCs w:val="20"/>
              </w:rPr>
              <w:t>284.60</w:t>
            </w:r>
          </w:p>
        </w:tc>
      </w:tr>
    </w:tbl>
    <w:p>
      <w:pPr>
        <w:spacing w:before="120" w:after="120"/>
        <w:rPr>
          <w:noProof/>
          <w:sz w:val="20"/>
          <w:szCs w:val="20"/>
        </w:rPr>
      </w:pPr>
      <w:r>
        <w:rPr>
          <w:b/>
          <w:noProof/>
          <w:sz w:val="20"/>
          <w:szCs w:val="20"/>
          <w:vertAlign w:val="superscript"/>
        </w:rPr>
        <w:t>1</w:t>
      </w:r>
      <w:r>
        <w:rPr>
          <w:b/>
          <w:noProof/>
          <w:sz w:val="20"/>
          <w:szCs w:val="20"/>
          <w:vertAlign w:val="superscript"/>
        </w:rPr>
        <w:tab/>
      </w:r>
      <w:r>
        <w:rPr>
          <w:noProof/>
          <w:sz w:val="20"/>
          <w:szCs w:val="20"/>
        </w:rPr>
        <w:t>Including goat's milk and transport support.</w:t>
      </w:r>
    </w:p>
    <w:p>
      <w:pPr>
        <w:spacing w:before="120" w:after="120"/>
        <w:jc w:val="both"/>
        <w:rPr>
          <w:noProof/>
        </w:rPr>
      </w:pPr>
      <w:r>
        <w:rPr>
          <w:noProof/>
        </w:rPr>
        <w:t>From this it can be concluded that the annual Aid granted in Sweden respected the maximum aid allowed by the Decisions.</w:t>
      </w:r>
    </w:p>
    <w:p>
      <w:pPr>
        <w:keepNext/>
        <w:spacing w:before="120" w:after="120"/>
        <w:rPr>
          <w:i/>
          <w:noProof/>
        </w:rPr>
      </w:pPr>
      <w:r>
        <w:rPr>
          <w:i/>
          <w:noProof/>
        </w:rPr>
        <w:t>Total support in the Nordic aid area</w:t>
      </w:r>
    </w:p>
    <w:p>
      <w:pPr>
        <w:spacing w:before="120" w:after="120"/>
        <w:jc w:val="both"/>
        <w:rPr>
          <w:noProof/>
        </w:rPr>
      </w:pPr>
      <w:r>
        <w:rPr>
          <w:noProof/>
        </w:rPr>
        <w:t xml:space="preserve">Agriculture in the Aid scheme areas may also benefit from instruments financed by the EU, notably the two pillars under the CAP (Table 6). Of the second pillar measures, support for less-favoured areas (LFA) and agri-environmental (AE) measures are of particular importance. A ceiling of total support to the Aid region is not fixed in the Decision C(2010)6050. Under the Rural Development Programme 2014-2020, support for ley farming can only be applied for outside areas of natural constraints (former LFA). Payments for environmental support to ley farming in areas of natural constraints will therefore decrease towards disappearing in 2018. Follow-up of the level of the EU aid is carried out </w:t>
      </w:r>
      <w:r>
        <w:rPr>
          <w:i/>
          <w:noProof/>
        </w:rPr>
        <w:t>ex post</w:t>
      </w:r>
      <w:r>
        <w:rPr>
          <w:noProof/>
        </w:rPr>
        <w:t xml:space="preserve"> since 2003.</w:t>
      </w:r>
    </w:p>
    <w:p>
      <w:pPr>
        <w:spacing w:before="120" w:after="120"/>
        <w:jc w:val="center"/>
        <w:rPr>
          <w:b/>
          <w:noProof/>
        </w:rPr>
      </w:pPr>
      <w:r>
        <w:rPr>
          <w:b/>
          <w:noProof/>
        </w:rPr>
        <w:t>Table 6: Summary of aid disbursed in Sweden, including Community Aid, MSEK</w:t>
      </w: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gridCol w:w="900"/>
        <w:gridCol w:w="800"/>
        <w:gridCol w:w="800"/>
        <w:gridCol w:w="900"/>
        <w:gridCol w:w="900"/>
      </w:tblGrid>
      <w:tr>
        <w:trPr>
          <w:cantSplit/>
        </w:trPr>
        <w:tc>
          <w:tcPr>
            <w:tcW w:w="4890" w:type="dxa"/>
          </w:tcPr>
          <w:p>
            <w:pPr>
              <w:spacing w:before="120" w:after="120"/>
              <w:jc w:val="center"/>
              <w:rPr>
                <w:rFonts w:eastAsia="SimSun"/>
                <w:noProof/>
                <w:sz w:val="20"/>
                <w:szCs w:val="20"/>
                <w:lang w:eastAsia="zh-CN"/>
              </w:rPr>
            </w:pPr>
            <w:r>
              <w:rPr>
                <w:rFonts w:eastAsia="SimSun"/>
                <w:b/>
                <w:bCs/>
                <w:noProof/>
                <w:sz w:val="20"/>
                <w:szCs w:val="20"/>
                <w:lang w:eastAsia="zh-CN"/>
              </w:rPr>
              <w:t>Type of aid</w:t>
            </w:r>
          </w:p>
        </w:tc>
        <w:tc>
          <w:tcPr>
            <w:tcW w:w="900" w:type="dxa"/>
          </w:tcPr>
          <w:p>
            <w:pPr>
              <w:spacing w:before="120" w:after="120"/>
              <w:jc w:val="center"/>
              <w:rPr>
                <w:rFonts w:eastAsia="SimSun"/>
                <w:b/>
                <w:noProof/>
                <w:sz w:val="20"/>
                <w:szCs w:val="20"/>
                <w:lang w:eastAsia="zh-CN"/>
              </w:rPr>
            </w:pPr>
            <w:r>
              <w:rPr>
                <w:rFonts w:eastAsia="SimSun"/>
                <w:b/>
                <w:noProof/>
                <w:sz w:val="20"/>
                <w:szCs w:val="20"/>
                <w:lang w:eastAsia="zh-CN"/>
              </w:rPr>
              <w:t>2011</w:t>
            </w:r>
          </w:p>
        </w:tc>
        <w:tc>
          <w:tcPr>
            <w:tcW w:w="0" w:type="auto"/>
          </w:tcPr>
          <w:p>
            <w:pPr>
              <w:spacing w:before="120" w:after="120"/>
              <w:jc w:val="center"/>
              <w:rPr>
                <w:rFonts w:eastAsia="SimSun"/>
                <w:b/>
                <w:noProof/>
                <w:sz w:val="20"/>
                <w:szCs w:val="20"/>
                <w:lang w:eastAsia="zh-CN"/>
              </w:rPr>
            </w:pPr>
            <w:r>
              <w:rPr>
                <w:rFonts w:eastAsia="SimSun"/>
                <w:b/>
                <w:noProof/>
                <w:sz w:val="20"/>
                <w:szCs w:val="20"/>
                <w:lang w:eastAsia="zh-CN"/>
              </w:rPr>
              <w:t>2012</w:t>
            </w:r>
          </w:p>
        </w:tc>
        <w:tc>
          <w:tcPr>
            <w:tcW w:w="0" w:type="auto"/>
          </w:tcPr>
          <w:p>
            <w:pPr>
              <w:spacing w:before="120" w:after="120"/>
              <w:jc w:val="center"/>
              <w:rPr>
                <w:rFonts w:eastAsia="SimSun"/>
                <w:b/>
                <w:noProof/>
                <w:sz w:val="20"/>
                <w:szCs w:val="20"/>
                <w:lang w:eastAsia="zh-CN"/>
              </w:rPr>
            </w:pPr>
            <w:r>
              <w:rPr>
                <w:rFonts w:eastAsia="SimSun"/>
                <w:b/>
                <w:noProof/>
                <w:sz w:val="20"/>
                <w:szCs w:val="20"/>
                <w:lang w:eastAsia="zh-CN"/>
              </w:rPr>
              <w:t>2013</w:t>
            </w:r>
          </w:p>
        </w:tc>
        <w:tc>
          <w:tcPr>
            <w:tcW w:w="900" w:type="dxa"/>
          </w:tcPr>
          <w:p>
            <w:pPr>
              <w:spacing w:before="120" w:after="120"/>
              <w:jc w:val="center"/>
              <w:rPr>
                <w:rFonts w:eastAsia="SimSun"/>
                <w:b/>
                <w:noProof/>
                <w:sz w:val="20"/>
                <w:szCs w:val="20"/>
                <w:lang w:eastAsia="zh-CN"/>
              </w:rPr>
            </w:pPr>
            <w:r>
              <w:rPr>
                <w:rFonts w:eastAsia="SimSun"/>
                <w:b/>
                <w:noProof/>
                <w:sz w:val="20"/>
                <w:szCs w:val="20"/>
                <w:lang w:eastAsia="zh-CN"/>
              </w:rPr>
              <w:t>2014</w:t>
            </w:r>
          </w:p>
        </w:tc>
        <w:tc>
          <w:tcPr>
            <w:tcW w:w="900" w:type="dxa"/>
          </w:tcPr>
          <w:p>
            <w:pPr>
              <w:spacing w:before="120" w:after="120"/>
              <w:jc w:val="center"/>
              <w:rPr>
                <w:rFonts w:eastAsia="SimSun"/>
                <w:b/>
                <w:noProof/>
                <w:sz w:val="20"/>
                <w:szCs w:val="20"/>
                <w:lang w:eastAsia="zh-CN"/>
              </w:rPr>
            </w:pPr>
            <w:r>
              <w:rPr>
                <w:rFonts w:eastAsia="SimSun"/>
                <w:b/>
                <w:noProof/>
                <w:sz w:val="20"/>
                <w:szCs w:val="20"/>
                <w:lang w:eastAsia="zh-CN"/>
              </w:rPr>
              <w:t>2015</w:t>
            </w:r>
          </w:p>
        </w:tc>
      </w:tr>
      <w:tr>
        <w:trPr>
          <w:cantSplit/>
        </w:trPr>
        <w:tc>
          <w:tcPr>
            <w:tcW w:w="4890" w:type="dxa"/>
          </w:tcPr>
          <w:p>
            <w:pPr>
              <w:autoSpaceDE w:val="0"/>
              <w:autoSpaceDN w:val="0"/>
              <w:adjustRightInd w:val="0"/>
              <w:spacing w:before="120" w:after="120"/>
              <w:jc w:val="center"/>
              <w:rPr>
                <w:rFonts w:eastAsia="SimSun"/>
                <w:bCs/>
                <w:noProof/>
                <w:sz w:val="20"/>
                <w:szCs w:val="20"/>
                <w:lang w:eastAsia="zh-CN"/>
              </w:rPr>
            </w:pPr>
            <w:r>
              <w:rPr>
                <w:rFonts w:eastAsia="SimSun"/>
                <w:bCs/>
                <w:noProof/>
                <w:sz w:val="20"/>
                <w:szCs w:val="20"/>
                <w:lang w:eastAsia="zh-CN"/>
              </w:rPr>
              <w:t>Compensatory payment (LFA)</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307.01</w:t>
            </w:r>
          </w:p>
        </w:tc>
        <w:tc>
          <w:tcPr>
            <w:tcW w:w="0" w:type="auto"/>
          </w:tcPr>
          <w:p>
            <w:pPr>
              <w:spacing w:before="120" w:after="120"/>
              <w:jc w:val="center"/>
              <w:rPr>
                <w:rFonts w:eastAsia="SimSun"/>
                <w:noProof/>
                <w:sz w:val="20"/>
                <w:szCs w:val="20"/>
                <w:lang w:eastAsia="zh-CN"/>
              </w:rPr>
            </w:pPr>
            <w:r>
              <w:rPr>
                <w:rFonts w:eastAsia="SimSun"/>
                <w:noProof/>
                <w:sz w:val="20"/>
                <w:szCs w:val="20"/>
                <w:lang w:eastAsia="zh-CN"/>
              </w:rPr>
              <w:t>312.83</w:t>
            </w:r>
          </w:p>
        </w:tc>
        <w:tc>
          <w:tcPr>
            <w:tcW w:w="0" w:type="auto"/>
          </w:tcPr>
          <w:p>
            <w:pPr>
              <w:spacing w:before="120" w:after="120"/>
              <w:jc w:val="center"/>
              <w:rPr>
                <w:rFonts w:eastAsia="SimSun"/>
                <w:noProof/>
                <w:sz w:val="20"/>
                <w:szCs w:val="20"/>
                <w:lang w:eastAsia="zh-CN"/>
              </w:rPr>
            </w:pPr>
            <w:r>
              <w:rPr>
                <w:rFonts w:eastAsia="SimSun"/>
                <w:noProof/>
                <w:sz w:val="20"/>
                <w:szCs w:val="20"/>
                <w:lang w:eastAsia="zh-CN"/>
              </w:rPr>
              <w:t>301.95</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299.36</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617</w:t>
            </w:r>
            <w:r>
              <w:rPr>
                <w:rFonts w:eastAsia="SimSun"/>
                <w:b/>
                <w:noProof/>
                <w:sz w:val="20"/>
                <w:szCs w:val="20"/>
                <w:vertAlign w:val="superscript"/>
                <w:lang w:eastAsia="zh-CN"/>
              </w:rPr>
              <w:t>*</w:t>
            </w:r>
          </w:p>
        </w:tc>
      </w:tr>
      <w:tr>
        <w:trPr>
          <w:cantSplit/>
        </w:trPr>
        <w:tc>
          <w:tcPr>
            <w:tcW w:w="4890" w:type="dxa"/>
          </w:tcPr>
          <w:p>
            <w:pPr>
              <w:spacing w:before="120" w:after="120"/>
              <w:jc w:val="center"/>
              <w:rPr>
                <w:rFonts w:eastAsia="SimSun"/>
                <w:bCs/>
                <w:noProof/>
                <w:sz w:val="20"/>
                <w:szCs w:val="20"/>
                <w:lang w:eastAsia="zh-CN"/>
              </w:rPr>
            </w:pPr>
            <w:r>
              <w:rPr>
                <w:rFonts w:eastAsia="SimSun"/>
                <w:bCs/>
                <w:noProof/>
                <w:sz w:val="20"/>
                <w:szCs w:val="20"/>
                <w:lang w:eastAsia="zh-CN"/>
              </w:rPr>
              <w:t>AE support (ley farming)</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295.44</w:t>
            </w:r>
          </w:p>
        </w:tc>
        <w:tc>
          <w:tcPr>
            <w:tcW w:w="0" w:type="auto"/>
          </w:tcPr>
          <w:p>
            <w:pPr>
              <w:spacing w:before="120" w:after="120"/>
              <w:jc w:val="center"/>
              <w:rPr>
                <w:rFonts w:eastAsia="SimSun"/>
                <w:noProof/>
                <w:sz w:val="20"/>
                <w:szCs w:val="20"/>
                <w:lang w:eastAsia="zh-CN"/>
              </w:rPr>
            </w:pPr>
            <w:r>
              <w:rPr>
                <w:rFonts w:eastAsia="SimSun"/>
                <w:noProof/>
                <w:sz w:val="20"/>
                <w:szCs w:val="20"/>
                <w:lang w:eastAsia="zh-CN"/>
              </w:rPr>
              <w:t>297.13</w:t>
            </w:r>
          </w:p>
        </w:tc>
        <w:tc>
          <w:tcPr>
            <w:tcW w:w="0" w:type="auto"/>
          </w:tcPr>
          <w:p>
            <w:pPr>
              <w:spacing w:before="120" w:after="120"/>
              <w:jc w:val="center"/>
              <w:rPr>
                <w:rFonts w:eastAsia="SimSun"/>
                <w:noProof/>
                <w:sz w:val="20"/>
                <w:szCs w:val="20"/>
                <w:lang w:eastAsia="zh-CN"/>
              </w:rPr>
            </w:pPr>
            <w:r>
              <w:rPr>
                <w:rFonts w:eastAsia="SimSun"/>
                <w:noProof/>
                <w:sz w:val="20"/>
                <w:szCs w:val="20"/>
                <w:lang w:eastAsia="zh-CN"/>
              </w:rPr>
              <w:t>293.62</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287.65</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32.46</w:t>
            </w:r>
            <w:r>
              <w:rPr>
                <w:rFonts w:eastAsia="SimSun"/>
                <w:b/>
                <w:noProof/>
                <w:sz w:val="20"/>
                <w:szCs w:val="20"/>
                <w:vertAlign w:val="superscript"/>
                <w:lang w:eastAsia="zh-CN"/>
              </w:rPr>
              <w:t>*</w:t>
            </w:r>
          </w:p>
        </w:tc>
      </w:tr>
      <w:tr>
        <w:trPr>
          <w:cantSplit/>
        </w:trPr>
        <w:tc>
          <w:tcPr>
            <w:tcW w:w="4890" w:type="dxa"/>
          </w:tcPr>
          <w:p>
            <w:pPr>
              <w:spacing w:before="120" w:after="120"/>
              <w:jc w:val="center"/>
              <w:rPr>
                <w:rFonts w:eastAsia="SimSun"/>
                <w:bCs/>
                <w:noProof/>
                <w:sz w:val="20"/>
                <w:szCs w:val="20"/>
                <w:lang w:eastAsia="zh-CN"/>
              </w:rPr>
            </w:pPr>
            <w:r>
              <w:rPr>
                <w:rFonts w:eastAsia="SimSun"/>
                <w:bCs/>
                <w:noProof/>
                <w:sz w:val="20"/>
                <w:szCs w:val="20"/>
                <w:lang w:eastAsia="zh-CN"/>
              </w:rPr>
              <w:t>Nordic aid</w:t>
            </w:r>
            <w:r>
              <w:rPr>
                <w:rStyle w:val="FootnoteReference"/>
                <w:noProof/>
              </w:rPr>
              <w:footnoteReference w:id="8"/>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301.50</w:t>
            </w:r>
          </w:p>
        </w:tc>
        <w:tc>
          <w:tcPr>
            <w:tcW w:w="0" w:type="auto"/>
          </w:tcPr>
          <w:p>
            <w:pPr>
              <w:spacing w:before="120" w:after="120"/>
              <w:jc w:val="center"/>
              <w:rPr>
                <w:rFonts w:eastAsia="SimSun"/>
                <w:noProof/>
                <w:sz w:val="20"/>
                <w:szCs w:val="20"/>
                <w:lang w:eastAsia="zh-CN"/>
              </w:rPr>
            </w:pPr>
            <w:r>
              <w:rPr>
                <w:rFonts w:eastAsia="SimSun"/>
                <w:noProof/>
                <w:sz w:val="20"/>
                <w:szCs w:val="20"/>
                <w:lang w:eastAsia="zh-CN"/>
              </w:rPr>
              <w:t>297.87</w:t>
            </w:r>
          </w:p>
        </w:tc>
        <w:tc>
          <w:tcPr>
            <w:tcW w:w="0" w:type="auto"/>
          </w:tcPr>
          <w:p>
            <w:pPr>
              <w:spacing w:before="120" w:after="120"/>
              <w:jc w:val="center"/>
              <w:rPr>
                <w:rFonts w:eastAsia="SimSun"/>
                <w:noProof/>
                <w:sz w:val="20"/>
                <w:szCs w:val="20"/>
                <w:lang w:eastAsia="zh-CN"/>
              </w:rPr>
            </w:pPr>
            <w:r>
              <w:rPr>
                <w:rFonts w:eastAsia="SimSun"/>
                <w:noProof/>
                <w:sz w:val="20"/>
                <w:szCs w:val="20"/>
                <w:lang w:eastAsia="zh-CN"/>
              </w:rPr>
              <w:t>301.53</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304.88</w:t>
            </w:r>
          </w:p>
        </w:tc>
        <w:tc>
          <w:tcPr>
            <w:tcW w:w="900" w:type="dxa"/>
          </w:tcPr>
          <w:p>
            <w:pPr>
              <w:spacing w:before="120" w:after="120"/>
              <w:jc w:val="center"/>
              <w:rPr>
                <w:rFonts w:eastAsia="SimSun"/>
                <w:noProof/>
                <w:sz w:val="20"/>
                <w:szCs w:val="20"/>
                <w:lang w:eastAsia="zh-CN"/>
              </w:rPr>
            </w:pPr>
            <w:r>
              <w:rPr>
                <w:rFonts w:eastAsia="SimSun"/>
                <w:noProof/>
                <w:sz w:val="20"/>
                <w:szCs w:val="20"/>
                <w:lang w:eastAsia="zh-CN"/>
              </w:rPr>
              <w:t>303.90</w:t>
            </w:r>
          </w:p>
        </w:tc>
      </w:tr>
      <w:tr>
        <w:trPr>
          <w:cantSplit/>
        </w:trPr>
        <w:tc>
          <w:tcPr>
            <w:tcW w:w="4890" w:type="dxa"/>
          </w:tcPr>
          <w:p>
            <w:pPr>
              <w:spacing w:before="120" w:after="120"/>
              <w:jc w:val="center"/>
              <w:rPr>
                <w:rFonts w:eastAsia="SimSun"/>
                <w:b/>
                <w:bCs/>
                <w:noProof/>
                <w:sz w:val="20"/>
                <w:szCs w:val="20"/>
                <w:lang w:eastAsia="zh-CN"/>
              </w:rPr>
            </w:pPr>
            <w:r>
              <w:rPr>
                <w:rFonts w:eastAsia="SimSun"/>
                <w:b/>
                <w:bCs/>
                <w:noProof/>
                <w:sz w:val="20"/>
                <w:szCs w:val="20"/>
                <w:lang w:eastAsia="zh-CN"/>
              </w:rPr>
              <w:t>Total</w:t>
            </w:r>
          </w:p>
        </w:tc>
        <w:tc>
          <w:tcPr>
            <w:tcW w:w="900" w:type="dxa"/>
          </w:tcPr>
          <w:p>
            <w:pPr>
              <w:spacing w:before="120" w:after="120"/>
              <w:jc w:val="center"/>
              <w:rPr>
                <w:rFonts w:eastAsia="SimSun"/>
                <w:b/>
                <w:noProof/>
                <w:sz w:val="20"/>
                <w:szCs w:val="20"/>
                <w:lang w:eastAsia="zh-CN"/>
              </w:rPr>
            </w:pPr>
            <w:r>
              <w:rPr>
                <w:rFonts w:eastAsia="SimSun"/>
                <w:b/>
                <w:noProof/>
                <w:sz w:val="20"/>
                <w:szCs w:val="20"/>
                <w:lang w:eastAsia="zh-CN"/>
              </w:rPr>
              <w:t>903.95</w:t>
            </w:r>
          </w:p>
        </w:tc>
        <w:tc>
          <w:tcPr>
            <w:tcW w:w="0" w:type="auto"/>
          </w:tcPr>
          <w:p>
            <w:pPr>
              <w:spacing w:before="120" w:after="120"/>
              <w:jc w:val="center"/>
              <w:rPr>
                <w:rFonts w:eastAsia="SimSun"/>
                <w:b/>
                <w:noProof/>
                <w:sz w:val="20"/>
                <w:szCs w:val="20"/>
                <w:lang w:eastAsia="zh-CN"/>
              </w:rPr>
            </w:pPr>
            <w:r>
              <w:rPr>
                <w:rFonts w:eastAsia="SimSun"/>
                <w:b/>
                <w:noProof/>
                <w:sz w:val="20"/>
                <w:szCs w:val="20"/>
                <w:lang w:eastAsia="zh-CN"/>
              </w:rPr>
              <w:t>906.71</w:t>
            </w:r>
          </w:p>
        </w:tc>
        <w:tc>
          <w:tcPr>
            <w:tcW w:w="0" w:type="auto"/>
          </w:tcPr>
          <w:p>
            <w:pPr>
              <w:spacing w:before="120" w:after="120"/>
              <w:jc w:val="center"/>
              <w:rPr>
                <w:rFonts w:eastAsia="SimSun"/>
                <w:b/>
                <w:noProof/>
                <w:sz w:val="20"/>
                <w:szCs w:val="20"/>
                <w:lang w:eastAsia="zh-CN"/>
              </w:rPr>
            </w:pPr>
            <w:r>
              <w:rPr>
                <w:rFonts w:eastAsia="SimSun"/>
                <w:b/>
                <w:noProof/>
                <w:sz w:val="20"/>
                <w:szCs w:val="20"/>
                <w:lang w:eastAsia="zh-CN"/>
              </w:rPr>
              <w:t>897.10</w:t>
            </w:r>
          </w:p>
        </w:tc>
        <w:tc>
          <w:tcPr>
            <w:tcW w:w="900" w:type="dxa"/>
          </w:tcPr>
          <w:p>
            <w:pPr>
              <w:spacing w:before="120" w:after="120"/>
              <w:jc w:val="center"/>
              <w:rPr>
                <w:rFonts w:eastAsia="SimSun"/>
                <w:b/>
                <w:noProof/>
                <w:sz w:val="20"/>
                <w:szCs w:val="20"/>
                <w:lang w:eastAsia="zh-CN"/>
              </w:rPr>
            </w:pPr>
            <w:r>
              <w:rPr>
                <w:rFonts w:eastAsia="SimSun"/>
                <w:b/>
                <w:noProof/>
                <w:sz w:val="20"/>
                <w:szCs w:val="20"/>
                <w:lang w:eastAsia="zh-CN"/>
              </w:rPr>
              <w:t>891.89</w:t>
            </w:r>
          </w:p>
        </w:tc>
        <w:tc>
          <w:tcPr>
            <w:tcW w:w="900" w:type="dxa"/>
          </w:tcPr>
          <w:p>
            <w:pPr>
              <w:spacing w:before="120" w:after="120"/>
              <w:jc w:val="center"/>
              <w:rPr>
                <w:rFonts w:eastAsia="SimSun"/>
                <w:b/>
                <w:noProof/>
                <w:sz w:val="20"/>
                <w:szCs w:val="20"/>
                <w:lang w:eastAsia="zh-CN"/>
              </w:rPr>
            </w:pPr>
            <w:r>
              <w:rPr>
                <w:rFonts w:eastAsia="SimSun"/>
                <w:b/>
                <w:noProof/>
                <w:sz w:val="20"/>
                <w:szCs w:val="20"/>
                <w:lang w:eastAsia="zh-CN"/>
              </w:rPr>
              <w:t>953.36</w:t>
            </w:r>
          </w:p>
        </w:tc>
      </w:tr>
    </w:tbl>
    <w:p>
      <w:pPr>
        <w:spacing w:before="120" w:after="120"/>
        <w:rPr>
          <w:noProof/>
          <w:vertAlign w:val="superscript"/>
        </w:rPr>
      </w:pPr>
      <w:r>
        <w:rPr>
          <w:b/>
          <w:noProof/>
          <w:vertAlign w:val="superscript"/>
        </w:rPr>
        <w:t>*</w:t>
      </w:r>
      <w:r>
        <w:rPr>
          <w:b/>
          <w:noProof/>
          <w:vertAlign w:val="superscript"/>
        </w:rPr>
        <w:tab/>
      </w:r>
      <w:r>
        <w:rPr>
          <w:noProof/>
          <w:sz w:val="20"/>
          <w:szCs w:val="20"/>
        </w:rPr>
        <w:t>Prognosis based on partial payments finalised.</w:t>
      </w:r>
    </w:p>
    <w:p>
      <w:pPr>
        <w:spacing w:before="120" w:after="120"/>
        <w:jc w:val="both"/>
        <w:rPr>
          <w:noProof/>
        </w:rPr>
      </w:pPr>
      <w:r>
        <w:rPr>
          <w:noProof/>
        </w:rPr>
        <w:t>The total combined support varies from year to year but does not follow a consistent trend and has remained within the same range since 1997.</w:t>
      </w:r>
    </w:p>
    <w:p>
      <w:pPr>
        <w:keepNext/>
        <w:tabs>
          <w:tab w:val="left" w:pos="850"/>
        </w:tabs>
        <w:spacing w:before="120" w:after="120"/>
        <w:outlineLvl w:val="1"/>
        <w:rPr>
          <w:b/>
          <w:noProof/>
        </w:rPr>
      </w:pPr>
      <w:bookmarkStart w:id="34" w:name="_Toc327522994"/>
      <w:bookmarkStart w:id="35" w:name="_Toc468978090"/>
      <w:r>
        <w:rPr>
          <w:b/>
          <w:noProof/>
        </w:rPr>
        <w:t>5.3.</w:t>
      </w:r>
      <w:r>
        <w:rPr>
          <w:b/>
          <w:noProof/>
        </w:rPr>
        <w:tab/>
        <w:t>Production volumes in the Aid area</w:t>
      </w:r>
      <w:bookmarkEnd w:id="34"/>
      <w:bookmarkEnd w:id="35"/>
    </w:p>
    <w:p>
      <w:pPr>
        <w:keepNext/>
        <w:spacing w:before="120" w:after="120"/>
        <w:rPr>
          <w:i/>
          <w:noProof/>
        </w:rPr>
      </w:pPr>
      <w:r>
        <w:rPr>
          <w:i/>
          <w:noProof/>
        </w:rPr>
        <w:t>Milk sector</w:t>
      </w:r>
    </w:p>
    <w:p>
      <w:pPr>
        <w:spacing w:before="120" w:after="120"/>
        <w:jc w:val="both"/>
        <w:rPr>
          <w:noProof/>
        </w:rPr>
      </w:pPr>
      <w:r>
        <w:rPr>
          <w:noProof/>
        </w:rPr>
        <w:t xml:space="preserve">During 2011-2015, the average amount paid to the production of cow milk was 267 MSEK per year. Milk production in the support area corresponds to 13% of total production in Sweden. There were fewer milk farms in the area in 2015 (795) than in 2011 (999), however the number of cows has stayed stable with just minor variations over the five yars. </w:t>
      </w:r>
    </w:p>
    <w:p>
      <w:pPr>
        <w:spacing w:before="120" w:after="120"/>
        <w:jc w:val="both"/>
        <w:rPr>
          <w:noProof/>
        </w:rPr>
      </w:pPr>
      <w:r>
        <w:rPr>
          <w:noProof/>
        </w:rPr>
        <w:t>Milk is the only production section covered by the Nordic Aid that has seen an increase with 2.7% in production during the five year period. Production increased until 2014, after its lowest level in 2011, to decrease again in 2015. Transport support was paid to between 7 and 9 dairies for an average of 386 202 tonnes per year.</w:t>
      </w:r>
    </w:p>
    <w:p>
      <w:pPr>
        <w:spacing w:before="120" w:after="120"/>
        <w:rPr>
          <w:i/>
          <w:noProof/>
        </w:rPr>
      </w:pPr>
      <w:r>
        <w:rPr>
          <w:i/>
          <w:noProof/>
        </w:rPr>
        <w:t>Pig and poultry</w:t>
      </w:r>
    </w:p>
    <w:p>
      <w:pPr>
        <w:spacing w:before="120" w:after="120"/>
        <w:jc w:val="both"/>
        <w:rPr>
          <w:noProof/>
        </w:rPr>
      </w:pPr>
      <w:r>
        <w:rPr>
          <w:noProof/>
        </w:rPr>
        <w:t>The pig production remained stable and well below the maxium number of eligible production factors. Between 2011 and 2013 there was a sharp decline in the number of pigs for slaughter, but since 2013 the number has been growing but still without reaching the 2011 quantities. One difficult factor for the pig producers in northern Sweden is the low number of slaughterhouses. This implies long distances from farm to slaughterhouse and decreases the possibilities for the farmers to choose where to deliver their animals and to negotiate the slaughter prices. As regards sows for piglet production, the number of farms and sows are decreasing, although the numbers did increase in 2015. The sum of payments shows small variations over the five year period and stayed below the maximum levels allowed.</w:t>
      </w:r>
    </w:p>
    <w:p>
      <w:pPr>
        <w:spacing w:before="120" w:after="120"/>
        <w:jc w:val="both"/>
        <w:rPr>
          <w:noProof/>
        </w:rPr>
      </w:pPr>
      <w:r>
        <w:rPr>
          <w:noProof/>
        </w:rPr>
        <w:t>As regards egg production, seen over the five year period, there is a decreasing trend in the number of farms and hens supported as well as in the amounts paid over the years.</w:t>
      </w:r>
    </w:p>
    <w:p>
      <w:pPr>
        <w:spacing w:before="120" w:after="120"/>
        <w:rPr>
          <w:i/>
          <w:noProof/>
        </w:rPr>
      </w:pPr>
      <w:r>
        <w:rPr>
          <w:i/>
          <w:noProof/>
        </w:rPr>
        <w:t>Soft fruit and vegetables</w:t>
      </w:r>
    </w:p>
    <w:p>
      <w:pPr>
        <w:spacing w:before="120" w:after="120"/>
        <w:jc w:val="both"/>
        <w:rPr>
          <w:noProof/>
        </w:rPr>
      </w:pPr>
      <w:r>
        <w:rPr>
          <w:noProof/>
        </w:rPr>
        <w:t>Between 94 and 103 farms producing soft fruit and vegetables were supported on a yearly basis, covering an average area of 360 ha. The area has fluctuated around these levels during the last five years, and is at around half of the maximum number of eligible production factors.</w:t>
      </w:r>
    </w:p>
    <w:p>
      <w:pPr>
        <w:spacing w:before="120" w:after="120"/>
        <w:rPr>
          <w:i/>
          <w:noProof/>
        </w:rPr>
      </w:pPr>
      <w:r>
        <w:rPr>
          <w:i/>
          <w:noProof/>
        </w:rPr>
        <w:t>Conclusions related to production volumes</w:t>
      </w:r>
    </w:p>
    <w:p>
      <w:pPr>
        <w:spacing w:before="120" w:after="120"/>
        <w:jc w:val="both"/>
        <w:rPr>
          <w:noProof/>
        </w:rPr>
      </w:pPr>
      <w:r>
        <w:rPr>
          <w:noProof/>
        </w:rPr>
        <w:t>As regards milk, the production volumes have slightly increased during the five-year period. The other sectors also remain fairly stable even though the production varies from year to year. All sectors are far below the maximum number of eligible production factors.</w:t>
      </w:r>
    </w:p>
    <w:p>
      <w:pPr>
        <w:keepNext/>
        <w:tabs>
          <w:tab w:val="left" w:pos="850"/>
        </w:tabs>
        <w:spacing w:before="360" w:after="120"/>
        <w:outlineLvl w:val="1"/>
        <w:rPr>
          <w:b/>
          <w:noProof/>
        </w:rPr>
      </w:pPr>
      <w:bookmarkStart w:id="36" w:name="_Toc327522995"/>
      <w:bookmarkStart w:id="37" w:name="_Toc468978091"/>
      <w:r>
        <w:rPr>
          <w:b/>
          <w:noProof/>
        </w:rPr>
        <w:t>5.4.</w:t>
      </w:r>
      <w:r>
        <w:rPr>
          <w:b/>
          <w:noProof/>
        </w:rPr>
        <w:tab/>
        <w:t>Development of the agricultural economy in the Aid region</w:t>
      </w:r>
      <w:bookmarkEnd w:id="36"/>
      <w:bookmarkEnd w:id="37"/>
    </w:p>
    <w:p>
      <w:pPr>
        <w:spacing w:before="120" w:after="120"/>
        <w:jc w:val="both"/>
        <w:rPr>
          <w:noProof/>
        </w:rPr>
      </w:pPr>
      <w:r>
        <w:rPr>
          <w:noProof/>
        </w:rPr>
        <w:t>The Swedish Aid area has a low and decreasing population density, limitations in the potential for economic developments and poor conditions for agriculture. The farm structure is characterized by smaller, more scattered and irregular fields than the average situation in Sweden. This make costs higher, also for transport within farms due to the distances between fields. For the northern most counties' covered by the Nordic Aid scheme, the share of the national production (in GRP) shows a decreasing trend since 1995.</w:t>
      </w:r>
    </w:p>
    <w:p>
      <w:pPr>
        <w:spacing w:before="120" w:after="120"/>
        <w:jc w:val="both"/>
        <w:rPr>
          <w:noProof/>
        </w:rPr>
      </w:pPr>
      <w:r>
        <w:rPr>
          <w:noProof/>
        </w:rPr>
        <w:t>The key agricultural product in the area is milk which counts for 13% of Sweden's total milk production. The number of producers declined from from 2011 until 2015, while the number of cows remained stable however with an unequal development inside the support area. Milk is the only production sector covered by the support scheme that has shown an increase. In 2015  milk production was 10 000 tonnes higher compared to 2011. Farm income of milk farmers declined in this period.</w:t>
      </w:r>
    </w:p>
    <w:p>
      <w:pPr>
        <w:spacing w:before="120" w:after="120"/>
        <w:jc w:val="both"/>
        <w:rPr>
          <w:noProof/>
        </w:rPr>
      </w:pPr>
      <w:r>
        <w:rPr>
          <w:noProof/>
        </w:rPr>
        <w:t xml:space="preserve">In the Aid area, which is dominated by forests, the land in agricultural production contributes to keep the landscape open which favours biodiversity. The agricultural practices in the support areas are characterised by less intensive production as the main cultivation is grassland and pastures. These normally rely on a low level use of pesticides and fertilisers. Therefore the environmental impact is less than from agricultural activities in other parts of the country. </w:t>
      </w:r>
    </w:p>
    <w:p>
      <w:pPr>
        <w:spacing w:before="120" w:after="120"/>
        <w:jc w:val="both"/>
        <w:rPr>
          <w:noProof/>
        </w:rPr>
      </w:pPr>
      <w:r>
        <w:rPr>
          <w:noProof/>
        </w:rPr>
        <w:t>Since 1990 the support region's population development has been negative with a 3% decrease, compared to an increased population in the rest of Sweden (18%).</w:t>
      </w:r>
    </w:p>
    <w:p>
      <w:pPr>
        <w:keepNext/>
        <w:tabs>
          <w:tab w:val="left" w:pos="850"/>
        </w:tabs>
        <w:spacing w:before="360" w:after="120"/>
        <w:outlineLvl w:val="0"/>
        <w:rPr>
          <w:b/>
          <w:smallCaps/>
          <w:noProof/>
        </w:rPr>
      </w:pPr>
      <w:bookmarkStart w:id="38" w:name="_Toc327522996"/>
      <w:bookmarkStart w:id="39" w:name="_Toc468978092"/>
      <w:r>
        <w:rPr>
          <w:b/>
          <w:smallCaps/>
          <w:noProof/>
        </w:rPr>
        <w:t>6.</w:t>
      </w:r>
      <w:r>
        <w:rPr>
          <w:b/>
          <w:smallCaps/>
          <w:noProof/>
        </w:rPr>
        <w:tab/>
        <w:t>CONCLUSIONS</w:t>
      </w:r>
      <w:bookmarkEnd w:id="38"/>
      <w:bookmarkEnd w:id="39"/>
      <w:r>
        <w:rPr>
          <w:b/>
          <w:smallCaps/>
          <w:noProof/>
        </w:rPr>
        <w:t xml:space="preserve"> </w:t>
      </w:r>
    </w:p>
    <w:p>
      <w:pPr>
        <w:spacing w:before="120" w:after="120"/>
        <w:jc w:val="both"/>
        <w:rPr>
          <w:noProof/>
        </w:rPr>
      </w:pPr>
      <w:r>
        <w:rPr>
          <w:noProof/>
        </w:rPr>
        <w:t>This report gives an account of the Nordic aid authorisations granted to Finland and Sweden in the period 2011-2015 and the results achieved. The report was compiled on the basis of data supplied by the Member State authorities in compliance with Article 143(2) of the Act of Accession.</w:t>
      </w:r>
    </w:p>
    <w:p>
      <w:pPr>
        <w:keepNext/>
        <w:tabs>
          <w:tab w:val="left" w:pos="850"/>
        </w:tabs>
        <w:spacing w:before="240" w:after="120"/>
        <w:outlineLvl w:val="1"/>
        <w:rPr>
          <w:b/>
          <w:noProof/>
        </w:rPr>
      </w:pPr>
      <w:bookmarkStart w:id="40" w:name="_Toc327522997"/>
      <w:bookmarkStart w:id="41" w:name="_Toc468978093"/>
      <w:r>
        <w:rPr>
          <w:b/>
          <w:noProof/>
        </w:rPr>
        <w:t>6.1.</w:t>
      </w:r>
      <w:r>
        <w:rPr>
          <w:b/>
          <w:noProof/>
        </w:rPr>
        <w:tab/>
        <w:t>Finland</w:t>
      </w:r>
      <w:bookmarkEnd w:id="40"/>
      <w:bookmarkEnd w:id="41"/>
    </w:p>
    <w:p>
      <w:pPr>
        <w:spacing w:before="120" w:after="120"/>
        <w:jc w:val="both"/>
        <w:rPr>
          <w:noProof/>
        </w:rPr>
      </w:pPr>
      <w:r>
        <w:rPr>
          <w:noProof/>
        </w:rPr>
        <w:t>As regards the implementation of the Finnish Nordic aid scheme, the Commission notes that:</w:t>
      </w:r>
    </w:p>
    <w:p>
      <w:pPr>
        <w:spacing w:before="120" w:after="120"/>
        <w:ind w:left="850" w:hanging="850"/>
        <w:jc w:val="both"/>
        <w:rPr>
          <w:noProof/>
        </w:rPr>
      </w:pPr>
      <w:r>
        <w:rPr>
          <w:noProof/>
        </w:rPr>
        <w:t>1.</w:t>
      </w:r>
      <w:r>
        <w:rPr>
          <w:noProof/>
        </w:rPr>
        <w:tab/>
      </w:r>
      <w:r>
        <w:rPr>
          <w:i/>
          <w:noProof/>
        </w:rPr>
        <w:t>Compliance with the maximum aid allowed by the Commission authorisations</w:t>
      </w:r>
      <w:r>
        <w:rPr>
          <w:noProof/>
        </w:rPr>
        <w:t>: the total amounts of aid paid out, and total support in the Nordic aid area during the period 2011-2015, respected the maximum allowable aid authorised in the Decision C(2009)3067, as amended, with one minor and unforeseen exception in 2014.</w:t>
      </w:r>
    </w:p>
    <w:p>
      <w:pPr>
        <w:spacing w:before="120" w:after="120"/>
        <w:ind w:left="850" w:hanging="850"/>
        <w:jc w:val="both"/>
        <w:rPr>
          <w:noProof/>
        </w:rPr>
      </w:pPr>
      <w:r>
        <w:rPr>
          <w:noProof/>
        </w:rPr>
        <w:t>2.</w:t>
      </w:r>
      <w:r>
        <w:rPr>
          <w:noProof/>
        </w:rPr>
        <w:tab/>
      </w:r>
      <w:r>
        <w:rPr>
          <w:i/>
          <w:noProof/>
        </w:rPr>
        <w:t>Conformity with the maximum number of eligible production factors</w:t>
      </w:r>
      <w:r>
        <w:rPr>
          <w:noProof/>
        </w:rPr>
        <w:t xml:space="preserve">: total production in the Aid area exceeded the maximum number of eligible production factors for milk, and "certain crops". To avoid exceeding the respective total amounts of authorised payments, Finland applied a </w:t>
      </w:r>
      <w:r>
        <w:rPr>
          <w:i/>
          <w:noProof/>
        </w:rPr>
        <w:t>pro-rata</w:t>
      </w:r>
      <w:r>
        <w:rPr>
          <w:noProof/>
        </w:rPr>
        <w:t xml:space="preserve"> reduction of the payment per unit of production factor and, in the case of aid to "certain crops" reduced the eligible area. This system ensured that the obligation of the country concerning the maximum total amounts of paid-out aid was always respected, but the </w:t>
      </w:r>
      <w:r>
        <w:rPr>
          <w:i/>
          <w:noProof/>
        </w:rPr>
        <w:t>pro-rata</w:t>
      </w:r>
      <w:r>
        <w:rPr>
          <w:noProof/>
        </w:rPr>
        <w:t xml:space="preserve"> reductions did not prevent extending the aid, even though at a reduced level, to all eligible production.</w:t>
      </w:r>
    </w:p>
    <w:p>
      <w:pPr>
        <w:spacing w:before="120" w:after="120"/>
        <w:ind w:left="850" w:hanging="850"/>
        <w:jc w:val="both"/>
        <w:rPr>
          <w:noProof/>
        </w:rPr>
      </w:pPr>
      <w:r>
        <w:rPr>
          <w:noProof/>
        </w:rPr>
        <w:t>3.</w:t>
      </w:r>
      <w:r>
        <w:rPr>
          <w:noProof/>
        </w:rPr>
        <w:tab/>
      </w:r>
      <w:r>
        <w:rPr>
          <w:i/>
          <w:noProof/>
        </w:rPr>
        <w:t>Achievement of the objectives of the aid scheme</w:t>
      </w:r>
      <w:r>
        <w:rPr>
          <w:noProof/>
        </w:rPr>
        <w:t>: generally speaking, the Aid in Finland has contributed to maintaining the production levels in the area and contributed to maintaining agricultural employment. Despite less favourable production conditions, some sectors of production have developed better than outside the Aid area in Finland. However, a shift of production southward within the Aid area has continued, although the number of milk and beef farms decreased proportionately less in the northernmost areas. The implementation of the scheme and the criteria applied to differentiate the Aid should be closely monitored during the next reporting period in order to consider adjusting the support.</w:t>
      </w:r>
    </w:p>
    <w:p>
      <w:pPr>
        <w:keepNext/>
        <w:tabs>
          <w:tab w:val="left" w:pos="850"/>
        </w:tabs>
        <w:spacing w:before="240" w:after="120"/>
        <w:outlineLvl w:val="1"/>
        <w:rPr>
          <w:b/>
          <w:noProof/>
        </w:rPr>
      </w:pPr>
      <w:bookmarkStart w:id="42" w:name="_Toc327522998"/>
      <w:bookmarkStart w:id="43" w:name="_Toc468978094"/>
      <w:r>
        <w:rPr>
          <w:b/>
          <w:noProof/>
        </w:rPr>
        <w:t>6.2.</w:t>
      </w:r>
      <w:r>
        <w:rPr>
          <w:b/>
          <w:noProof/>
        </w:rPr>
        <w:tab/>
        <w:t>Sweden</w:t>
      </w:r>
      <w:bookmarkEnd w:id="42"/>
      <w:bookmarkEnd w:id="43"/>
    </w:p>
    <w:p>
      <w:pPr>
        <w:spacing w:before="120" w:after="120"/>
        <w:rPr>
          <w:noProof/>
        </w:rPr>
      </w:pPr>
      <w:r>
        <w:rPr>
          <w:noProof/>
        </w:rPr>
        <w:t>As regards the implementation of the Swedish Nordic aid scheme, the Commission notes that:</w:t>
      </w:r>
    </w:p>
    <w:p>
      <w:pPr>
        <w:spacing w:before="120" w:after="120"/>
        <w:ind w:left="850" w:hanging="850"/>
        <w:jc w:val="both"/>
        <w:rPr>
          <w:noProof/>
        </w:rPr>
      </w:pPr>
      <w:r>
        <w:rPr>
          <w:noProof/>
        </w:rPr>
        <w:t>1.</w:t>
      </w:r>
      <w:r>
        <w:rPr>
          <w:noProof/>
        </w:rPr>
        <w:tab/>
      </w:r>
      <w:r>
        <w:rPr>
          <w:i/>
          <w:noProof/>
        </w:rPr>
        <w:t>Compliance with the maximum aid allowed by the Commission authorisations</w:t>
      </w:r>
      <w:r>
        <w:rPr>
          <w:noProof/>
        </w:rPr>
        <w:t>: the total amounts of Nordic aid paid out during the period 2011-2015 have respected the ceiling set for the maximum allowable aid authorised in the Decisions 96/228/EC and C(2010)6050.</w:t>
      </w:r>
    </w:p>
    <w:p>
      <w:pPr>
        <w:spacing w:before="120" w:after="120"/>
        <w:ind w:left="850" w:hanging="850"/>
        <w:jc w:val="both"/>
        <w:rPr>
          <w:noProof/>
        </w:rPr>
      </w:pPr>
      <w:r>
        <w:rPr>
          <w:noProof/>
        </w:rPr>
        <w:t>2.</w:t>
      </w:r>
      <w:r>
        <w:rPr>
          <w:noProof/>
        </w:rPr>
        <w:tab/>
      </w:r>
      <w:r>
        <w:rPr>
          <w:i/>
          <w:noProof/>
        </w:rPr>
        <w:t>Conformity with the maximum number of eligible production factors</w:t>
      </w:r>
      <w:r>
        <w:rPr>
          <w:noProof/>
        </w:rPr>
        <w:t xml:space="preserve">: the maximum number of eligible production factors receiving aid was respected in all sectors receiving Nordic aid. </w:t>
      </w:r>
    </w:p>
    <w:p>
      <w:pPr>
        <w:spacing w:before="120" w:after="120"/>
        <w:ind w:left="850" w:hanging="850"/>
        <w:jc w:val="both"/>
        <w:rPr>
          <w:noProof/>
        </w:rPr>
      </w:pPr>
      <w:r>
        <w:rPr>
          <w:noProof/>
        </w:rPr>
        <w:t>3.</w:t>
      </w:r>
      <w:r>
        <w:rPr>
          <w:noProof/>
        </w:rPr>
        <w:tab/>
      </w:r>
      <w:r>
        <w:rPr>
          <w:i/>
          <w:noProof/>
        </w:rPr>
        <w:t>Achievement of the objectives of the aid scheme</w:t>
      </w:r>
      <w:r>
        <w:rPr>
          <w:noProof/>
        </w:rPr>
        <w:t>: after the review of the scheme in 2010, the Aid disbursed in Sweden has for the main sector, milk, allowed to maintain the production level during the 2011-2015 period. For the other sectors supported, production has either remained stable or slightly decreased. The revised Decision C(2010)6050 has provided more flexibility for the implementation of the aid scheme, which has contributed to better fulfil its objectives, although the support can only partially alleviate the constraints facing agricultural production in the support area.</w:t>
      </w:r>
    </w:p>
    <w:p>
      <w:pPr>
        <w:spacing w:before="120" w:after="120"/>
        <w:jc w:val="both"/>
        <w:rPr>
          <w:noProof/>
        </w:rPr>
      </w:pPr>
      <w:r>
        <w:rPr>
          <w:noProof/>
        </w:rPr>
        <w:t>For both countries, the continuation of agricultural production contributes to maintain an open, well-managed agricultural landscape in the forest dominated Nordic aid area. Keeping the landscape open is positive for biodiversity and the attractiveness of the landscape. On the basis of the information provided by the national authorities, the Commission considers that the authorities have applied Decision 2002/404/EC and Decision C(2009)3067, concerning Finland, and Decision 96/228/EC and C(2010)6050, concerning Sweden, on aid to northern regions in a satisfactory manner.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21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OJ C 241 of 29.08.1994</w:t>
      </w:r>
    </w:p>
  </w:footnote>
  <w:footnote w:id="2">
    <w:p>
      <w:pPr>
        <w:pStyle w:val="FootnoteText"/>
      </w:pPr>
      <w:r>
        <w:rPr>
          <w:rStyle w:val="FootnoteReference"/>
        </w:rPr>
        <w:footnoteRef/>
      </w:r>
      <w:r>
        <w:tab/>
        <w:t>Finland COM(2002) 102 of 25.02.2002, Sweden COM(2002) 105 of 01.03.2002</w:t>
      </w:r>
    </w:p>
  </w:footnote>
  <w:footnote w:id="3">
    <w:p>
      <w:pPr>
        <w:pStyle w:val="FootnoteText"/>
      </w:pPr>
      <w:r>
        <w:rPr>
          <w:rStyle w:val="FootnoteReference"/>
        </w:rPr>
        <w:footnoteRef/>
      </w:r>
      <w:r>
        <w:tab/>
        <w:t>Finland COM(2007) 459 of 31.7.2007, Sweden COM(2007) 416 of 31.7.2007</w:t>
      </w:r>
    </w:p>
  </w:footnote>
  <w:footnote w:id="4">
    <w:p>
      <w:pPr>
        <w:pStyle w:val="FootnoteText"/>
      </w:pPr>
      <w:r>
        <w:rPr>
          <w:rStyle w:val="FootnoteReference"/>
        </w:rPr>
        <w:footnoteRef/>
      </w:r>
      <w:r>
        <w:tab/>
        <w:t>COM (2012) 358 final of 29.6.2012</w:t>
      </w:r>
    </w:p>
  </w:footnote>
  <w:footnote w:id="5">
    <w:p>
      <w:pPr>
        <w:pStyle w:val="FootnoteText"/>
      </w:pPr>
      <w:r>
        <w:rPr>
          <w:rStyle w:val="FootnoteReference"/>
        </w:rPr>
        <w:footnoteRef/>
      </w:r>
      <w:r>
        <w:tab/>
        <w:t>The first Decision concerning Finland was adopted in 1995 (95/196/EC), recast by Decision 2002/404/EC, and by Decision C(2009)3067. This Decision was lastly amended by Decision C(2015)2790. The first Decision concerning Sweden was adopted in 1996 (96/228/EC) and recast by Decision C(2010)6050 which was amended last time in 2015 by Decision C(2015)6592. This latter decision entered into force on 1 January 2016 and its changes do therefore not impact on the five year-period reported on in this Communication.</w:t>
      </w:r>
    </w:p>
  </w:footnote>
  <w:footnote w:id="6">
    <w:p>
      <w:pPr>
        <w:pStyle w:val="FootnoteText"/>
      </w:pPr>
      <w:r>
        <w:rPr>
          <w:rStyle w:val="FootnoteReference"/>
        </w:rPr>
        <w:footnoteRef/>
      </w:r>
      <w:r>
        <w:tab/>
        <w:t>The exchange rate used in this report is 9.0 SEK/EUR.</w:t>
      </w:r>
    </w:p>
  </w:footnote>
  <w:footnote w:id="7">
    <w:p>
      <w:pPr>
        <w:pStyle w:val="FootnoteText"/>
      </w:pPr>
      <w:r>
        <w:rPr>
          <w:rStyle w:val="FootnoteReference"/>
        </w:rPr>
        <w:footnoteRef/>
      </w:r>
      <w:r>
        <w:tab/>
        <w:t>OJ L 154, 27.6.2000, p.23</w:t>
      </w:r>
    </w:p>
  </w:footnote>
  <w:footnote w:id="8">
    <w:p>
      <w:pPr>
        <w:pStyle w:val="FootnoteText"/>
      </w:pPr>
      <w:r>
        <w:rPr>
          <w:rStyle w:val="FootnoteReference"/>
        </w:rPr>
        <w:footnoteRef/>
      </w:r>
      <w:r>
        <w:tab/>
        <w:t xml:space="preserve">Reference level: 318.67 mSEK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23A1EE8B04D4D90B3B0219A2B998D26"/>
    <w:docVar w:name="LW_CROSSREFERENCE" w:val="&lt;UNUSED&gt;"/>
    <w:docVar w:name="LW_DocType" w:val="NORMAL"/>
    <w:docVar w:name="LW_EMISSION" w:val="24.4.2017"/>
    <w:docVar w:name="LW_EMISSION_ISODATE" w:val="2017-04-24"/>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89"/>
    <w:docVar w:name="LW_REF.INTERNE" w:val="&lt;UNUSED&gt;"/>
    <w:docVar w:name="LW_SOUS.TITRE.OBJ.CP" w:val="&lt;UNUSED&gt;"/>
    <w:docVar w:name="LW_SUPERTITRE" w:val="&lt;UNUSED&gt;"/>
    <w:docVar w:name="LW_TITRE.OBJ.CP" w:val="2011-2015 report on the implementation of the long-term national aid scheme for agriculture in the northern regions of Finland and Sweden pursuant to Commission Decisions 2009/3067 and 2010/6050"/>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0715-A34F-44FD-BD99-828B45DD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5092</Words>
  <Characters>26076</Characters>
  <Application>Microsoft Office Word</Application>
  <DocSecurity>0</DocSecurity>
  <Lines>869</Lines>
  <Paragraphs>519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2017-02-22T13:40:00Z</cp:lastPrinted>
  <dcterms:created xsi:type="dcterms:W3CDTF">2017-03-22T15:45:00Z</dcterms:created>
  <dcterms:modified xsi:type="dcterms:W3CDTF">2017-04-19T07:19:00Z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