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A5DC7661810641FDB40F6EC2FD0CEDB4" style="width:450.35pt;height:393.9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r>
        <w:rPr>
          <w:noProof/>
        </w:rPr>
        <w:t>to Commission Delegated Regulation of 24 June 2016 supplementing Regulation (EU) No 600/2014 of the European Parliament and of the Council with regard to regulatory technical standards on clearing access in respect of trading venues and central counterparties</w:t>
      </w:r>
      <w:r>
        <w:rPr>
          <w:noProof/>
        </w:rPr>
        <w:br/>
      </w:r>
      <w:r>
        <w:rPr>
          <w:noProof/>
        </w:rPr>
        <w:br/>
        <w:t>C(2016) 3807 final</w:t>
      </w:r>
    </w:p>
    <w:p>
      <w:pPr>
        <w:numPr>
          <w:ilvl w:val="3"/>
          <w:numId w:val="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 Article 4(1):</w:t>
      </w:r>
    </w:p>
    <w:p>
      <w:pPr>
        <w:pStyle w:val="ManualNumPar1"/>
        <w:tabs>
          <w:tab w:val="left" w:pos="1418"/>
        </w:tabs>
        <w:rPr>
          <w:noProof/>
          <w:szCs w:val="24"/>
        </w:rPr>
      </w:pPr>
      <w:r>
        <w:rPr>
          <w:i/>
          <w:noProof/>
          <w:szCs w:val="24"/>
        </w:rPr>
        <w:t>for:</w:t>
      </w:r>
      <w:r>
        <w:rPr>
          <w:i/>
          <w:noProof/>
          <w:szCs w:val="24"/>
        </w:rPr>
        <w:tab/>
      </w:r>
      <w:r>
        <w:rPr>
          <w:noProof/>
          <w:szCs w:val="24"/>
        </w:rPr>
        <w:t>‘A CCP may deny an access request on grounds of significant undue risks where:’</w:t>
      </w:r>
    </w:p>
    <w:p>
      <w:pPr>
        <w:numPr>
          <w:ilvl w:val="3"/>
          <w:numId w:val="0"/>
        </w:numPr>
        <w:tabs>
          <w:tab w:val="num" w:pos="1417"/>
        </w:tabs>
        <w:ind w:left="141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ManualNumPar1"/>
        <w:tabs>
          <w:tab w:val="left" w:pos="1418"/>
        </w:tabs>
        <w:rPr>
          <w:noProof/>
          <w:szCs w:val="24"/>
        </w:rPr>
      </w:pPr>
      <w:r>
        <w:rPr>
          <w:i/>
          <w:noProof/>
          <w:szCs w:val="24"/>
        </w:rPr>
        <w:t>read:</w:t>
      </w:r>
      <w:r>
        <w:rPr>
          <w:i/>
          <w:noProof/>
          <w:szCs w:val="24"/>
        </w:rPr>
        <w:tab/>
      </w:r>
      <w:r>
        <w:rPr>
          <w:noProof/>
          <w:szCs w:val="24"/>
        </w:rPr>
        <w:t>‘A CCP may deny an access request on grounds of significant undue risks where any of the following conditions are met:’.</w:t>
      </w:r>
    </w:p>
    <w:p>
      <w:pPr>
        <w:pStyle w:val="ManualNumPar1"/>
        <w:rPr>
          <w:noProof/>
          <w:szCs w:val="24"/>
        </w:rPr>
      </w:pPr>
    </w:p>
    <w:p>
      <w:pPr>
        <w:numPr>
          <w:ilvl w:val="3"/>
          <w:numId w:val="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Article 21, second paragraph:</w:t>
      </w:r>
    </w:p>
    <w:p>
      <w:pPr>
        <w:numPr>
          <w:ilvl w:val="3"/>
          <w:numId w:val="0"/>
        </w:numPr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for:</w:t>
      </w:r>
      <w:r>
        <w:rPr>
          <w:rFonts w:ascii="Times New Roman" w:hAnsi="Times New Roman" w:cs="Times New Roman"/>
          <w:noProof/>
          <w:sz w:val="24"/>
          <w:szCs w:val="24"/>
        </w:rPr>
        <w:tab/>
        <w:t>‘This Regulation shall apply from the date referred to in the second paragraph of Article 55 of Regulation (EU) No 600/2014.’</w:t>
      </w:r>
    </w:p>
    <w:p>
      <w:pPr>
        <w:numPr>
          <w:ilvl w:val="3"/>
          <w:numId w:val="0"/>
        </w:numPr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read:</w:t>
      </w:r>
      <w:r>
        <w:rPr>
          <w:rFonts w:ascii="Times New Roman" w:hAnsi="Times New Roman" w:cs="Times New Roman"/>
          <w:noProof/>
          <w:sz w:val="24"/>
          <w:szCs w:val="24"/>
        </w:rPr>
        <w:tab/>
        <w:t>‘It shall apply from 3 January 2018.’.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27" w:right="680" w:bottom="1474" w:left="850" w:header="680" w:footer="624" w:gutter="0"/>
      <w:pgNumType w:start="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1929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oNotTrackFormatting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A5DC7661810641FDB40F6EC2FD0CEDB4"/>
    <w:docVar w:name="LW_CROSSREFERENCE" w:val="&lt;UNUSED&gt;"/>
    <w:docVar w:name="LW_DATE.ADOPT.CP" w:val="of 17.3.2017"/>
    <w:docVar w:name="LW_DATE.ADOPT.CP_ISODATE" w:val="2017-03-17"/>
    <w:docVar w:name="LW_DocType" w:val="NORMAL"/>
    <w:docVar w:name="LW_EMISSION" w:val="17.3.2017"/>
    <w:docVar w:name="LW_EMISSION_ISODATE" w:val="2017-03-17"/>
    <w:docVar w:name="LW_EMISSION_LOCATION" w:val="BRX"/>
    <w:docVar w:name="LW_EMISSION_PREFIX" w:val="Brussels, "/>
    <w:docVar w:name="LW_EMISSION_SUFFIX" w:val=" "/>
    <w:docVar w:name="LW_ID_DOCTYPE_NONLW" w:val="CP-034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47"/>
    <w:docVar w:name="LW_REF.INTERNE" w:val="&lt;UNUSED&gt;"/>
    <w:docVar w:name="LW_SOUS.TITRE.OBJ.CP" w:val="&lt;UNUSED&gt;"/>
    <w:docVar w:name="LW_SUPERTITRE" w:val="&lt;UNUSED&gt;"/>
    <w:docVar w:name="LW_TITRE.OBJ.CP" w:val="to Commission Delegated Regulation of 24 June 2016 supplementing Regulation (EU) No 600/2014 of the European Parliament and of the Council with regard to regulatory technical standards on clearing access in respect of trading venues and central counterparties_x000b__x000b_C(2016) 3807 final"/>
    <w:docVar w:name="LW_TYPE.DOC.CP" w:val="CORRIGENDUM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615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2017-02-17T14:16:00Z</cp:lastPrinted>
  <dcterms:created xsi:type="dcterms:W3CDTF">2017-03-10T13:15:00Z</dcterms:created>
  <dcterms:modified xsi:type="dcterms:W3CDTF">2017-03-17T14:46:00Z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