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56E" w:rsidRDefault="006A1B8B">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EE2132042D64520AE3088AF9A794328" style="width:450.75pt;height:393.75pt">
            <v:imagedata r:id="rId9" o:title=""/>
          </v:shape>
        </w:pict>
      </w:r>
    </w:p>
    <w:bookmarkEnd w:id="0"/>
    <w:p w:rsidR="00B3756E" w:rsidRDefault="00B3756E">
      <w:pPr>
        <w:rPr>
          <w:noProof/>
        </w:rPr>
        <w:sectPr w:rsidR="00B3756E">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B3756E" w:rsidRDefault="006A1B8B">
      <w:pPr>
        <w:pStyle w:val="Typedudocument"/>
        <w:rPr>
          <w:noProof/>
        </w:rPr>
      </w:pPr>
      <w:r>
        <w:rPr>
          <w:noProof/>
        </w:rPr>
        <w:lastRenderedPageBreak/>
        <w:t>ПОПРАВКА</w:t>
      </w:r>
    </w:p>
    <w:p w:rsidR="00B3756E" w:rsidRDefault="006A1B8B">
      <w:pPr>
        <w:pStyle w:val="Titreobjet"/>
        <w:rPr>
          <w:noProof/>
        </w:rPr>
      </w:pPr>
      <w:r>
        <w:rPr>
          <w:noProof/>
        </w:rPr>
        <w:t>на Делегиран регламент на Комисията от 25 април 2016 година за допълване на Директива 2014/65/ЕС на Европейския парламент и на Съвета по отношение на организационните изисквания и условията за извършване на дейност от инвестиционните посредници и за даване</w:t>
      </w:r>
      <w:r>
        <w:rPr>
          <w:noProof/>
        </w:rPr>
        <w:t xml:space="preserve">то на определения за целите на посочената директива </w:t>
      </w:r>
    </w:p>
    <w:p w:rsidR="00B3756E" w:rsidRDefault="006A1B8B">
      <w:pPr>
        <w:pStyle w:val="Sous-titreobjet"/>
        <w:rPr>
          <w:noProof/>
        </w:rPr>
      </w:pPr>
      <w:r>
        <w:rPr>
          <w:noProof/>
        </w:rPr>
        <w:t>C(2016) 2398 final</w:t>
      </w:r>
    </w:p>
    <w:p w:rsidR="00B3756E" w:rsidRDefault="006A1B8B">
      <w:pPr>
        <w:rPr>
          <w:noProof/>
        </w:rPr>
      </w:pPr>
      <w:r>
        <w:rPr>
          <w:noProof/>
        </w:rPr>
        <w:t xml:space="preserve"> </w:t>
      </w:r>
    </w:p>
    <w:p w:rsidR="00B3756E" w:rsidRDefault="00B3756E">
      <w:pPr>
        <w:rPr>
          <w:noProof/>
        </w:rPr>
      </w:pPr>
    </w:p>
    <w:p w:rsidR="00B3756E" w:rsidRDefault="00B3756E">
      <w:pPr>
        <w:rPr>
          <w:rFonts w:ascii="Times New Roman" w:hAnsi="Times New Roman" w:cs="Times New Roman"/>
          <w:noProof/>
          <w:sz w:val="24"/>
          <w:szCs w:val="24"/>
        </w:rPr>
      </w:pPr>
      <w:bookmarkStart w:id="1" w:name="_GoBack"/>
      <w:bookmarkEnd w:id="1"/>
    </w:p>
    <w:p w:rsidR="00B3756E" w:rsidRDefault="006A1B8B">
      <w:pPr>
        <w:jc w:val="both"/>
        <w:rPr>
          <w:rFonts w:ascii="Times New Roman" w:hAnsi="Times New Roman" w:cs="Times New Roman"/>
          <w:noProof/>
          <w:sz w:val="24"/>
          <w:szCs w:val="24"/>
        </w:rPr>
      </w:pPr>
      <w:r>
        <w:rPr>
          <w:rFonts w:ascii="Times New Roman" w:hAnsi="Times New Roman"/>
          <w:noProof/>
          <w:sz w:val="24"/>
        </w:rPr>
        <w:t>Съображение (117):</w:t>
      </w:r>
    </w:p>
    <w:p w:rsidR="00B3756E" w:rsidRDefault="006A1B8B">
      <w:pPr>
        <w:ind w:left="851" w:hanging="851"/>
        <w:jc w:val="both"/>
        <w:rPr>
          <w:rFonts w:ascii="Times New Roman" w:hAnsi="Times New Roman" w:cs="Times New Roman"/>
          <w:noProof/>
          <w:sz w:val="24"/>
          <w:szCs w:val="24"/>
        </w:rPr>
      </w:pPr>
      <w:r>
        <w:rPr>
          <w:rFonts w:ascii="Times New Roman" w:hAnsi="Times New Roman"/>
          <w:i/>
          <w:noProof/>
          <w:sz w:val="24"/>
        </w:rPr>
        <w:t>вместо:</w:t>
      </w:r>
      <w:r>
        <w:rPr>
          <w:noProof/>
        </w:rPr>
        <w:tab/>
      </w:r>
      <w:r>
        <w:rPr>
          <w:rFonts w:ascii="Times New Roman" w:hAnsi="Times New Roman"/>
          <w:noProof/>
          <w:sz w:val="24"/>
        </w:rPr>
        <w:t xml:space="preserve">„За да се гарантира необходимото ниво на сближаване, е уместно да бъде определен списък от обстоятелства, които представляват съществено увреждане </w:t>
      </w:r>
      <w:r>
        <w:rPr>
          <w:rFonts w:ascii="Times New Roman" w:hAnsi="Times New Roman"/>
          <w:noProof/>
          <w:sz w:val="24"/>
        </w:rPr>
        <w:t>на интересите на инвеститорите и нарушаване на нормалното функциониране на пазара и могат да бъдат основание за решение на национален компетентен орган, инвестиционен посредник или пазарен оператор, организиращ МСТ или ОСТ, да не изисква спирането или отст</w:t>
      </w:r>
      <w:r>
        <w:rPr>
          <w:rFonts w:ascii="Times New Roman" w:hAnsi="Times New Roman"/>
          <w:noProof/>
          <w:sz w:val="24"/>
        </w:rPr>
        <w:t>раняването на финансов инструмент от търговия или да не предприема действия, когато е получил уведомление за това. Уместно е този списък да бъде неизчерпателен, защото по този начин на националните компетентни органи ще бъде предоставена рамка за упражнява</w:t>
      </w:r>
      <w:r>
        <w:rPr>
          <w:rFonts w:ascii="Times New Roman" w:hAnsi="Times New Roman"/>
          <w:noProof/>
          <w:sz w:val="24"/>
        </w:rPr>
        <w:t>не на тяхната преценка и ще им бъде оставена необходимата степен на гъвкавост при оценката на отделните случаи.“,</w:t>
      </w:r>
    </w:p>
    <w:p w:rsidR="00B3756E" w:rsidRDefault="006A1B8B">
      <w:pPr>
        <w:ind w:left="851" w:hanging="851"/>
        <w:jc w:val="both"/>
        <w:rPr>
          <w:rFonts w:ascii="Times New Roman" w:hAnsi="Times New Roman" w:cs="Times New Roman"/>
          <w:noProof/>
          <w:sz w:val="24"/>
          <w:szCs w:val="24"/>
        </w:rPr>
      </w:pPr>
      <w:r>
        <w:rPr>
          <w:rFonts w:ascii="Times New Roman" w:hAnsi="Times New Roman"/>
          <w:i/>
          <w:noProof/>
          <w:sz w:val="24"/>
        </w:rPr>
        <w:t>да се чете:</w:t>
      </w:r>
      <w:r>
        <w:rPr>
          <w:noProof/>
        </w:rPr>
        <w:tab/>
      </w:r>
      <w:r>
        <w:rPr>
          <w:rFonts w:ascii="Times New Roman" w:hAnsi="Times New Roman"/>
          <w:noProof/>
          <w:sz w:val="24"/>
        </w:rPr>
        <w:t>„За да се гарантира необходимото ниво на сближаване, е уместно да бъде определен списък от обстоятелства, които представляват съще</w:t>
      </w:r>
      <w:r>
        <w:rPr>
          <w:rFonts w:ascii="Times New Roman" w:hAnsi="Times New Roman"/>
          <w:noProof/>
          <w:sz w:val="24"/>
        </w:rPr>
        <w:t>ствено увреждане на интересите на инвеститорите и нарушаване на нормалното функциониране на пазара и могат да бъдат основание за решение на национален компетентен орган, пазарен оператор, организиращ регулиран пазар, инвестиционен посредник или пазарен опе</w:t>
      </w:r>
      <w:r>
        <w:rPr>
          <w:rFonts w:ascii="Times New Roman" w:hAnsi="Times New Roman"/>
          <w:noProof/>
          <w:sz w:val="24"/>
        </w:rPr>
        <w:t>ратор, организиращ МСТ или ОСТ, да не изисква спирането или отстраняването на финансов инструмент от търговия или да не предприема действия, когато е получил уведомление за това. Уместно е този списък да бъде неизчерпателен, защото по този начин на национа</w:t>
      </w:r>
      <w:r>
        <w:rPr>
          <w:rFonts w:ascii="Times New Roman" w:hAnsi="Times New Roman"/>
          <w:noProof/>
          <w:sz w:val="24"/>
        </w:rPr>
        <w:t>лните компетентни органи ще бъде предоставена рамка за упражняване на тяхната преценка и ще им бъде оставена необходимата степен на гъвкавост при оценката на отделните случаи.“.</w:t>
      </w:r>
    </w:p>
    <w:p w:rsidR="00B3756E" w:rsidRDefault="006A1B8B">
      <w:pPr>
        <w:jc w:val="both"/>
        <w:rPr>
          <w:rFonts w:ascii="Times New Roman" w:hAnsi="Times New Roman" w:cs="Times New Roman"/>
          <w:noProof/>
          <w:sz w:val="24"/>
          <w:szCs w:val="24"/>
        </w:rPr>
      </w:pPr>
      <w:r>
        <w:rPr>
          <w:rFonts w:ascii="Times New Roman" w:hAnsi="Times New Roman"/>
          <w:noProof/>
          <w:sz w:val="24"/>
        </w:rPr>
        <w:t>В член 2:</w:t>
      </w:r>
    </w:p>
    <w:p w:rsidR="00B3756E" w:rsidRDefault="006A1B8B">
      <w:pPr>
        <w:tabs>
          <w:tab w:val="left" w:pos="851"/>
        </w:tabs>
        <w:ind w:left="1418" w:hanging="1418"/>
        <w:jc w:val="both"/>
        <w:rPr>
          <w:rFonts w:ascii="Times New Roman" w:hAnsi="Times New Roman" w:cs="Times New Roman"/>
          <w:noProof/>
          <w:sz w:val="24"/>
          <w:szCs w:val="24"/>
        </w:rPr>
      </w:pPr>
      <w:r>
        <w:rPr>
          <w:rFonts w:ascii="Times New Roman" w:hAnsi="Times New Roman"/>
          <w:i/>
          <w:noProof/>
          <w:sz w:val="24"/>
        </w:rPr>
        <w:lastRenderedPageBreak/>
        <w:t>вместо:</w:t>
      </w:r>
      <w:r>
        <w:rPr>
          <w:noProof/>
        </w:rPr>
        <w:tab/>
      </w:r>
      <w:r>
        <w:rPr>
          <w:rFonts w:ascii="Times New Roman" w:hAnsi="Times New Roman"/>
          <w:noProof/>
          <w:sz w:val="24"/>
        </w:rPr>
        <w:t>„3.</w:t>
      </w:r>
      <w:r>
        <w:rPr>
          <w:noProof/>
        </w:rPr>
        <w:tab/>
      </w:r>
      <w:r>
        <w:rPr>
          <w:rFonts w:ascii="Times New Roman" w:hAnsi="Times New Roman"/>
          <w:noProof/>
          <w:sz w:val="24"/>
        </w:rPr>
        <w:t xml:space="preserve">„възлагане на външни изпълнители“ означава договореност </w:t>
      </w:r>
      <w:r>
        <w:rPr>
          <w:rFonts w:ascii="Times New Roman" w:hAnsi="Times New Roman"/>
          <w:noProof/>
          <w:sz w:val="24"/>
        </w:rPr>
        <w:t>във всяка форма между инвестиционен посредник и доставчик на услуга, чрез която доставчикът на услуга извършва процес, услуга или дейност, които в противен случай биха били извършени от самия инвестиционен посредник;</w:t>
      </w:r>
    </w:p>
    <w:p w:rsidR="00B3756E" w:rsidRDefault="006A1B8B">
      <w:pPr>
        <w:ind w:left="1985" w:hanging="567"/>
        <w:jc w:val="both"/>
        <w:rPr>
          <w:rFonts w:ascii="Times New Roman" w:hAnsi="Times New Roman" w:cs="Times New Roman"/>
          <w:noProof/>
          <w:sz w:val="24"/>
          <w:szCs w:val="24"/>
        </w:rPr>
      </w:pPr>
      <w:r>
        <w:rPr>
          <w:rFonts w:ascii="Times New Roman" w:hAnsi="Times New Roman"/>
          <w:noProof/>
          <w:sz w:val="24"/>
        </w:rPr>
        <w:t>a)</w:t>
      </w:r>
      <w:r>
        <w:rPr>
          <w:noProof/>
        </w:rPr>
        <w:tab/>
      </w:r>
      <w:r>
        <w:rPr>
          <w:rFonts w:ascii="Times New Roman" w:hAnsi="Times New Roman"/>
          <w:noProof/>
          <w:sz w:val="24"/>
        </w:rPr>
        <w:t xml:space="preserve">„лице, с което съответното лице е в </w:t>
      </w:r>
      <w:r>
        <w:rPr>
          <w:rFonts w:ascii="Times New Roman" w:hAnsi="Times New Roman"/>
          <w:noProof/>
          <w:sz w:val="24"/>
        </w:rPr>
        <w:t>семейно отношение“ означава едно от следните лица:</w:t>
      </w:r>
    </w:p>
    <w:p w:rsidR="00B3756E" w:rsidRDefault="006A1B8B">
      <w:pPr>
        <w:ind w:left="1985" w:hanging="567"/>
        <w:jc w:val="both"/>
        <w:rPr>
          <w:rFonts w:ascii="Times New Roman" w:hAnsi="Times New Roman" w:cs="Times New Roman"/>
          <w:noProof/>
          <w:sz w:val="24"/>
          <w:szCs w:val="24"/>
        </w:rPr>
      </w:pPr>
      <w:r>
        <w:rPr>
          <w:rFonts w:ascii="Times New Roman" w:hAnsi="Times New Roman"/>
          <w:noProof/>
          <w:sz w:val="24"/>
        </w:rPr>
        <w:t>б)</w:t>
      </w:r>
      <w:r>
        <w:rPr>
          <w:noProof/>
        </w:rPr>
        <w:tab/>
      </w:r>
      <w:r>
        <w:rPr>
          <w:rFonts w:ascii="Times New Roman" w:hAnsi="Times New Roman"/>
          <w:noProof/>
          <w:sz w:val="24"/>
        </w:rPr>
        <w:t>съпруг/а на съответното лице или партньор на това лице, считано по националното законодателство за равностойно лице на съпруг/а;</w:t>
      </w:r>
    </w:p>
    <w:p w:rsidR="00B3756E" w:rsidRDefault="006A1B8B">
      <w:pPr>
        <w:ind w:left="1985" w:hanging="851"/>
        <w:jc w:val="both"/>
        <w:rPr>
          <w:rFonts w:ascii="Times New Roman" w:hAnsi="Times New Roman" w:cs="Times New Roman"/>
          <w:noProof/>
          <w:sz w:val="24"/>
          <w:szCs w:val="24"/>
        </w:rPr>
      </w:pPr>
      <w:r>
        <w:rPr>
          <w:rFonts w:ascii="Times New Roman" w:hAnsi="Times New Roman"/>
          <w:noProof/>
          <w:sz w:val="24"/>
        </w:rPr>
        <w:t>в)</w:t>
      </w:r>
      <w:r>
        <w:rPr>
          <w:noProof/>
        </w:rPr>
        <w:tab/>
      </w:r>
      <w:r>
        <w:rPr>
          <w:rFonts w:ascii="Times New Roman" w:hAnsi="Times New Roman"/>
          <w:noProof/>
          <w:sz w:val="24"/>
        </w:rPr>
        <w:t>дете на издръжка или доведено/заварено дете на съответното лице;</w:t>
      </w:r>
    </w:p>
    <w:p w:rsidR="00B3756E" w:rsidRDefault="006A1B8B">
      <w:pPr>
        <w:ind w:left="1985" w:hanging="851"/>
        <w:jc w:val="both"/>
        <w:rPr>
          <w:rFonts w:ascii="Times New Roman" w:hAnsi="Times New Roman" w:cs="Times New Roman"/>
          <w:noProof/>
          <w:sz w:val="24"/>
          <w:szCs w:val="24"/>
        </w:rPr>
      </w:pPr>
      <w:r>
        <w:rPr>
          <w:rFonts w:ascii="Times New Roman" w:hAnsi="Times New Roman"/>
          <w:noProof/>
          <w:sz w:val="24"/>
        </w:rPr>
        <w:t>г)</w:t>
      </w:r>
      <w:r>
        <w:rPr>
          <w:noProof/>
        </w:rPr>
        <w:tab/>
      </w:r>
      <w:r>
        <w:rPr>
          <w:rFonts w:ascii="Times New Roman" w:hAnsi="Times New Roman"/>
          <w:noProof/>
          <w:sz w:val="24"/>
        </w:rPr>
        <w:t>вс</w:t>
      </w:r>
      <w:r>
        <w:rPr>
          <w:rFonts w:ascii="Times New Roman" w:hAnsi="Times New Roman"/>
          <w:noProof/>
          <w:sz w:val="24"/>
        </w:rPr>
        <w:t>еки друг роднина на съответното лице, който споделя същото домакинство с това лице в продължение на поне една година към датата на съответната лична сделка;“,</w:t>
      </w:r>
    </w:p>
    <w:p w:rsidR="00B3756E" w:rsidRDefault="006A1B8B">
      <w:pPr>
        <w:pStyle w:val="ManualNumPar1"/>
        <w:tabs>
          <w:tab w:val="left" w:pos="851"/>
        </w:tabs>
        <w:ind w:left="1418" w:hanging="1418"/>
        <w:rPr>
          <w:noProof/>
          <w:szCs w:val="24"/>
        </w:rPr>
      </w:pPr>
      <w:r>
        <w:rPr>
          <w:i/>
          <w:noProof/>
        </w:rPr>
        <w:t>да се чете:</w:t>
      </w:r>
      <w:r>
        <w:rPr>
          <w:noProof/>
        </w:rPr>
        <w:tab/>
        <w:t>„3.</w:t>
      </w:r>
      <w:r>
        <w:rPr>
          <w:noProof/>
        </w:rPr>
        <w:tab/>
        <w:t xml:space="preserve">„възлагане на външни изпълнители“ означава договореност във всяка форма между </w:t>
      </w:r>
      <w:r>
        <w:rPr>
          <w:noProof/>
        </w:rPr>
        <w:t>инвестиционен посредник и доставчик на услуга, чрез която доставчикът на услуга извършва процес, услуга или дейност, които в противен случай биха били извършени от самия инвестиционен посредник;</w:t>
      </w:r>
    </w:p>
    <w:p w:rsidR="00B3756E" w:rsidRDefault="006A1B8B">
      <w:pPr>
        <w:pStyle w:val="Text1"/>
        <w:ind w:left="1418" w:hanging="567"/>
        <w:rPr>
          <w:noProof/>
          <w:szCs w:val="24"/>
        </w:rPr>
      </w:pPr>
      <w:r>
        <w:rPr>
          <w:noProof/>
        </w:rPr>
        <w:t>3а. „лице, с което съответното лице е в семейно отношение“ оз</w:t>
      </w:r>
      <w:r>
        <w:rPr>
          <w:noProof/>
        </w:rPr>
        <w:t>начава едно от следните лица:</w:t>
      </w:r>
    </w:p>
    <w:p w:rsidR="00B3756E" w:rsidRDefault="006A1B8B">
      <w:pPr>
        <w:ind w:left="2160" w:hanging="720"/>
        <w:jc w:val="both"/>
        <w:rPr>
          <w:rFonts w:ascii="Times New Roman" w:hAnsi="Times New Roman" w:cs="Times New Roman"/>
          <w:noProof/>
          <w:sz w:val="24"/>
          <w:szCs w:val="24"/>
        </w:rPr>
      </w:pPr>
      <w:r>
        <w:rPr>
          <w:rFonts w:ascii="Times New Roman" w:hAnsi="Times New Roman"/>
          <w:noProof/>
          <w:sz w:val="24"/>
        </w:rPr>
        <w:t>a)</w:t>
      </w:r>
      <w:r>
        <w:rPr>
          <w:noProof/>
        </w:rPr>
        <w:tab/>
      </w:r>
      <w:r>
        <w:rPr>
          <w:rFonts w:ascii="Times New Roman" w:hAnsi="Times New Roman"/>
          <w:noProof/>
          <w:sz w:val="24"/>
        </w:rPr>
        <w:t>съпруг/а на съответното лице или партньор на това лице, считано по националното законодателство за равностойно лице на съпруг/а;</w:t>
      </w:r>
    </w:p>
    <w:p w:rsidR="00B3756E" w:rsidRDefault="006A1B8B">
      <w:pPr>
        <w:ind w:left="720" w:firstLine="720"/>
        <w:jc w:val="both"/>
        <w:rPr>
          <w:rFonts w:ascii="Times New Roman" w:hAnsi="Times New Roman" w:cs="Times New Roman"/>
          <w:noProof/>
          <w:sz w:val="24"/>
          <w:szCs w:val="24"/>
        </w:rPr>
      </w:pPr>
      <w:r>
        <w:rPr>
          <w:rFonts w:ascii="Times New Roman" w:hAnsi="Times New Roman"/>
          <w:noProof/>
          <w:sz w:val="24"/>
        </w:rPr>
        <w:t>б)</w:t>
      </w:r>
      <w:r>
        <w:rPr>
          <w:noProof/>
        </w:rPr>
        <w:tab/>
      </w:r>
      <w:r>
        <w:rPr>
          <w:rFonts w:ascii="Times New Roman" w:hAnsi="Times New Roman"/>
          <w:noProof/>
          <w:sz w:val="24"/>
        </w:rPr>
        <w:t>дете на издръжка или доведено/заварено дете на съответното лице;</w:t>
      </w:r>
    </w:p>
    <w:p w:rsidR="00B3756E" w:rsidRDefault="006A1B8B">
      <w:pPr>
        <w:ind w:left="2160" w:hanging="720"/>
        <w:jc w:val="both"/>
        <w:rPr>
          <w:rFonts w:ascii="Times New Roman" w:hAnsi="Times New Roman" w:cs="Times New Roman"/>
          <w:noProof/>
          <w:sz w:val="24"/>
          <w:szCs w:val="24"/>
        </w:rPr>
      </w:pPr>
      <w:r>
        <w:rPr>
          <w:rFonts w:ascii="Times New Roman" w:hAnsi="Times New Roman"/>
          <w:noProof/>
          <w:sz w:val="24"/>
        </w:rPr>
        <w:t>в)</w:t>
      </w:r>
      <w:r>
        <w:rPr>
          <w:noProof/>
        </w:rPr>
        <w:tab/>
      </w:r>
      <w:r>
        <w:rPr>
          <w:rFonts w:ascii="Times New Roman" w:hAnsi="Times New Roman"/>
          <w:noProof/>
          <w:sz w:val="24"/>
        </w:rPr>
        <w:t>всеки друг роднина на с</w:t>
      </w:r>
      <w:r>
        <w:rPr>
          <w:rFonts w:ascii="Times New Roman" w:hAnsi="Times New Roman"/>
          <w:noProof/>
          <w:sz w:val="24"/>
        </w:rPr>
        <w:t>ъответното лице, който споделя същото домакинство с това лице в продължение на поне една година към датата на съответната лична сделка;“.</w:t>
      </w:r>
    </w:p>
    <w:p w:rsidR="00B3756E" w:rsidRDefault="00B3756E">
      <w:pPr>
        <w:jc w:val="both"/>
        <w:rPr>
          <w:rFonts w:ascii="Times New Roman" w:hAnsi="Times New Roman" w:cs="Times New Roman"/>
          <w:noProof/>
          <w:sz w:val="24"/>
          <w:szCs w:val="24"/>
        </w:rPr>
      </w:pPr>
    </w:p>
    <w:p w:rsidR="00B3756E" w:rsidRDefault="006A1B8B">
      <w:pPr>
        <w:jc w:val="both"/>
        <w:rPr>
          <w:rFonts w:ascii="Times New Roman" w:hAnsi="Times New Roman" w:cs="Times New Roman"/>
          <w:noProof/>
          <w:sz w:val="24"/>
          <w:szCs w:val="24"/>
        </w:rPr>
      </w:pPr>
      <w:r>
        <w:rPr>
          <w:rFonts w:ascii="Times New Roman" w:hAnsi="Times New Roman"/>
          <w:noProof/>
          <w:sz w:val="24"/>
        </w:rPr>
        <w:t>В член 5, параграф 7:</w:t>
      </w:r>
    </w:p>
    <w:p w:rsidR="00B3756E" w:rsidRDefault="006A1B8B">
      <w:pPr>
        <w:tabs>
          <w:tab w:val="left" w:pos="851"/>
        </w:tabs>
        <w:ind w:left="1418" w:hanging="1418"/>
        <w:jc w:val="both"/>
        <w:rPr>
          <w:rFonts w:ascii="Times New Roman" w:hAnsi="Times New Roman" w:cs="Times New Roman"/>
          <w:noProof/>
          <w:sz w:val="24"/>
          <w:szCs w:val="24"/>
        </w:rPr>
      </w:pPr>
      <w:r>
        <w:rPr>
          <w:rFonts w:ascii="Times New Roman" w:hAnsi="Times New Roman"/>
          <w:i/>
          <w:noProof/>
          <w:sz w:val="24"/>
        </w:rPr>
        <w:t>вместо:</w:t>
      </w:r>
      <w:r>
        <w:rPr>
          <w:noProof/>
        </w:rPr>
        <w:tab/>
      </w:r>
      <w:r>
        <w:rPr>
          <w:noProof/>
        </w:rPr>
        <w:tab/>
      </w:r>
      <w:r>
        <w:rPr>
          <w:rFonts w:ascii="Times New Roman" w:hAnsi="Times New Roman"/>
          <w:noProof/>
          <w:sz w:val="24"/>
        </w:rPr>
        <w:t>„в)</w:t>
      </w:r>
      <w:r>
        <w:rPr>
          <w:noProof/>
        </w:rPr>
        <w:tab/>
      </w:r>
      <w:r>
        <w:rPr>
          <w:rFonts w:ascii="Times New Roman" w:hAnsi="Times New Roman"/>
          <w:noProof/>
          <w:sz w:val="24"/>
        </w:rPr>
        <w:t xml:space="preserve">други способи, водещи до прехвърлянето на права, които по естество са права на </w:t>
      </w:r>
      <w:r>
        <w:rPr>
          <w:rFonts w:ascii="Times New Roman" w:hAnsi="Times New Roman"/>
          <w:noProof/>
          <w:sz w:val="24"/>
        </w:rPr>
        <w:t>собственост, отнасящи се до съответното количество без тяхната физическа доставка, включително уведомяване, включване в график или указване на оператор на енергийна преносна мрежа, които предоставят на получателя право върху съответното количество стоки.“,</w:t>
      </w:r>
    </w:p>
    <w:p w:rsidR="00B3756E" w:rsidRDefault="006A1B8B">
      <w:pPr>
        <w:tabs>
          <w:tab w:val="left" w:pos="851"/>
        </w:tabs>
        <w:ind w:left="1418" w:hanging="1418"/>
        <w:jc w:val="both"/>
        <w:rPr>
          <w:rFonts w:ascii="Times New Roman" w:hAnsi="Times New Roman" w:cs="Times New Roman"/>
          <w:noProof/>
          <w:sz w:val="24"/>
          <w:szCs w:val="24"/>
        </w:rPr>
      </w:pPr>
      <w:r>
        <w:rPr>
          <w:rFonts w:ascii="Times New Roman" w:hAnsi="Times New Roman"/>
          <w:i/>
          <w:noProof/>
          <w:sz w:val="24"/>
        </w:rPr>
        <w:t>да се чете:</w:t>
      </w:r>
      <w:r>
        <w:rPr>
          <w:noProof/>
        </w:rPr>
        <w:tab/>
      </w:r>
      <w:r>
        <w:rPr>
          <w:rFonts w:ascii="Times New Roman" w:hAnsi="Times New Roman"/>
          <w:noProof/>
          <w:sz w:val="24"/>
        </w:rPr>
        <w:t>„в)</w:t>
      </w:r>
      <w:r>
        <w:rPr>
          <w:noProof/>
        </w:rPr>
        <w:tab/>
      </w:r>
      <w:r>
        <w:rPr>
          <w:rFonts w:ascii="Times New Roman" w:hAnsi="Times New Roman"/>
          <w:noProof/>
          <w:sz w:val="24"/>
        </w:rPr>
        <w:t xml:space="preserve">други способи, водещи до прехвърлянето на права, които по естество са права на собственост, отнасящи се до съответното количество без тяхната физическа доставка, включително уведомяване, включване в график или </w:t>
      </w:r>
      <w:r>
        <w:rPr>
          <w:rFonts w:ascii="Times New Roman" w:hAnsi="Times New Roman"/>
          <w:noProof/>
          <w:sz w:val="24"/>
        </w:rPr>
        <w:lastRenderedPageBreak/>
        <w:t>указване на оператор на енерг</w:t>
      </w:r>
      <w:r>
        <w:rPr>
          <w:rFonts w:ascii="Times New Roman" w:hAnsi="Times New Roman"/>
          <w:noProof/>
          <w:sz w:val="24"/>
        </w:rPr>
        <w:t>ийна преносна мрежа, които предоставят на получателя право върху съответното количество стоки.“.</w:t>
      </w:r>
    </w:p>
    <w:p w:rsidR="00B3756E" w:rsidRDefault="00B3756E">
      <w:pPr>
        <w:jc w:val="both"/>
        <w:rPr>
          <w:rFonts w:ascii="Times New Roman" w:hAnsi="Times New Roman" w:cs="Times New Roman"/>
          <w:noProof/>
          <w:sz w:val="24"/>
          <w:szCs w:val="24"/>
        </w:rPr>
      </w:pPr>
    </w:p>
    <w:p w:rsidR="00B3756E" w:rsidRDefault="006A1B8B">
      <w:pPr>
        <w:jc w:val="both"/>
        <w:rPr>
          <w:rFonts w:ascii="Times New Roman" w:hAnsi="Times New Roman" w:cs="Times New Roman"/>
          <w:noProof/>
          <w:sz w:val="24"/>
          <w:szCs w:val="24"/>
        </w:rPr>
      </w:pPr>
      <w:r>
        <w:rPr>
          <w:rFonts w:ascii="Times New Roman" w:hAnsi="Times New Roman"/>
          <w:noProof/>
          <w:sz w:val="24"/>
        </w:rPr>
        <w:t>В член 8, буква г):</w:t>
      </w:r>
    </w:p>
    <w:p w:rsidR="00B3756E" w:rsidRDefault="006A1B8B">
      <w:pPr>
        <w:ind w:left="851" w:hanging="851"/>
        <w:jc w:val="both"/>
        <w:rPr>
          <w:rFonts w:ascii="Times New Roman" w:hAnsi="Times New Roman" w:cs="Times New Roman"/>
          <w:noProof/>
          <w:sz w:val="24"/>
          <w:szCs w:val="24"/>
        </w:rPr>
      </w:pPr>
      <w:r>
        <w:rPr>
          <w:rFonts w:ascii="Times New Roman" w:hAnsi="Times New Roman"/>
          <w:i/>
          <w:noProof/>
          <w:sz w:val="24"/>
        </w:rPr>
        <w:t>вместо:</w:t>
      </w:r>
      <w:r>
        <w:rPr>
          <w:noProof/>
        </w:rPr>
        <w:tab/>
      </w:r>
      <w:r>
        <w:rPr>
          <w:rFonts w:ascii="Times New Roman" w:hAnsi="Times New Roman"/>
          <w:noProof/>
          <w:sz w:val="24"/>
        </w:rPr>
        <w:t>„освен ако договорът вече е в обхвата на раздел В точка 4 от приложение I към Директива 2014/65/ЕС;“,</w:t>
      </w:r>
    </w:p>
    <w:p w:rsidR="00B3756E" w:rsidRDefault="006A1B8B">
      <w:pPr>
        <w:ind w:left="851" w:hanging="851"/>
        <w:jc w:val="both"/>
        <w:rPr>
          <w:rFonts w:ascii="Times New Roman" w:hAnsi="Times New Roman" w:cs="Times New Roman"/>
          <w:noProof/>
          <w:sz w:val="24"/>
          <w:szCs w:val="24"/>
        </w:rPr>
      </w:pPr>
      <w:r>
        <w:rPr>
          <w:rFonts w:ascii="Times New Roman" w:hAnsi="Times New Roman"/>
          <w:i/>
          <w:noProof/>
          <w:sz w:val="24"/>
        </w:rPr>
        <w:t>да се чете:</w:t>
      </w:r>
      <w:r>
        <w:rPr>
          <w:noProof/>
        </w:rPr>
        <w:tab/>
      </w:r>
      <w:r>
        <w:rPr>
          <w:rFonts w:ascii="Times New Roman" w:hAnsi="Times New Roman"/>
          <w:noProof/>
          <w:sz w:val="24"/>
        </w:rPr>
        <w:t>„освен когато до</w:t>
      </w:r>
      <w:r>
        <w:rPr>
          <w:rFonts w:ascii="Times New Roman" w:hAnsi="Times New Roman"/>
          <w:noProof/>
          <w:sz w:val="24"/>
        </w:rPr>
        <w:t>говорът вече е в обхвата на раздел В от приложение I към Директива 2014/65/ЕС;“.</w:t>
      </w:r>
    </w:p>
    <w:p w:rsidR="00B3756E" w:rsidRDefault="00B3756E">
      <w:pPr>
        <w:ind w:left="851" w:hanging="851"/>
        <w:jc w:val="both"/>
        <w:rPr>
          <w:rFonts w:ascii="Times New Roman" w:hAnsi="Times New Roman" w:cs="Times New Roman"/>
          <w:noProof/>
          <w:sz w:val="24"/>
          <w:szCs w:val="24"/>
        </w:rPr>
      </w:pPr>
    </w:p>
    <w:p w:rsidR="00B3756E" w:rsidRDefault="006A1B8B">
      <w:pPr>
        <w:jc w:val="both"/>
        <w:rPr>
          <w:rFonts w:ascii="Times New Roman" w:hAnsi="Times New Roman" w:cs="Times New Roman"/>
          <w:noProof/>
          <w:sz w:val="24"/>
          <w:szCs w:val="24"/>
        </w:rPr>
      </w:pPr>
      <w:r>
        <w:rPr>
          <w:rFonts w:ascii="Times New Roman" w:hAnsi="Times New Roman"/>
          <w:noProof/>
          <w:sz w:val="24"/>
        </w:rPr>
        <w:t>В член 12:</w:t>
      </w:r>
    </w:p>
    <w:p w:rsidR="00B3756E" w:rsidRDefault="006A1B8B">
      <w:pPr>
        <w:ind w:left="720" w:hanging="720"/>
        <w:rPr>
          <w:rFonts w:ascii="Times New Roman" w:hAnsi="Times New Roman"/>
          <w:noProof/>
          <w:sz w:val="24"/>
        </w:rPr>
      </w:pPr>
      <w:r>
        <w:rPr>
          <w:rFonts w:ascii="Times New Roman" w:hAnsi="Times New Roman"/>
          <w:i/>
          <w:noProof/>
          <w:sz w:val="24"/>
        </w:rPr>
        <w:t>вместо:</w:t>
      </w:r>
      <w:r>
        <w:rPr>
          <w:rFonts w:ascii="Times New Roman" w:hAnsi="Times New Roman"/>
          <w:noProof/>
          <w:sz w:val="24"/>
        </w:rPr>
        <w:t>„Инвестиционен посредник се счита за систематичен участник в съответствие с член 4, параграф 1, точка 20 от Директива 2014/65/ЕС по отношение на всяка акция</w:t>
      </w:r>
      <w:r>
        <w:rPr>
          <w:rFonts w:ascii="Times New Roman" w:hAnsi="Times New Roman"/>
          <w:noProof/>
          <w:sz w:val="24"/>
        </w:rPr>
        <w:t>, депозитарна разписка, борсово търгуван фонд, сертификат и друг подобен финансов инструмент, ако извършва вътрешно изпълнение в съответствие със следните критерии:</w:t>
      </w:r>
    </w:p>
    <w:p w:rsidR="00B3756E" w:rsidRDefault="006A1B8B">
      <w:pPr>
        <w:ind w:left="1440" w:hanging="720"/>
        <w:rPr>
          <w:rFonts w:ascii="Times New Roman" w:hAnsi="Times New Roman"/>
          <w:noProof/>
          <w:sz w:val="24"/>
        </w:rPr>
      </w:pPr>
      <w:r>
        <w:rPr>
          <w:rFonts w:ascii="Times New Roman" w:hAnsi="Times New Roman"/>
          <w:noProof/>
          <w:sz w:val="24"/>
        </w:rPr>
        <w:t xml:space="preserve">а) </w:t>
      </w:r>
      <w:r>
        <w:rPr>
          <w:rFonts w:ascii="Times New Roman" w:hAnsi="Times New Roman"/>
          <w:noProof/>
          <w:sz w:val="24"/>
        </w:rPr>
        <w:tab/>
        <w:t>по редовен и систематичен начин с финансов инструмент, за който съществува ликвиден паз</w:t>
      </w:r>
      <w:r>
        <w:rPr>
          <w:rFonts w:ascii="Times New Roman" w:hAnsi="Times New Roman"/>
          <w:noProof/>
          <w:sz w:val="24"/>
        </w:rPr>
        <w:t>ар в съответствие с член 2, параграф 1, точка 17, буква б) от Регламент (ЕС) № 600/2014, ако през последните шест месеца:</w:t>
      </w:r>
    </w:p>
    <w:p w:rsidR="00B3756E" w:rsidRDefault="006A1B8B">
      <w:pPr>
        <w:ind w:left="2160" w:hanging="720"/>
        <w:rPr>
          <w:rFonts w:ascii="Times New Roman" w:hAnsi="Times New Roman"/>
          <w:noProof/>
          <w:sz w:val="24"/>
        </w:rPr>
      </w:pPr>
      <w:r>
        <w:rPr>
          <w:rFonts w:ascii="Times New Roman" w:hAnsi="Times New Roman"/>
          <w:noProof/>
          <w:sz w:val="24"/>
          <w:lang w:val="de-DE"/>
        </w:rPr>
        <w:t>i</w:t>
      </w:r>
      <w:r>
        <w:rPr>
          <w:rFonts w:ascii="Times New Roman" w:hAnsi="Times New Roman"/>
          <w:noProof/>
          <w:sz w:val="24"/>
        </w:rPr>
        <w:t xml:space="preserve">) </w:t>
      </w:r>
      <w:r>
        <w:rPr>
          <w:rFonts w:ascii="Times New Roman" w:hAnsi="Times New Roman"/>
          <w:noProof/>
          <w:sz w:val="24"/>
        </w:rPr>
        <w:tab/>
        <w:t>броят на извънборсовите сделки, осъществени от него за собствена сметка при изпълнението на клиентски нареждания, е равен на или п</w:t>
      </w:r>
      <w:r>
        <w:rPr>
          <w:rFonts w:ascii="Times New Roman" w:hAnsi="Times New Roman"/>
          <w:noProof/>
          <w:sz w:val="24"/>
        </w:rPr>
        <w:t>о-голям от 0,4 % от общия брой сделки със съответния финансов инструмент, изпълнени в Съюза на всяко място за търговия или извънборсов пазар за същия период,</w:t>
      </w:r>
    </w:p>
    <w:p w:rsidR="00B3756E" w:rsidRDefault="006A1B8B">
      <w:pPr>
        <w:ind w:left="2160" w:hanging="720"/>
        <w:rPr>
          <w:rFonts w:ascii="Times New Roman" w:hAnsi="Times New Roman"/>
          <w:noProof/>
          <w:sz w:val="24"/>
        </w:rPr>
      </w:pPr>
      <w:r>
        <w:rPr>
          <w:rFonts w:ascii="Times New Roman" w:hAnsi="Times New Roman"/>
          <w:noProof/>
          <w:sz w:val="24"/>
          <w:lang w:val="de-DE"/>
        </w:rPr>
        <w:t>ii</w:t>
      </w:r>
      <w:r>
        <w:rPr>
          <w:rFonts w:ascii="Times New Roman" w:hAnsi="Times New Roman"/>
          <w:noProof/>
          <w:sz w:val="24"/>
        </w:rPr>
        <w:t xml:space="preserve">) </w:t>
      </w:r>
      <w:r>
        <w:rPr>
          <w:rFonts w:ascii="Times New Roman" w:hAnsi="Times New Roman"/>
          <w:noProof/>
          <w:sz w:val="24"/>
        </w:rPr>
        <w:tab/>
        <w:t>извънборсовите сделки, осъществявани от него за собствена сметка при изпълнението на клиентск</w:t>
      </w:r>
      <w:r>
        <w:rPr>
          <w:rFonts w:ascii="Times New Roman" w:hAnsi="Times New Roman"/>
          <w:noProof/>
          <w:sz w:val="24"/>
        </w:rPr>
        <w:t>и нареждания със съответния финансов инструмент, са извършвани средно всеки ден;</w:t>
      </w:r>
    </w:p>
    <w:p w:rsidR="00B3756E" w:rsidRDefault="006A1B8B">
      <w:pPr>
        <w:ind w:left="1440" w:hanging="720"/>
        <w:rPr>
          <w:rFonts w:ascii="Times New Roman" w:hAnsi="Times New Roman"/>
          <w:noProof/>
          <w:sz w:val="24"/>
        </w:rPr>
      </w:pPr>
      <w:r>
        <w:rPr>
          <w:rFonts w:ascii="Times New Roman" w:hAnsi="Times New Roman"/>
          <w:noProof/>
          <w:sz w:val="24"/>
        </w:rPr>
        <w:t xml:space="preserve">б) </w:t>
      </w:r>
      <w:r>
        <w:rPr>
          <w:rFonts w:ascii="Times New Roman" w:hAnsi="Times New Roman"/>
          <w:noProof/>
          <w:sz w:val="24"/>
        </w:rPr>
        <w:tab/>
        <w:t>по редовен и систематичен начин с финансов инструмент, за който няма ликвиден пазар в съответствие с член 2, параграф 1, точка 17, буква б) от Регламент (ЕС) № 600/2014, а</w:t>
      </w:r>
      <w:r>
        <w:rPr>
          <w:rFonts w:ascii="Times New Roman" w:hAnsi="Times New Roman"/>
          <w:noProof/>
          <w:sz w:val="24"/>
        </w:rPr>
        <w:t>ко през последните 6 месеца извънборсовите сделки, осъществени от него за собствена сметка при изпълнението на клиентски нареждания, са извършвани средно всеки ден;</w:t>
      </w:r>
    </w:p>
    <w:p w:rsidR="00B3756E" w:rsidRDefault="006A1B8B">
      <w:pPr>
        <w:ind w:left="1440" w:hanging="720"/>
        <w:rPr>
          <w:rFonts w:ascii="Times New Roman" w:hAnsi="Times New Roman"/>
          <w:noProof/>
          <w:sz w:val="24"/>
        </w:rPr>
      </w:pPr>
      <w:r>
        <w:rPr>
          <w:rFonts w:ascii="Times New Roman" w:hAnsi="Times New Roman"/>
          <w:noProof/>
          <w:sz w:val="24"/>
        </w:rPr>
        <w:t>в)</w:t>
      </w:r>
      <w:r>
        <w:rPr>
          <w:rFonts w:ascii="Times New Roman" w:hAnsi="Times New Roman"/>
          <w:noProof/>
          <w:sz w:val="24"/>
        </w:rPr>
        <w:tab/>
        <w:t>по значителен начин с финансовия инструмент, ако броят на извънборсовите сделки, осъщест</w:t>
      </w:r>
      <w:r>
        <w:rPr>
          <w:rFonts w:ascii="Times New Roman" w:hAnsi="Times New Roman"/>
          <w:noProof/>
          <w:sz w:val="24"/>
        </w:rPr>
        <w:t xml:space="preserve">вени от него за собствена сметка при </w:t>
      </w:r>
      <w:r>
        <w:rPr>
          <w:rFonts w:ascii="Times New Roman" w:hAnsi="Times New Roman"/>
          <w:noProof/>
          <w:sz w:val="24"/>
        </w:rPr>
        <w:lastRenderedPageBreak/>
        <w:t>изпълнението на клиентски нареждания през последните 6 месеца, е равен на или по-голям от една от следните стойности:</w:t>
      </w:r>
    </w:p>
    <w:p w:rsidR="00B3756E" w:rsidRDefault="006A1B8B">
      <w:pPr>
        <w:ind w:left="2160" w:hanging="720"/>
        <w:rPr>
          <w:rFonts w:ascii="Times New Roman" w:hAnsi="Times New Roman"/>
          <w:noProof/>
          <w:sz w:val="24"/>
        </w:rPr>
      </w:pPr>
      <w:r>
        <w:rPr>
          <w:rFonts w:ascii="Times New Roman" w:hAnsi="Times New Roman"/>
          <w:noProof/>
          <w:sz w:val="24"/>
          <w:lang w:val="de-DE"/>
        </w:rPr>
        <w:t>i</w:t>
      </w:r>
      <w:r>
        <w:rPr>
          <w:rFonts w:ascii="Times New Roman" w:hAnsi="Times New Roman"/>
          <w:noProof/>
          <w:sz w:val="24"/>
        </w:rPr>
        <w:t xml:space="preserve">) </w:t>
      </w:r>
      <w:r>
        <w:rPr>
          <w:rFonts w:ascii="Times New Roman" w:hAnsi="Times New Roman"/>
          <w:noProof/>
          <w:sz w:val="24"/>
        </w:rPr>
        <w:tab/>
        <w:t>15 % от общия оборот с този финансов инструмент, осъществен от инвестиционния посредник за собств</w:t>
      </w:r>
      <w:r>
        <w:rPr>
          <w:rFonts w:ascii="Times New Roman" w:hAnsi="Times New Roman"/>
          <w:noProof/>
          <w:sz w:val="24"/>
        </w:rPr>
        <w:t>ена сметка или от името на клиенти и изпълнен на място за търговия или на извънборсов пазар,</w:t>
      </w:r>
    </w:p>
    <w:p w:rsidR="00B3756E" w:rsidRDefault="006A1B8B">
      <w:pPr>
        <w:ind w:left="2160" w:hanging="720"/>
        <w:jc w:val="both"/>
        <w:rPr>
          <w:rFonts w:ascii="Times New Roman" w:hAnsi="Times New Roman" w:cs="Times New Roman"/>
          <w:noProof/>
          <w:sz w:val="24"/>
          <w:szCs w:val="24"/>
        </w:rPr>
      </w:pPr>
      <w:r>
        <w:rPr>
          <w:rFonts w:ascii="Times New Roman" w:hAnsi="Times New Roman"/>
          <w:noProof/>
          <w:sz w:val="24"/>
          <w:lang w:val="en-GB"/>
        </w:rPr>
        <w:t>ii</w:t>
      </w:r>
      <w:r>
        <w:rPr>
          <w:rFonts w:ascii="Times New Roman" w:hAnsi="Times New Roman"/>
          <w:noProof/>
          <w:sz w:val="24"/>
        </w:rPr>
        <w:t xml:space="preserve">) </w:t>
      </w:r>
      <w:r>
        <w:rPr>
          <w:rFonts w:ascii="Times New Roman" w:hAnsi="Times New Roman"/>
          <w:noProof/>
          <w:sz w:val="24"/>
        </w:rPr>
        <w:tab/>
        <w:t>0,4 % от общия оборот с този финансов инструмент, осъществен в Съюза на място за търговия или на извънборсов пазар.“,</w:t>
      </w:r>
    </w:p>
    <w:p w:rsidR="00B3756E" w:rsidRDefault="006A1B8B">
      <w:pPr>
        <w:ind w:left="720" w:hanging="720"/>
        <w:rPr>
          <w:rFonts w:ascii="Times New Roman" w:hAnsi="Times New Roman"/>
          <w:noProof/>
          <w:sz w:val="24"/>
        </w:rPr>
      </w:pPr>
      <w:r>
        <w:rPr>
          <w:rFonts w:ascii="Times New Roman" w:hAnsi="Times New Roman"/>
          <w:i/>
          <w:noProof/>
          <w:sz w:val="24"/>
        </w:rPr>
        <w:t>да се чете:</w:t>
      </w:r>
      <w:r>
        <w:rPr>
          <w:noProof/>
        </w:rPr>
        <w:tab/>
      </w:r>
      <w:r>
        <w:rPr>
          <w:rFonts w:ascii="Times New Roman" w:hAnsi="Times New Roman"/>
          <w:noProof/>
          <w:sz w:val="24"/>
        </w:rPr>
        <w:t xml:space="preserve">„Инвестиционен посредник се </w:t>
      </w:r>
      <w:r>
        <w:rPr>
          <w:rFonts w:ascii="Times New Roman" w:hAnsi="Times New Roman"/>
          <w:noProof/>
          <w:sz w:val="24"/>
        </w:rPr>
        <w:t>счита за систематичен участник в съответствие с член 4, параграф 1, точка 20 от Директива 2014/65/ЕС по отношение на всяка акция, депозитарна разписка, борсово търгуван фонд, сертификат и друг подобен финансов инструмент, ако извършва вътрешно изпълнение в</w:t>
      </w:r>
      <w:r>
        <w:rPr>
          <w:rFonts w:ascii="Times New Roman" w:hAnsi="Times New Roman"/>
          <w:noProof/>
          <w:sz w:val="24"/>
        </w:rPr>
        <w:t xml:space="preserve"> съответствие със следните критерии:</w:t>
      </w:r>
    </w:p>
    <w:p w:rsidR="00B3756E" w:rsidRDefault="006A1B8B">
      <w:pPr>
        <w:ind w:left="2160" w:hanging="720"/>
        <w:rPr>
          <w:rFonts w:ascii="Times New Roman" w:hAnsi="Times New Roman"/>
          <w:noProof/>
          <w:sz w:val="24"/>
        </w:rPr>
      </w:pPr>
      <w:r>
        <w:rPr>
          <w:rFonts w:ascii="Times New Roman" w:hAnsi="Times New Roman"/>
          <w:noProof/>
          <w:sz w:val="24"/>
        </w:rPr>
        <w:t xml:space="preserve">а) </w:t>
      </w:r>
      <w:r>
        <w:rPr>
          <w:rFonts w:ascii="Times New Roman" w:hAnsi="Times New Roman"/>
          <w:noProof/>
          <w:sz w:val="24"/>
        </w:rPr>
        <w:tab/>
        <w:t>по редовен и систематичен начин с финансов инструмент, за който съществува ликвиден пазар съгласно определението в член 2, параграф 1, точка 17, буква б) от Регламент (ЕС) № 600/2014, ако през последните шест месеца</w:t>
      </w:r>
      <w:r>
        <w:rPr>
          <w:rFonts w:ascii="Times New Roman" w:hAnsi="Times New Roman"/>
          <w:noProof/>
          <w:sz w:val="24"/>
        </w:rPr>
        <w:t>:</w:t>
      </w:r>
    </w:p>
    <w:p w:rsidR="00B3756E" w:rsidRDefault="006A1B8B">
      <w:pPr>
        <w:ind w:left="2880" w:hanging="720"/>
        <w:rPr>
          <w:rFonts w:ascii="Times New Roman" w:hAnsi="Times New Roman"/>
          <w:noProof/>
          <w:sz w:val="24"/>
        </w:rPr>
      </w:pPr>
      <w:r>
        <w:rPr>
          <w:rFonts w:ascii="Times New Roman" w:hAnsi="Times New Roman"/>
          <w:noProof/>
          <w:sz w:val="24"/>
        </w:rPr>
        <w:t xml:space="preserve">i) </w:t>
      </w:r>
      <w:r>
        <w:rPr>
          <w:rFonts w:ascii="Times New Roman" w:hAnsi="Times New Roman"/>
          <w:noProof/>
          <w:sz w:val="24"/>
        </w:rPr>
        <w:tab/>
        <w:t>броят на извънборсовите сделки, осъществени от него за собствена сметка при изпълнението на клиентски нареждания, е равен на или по-голям от 0,4 % от общия брой сделки със съответния финансов инструмент, изпълнени в Съюза на всяко място за търговия и</w:t>
      </w:r>
      <w:r>
        <w:rPr>
          <w:rFonts w:ascii="Times New Roman" w:hAnsi="Times New Roman"/>
          <w:noProof/>
          <w:sz w:val="24"/>
        </w:rPr>
        <w:t>ли извънборсов пазар за същия период,</w:t>
      </w:r>
    </w:p>
    <w:p w:rsidR="00B3756E" w:rsidRDefault="006A1B8B">
      <w:pPr>
        <w:ind w:left="2880" w:hanging="720"/>
        <w:rPr>
          <w:rFonts w:ascii="Times New Roman" w:hAnsi="Times New Roman"/>
          <w:noProof/>
          <w:sz w:val="24"/>
        </w:rPr>
      </w:pPr>
      <w:r>
        <w:rPr>
          <w:rFonts w:ascii="Times New Roman" w:hAnsi="Times New Roman"/>
          <w:noProof/>
          <w:sz w:val="24"/>
        </w:rPr>
        <w:t xml:space="preserve">ii) </w:t>
      </w:r>
      <w:r>
        <w:rPr>
          <w:rFonts w:ascii="Times New Roman" w:hAnsi="Times New Roman"/>
          <w:noProof/>
          <w:sz w:val="24"/>
        </w:rPr>
        <w:tab/>
        <w:t>извънборсовите сделки, осъществявани от него за собствена сметка при изпълнението на клиентски нареждания със съответния финансов инструмент, са извършвани средно всеки ден;</w:t>
      </w:r>
    </w:p>
    <w:p w:rsidR="00B3756E" w:rsidRDefault="006A1B8B">
      <w:pPr>
        <w:ind w:left="2160" w:hanging="720"/>
        <w:rPr>
          <w:rFonts w:ascii="Times New Roman" w:hAnsi="Times New Roman"/>
          <w:noProof/>
          <w:sz w:val="24"/>
        </w:rPr>
      </w:pPr>
      <w:r>
        <w:rPr>
          <w:rFonts w:ascii="Times New Roman" w:hAnsi="Times New Roman"/>
          <w:noProof/>
          <w:sz w:val="24"/>
        </w:rPr>
        <w:t xml:space="preserve">б) </w:t>
      </w:r>
      <w:r>
        <w:rPr>
          <w:rFonts w:ascii="Times New Roman" w:hAnsi="Times New Roman"/>
          <w:noProof/>
          <w:sz w:val="24"/>
        </w:rPr>
        <w:tab/>
        <w:t xml:space="preserve">по редовен и систематичен начин с </w:t>
      </w:r>
      <w:r>
        <w:rPr>
          <w:rFonts w:ascii="Times New Roman" w:hAnsi="Times New Roman"/>
          <w:noProof/>
          <w:sz w:val="24"/>
        </w:rPr>
        <w:t xml:space="preserve">финансов инструмент, за който няма ликвиден пазар съгласно определението в член 2, параграф 1, точка 17, буква б) от Регламент (ЕС) № 600/2014, ако през последните 6 месеца извънборсовите сделки, осъществени от него за собствена сметка при изпълнението на </w:t>
      </w:r>
      <w:r>
        <w:rPr>
          <w:rFonts w:ascii="Times New Roman" w:hAnsi="Times New Roman"/>
          <w:noProof/>
          <w:sz w:val="24"/>
        </w:rPr>
        <w:t>клиентски нареждания, са извършвани средно всеки ден;</w:t>
      </w:r>
    </w:p>
    <w:p w:rsidR="00B3756E" w:rsidRDefault="006A1B8B">
      <w:pPr>
        <w:ind w:left="2160" w:hanging="720"/>
        <w:rPr>
          <w:rFonts w:ascii="Times New Roman" w:hAnsi="Times New Roman"/>
          <w:noProof/>
          <w:sz w:val="24"/>
        </w:rPr>
      </w:pPr>
      <w:r>
        <w:rPr>
          <w:rFonts w:ascii="Times New Roman" w:hAnsi="Times New Roman"/>
          <w:noProof/>
          <w:sz w:val="24"/>
        </w:rPr>
        <w:t xml:space="preserve">в) </w:t>
      </w:r>
      <w:r>
        <w:rPr>
          <w:rFonts w:ascii="Times New Roman" w:hAnsi="Times New Roman"/>
          <w:noProof/>
          <w:sz w:val="24"/>
        </w:rPr>
        <w:tab/>
        <w:t xml:space="preserve">по значителен начин с финансовия инструмент, ако обемът на извънборсовата търговия, осъществена от него за собствена сметка </w:t>
      </w:r>
      <w:r>
        <w:rPr>
          <w:rFonts w:ascii="Times New Roman" w:hAnsi="Times New Roman"/>
          <w:noProof/>
          <w:sz w:val="24"/>
        </w:rPr>
        <w:lastRenderedPageBreak/>
        <w:t>при изпълнението на клиентски нареждания през последните 6 месеца, е равен</w:t>
      </w:r>
      <w:r>
        <w:rPr>
          <w:rFonts w:ascii="Times New Roman" w:hAnsi="Times New Roman"/>
          <w:noProof/>
          <w:sz w:val="24"/>
        </w:rPr>
        <w:t xml:space="preserve"> на или по-голям от една от следните стойности:</w:t>
      </w:r>
    </w:p>
    <w:p w:rsidR="00B3756E" w:rsidRDefault="006A1B8B">
      <w:pPr>
        <w:ind w:left="2880" w:hanging="720"/>
        <w:rPr>
          <w:rFonts w:ascii="Times New Roman" w:hAnsi="Times New Roman"/>
          <w:noProof/>
          <w:sz w:val="24"/>
        </w:rPr>
      </w:pPr>
      <w:r>
        <w:rPr>
          <w:rFonts w:ascii="Times New Roman" w:hAnsi="Times New Roman"/>
          <w:noProof/>
          <w:sz w:val="24"/>
        </w:rPr>
        <w:t xml:space="preserve">i) </w:t>
      </w:r>
      <w:r>
        <w:rPr>
          <w:rFonts w:ascii="Times New Roman" w:hAnsi="Times New Roman"/>
          <w:noProof/>
          <w:sz w:val="24"/>
        </w:rPr>
        <w:tab/>
        <w:t>15 % от общия оборот с този финансов инструмент, осъществен от инвестиционния посредник за собствена сметка или от името на клиенти и изпълнен на място за търговия или на извънборсов пазар,</w:t>
      </w:r>
    </w:p>
    <w:p w:rsidR="00B3756E" w:rsidRDefault="006A1B8B">
      <w:pPr>
        <w:tabs>
          <w:tab w:val="left" w:pos="851"/>
        </w:tabs>
        <w:ind w:left="2880" w:hanging="2880"/>
        <w:jc w:val="both"/>
        <w:rPr>
          <w:rFonts w:ascii="Times New Roman" w:hAnsi="Times New Roman" w:cs="Times New Roman"/>
          <w:noProof/>
          <w:sz w:val="24"/>
          <w:szCs w:val="24"/>
        </w:rPr>
      </w:pPr>
      <w:r>
        <w:rPr>
          <w:rFonts w:ascii="Times New Roman" w:hAnsi="Times New Roman"/>
          <w:noProof/>
          <w:sz w:val="24"/>
        </w:rPr>
        <w:tab/>
        <w:t xml:space="preserve">             </w:t>
      </w:r>
      <w:r>
        <w:rPr>
          <w:rFonts w:ascii="Times New Roman" w:hAnsi="Times New Roman"/>
          <w:noProof/>
          <w:sz w:val="24"/>
        </w:rPr>
        <w:t xml:space="preserve">      ii) </w:t>
      </w:r>
      <w:r>
        <w:rPr>
          <w:rFonts w:ascii="Times New Roman" w:hAnsi="Times New Roman"/>
          <w:noProof/>
          <w:sz w:val="24"/>
        </w:rPr>
        <w:tab/>
        <w:t>0,4 % от общия оборот с този финансов инструмент, осъществен в Съюза на място за търговия или на извънборсов пазар.“.</w:t>
      </w:r>
    </w:p>
    <w:p w:rsidR="00B3756E" w:rsidRDefault="00B3756E">
      <w:pPr>
        <w:jc w:val="both"/>
        <w:rPr>
          <w:rFonts w:ascii="Times New Roman" w:hAnsi="Times New Roman" w:cs="Times New Roman"/>
          <w:noProof/>
          <w:sz w:val="24"/>
          <w:szCs w:val="24"/>
        </w:rPr>
      </w:pPr>
    </w:p>
    <w:p w:rsidR="00B3756E" w:rsidRDefault="006A1B8B">
      <w:pPr>
        <w:jc w:val="both"/>
        <w:rPr>
          <w:rFonts w:ascii="Times New Roman" w:hAnsi="Times New Roman" w:cs="Times New Roman"/>
          <w:noProof/>
          <w:sz w:val="24"/>
          <w:szCs w:val="24"/>
        </w:rPr>
      </w:pPr>
      <w:r>
        <w:rPr>
          <w:rFonts w:ascii="Times New Roman" w:hAnsi="Times New Roman"/>
          <w:noProof/>
          <w:sz w:val="24"/>
        </w:rPr>
        <w:t>В член 13:</w:t>
      </w:r>
    </w:p>
    <w:p w:rsidR="00B3756E" w:rsidRDefault="006A1B8B">
      <w:pPr>
        <w:ind w:left="720" w:hanging="720"/>
        <w:rPr>
          <w:rFonts w:ascii="Times New Roman" w:hAnsi="Times New Roman"/>
          <w:noProof/>
          <w:sz w:val="24"/>
        </w:rPr>
      </w:pPr>
      <w:r>
        <w:rPr>
          <w:rFonts w:ascii="Times New Roman" w:hAnsi="Times New Roman"/>
          <w:i/>
          <w:noProof/>
          <w:sz w:val="24"/>
        </w:rPr>
        <w:t>вместо:</w:t>
      </w:r>
      <w:r>
        <w:rPr>
          <w:rFonts w:ascii="Times New Roman" w:hAnsi="Times New Roman"/>
          <w:noProof/>
          <w:sz w:val="24"/>
        </w:rPr>
        <w:t xml:space="preserve">„Инвестиционен посредник се счита за систематичен участник в съответствие с член 4, параграф 1, точка 20 от </w:t>
      </w:r>
      <w:r>
        <w:rPr>
          <w:rFonts w:ascii="Times New Roman" w:hAnsi="Times New Roman"/>
          <w:noProof/>
          <w:sz w:val="24"/>
        </w:rPr>
        <w:t xml:space="preserve">Директива 2014/65/ЕС по отношение на всички облигации, които принадлежат към даден клас облигации, емитирани от един и същ субект или от който и да е субект в рамките на същата група, ако извършва вътрешно изпълнение по отношение на всяка такава облигация </w:t>
      </w:r>
      <w:r>
        <w:rPr>
          <w:rFonts w:ascii="Times New Roman" w:hAnsi="Times New Roman"/>
          <w:noProof/>
          <w:sz w:val="24"/>
        </w:rPr>
        <w:t>в съответствие със следните критерии:</w:t>
      </w:r>
    </w:p>
    <w:p w:rsidR="00B3756E" w:rsidRDefault="006A1B8B">
      <w:pPr>
        <w:ind w:left="2160" w:hanging="720"/>
        <w:rPr>
          <w:rFonts w:ascii="Times New Roman" w:hAnsi="Times New Roman"/>
          <w:noProof/>
          <w:sz w:val="24"/>
        </w:rPr>
      </w:pPr>
      <w:r>
        <w:rPr>
          <w:rFonts w:ascii="Times New Roman" w:hAnsi="Times New Roman"/>
          <w:noProof/>
          <w:sz w:val="24"/>
        </w:rPr>
        <w:t xml:space="preserve">а) </w:t>
      </w:r>
      <w:r>
        <w:rPr>
          <w:rFonts w:ascii="Times New Roman" w:hAnsi="Times New Roman"/>
          <w:noProof/>
          <w:sz w:val="24"/>
        </w:rPr>
        <w:tab/>
        <w:t>по редовен и систематичен начин с облигация, за която съществува ликвиден пазар в съответствие с член 2, параграф 1, точка 17, буква б) от Регламент (ЕС) № 600/2014, ако през последните шест месеца:</w:t>
      </w:r>
    </w:p>
    <w:p w:rsidR="00B3756E" w:rsidRDefault="006A1B8B">
      <w:pPr>
        <w:ind w:left="2880" w:hanging="720"/>
        <w:rPr>
          <w:rFonts w:ascii="Times New Roman" w:hAnsi="Times New Roman"/>
          <w:noProof/>
          <w:sz w:val="24"/>
        </w:rPr>
      </w:pPr>
      <w:r>
        <w:rPr>
          <w:rFonts w:ascii="Times New Roman" w:hAnsi="Times New Roman"/>
          <w:noProof/>
          <w:sz w:val="24"/>
          <w:lang w:val="en-GB"/>
        </w:rPr>
        <w:t>i</w:t>
      </w:r>
      <w:r>
        <w:rPr>
          <w:rFonts w:ascii="Times New Roman" w:hAnsi="Times New Roman"/>
          <w:noProof/>
          <w:sz w:val="24"/>
        </w:rPr>
        <w:t>)</w:t>
      </w:r>
      <w:r>
        <w:rPr>
          <w:rFonts w:ascii="Times New Roman" w:hAnsi="Times New Roman"/>
          <w:noProof/>
          <w:sz w:val="24"/>
        </w:rPr>
        <w:tab/>
        <w:t>броят на изв</w:t>
      </w:r>
      <w:r>
        <w:rPr>
          <w:rFonts w:ascii="Times New Roman" w:hAnsi="Times New Roman"/>
          <w:noProof/>
          <w:sz w:val="24"/>
        </w:rPr>
        <w:t>ънборсовите сделки, осъществени от него за собствена сметка при изпълнението на клиентски нареждания, е равен на или по-голям от 2,5 % от общия брой сделки със съответната облигация, изпълнени в Съюза на всяко място за търговия или извънборсов пазар за същ</w:t>
      </w:r>
      <w:r>
        <w:rPr>
          <w:rFonts w:ascii="Times New Roman" w:hAnsi="Times New Roman"/>
          <w:noProof/>
          <w:sz w:val="24"/>
        </w:rPr>
        <w:t>ия период,</w:t>
      </w:r>
    </w:p>
    <w:p w:rsidR="00B3756E" w:rsidRDefault="006A1B8B">
      <w:pPr>
        <w:ind w:left="2880" w:hanging="720"/>
        <w:rPr>
          <w:rFonts w:ascii="Times New Roman" w:hAnsi="Times New Roman"/>
          <w:noProof/>
          <w:sz w:val="24"/>
        </w:rPr>
      </w:pPr>
      <w:r>
        <w:rPr>
          <w:rFonts w:ascii="Times New Roman" w:hAnsi="Times New Roman"/>
          <w:noProof/>
          <w:sz w:val="24"/>
          <w:lang w:val="en-GB"/>
        </w:rPr>
        <w:t>ii</w:t>
      </w:r>
      <w:r>
        <w:rPr>
          <w:rFonts w:ascii="Times New Roman" w:hAnsi="Times New Roman"/>
          <w:noProof/>
          <w:sz w:val="24"/>
        </w:rPr>
        <w:t xml:space="preserve">) </w:t>
      </w:r>
      <w:r>
        <w:rPr>
          <w:rFonts w:ascii="Times New Roman" w:hAnsi="Times New Roman"/>
          <w:noProof/>
          <w:sz w:val="24"/>
        </w:rPr>
        <w:tab/>
        <w:t>извънборсовите сделки, осъществявани от него за собствена сметка при изпълнението на клиентски нареждания със съответния финансов инструмент, са извършвани средно веднъж седмично;</w:t>
      </w:r>
    </w:p>
    <w:p w:rsidR="00B3756E" w:rsidRDefault="006A1B8B">
      <w:pPr>
        <w:ind w:left="2160" w:hanging="720"/>
        <w:rPr>
          <w:rFonts w:ascii="Times New Roman" w:hAnsi="Times New Roman"/>
          <w:noProof/>
          <w:sz w:val="24"/>
        </w:rPr>
      </w:pPr>
      <w:r>
        <w:rPr>
          <w:rFonts w:ascii="Times New Roman" w:hAnsi="Times New Roman"/>
          <w:noProof/>
          <w:sz w:val="24"/>
        </w:rPr>
        <w:t xml:space="preserve">а) </w:t>
      </w:r>
      <w:r>
        <w:rPr>
          <w:rFonts w:ascii="Times New Roman" w:hAnsi="Times New Roman"/>
          <w:noProof/>
          <w:sz w:val="24"/>
        </w:rPr>
        <w:tab/>
        <w:t>по редовен и систематичен начин с облигация, за която ня</w:t>
      </w:r>
      <w:r>
        <w:rPr>
          <w:rFonts w:ascii="Times New Roman" w:hAnsi="Times New Roman"/>
          <w:noProof/>
          <w:sz w:val="24"/>
        </w:rPr>
        <w:t>ма ликвиден пазар в съответствие с член 2, параграф 1, точка 17, буква б) от Регламент (ЕС) № 600/2014, ако през последните 6 месеца извънборсовите сделки, осъществени от него за собствена сметка при изпълнението на клиентски нареждания, са извършвани сред</w:t>
      </w:r>
      <w:r>
        <w:rPr>
          <w:rFonts w:ascii="Times New Roman" w:hAnsi="Times New Roman"/>
          <w:noProof/>
          <w:sz w:val="24"/>
        </w:rPr>
        <w:t>но веднъж седмично;</w:t>
      </w:r>
    </w:p>
    <w:p w:rsidR="00B3756E" w:rsidRDefault="006A1B8B">
      <w:pPr>
        <w:ind w:left="2160" w:hanging="720"/>
        <w:rPr>
          <w:rFonts w:ascii="Times New Roman" w:hAnsi="Times New Roman"/>
          <w:noProof/>
          <w:sz w:val="24"/>
        </w:rPr>
      </w:pPr>
      <w:r>
        <w:rPr>
          <w:rFonts w:ascii="Times New Roman" w:hAnsi="Times New Roman"/>
          <w:noProof/>
          <w:sz w:val="24"/>
        </w:rPr>
        <w:lastRenderedPageBreak/>
        <w:t>б)</w:t>
      </w:r>
      <w:r>
        <w:rPr>
          <w:rFonts w:ascii="Times New Roman" w:hAnsi="Times New Roman"/>
          <w:noProof/>
          <w:sz w:val="24"/>
        </w:rPr>
        <w:tab/>
        <w:t xml:space="preserve"> по значителен начин с облигацията, ако броят на извънборсовите сделки, осъществени от него за собствена сметка при изпълнението на клиентски нареждания през последните 6 месеца, е равен на или по-голям от една от следните стойности:</w:t>
      </w:r>
    </w:p>
    <w:p w:rsidR="00B3756E" w:rsidRDefault="006A1B8B">
      <w:pPr>
        <w:ind w:left="2880" w:hanging="720"/>
        <w:rPr>
          <w:rFonts w:ascii="Times New Roman" w:hAnsi="Times New Roman"/>
          <w:noProof/>
          <w:sz w:val="24"/>
        </w:rPr>
      </w:pPr>
      <w:r>
        <w:rPr>
          <w:rFonts w:ascii="Times New Roman" w:hAnsi="Times New Roman"/>
          <w:noProof/>
          <w:sz w:val="24"/>
          <w:lang w:val="en-GB"/>
        </w:rPr>
        <w:t>i</w:t>
      </w:r>
      <w:r>
        <w:rPr>
          <w:rFonts w:ascii="Times New Roman" w:hAnsi="Times New Roman"/>
          <w:noProof/>
          <w:sz w:val="24"/>
        </w:rPr>
        <w:t xml:space="preserve">) </w:t>
      </w:r>
      <w:r>
        <w:rPr>
          <w:rFonts w:ascii="Times New Roman" w:hAnsi="Times New Roman"/>
          <w:noProof/>
          <w:sz w:val="24"/>
        </w:rPr>
        <w:tab/>
        <w:t>25 % от общата номинална сума на търговията с тази облигация, реализирана от инвестиционния посредник за собствена сметка или от името на клиенти на място за търговия или на извънборсов пазар,</w:t>
      </w:r>
    </w:p>
    <w:p w:rsidR="00B3756E" w:rsidRDefault="006A1B8B">
      <w:pPr>
        <w:ind w:left="2877" w:hanging="870"/>
        <w:jc w:val="both"/>
        <w:rPr>
          <w:rFonts w:ascii="Times New Roman" w:hAnsi="Times New Roman" w:cs="Times New Roman"/>
          <w:noProof/>
          <w:sz w:val="24"/>
          <w:szCs w:val="24"/>
        </w:rPr>
      </w:pPr>
      <w:r>
        <w:rPr>
          <w:rFonts w:ascii="Times New Roman" w:hAnsi="Times New Roman"/>
          <w:noProof/>
          <w:sz w:val="24"/>
          <w:lang w:val="en-GB"/>
        </w:rPr>
        <w:t>ii</w:t>
      </w:r>
      <w:r>
        <w:rPr>
          <w:rFonts w:ascii="Times New Roman" w:hAnsi="Times New Roman"/>
          <w:noProof/>
          <w:sz w:val="24"/>
        </w:rPr>
        <w:t xml:space="preserve">) </w:t>
      </w:r>
      <w:r>
        <w:rPr>
          <w:rFonts w:ascii="Times New Roman" w:hAnsi="Times New Roman"/>
          <w:noProof/>
          <w:sz w:val="24"/>
        </w:rPr>
        <w:tab/>
      </w:r>
      <w:r>
        <w:rPr>
          <w:rFonts w:ascii="Times New Roman" w:hAnsi="Times New Roman" w:cs="Times New Roman"/>
          <w:noProof/>
          <w:sz w:val="24"/>
          <w:szCs w:val="24"/>
        </w:rPr>
        <w:t>1 % от общата номинална сума на търговията с тази обл</w:t>
      </w:r>
      <w:r>
        <w:rPr>
          <w:rFonts w:ascii="Times New Roman" w:hAnsi="Times New Roman" w:cs="Times New Roman"/>
          <w:noProof/>
          <w:sz w:val="24"/>
          <w:szCs w:val="24"/>
        </w:rPr>
        <w:t>игация, реализирана в Съюза на място за търговия или на извънборсов пазар.“,</w:t>
      </w:r>
    </w:p>
    <w:p w:rsidR="00B3756E" w:rsidRDefault="00B3756E">
      <w:pPr>
        <w:ind w:left="720" w:hanging="720"/>
        <w:jc w:val="both"/>
        <w:rPr>
          <w:rFonts w:ascii="Times New Roman" w:hAnsi="Times New Roman" w:cs="Times New Roman"/>
          <w:noProof/>
          <w:sz w:val="24"/>
          <w:szCs w:val="24"/>
        </w:rPr>
      </w:pPr>
    </w:p>
    <w:p w:rsidR="00B3756E" w:rsidRDefault="006A1B8B">
      <w:pPr>
        <w:ind w:left="720" w:hanging="720"/>
        <w:rPr>
          <w:rFonts w:ascii="Times New Roman" w:hAnsi="Times New Roman"/>
          <w:noProof/>
          <w:sz w:val="24"/>
        </w:rPr>
      </w:pPr>
      <w:r>
        <w:rPr>
          <w:rFonts w:ascii="Times New Roman" w:hAnsi="Times New Roman"/>
          <w:i/>
          <w:noProof/>
          <w:sz w:val="24"/>
        </w:rPr>
        <w:t>да се чете:</w:t>
      </w:r>
      <w:r>
        <w:rPr>
          <w:noProof/>
        </w:rPr>
        <w:tab/>
      </w:r>
      <w:r>
        <w:rPr>
          <w:rFonts w:ascii="Times New Roman" w:hAnsi="Times New Roman"/>
          <w:noProof/>
          <w:sz w:val="24"/>
        </w:rPr>
        <w:t>„Инвестиционен посредник се счита за систематичен участник в съответствие с член 4, параграф 1, точка 20 от Директива 2014/65/ЕС по отношение на всички облигации, кои</w:t>
      </w:r>
      <w:r>
        <w:rPr>
          <w:rFonts w:ascii="Times New Roman" w:hAnsi="Times New Roman"/>
          <w:noProof/>
          <w:sz w:val="24"/>
        </w:rPr>
        <w:t>то принадлежат към даден клас облигации, емитирани от един и същ субект или от който и да е субект в рамките на същата група, ако извършва вътрешно изпълнение по отношение на всяка такава облигация в съответствие със следните критерии:</w:t>
      </w:r>
    </w:p>
    <w:p w:rsidR="00B3756E" w:rsidRDefault="006A1B8B">
      <w:pPr>
        <w:ind w:left="2160" w:hanging="720"/>
        <w:rPr>
          <w:rFonts w:ascii="Times New Roman" w:hAnsi="Times New Roman"/>
          <w:noProof/>
          <w:sz w:val="24"/>
        </w:rPr>
      </w:pPr>
      <w:r>
        <w:rPr>
          <w:rFonts w:ascii="Times New Roman" w:hAnsi="Times New Roman"/>
          <w:noProof/>
          <w:sz w:val="24"/>
        </w:rPr>
        <w:t xml:space="preserve">а) </w:t>
      </w:r>
      <w:r>
        <w:rPr>
          <w:rFonts w:ascii="Times New Roman" w:hAnsi="Times New Roman"/>
          <w:noProof/>
          <w:sz w:val="24"/>
        </w:rPr>
        <w:tab/>
        <w:t>по редовен и сис</w:t>
      </w:r>
      <w:r>
        <w:rPr>
          <w:rFonts w:ascii="Times New Roman" w:hAnsi="Times New Roman"/>
          <w:noProof/>
          <w:sz w:val="24"/>
        </w:rPr>
        <w:t>тематичен начин с облигация, за която съществува ликвиден пазар съгласно определението в член 2, параграф 1, точка 17, буква а) от Регламент (ЕС) № 600/2014, ако през последните шест месеца:</w:t>
      </w:r>
    </w:p>
    <w:p w:rsidR="00B3756E" w:rsidRDefault="006A1B8B">
      <w:pPr>
        <w:ind w:left="2880" w:hanging="720"/>
        <w:rPr>
          <w:rFonts w:ascii="Times New Roman" w:hAnsi="Times New Roman"/>
          <w:noProof/>
          <w:sz w:val="24"/>
        </w:rPr>
      </w:pPr>
      <w:r>
        <w:rPr>
          <w:rFonts w:ascii="Times New Roman" w:hAnsi="Times New Roman"/>
          <w:noProof/>
          <w:sz w:val="24"/>
          <w:lang w:val="en-GB"/>
        </w:rPr>
        <w:t>i</w:t>
      </w:r>
      <w:r>
        <w:rPr>
          <w:rFonts w:ascii="Times New Roman" w:hAnsi="Times New Roman"/>
          <w:noProof/>
          <w:sz w:val="24"/>
        </w:rPr>
        <w:t>)</w:t>
      </w:r>
      <w:r>
        <w:rPr>
          <w:rFonts w:ascii="Times New Roman" w:hAnsi="Times New Roman"/>
          <w:noProof/>
          <w:sz w:val="24"/>
        </w:rPr>
        <w:tab/>
        <w:t xml:space="preserve"> броят на извънборсовите сделки, осъществени от него за собств</w:t>
      </w:r>
      <w:r>
        <w:rPr>
          <w:rFonts w:ascii="Times New Roman" w:hAnsi="Times New Roman"/>
          <w:noProof/>
          <w:sz w:val="24"/>
        </w:rPr>
        <w:t>ена сметка при изпълнението на клиентски нареждания, е равен на или по-голям от 2,5 % от общия брой сделки със съответната облигация, изпълнени в Съюза на всяко място за търговия или извънборсов пазар за същия период,</w:t>
      </w:r>
    </w:p>
    <w:p w:rsidR="00B3756E" w:rsidRDefault="006A1B8B">
      <w:pPr>
        <w:ind w:left="2880" w:hanging="720"/>
        <w:rPr>
          <w:rFonts w:ascii="Times New Roman" w:hAnsi="Times New Roman"/>
          <w:noProof/>
          <w:sz w:val="24"/>
        </w:rPr>
      </w:pPr>
      <w:r>
        <w:rPr>
          <w:rFonts w:ascii="Times New Roman" w:hAnsi="Times New Roman"/>
          <w:noProof/>
          <w:sz w:val="24"/>
          <w:lang w:val="en-GB"/>
        </w:rPr>
        <w:t>ii</w:t>
      </w:r>
      <w:r>
        <w:rPr>
          <w:rFonts w:ascii="Times New Roman" w:hAnsi="Times New Roman"/>
          <w:noProof/>
          <w:sz w:val="24"/>
        </w:rPr>
        <w:t xml:space="preserve">) </w:t>
      </w:r>
      <w:r>
        <w:rPr>
          <w:rFonts w:ascii="Times New Roman" w:hAnsi="Times New Roman"/>
          <w:noProof/>
          <w:sz w:val="24"/>
        </w:rPr>
        <w:tab/>
        <w:t>извънборсовите сделки, осъществяв</w:t>
      </w:r>
      <w:r>
        <w:rPr>
          <w:rFonts w:ascii="Times New Roman" w:hAnsi="Times New Roman"/>
          <w:noProof/>
          <w:sz w:val="24"/>
        </w:rPr>
        <w:t>ани от него за собствена сметка при изпълнението на клиентски нареждания със съответния финансов инструмент, са извършвани средно веднъж седмично;</w:t>
      </w:r>
    </w:p>
    <w:p w:rsidR="00B3756E" w:rsidRDefault="006A1B8B">
      <w:pPr>
        <w:ind w:left="2160" w:hanging="720"/>
        <w:rPr>
          <w:rFonts w:ascii="Times New Roman" w:hAnsi="Times New Roman"/>
          <w:noProof/>
          <w:sz w:val="24"/>
        </w:rPr>
      </w:pPr>
      <w:r>
        <w:rPr>
          <w:rFonts w:ascii="Times New Roman" w:hAnsi="Times New Roman"/>
          <w:noProof/>
          <w:sz w:val="24"/>
        </w:rPr>
        <w:t xml:space="preserve">б) </w:t>
      </w:r>
      <w:r>
        <w:rPr>
          <w:rFonts w:ascii="Times New Roman" w:hAnsi="Times New Roman"/>
          <w:noProof/>
          <w:sz w:val="24"/>
        </w:rPr>
        <w:tab/>
        <w:t xml:space="preserve">по редовен и систематичен начин с облигация, за която няма ликвиден пазар съгласно определението в </w:t>
      </w:r>
      <w:r>
        <w:rPr>
          <w:rFonts w:ascii="Times New Roman" w:hAnsi="Times New Roman"/>
          <w:noProof/>
          <w:sz w:val="24"/>
        </w:rPr>
        <w:t xml:space="preserve">член 2, параграф 1, точка 17, буква а) от Регламент (ЕС) № 600/2014, ако през последните 6 месеца извънборсовите сделки, осъществени от него за </w:t>
      </w:r>
      <w:r>
        <w:rPr>
          <w:rFonts w:ascii="Times New Roman" w:hAnsi="Times New Roman"/>
          <w:noProof/>
          <w:sz w:val="24"/>
        </w:rPr>
        <w:lastRenderedPageBreak/>
        <w:t>собствена сметка при изпълнението на клиентски нареждания, са извършвани средно веднъж седмично;</w:t>
      </w:r>
    </w:p>
    <w:p w:rsidR="00B3756E" w:rsidRDefault="006A1B8B">
      <w:pPr>
        <w:ind w:left="2160" w:hanging="720"/>
        <w:rPr>
          <w:rFonts w:ascii="Times New Roman" w:hAnsi="Times New Roman"/>
          <w:noProof/>
          <w:sz w:val="24"/>
        </w:rPr>
      </w:pPr>
      <w:r>
        <w:rPr>
          <w:rFonts w:ascii="Times New Roman" w:hAnsi="Times New Roman"/>
          <w:noProof/>
          <w:sz w:val="24"/>
        </w:rPr>
        <w:t>в)</w:t>
      </w:r>
      <w:r>
        <w:rPr>
          <w:rFonts w:ascii="Times New Roman" w:hAnsi="Times New Roman"/>
          <w:noProof/>
          <w:sz w:val="24"/>
        </w:rPr>
        <w:tab/>
        <w:t>по значителе</w:t>
      </w:r>
      <w:r>
        <w:rPr>
          <w:rFonts w:ascii="Times New Roman" w:hAnsi="Times New Roman"/>
          <w:noProof/>
          <w:sz w:val="24"/>
        </w:rPr>
        <w:t>н начин с облигацията, ако обемът на извънборсовата търговия, осъществена от него за собствена сметка при изпълнението на клиентски нареждания през последните 6 месеца, е равен на или по-голям от една от следните стойности:</w:t>
      </w:r>
    </w:p>
    <w:p w:rsidR="00B3756E" w:rsidRDefault="006A1B8B">
      <w:pPr>
        <w:ind w:left="2880" w:hanging="720"/>
        <w:rPr>
          <w:rFonts w:ascii="Times New Roman" w:hAnsi="Times New Roman"/>
          <w:noProof/>
          <w:sz w:val="24"/>
        </w:rPr>
      </w:pPr>
      <w:r>
        <w:rPr>
          <w:rFonts w:ascii="Times New Roman" w:hAnsi="Times New Roman"/>
          <w:noProof/>
          <w:sz w:val="24"/>
          <w:lang w:val="en-GB"/>
        </w:rPr>
        <w:t>i</w:t>
      </w:r>
      <w:r>
        <w:rPr>
          <w:rFonts w:ascii="Times New Roman" w:hAnsi="Times New Roman"/>
          <w:noProof/>
          <w:sz w:val="24"/>
        </w:rPr>
        <w:t xml:space="preserve">) </w:t>
      </w:r>
      <w:r>
        <w:rPr>
          <w:rFonts w:ascii="Times New Roman" w:hAnsi="Times New Roman"/>
          <w:noProof/>
          <w:sz w:val="24"/>
        </w:rPr>
        <w:tab/>
        <w:t xml:space="preserve">25 % от общия оборот с тази </w:t>
      </w:r>
      <w:r>
        <w:rPr>
          <w:rFonts w:ascii="Times New Roman" w:hAnsi="Times New Roman"/>
          <w:noProof/>
          <w:sz w:val="24"/>
        </w:rPr>
        <w:t>облигация, реализиран от инвестиционния посредник за собствена сметка или от името на клиенти и изпълнен на място за търговия или на извънборсов пазар,</w:t>
      </w:r>
    </w:p>
    <w:p w:rsidR="00B3756E" w:rsidRDefault="006A1B8B">
      <w:pPr>
        <w:tabs>
          <w:tab w:val="left" w:pos="851"/>
        </w:tabs>
        <w:ind w:left="2880" w:hanging="2880"/>
        <w:jc w:val="both"/>
        <w:rPr>
          <w:noProof/>
          <w:szCs w:val="24"/>
        </w:rPr>
      </w:pPr>
      <w:r>
        <w:rPr>
          <w:rFonts w:ascii="Times New Roman" w:hAnsi="Times New Roman"/>
          <w:noProof/>
          <w:sz w:val="24"/>
        </w:rPr>
        <w:tab/>
        <w:t xml:space="preserve">                  </w:t>
      </w:r>
      <w:r>
        <w:rPr>
          <w:rFonts w:ascii="Times New Roman" w:hAnsi="Times New Roman"/>
          <w:noProof/>
          <w:sz w:val="24"/>
          <w:lang w:val="en-GB"/>
        </w:rPr>
        <w:t>ii</w:t>
      </w:r>
      <w:r>
        <w:rPr>
          <w:rFonts w:ascii="Times New Roman" w:hAnsi="Times New Roman"/>
          <w:noProof/>
          <w:sz w:val="24"/>
        </w:rPr>
        <w:t xml:space="preserve">) </w:t>
      </w:r>
      <w:r>
        <w:rPr>
          <w:rFonts w:ascii="Times New Roman" w:hAnsi="Times New Roman"/>
          <w:noProof/>
          <w:sz w:val="24"/>
        </w:rPr>
        <w:tab/>
        <w:t>1 % от общия оборот с тази облигация, реализиран в Съюза на                   мя</w:t>
      </w:r>
      <w:r>
        <w:rPr>
          <w:rFonts w:ascii="Times New Roman" w:hAnsi="Times New Roman"/>
          <w:noProof/>
          <w:sz w:val="24"/>
        </w:rPr>
        <w:t>сто за търговия или на извънборсов пазар</w:t>
      </w:r>
      <w:r>
        <w:rPr>
          <w:noProof/>
        </w:rPr>
        <w:t>.“.</w:t>
      </w:r>
    </w:p>
    <w:p w:rsidR="00B3756E" w:rsidRDefault="00B3756E">
      <w:pPr>
        <w:ind w:left="720" w:hanging="720"/>
        <w:jc w:val="both"/>
        <w:rPr>
          <w:rFonts w:ascii="Times New Roman" w:hAnsi="Times New Roman" w:cs="Times New Roman"/>
          <w:i/>
          <w:noProof/>
          <w:sz w:val="24"/>
          <w:szCs w:val="24"/>
        </w:rPr>
      </w:pPr>
    </w:p>
    <w:p w:rsidR="00B3756E" w:rsidRDefault="006A1B8B">
      <w:pPr>
        <w:jc w:val="both"/>
        <w:rPr>
          <w:rFonts w:ascii="Times New Roman" w:hAnsi="Times New Roman" w:cs="Times New Roman"/>
          <w:noProof/>
          <w:sz w:val="24"/>
          <w:szCs w:val="24"/>
        </w:rPr>
      </w:pPr>
      <w:r>
        <w:rPr>
          <w:rFonts w:ascii="Times New Roman" w:hAnsi="Times New Roman"/>
          <w:noProof/>
          <w:sz w:val="24"/>
        </w:rPr>
        <w:t>В член 14, буква а):</w:t>
      </w:r>
    </w:p>
    <w:p w:rsidR="00B3756E" w:rsidRDefault="006A1B8B">
      <w:pPr>
        <w:ind w:left="851" w:hanging="851"/>
        <w:jc w:val="both"/>
        <w:rPr>
          <w:rFonts w:ascii="Times New Roman" w:hAnsi="Times New Roman" w:cs="Times New Roman"/>
          <w:noProof/>
          <w:sz w:val="24"/>
          <w:szCs w:val="24"/>
        </w:rPr>
      </w:pPr>
      <w:r>
        <w:rPr>
          <w:rFonts w:ascii="Times New Roman" w:hAnsi="Times New Roman"/>
          <w:i/>
          <w:noProof/>
          <w:sz w:val="24"/>
        </w:rPr>
        <w:t>вместо:</w:t>
      </w:r>
      <w:r>
        <w:rPr>
          <w:noProof/>
        </w:rPr>
        <w:tab/>
      </w:r>
      <w:r>
        <w:rPr>
          <w:rFonts w:ascii="Times New Roman" w:hAnsi="Times New Roman"/>
          <w:noProof/>
          <w:sz w:val="24"/>
        </w:rPr>
        <w:t xml:space="preserve">„по редовен и систематичен начин със структуриран финансов продукт, за който съществува ликвиден пазар в съответствие с член 2, параграф 1, точка 17, буква б) от Регламент (ЕС) </w:t>
      </w:r>
      <w:r>
        <w:rPr>
          <w:rFonts w:ascii="Times New Roman" w:hAnsi="Times New Roman"/>
          <w:noProof/>
          <w:sz w:val="24"/>
        </w:rPr>
        <w:t>№ 600/2014, ако през последните шест месеца:“,</w:t>
      </w:r>
    </w:p>
    <w:p w:rsidR="00B3756E" w:rsidRDefault="006A1B8B">
      <w:pPr>
        <w:ind w:left="851" w:hanging="851"/>
        <w:jc w:val="both"/>
        <w:rPr>
          <w:rFonts w:ascii="Times New Roman" w:hAnsi="Times New Roman" w:cs="Times New Roman"/>
          <w:noProof/>
          <w:sz w:val="24"/>
          <w:szCs w:val="24"/>
        </w:rPr>
      </w:pPr>
      <w:r>
        <w:rPr>
          <w:rFonts w:ascii="Times New Roman" w:hAnsi="Times New Roman"/>
          <w:i/>
          <w:noProof/>
          <w:sz w:val="24"/>
        </w:rPr>
        <w:t>да се чете:</w:t>
      </w:r>
      <w:r>
        <w:rPr>
          <w:noProof/>
        </w:rPr>
        <w:tab/>
      </w:r>
      <w:r>
        <w:rPr>
          <w:rFonts w:ascii="Times New Roman" w:hAnsi="Times New Roman"/>
          <w:noProof/>
          <w:sz w:val="24"/>
        </w:rPr>
        <w:t xml:space="preserve">„по редовен и систематичен начин със структуриран финансов продукт, за който съществува ликвиден пазар съгласно определението в член 2, параграф 1, точка 17, буква а) от Регламент (ЕС) № 600/2014, </w:t>
      </w:r>
      <w:r>
        <w:rPr>
          <w:rFonts w:ascii="Times New Roman" w:hAnsi="Times New Roman"/>
          <w:noProof/>
          <w:sz w:val="24"/>
        </w:rPr>
        <w:t>ако през последните шест месеца:“.</w:t>
      </w:r>
    </w:p>
    <w:p w:rsidR="00B3756E" w:rsidRDefault="00B3756E">
      <w:pPr>
        <w:tabs>
          <w:tab w:val="left" w:pos="851"/>
        </w:tabs>
        <w:ind w:left="1418" w:hanging="1418"/>
        <w:jc w:val="both"/>
        <w:rPr>
          <w:rFonts w:ascii="Times New Roman" w:hAnsi="Times New Roman" w:cs="Times New Roman"/>
          <w:i/>
          <w:noProof/>
          <w:sz w:val="24"/>
          <w:szCs w:val="24"/>
        </w:rPr>
      </w:pPr>
    </w:p>
    <w:p w:rsidR="00B3756E" w:rsidRDefault="006A1B8B">
      <w:pPr>
        <w:jc w:val="both"/>
        <w:rPr>
          <w:rFonts w:ascii="Times New Roman" w:hAnsi="Times New Roman" w:cs="Times New Roman"/>
          <w:noProof/>
          <w:sz w:val="24"/>
          <w:szCs w:val="24"/>
        </w:rPr>
      </w:pPr>
      <w:r>
        <w:rPr>
          <w:rFonts w:ascii="Times New Roman" w:hAnsi="Times New Roman"/>
          <w:noProof/>
          <w:sz w:val="24"/>
        </w:rPr>
        <w:t>В член 14:</w:t>
      </w:r>
    </w:p>
    <w:p w:rsidR="00B3756E" w:rsidRDefault="006A1B8B">
      <w:pPr>
        <w:tabs>
          <w:tab w:val="left" w:pos="851"/>
        </w:tabs>
        <w:ind w:left="1418" w:hanging="1418"/>
        <w:jc w:val="both"/>
        <w:rPr>
          <w:rFonts w:ascii="Times New Roman" w:hAnsi="Times New Roman" w:cs="Times New Roman"/>
          <w:noProof/>
          <w:sz w:val="24"/>
          <w:szCs w:val="24"/>
        </w:rPr>
      </w:pPr>
      <w:r>
        <w:rPr>
          <w:rFonts w:ascii="Times New Roman" w:hAnsi="Times New Roman"/>
          <w:i/>
          <w:noProof/>
          <w:sz w:val="24"/>
        </w:rPr>
        <w:t>вместо:</w:t>
      </w:r>
      <w:r>
        <w:rPr>
          <w:noProof/>
        </w:rPr>
        <w:tab/>
      </w:r>
      <w:r>
        <w:rPr>
          <w:noProof/>
        </w:rPr>
        <w:tab/>
      </w:r>
      <w:r>
        <w:rPr>
          <w:rFonts w:ascii="Times New Roman" w:hAnsi="Times New Roman"/>
          <w:noProof/>
          <w:sz w:val="24"/>
        </w:rPr>
        <w:t>„б)</w:t>
      </w:r>
      <w:r>
        <w:rPr>
          <w:noProof/>
        </w:rPr>
        <w:tab/>
      </w:r>
      <w:r>
        <w:rPr>
          <w:rFonts w:ascii="Times New Roman" w:hAnsi="Times New Roman"/>
          <w:noProof/>
          <w:sz w:val="24"/>
        </w:rPr>
        <w:t>„по редовен и систематичен начин със структуриран финансов продукт, за който няма ликвиден пазар в съответствие с член 2, параграф 1, точка 17, буква б) от Регламент (ЕС) № 600/2014, ако през посл</w:t>
      </w:r>
      <w:r>
        <w:rPr>
          <w:rFonts w:ascii="Times New Roman" w:hAnsi="Times New Roman"/>
          <w:noProof/>
          <w:sz w:val="24"/>
        </w:rPr>
        <w:t>едните 6 месеца извънборсовите сделки, осъществени от него за собствена сметка при изпълнението на клиентски нареждания, са извършвани средно веднъж седмично;“,</w:t>
      </w:r>
    </w:p>
    <w:p w:rsidR="00B3756E" w:rsidRDefault="006A1B8B">
      <w:pPr>
        <w:tabs>
          <w:tab w:val="left" w:pos="851"/>
        </w:tabs>
        <w:ind w:left="1418" w:hanging="1418"/>
        <w:jc w:val="both"/>
        <w:rPr>
          <w:rFonts w:ascii="Times New Roman" w:hAnsi="Times New Roman" w:cs="Times New Roman"/>
          <w:i/>
          <w:noProof/>
          <w:sz w:val="24"/>
          <w:szCs w:val="24"/>
        </w:rPr>
      </w:pPr>
      <w:r>
        <w:rPr>
          <w:rFonts w:ascii="Times New Roman" w:hAnsi="Times New Roman"/>
          <w:i/>
          <w:noProof/>
          <w:sz w:val="24"/>
        </w:rPr>
        <w:t>да се чете:</w:t>
      </w:r>
      <w:r>
        <w:rPr>
          <w:noProof/>
        </w:rPr>
        <w:tab/>
      </w:r>
      <w:r>
        <w:rPr>
          <w:rFonts w:ascii="Times New Roman" w:hAnsi="Times New Roman"/>
          <w:noProof/>
          <w:sz w:val="24"/>
        </w:rPr>
        <w:t>„б)</w:t>
      </w:r>
      <w:r>
        <w:rPr>
          <w:noProof/>
        </w:rPr>
        <w:tab/>
      </w:r>
      <w:r>
        <w:rPr>
          <w:rFonts w:ascii="Times New Roman" w:hAnsi="Times New Roman"/>
          <w:noProof/>
          <w:sz w:val="24"/>
        </w:rPr>
        <w:t>„по редовен и систематичен начин със структуриран финансов продукт, за който ня</w:t>
      </w:r>
      <w:r>
        <w:rPr>
          <w:rFonts w:ascii="Times New Roman" w:hAnsi="Times New Roman"/>
          <w:noProof/>
          <w:sz w:val="24"/>
        </w:rPr>
        <w:t xml:space="preserve">ма ликвиден пазар съгласно определението в член 2, параграф 1, точка 17, буква а) от Регламент (ЕС) № 600/2014, ако през последните 6 месеца извънборсовите сделки, осъществени от него за </w:t>
      </w:r>
      <w:r>
        <w:rPr>
          <w:rFonts w:ascii="Times New Roman" w:hAnsi="Times New Roman"/>
          <w:noProof/>
          <w:sz w:val="24"/>
        </w:rPr>
        <w:lastRenderedPageBreak/>
        <w:t>собствена сметка при изпълнението на клиентски нареждания, са извършв</w:t>
      </w:r>
      <w:r>
        <w:rPr>
          <w:rFonts w:ascii="Times New Roman" w:hAnsi="Times New Roman"/>
          <w:noProof/>
          <w:sz w:val="24"/>
        </w:rPr>
        <w:t>ани средно веднъж седмично;“.</w:t>
      </w:r>
    </w:p>
    <w:p w:rsidR="00B3756E" w:rsidRDefault="00B3756E">
      <w:pPr>
        <w:jc w:val="both"/>
        <w:rPr>
          <w:rFonts w:ascii="Times New Roman" w:hAnsi="Times New Roman" w:cs="Times New Roman"/>
          <w:noProof/>
          <w:sz w:val="24"/>
          <w:szCs w:val="24"/>
        </w:rPr>
      </w:pPr>
    </w:p>
    <w:p w:rsidR="00B3756E" w:rsidRDefault="006A1B8B">
      <w:pPr>
        <w:jc w:val="both"/>
        <w:rPr>
          <w:rFonts w:ascii="Times New Roman" w:hAnsi="Times New Roman" w:cs="Times New Roman"/>
          <w:noProof/>
          <w:sz w:val="24"/>
          <w:szCs w:val="24"/>
        </w:rPr>
      </w:pPr>
      <w:r>
        <w:rPr>
          <w:rFonts w:ascii="Times New Roman" w:hAnsi="Times New Roman"/>
          <w:noProof/>
          <w:sz w:val="24"/>
        </w:rPr>
        <w:t>Член 14, буква в):</w:t>
      </w:r>
    </w:p>
    <w:p w:rsidR="00B3756E" w:rsidRDefault="006A1B8B">
      <w:pPr>
        <w:tabs>
          <w:tab w:val="left" w:pos="851"/>
        </w:tabs>
        <w:ind w:left="1418" w:hanging="1418"/>
        <w:jc w:val="both"/>
        <w:rPr>
          <w:rFonts w:ascii="Times New Roman" w:hAnsi="Times New Roman" w:cs="Times New Roman"/>
          <w:noProof/>
          <w:sz w:val="24"/>
          <w:szCs w:val="24"/>
        </w:rPr>
      </w:pPr>
      <w:r>
        <w:rPr>
          <w:rFonts w:ascii="Times New Roman" w:hAnsi="Times New Roman"/>
          <w:i/>
          <w:noProof/>
          <w:sz w:val="24"/>
        </w:rPr>
        <w:t>вместо:</w:t>
      </w:r>
      <w:r>
        <w:rPr>
          <w:noProof/>
        </w:rPr>
        <w:tab/>
      </w:r>
      <w:r>
        <w:rPr>
          <w:noProof/>
        </w:rPr>
        <w:tab/>
      </w:r>
      <w:r>
        <w:rPr>
          <w:rFonts w:ascii="Times New Roman" w:hAnsi="Times New Roman"/>
          <w:noProof/>
          <w:sz w:val="24"/>
        </w:rPr>
        <w:t>„в)</w:t>
      </w:r>
      <w:r>
        <w:rPr>
          <w:noProof/>
        </w:rPr>
        <w:tab/>
      </w:r>
      <w:r>
        <w:rPr>
          <w:rFonts w:ascii="Times New Roman" w:hAnsi="Times New Roman"/>
          <w:noProof/>
          <w:sz w:val="24"/>
        </w:rPr>
        <w:t xml:space="preserve">„по значителен начин със структурирания финансов продукт, ако броят на извънборсовите сделки, осъществени от него за собствена сметка при изпълнението на клиентски нареждания през последните 6 </w:t>
      </w:r>
      <w:r>
        <w:rPr>
          <w:rFonts w:ascii="Times New Roman" w:hAnsi="Times New Roman"/>
          <w:noProof/>
          <w:sz w:val="24"/>
        </w:rPr>
        <w:t>месеца, е равен на или по-голям от една от следните стойности:</w:t>
      </w:r>
    </w:p>
    <w:p w:rsidR="00B3756E" w:rsidRDefault="006A1B8B">
      <w:pPr>
        <w:ind w:left="1984" w:hanging="567"/>
        <w:jc w:val="both"/>
        <w:rPr>
          <w:rFonts w:ascii="Times New Roman" w:hAnsi="Times New Roman" w:cs="Times New Roman"/>
          <w:noProof/>
          <w:sz w:val="24"/>
          <w:szCs w:val="24"/>
        </w:rPr>
      </w:pPr>
      <w:r>
        <w:rPr>
          <w:rFonts w:ascii="Times New Roman" w:hAnsi="Times New Roman"/>
          <w:noProof/>
          <w:sz w:val="24"/>
        </w:rPr>
        <w:t>i)</w:t>
      </w:r>
      <w:r>
        <w:rPr>
          <w:noProof/>
        </w:rPr>
        <w:tab/>
      </w:r>
      <w:r>
        <w:rPr>
          <w:rFonts w:ascii="Times New Roman" w:hAnsi="Times New Roman"/>
          <w:noProof/>
          <w:sz w:val="24"/>
        </w:rPr>
        <w:t>30 % от общата номинална сума на търговията с този структуриран финансов продукт, реализирана от инвестиционния посредник за собствена сметка или от името на клиенти на място за търговия или</w:t>
      </w:r>
      <w:r>
        <w:rPr>
          <w:rFonts w:ascii="Times New Roman" w:hAnsi="Times New Roman"/>
          <w:noProof/>
          <w:sz w:val="24"/>
        </w:rPr>
        <w:t xml:space="preserve"> на извънборсов пазар,</w:t>
      </w:r>
    </w:p>
    <w:p w:rsidR="00B3756E" w:rsidRDefault="006A1B8B">
      <w:pPr>
        <w:ind w:left="1984" w:hanging="567"/>
        <w:jc w:val="both"/>
        <w:rPr>
          <w:rFonts w:ascii="Times New Roman" w:hAnsi="Times New Roman" w:cs="Times New Roman"/>
          <w:noProof/>
          <w:sz w:val="24"/>
          <w:szCs w:val="24"/>
        </w:rPr>
      </w:pPr>
      <w:r>
        <w:rPr>
          <w:rFonts w:ascii="Times New Roman" w:hAnsi="Times New Roman"/>
          <w:noProof/>
          <w:sz w:val="24"/>
        </w:rPr>
        <w:t>ii)</w:t>
      </w:r>
      <w:r>
        <w:rPr>
          <w:noProof/>
        </w:rPr>
        <w:tab/>
      </w:r>
      <w:r>
        <w:rPr>
          <w:rFonts w:ascii="Times New Roman" w:hAnsi="Times New Roman"/>
          <w:noProof/>
          <w:sz w:val="24"/>
        </w:rPr>
        <w:t>2,25 % от общата номинална сума на търговията с този структуриран финансов продукт, реализирана в Съюза на място за търговия или на извънборсов пазар.“,</w:t>
      </w:r>
    </w:p>
    <w:p w:rsidR="00B3756E" w:rsidRDefault="006A1B8B">
      <w:pPr>
        <w:tabs>
          <w:tab w:val="left" w:pos="851"/>
        </w:tabs>
        <w:ind w:left="1418" w:hanging="1418"/>
        <w:jc w:val="both"/>
        <w:rPr>
          <w:rFonts w:ascii="Times New Roman" w:hAnsi="Times New Roman" w:cs="Times New Roman"/>
          <w:i/>
          <w:noProof/>
          <w:sz w:val="24"/>
          <w:szCs w:val="24"/>
        </w:rPr>
      </w:pPr>
      <w:r>
        <w:rPr>
          <w:rFonts w:ascii="Times New Roman" w:hAnsi="Times New Roman"/>
          <w:i/>
          <w:noProof/>
          <w:sz w:val="24"/>
        </w:rPr>
        <w:t>да се чете:</w:t>
      </w:r>
      <w:r>
        <w:rPr>
          <w:noProof/>
        </w:rPr>
        <w:tab/>
      </w:r>
      <w:r>
        <w:rPr>
          <w:rFonts w:ascii="Times New Roman" w:hAnsi="Times New Roman"/>
          <w:noProof/>
          <w:sz w:val="24"/>
        </w:rPr>
        <w:t>„в)</w:t>
      </w:r>
      <w:r>
        <w:rPr>
          <w:noProof/>
        </w:rPr>
        <w:tab/>
      </w:r>
      <w:r>
        <w:rPr>
          <w:rFonts w:ascii="Times New Roman" w:hAnsi="Times New Roman"/>
          <w:noProof/>
          <w:sz w:val="24"/>
        </w:rPr>
        <w:t>„по значителен начин със структурирания финансов продукт, ак</w:t>
      </w:r>
      <w:r>
        <w:rPr>
          <w:rFonts w:ascii="Times New Roman" w:hAnsi="Times New Roman"/>
          <w:noProof/>
          <w:sz w:val="24"/>
        </w:rPr>
        <w:t>о обемът на извънборсовата търговия, осъществена от него за собствена сметка при изпълнението на клиентски нареждания през последните 6 месеца, е равен на или по-голям от една от следните стойности:</w:t>
      </w:r>
    </w:p>
    <w:p w:rsidR="00B3756E" w:rsidRDefault="006A1B8B">
      <w:pPr>
        <w:ind w:left="1984" w:hanging="567"/>
        <w:jc w:val="both"/>
        <w:rPr>
          <w:rFonts w:ascii="Times New Roman" w:hAnsi="Times New Roman" w:cs="Times New Roman"/>
          <w:noProof/>
          <w:sz w:val="24"/>
          <w:szCs w:val="24"/>
        </w:rPr>
      </w:pPr>
      <w:r>
        <w:rPr>
          <w:rFonts w:ascii="Times New Roman" w:hAnsi="Times New Roman"/>
          <w:noProof/>
          <w:sz w:val="24"/>
        </w:rPr>
        <w:t>i)</w:t>
      </w:r>
      <w:r>
        <w:rPr>
          <w:noProof/>
        </w:rPr>
        <w:tab/>
      </w:r>
      <w:r>
        <w:rPr>
          <w:rFonts w:ascii="Times New Roman" w:hAnsi="Times New Roman"/>
          <w:noProof/>
          <w:sz w:val="24"/>
        </w:rPr>
        <w:t xml:space="preserve">30 % от общия оборот с този структуриран финансов </w:t>
      </w:r>
      <w:r>
        <w:rPr>
          <w:rFonts w:ascii="Times New Roman" w:hAnsi="Times New Roman"/>
          <w:noProof/>
          <w:sz w:val="24"/>
        </w:rPr>
        <w:t>продукт, реализиран от инвестиционния посредник за собствена сметка или от името на клиенти на място за търговия или на извънборсов пазар,</w:t>
      </w:r>
    </w:p>
    <w:p w:rsidR="00B3756E" w:rsidRDefault="006A1B8B">
      <w:pPr>
        <w:ind w:left="1984" w:hanging="567"/>
        <w:jc w:val="both"/>
        <w:rPr>
          <w:rFonts w:ascii="Times New Roman" w:hAnsi="Times New Roman" w:cs="Times New Roman"/>
          <w:noProof/>
          <w:sz w:val="24"/>
          <w:szCs w:val="24"/>
        </w:rPr>
      </w:pPr>
      <w:r>
        <w:rPr>
          <w:rFonts w:ascii="Times New Roman" w:hAnsi="Times New Roman"/>
          <w:noProof/>
          <w:sz w:val="24"/>
        </w:rPr>
        <w:t>ii)</w:t>
      </w:r>
      <w:r>
        <w:rPr>
          <w:noProof/>
        </w:rPr>
        <w:tab/>
      </w:r>
      <w:r>
        <w:rPr>
          <w:rFonts w:ascii="Times New Roman" w:hAnsi="Times New Roman"/>
          <w:noProof/>
          <w:sz w:val="24"/>
        </w:rPr>
        <w:t>2,25 % от общия оборот с този структуриран финансов продукт, реализиран в Съюза на място за търговия или на извън</w:t>
      </w:r>
      <w:r>
        <w:rPr>
          <w:rFonts w:ascii="Times New Roman" w:hAnsi="Times New Roman"/>
          <w:noProof/>
          <w:sz w:val="24"/>
        </w:rPr>
        <w:t>борсов пазар.“.</w:t>
      </w:r>
    </w:p>
    <w:p w:rsidR="00B3756E" w:rsidRDefault="00B3756E">
      <w:pPr>
        <w:ind w:left="720" w:hanging="720"/>
        <w:jc w:val="both"/>
        <w:rPr>
          <w:rFonts w:ascii="Times New Roman" w:hAnsi="Times New Roman" w:cs="Times New Roman"/>
          <w:i/>
          <w:noProof/>
          <w:sz w:val="24"/>
          <w:szCs w:val="24"/>
        </w:rPr>
      </w:pPr>
    </w:p>
    <w:p w:rsidR="00B3756E" w:rsidRDefault="006A1B8B">
      <w:pPr>
        <w:jc w:val="both"/>
        <w:rPr>
          <w:rFonts w:ascii="Times New Roman" w:hAnsi="Times New Roman" w:cs="Times New Roman"/>
          <w:noProof/>
          <w:sz w:val="24"/>
          <w:szCs w:val="24"/>
        </w:rPr>
      </w:pPr>
      <w:r>
        <w:rPr>
          <w:rFonts w:ascii="Times New Roman" w:hAnsi="Times New Roman"/>
          <w:noProof/>
          <w:sz w:val="24"/>
        </w:rPr>
        <w:t>В член 15, буква а):</w:t>
      </w:r>
    </w:p>
    <w:p w:rsidR="00B3756E" w:rsidRDefault="006A1B8B">
      <w:pPr>
        <w:ind w:left="851" w:hanging="851"/>
        <w:jc w:val="both"/>
        <w:rPr>
          <w:rFonts w:ascii="Times New Roman" w:hAnsi="Times New Roman" w:cs="Times New Roman"/>
          <w:noProof/>
          <w:sz w:val="24"/>
          <w:szCs w:val="24"/>
        </w:rPr>
      </w:pPr>
      <w:r>
        <w:rPr>
          <w:rFonts w:ascii="Times New Roman" w:hAnsi="Times New Roman"/>
          <w:i/>
          <w:noProof/>
          <w:sz w:val="24"/>
        </w:rPr>
        <w:t>вместо:</w:t>
      </w:r>
      <w:r>
        <w:rPr>
          <w:noProof/>
        </w:rPr>
        <w:tab/>
      </w:r>
      <w:r>
        <w:rPr>
          <w:rFonts w:ascii="Times New Roman" w:hAnsi="Times New Roman"/>
          <w:noProof/>
          <w:sz w:val="24"/>
        </w:rPr>
        <w:t>„по редовен и систематичен начин с дериват, за който съществува ликвиден пазар в съответствие с член 2, параграф 1, точка 17, буква б) от Регламент (ЕС) № 600/2014, ако пред последните шест месеца:“,</w:t>
      </w:r>
    </w:p>
    <w:p w:rsidR="00B3756E" w:rsidRDefault="006A1B8B">
      <w:pPr>
        <w:ind w:left="851" w:hanging="851"/>
        <w:jc w:val="both"/>
        <w:rPr>
          <w:rFonts w:ascii="Times New Roman" w:hAnsi="Times New Roman" w:cs="Times New Roman"/>
          <w:noProof/>
          <w:sz w:val="24"/>
          <w:szCs w:val="24"/>
        </w:rPr>
      </w:pPr>
      <w:r>
        <w:rPr>
          <w:rFonts w:ascii="Times New Roman" w:hAnsi="Times New Roman"/>
          <w:i/>
          <w:noProof/>
          <w:sz w:val="24"/>
        </w:rPr>
        <w:t>да се чете</w:t>
      </w:r>
      <w:r>
        <w:rPr>
          <w:rFonts w:ascii="Times New Roman" w:hAnsi="Times New Roman"/>
          <w:i/>
          <w:noProof/>
          <w:sz w:val="24"/>
        </w:rPr>
        <w:t>:</w:t>
      </w:r>
      <w:r>
        <w:rPr>
          <w:noProof/>
        </w:rPr>
        <w:tab/>
      </w:r>
      <w:r>
        <w:rPr>
          <w:rFonts w:ascii="Times New Roman" w:hAnsi="Times New Roman"/>
          <w:noProof/>
          <w:sz w:val="24"/>
        </w:rPr>
        <w:t>„по редовен и систематичен начин с дериват, за който съществува ликвиден пазар съгласно определението в член 2, параграф 1, точка 17, буква а) от Регламент (ЕС) № 600/2014, ако през последните шест месеца:“.</w:t>
      </w:r>
    </w:p>
    <w:p w:rsidR="00B3756E" w:rsidRDefault="00B3756E">
      <w:pPr>
        <w:tabs>
          <w:tab w:val="left" w:pos="851"/>
        </w:tabs>
        <w:ind w:left="1418" w:hanging="1418"/>
        <w:jc w:val="both"/>
        <w:rPr>
          <w:rFonts w:ascii="Times New Roman" w:hAnsi="Times New Roman" w:cs="Times New Roman"/>
          <w:i/>
          <w:noProof/>
          <w:sz w:val="24"/>
          <w:szCs w:val="24"/>
        </w:rPr>
      </w:pPr>
    </w:p>
    <w:p w:rsidR="00B3756E" w:rsidRDefault="006A1B8B">
      <w:pPr>
        <w:jc w:val="both"/>
        <w:rPr>
          <w:rFonts w:ascii="Times New Roman" w:hAnsi="Times New Roman" w:cs="Times New Roman"/>
          <w:noProof/>
          <w:sz w:val="24"/>
          <w:szCs w:val="24"/>
        </w:rPr>
      </w:pPr>
      <w:r>
        <w:rPr>
          <w:rFonts w:ascii="Times New Roman" w:hAnsi="Times New Roman"/>
          <w:noProof/>
          <w:sz w:val="24"/>
        </w:rPr>
        <w:t>Член 15, буква б):</w:t>
      </w:r>
    </w:p>
    <w:p w:rsidR="00B3756E" w:rsidRDefault="006A1B8B">
      <w:pPr>
        <w:tabs>
          <w:tab w:val="left" w:pos="851"/>
        </w:tabs>
        <w:ind w:left="1418" w:hanging="1418"/>
        <w:jc w:val="both"/>
        <w:rPr>
          <w:rFonts w:ascii="Times New Roman" w:hAnsi="Times New Roman" w:cs="Times New Roman"/>
          <w:noProof/>
          <w:sz w:val="24"/>
          <w:szCs w:val="24"/>
        </w:rPr>
      </w:pPr>
      <w:r>
        <w:rPr>
          <w:rFonts w:ascii="Times New Roman" w:hAnsi="Times New Roman"/>
          <w:i/>
          <w:noProof/>
          <w:sz w:val="24"/>
        </w:rPr>
        <w:t>вместо:</w:t>
      </w:r>
      <w:r>
        <w:rPr>
          <w:noProof/>
        </w:rPr>
        <w:tab/>
      </w:r>
      <w:r>
        <w:rPr>
          <w:noProof/>
        </w:rPr>
        <w:tab/>
      </w:r>
      <w:r>
        <w:rPr>
          <w:rFonts w:ascii="Times New Roman" w:hAnsi="Times New Roman"/>
          <w:noProof/>
          <w:sz w:val="24"/>
        </w:rPr>
        <w:t>„б)</w:t>
      </w:r>
      <w:r>
        <w:rPr>
          <w:noProof/>
        </w:rPr>
        <w:tab/>
      </w:r>
      <w:r>
        <w:rPr>
          <w:rFonts w:ascii="Times New Roman" w:hAnsi="Times New Roman"/>
          <w:noProof/>
          <w:sz w:val="24"/>
        </w:rPr>
        <w:t>„по редовен и</w:t>
      </w:r>
      <w:r>
        <w:rPr>
          <w:rFonts w:ascii="Times New Roman" w:hAnsi="Times New Roman"/>
          <w:noProof/>
          <w:sz w:val="24"/>
        </w:rPr>
        <w:t xml:space="preserve"> систематичен начин с дериват, за който няма ликвиден пазар в съответствие с член 2, параграф 1, точка 17, буква б) от Регламент (ЕС) № 600/2014, ако през последните 6 месеца извънборсовите сделки със съответния клас деривати, осъществени от него за собств</w:t>
      </w:r>
      <w:r>
        <w:rPr>
          <w:rFonts w:ascii="Times New Roman" w:hAnsi="Times New Roman"/>
          <w:noProof/>
          <w:sz w:val="24"/>
        </w:rPr>
        <w:t>ена сметка при изпълнението на клиентски нареждания, са извършвани средно веднъж седмично;“,</w:t>
      </w:r>
    </w:p>
    <w:p w:rsidR="00B3756E" w:rsidRDefault="006A1B8B">
      <w:pPr>
        <w:tabs>
          <w:tab w:val="left" w:pos="851"/>
        </w:tabs>
        <w:ind w:left="1418" w:hanging="1418"/>
        <w:jc w:val="both"/>
        <w:rPr>
          <w:rFonts w:ascii="Times New Roman" w:hAnsi="Times New Roman" w:cs="Times New Roman"/>
          <w:noProof/>
          <w:sz w:val="24"/>
          <w:szCs w:val="24"/>
        </w:rPr>
      </w:pPr>
      <w:r>
        <w:rPr>
          <w:rFonts w:ascii="Times New Roman" w:hAnsi="Times New Roman"/>
          <w:i/>
          <w:noProof/>
          <w:sz w:val="24"/>
        </w:rPr>
        <w:t>да се чете:</w:t>
      </w:r>
      <w:r>
        <w:rPr>
          <w:noProof/>
        </w:rPr>
        <w:tab/>
      </w:r>
      <w:r>
        <w:rPr>
          <w:rFonts w:ascii="Times New Roman" w:hAnsi="Times New Roman"/>
          <w:noProof/>
          <w:sz w:val="24"/>
        </w:rPr>
        <w:t>б)</w:t>
      </w:r>
      <w:r>
        <w:rPr>
          <w:noProof/>
        </w:rPr>
        <w:tab/>
      </w:r>
      <w:r>
        <w:rPr>
          <w:rFonts w:ascii="Times New Roman" w:hAnsi="Times New Roman"/>
          <w:noProof/>
          <w:sz w:val="24"/>
        </w:rPr>
        <w:t>„по редовен и систематичен начин с дериват, за който няма ликвиден пазар съгласно определението в член 2, параграф 1, точка 17, буква а) от Регламент (ЕС) № 600/2014, ако през последните 6 месеца извънборсовите сделки със съответния клас деривати, осъществ</w:t>
      </w:r>
      <w:r>
        <w:rPr>
          <w:rFonts w:ascii="Times New Roman" w:hAnsi="Times New Roman"/>
          <w:noProof/>
          <w:sz w:val="24"/>
        </w:rPr>
        <w:t xml:space="preserve">ени от него за собствена сметка при изпълнението на клиентски нареждания, са извършвани средно веднъж седмично;“. </w:t>
      </w:r>
    </w:p>
    <w:p w:rsidR="00B3756E" w:rsidRDefault="00B3756E">
      <w:pPr>
        <w:jc w:val="both"/>
        <w:rPr>
          <w:rFonts w:ascii="Times New Roman" w:hAnsi="Times New Roman" w:cs="Times New Roman"/>
          <w:noProof/>
          <w:sz w:val="24"/>
          <w:szCs w:val="24"/>
        </w:rPr>
      </w:pPr>
    </w:p>
    <w:p w:rsidR="00B3756E" w:rsidRDefault="006A1B8B">
      <w:pPr>
        <w:jc w:val="both"/>
        <w:rPr>
          <w:rFonts w:ascii="Times New Roman" w:hAnsi="Times New Roman" w:cs="Times New Roman"/>
          <w:noProof/>
          <w:sz w:val="24"/>
          <w:szCs w:val="24"/>
        </w:rPr>
      </w:pPr>
      <w:r>
        <w:rPr>
          <w:rFonts w:ascii="Times New Roman" w:hAnsi="Times New Roman"/>
          <w:noProof/>
          <w:sz w:val="24"/>
        </w:rPr>
        <w:t>Член 15, буква в):</w:t>
      </w:r>
    </w:p>
    <w:p w:rsidR="00B3756E" w:rsidRDefault="006A1B8B">
      <w:pPr>
        <w:tabs>
          <w:tab w:val="left" w:pos="851"/>
        </w:tabs>
        <w:ind w:left="1418" w:hanging="1418"/>
        <w:jc w:val="both"/>
        <w:rPr>
          <w:rFonts w:ascii="Times New Roman" w:hAnsi="Times New Roman" w:cs="Times New Roman"/>
          <w:noProof/>
          <w:sz w:val="24"/>
          <w:szCs w:val="24"/>
        </w:rPr>
      </w:pPr>
      <w:r>
        <w:rPr>
          <w:rFonts w:ascii="Times New Roman" w:hAnsi="Times New Roman"/>
          <w:i/>
          <w:noProof/>
          <w:sz w:val="24"/>
        </w:rPr>
        <w:t>вместо:</w:t>
      </w:r>
      <w:r>
        <w:rPr>
          <w:rFonts w:ascii="Times New Roman" w:hAnsi="Times New Roman"/>
          <w:i/>
          <w:noProof/>
          <w:sz w:val="24"/>
        </w:rPr>
        <w:tab/>
      </w:r>
      <w:r>
        <w:rPr>
          <w:noProof/>
        </w:rPr>
        <w:tab/>
      </w:r>
      <w:r>
        <w:rPr>
          <w:rFonts w:ascii="Times New Roman" w:hAnsi="Times New Roman"/>
          <w:noProof/>
          <w:sz w:val="24"/>
        </w:rPr>
        <w:t>„в)</w:t>
      </w:r>
      <w:r>
        <w:rPr>
          <w:noProof/>
        </w:rPr>
        <w:tab/>
      </w:r>
      <w:r>
        <w:rPr>
          <w:rFonts w:ascii="Times New Roman" w:hAnsi="Times New Roman"/>
          <w:noProof/>
          <w:sz w:val="24"/>
        </w:rPr>
        <w:t xml:space="preserve">по значителен начин с деривата, ако броят на извънборсовите сделки, осъществени от него за собствена сметка </w:t>
      </w:r>
      <w:r>
        <w:rPr>
          <w:rFonts w:ascii="Times New Roman" w:hAnsi="Times New Roman"/>
          <w:noProof/>
          <w:sz w:val="24"/>
        </w:rPr>
        <w:t>при изпълнението на клиентски нареждания през последните 6 месеца, е по-голям от или равен на една от следните стойности:</w:t>
      </w:r>
    </w:p>
    <w:p w:rsidR="00B3756E" w:rsidRDefault="006A1B8B">
      <w:pPr>
        <w:ind w:left="1984" w:hanging="567"/>
        <w:jc w:val="both"/>
        <w:rPr>
          <w:rFonts w:ascii="Times New Roman" w:hAnsi="Times New Roman" w:cs="Times New Roman"/>
          <w:noProof/>
          <w:sz w:val="24"/>
          <w:szCs w:val="24"/>
        </w:rPr>
      </w:pPr>
      <w:r>
        <w:rPr>
          <w:rFonts w:ascii="Times New Roman" w:hAnsi="Times New Roman"/>
          <w:noProof/>
          <w:sz w:val="24"/>
        </w:rPr>
        <w:t>i)</w:t>
      </w:r>
      <w:r>
        <w:rPr>
          <w:noProof/>
        </w:rPr>
        <w:tab/>
      </w:r>
      <w:r>
        <w:rPr>
          <w:rFonts w:ascii="Times New Roman" w:hAnsi="Times New Roman"/>
          <w:noProof/>
          <w:sz w:val="24"/>
        </w:rPr>
        <w:t>25 % от общата номинална сума на търговията с този клас деривати, реализирана от инвестиционния посредник за собствена сметка или о</w:t>
      </w:r>
      <w:r>
        <w:rPr>
          <w:rFonts w:ascii="Times New Roman" w:hAnsi="Times New Roman"/>
          <w:noProof/>
          <w:sz w:val="24"/>
        </w:rPr>
        <w:t>т името на клиенти на място за търговия или на извънборсов пазар; или</w:t>
      </w:r>
    </w:p>
    <w:p w:rsidR="00B3756E" w:rsidRDefault="006A1B8B">
      <w:pPr>
        <w:ind w:left="1984" w:hanging="567"/>
        <w:jc w:val="both"/>
        <w:rPr>
          <w:rFonts w:ascii="Times New Roman" w:hAnsi="Times New Roman" w:cs="Times New Roman"/>
          <w:noProof/>
          <w:sz w:val="24"/>
          <w:szCs w:val="24"/>
        </w:rPr>
      </w:pPr>
      <w:r>
        <w:rPr>
          <w:rFonts w:ascii="Times New Roman" w:hAnsi="Times New Roman"/>
          <w:noProof/>
          <w:sz w:val="24"/>
        </w:rPr>
        <w:t>ii)</w:t>
      </w:r>
      <w:r>
        <w:rPr>
          <w:noProof/>
        </w:rPr>
        <w:tab/>
      </w:r>
      <w:r>
        <w:rPr>
          <w:rFonts w:ascii="Times New Roman" w:hAnsi="Times New Roman"/>
          <w:noProof/>
          <w:sz w:val="24"/>
        </w:rPr>
        <w:t>1 % от общата номинална сума на търговията с този клас деривати, реализирана в Съюза на място за търговия или на извънборсов пазар.“,</w:t>
      </w:r>
    </w:p>
    <w:p w:rsidR="00B3756E" w:rsidRDefault="006A1B8B">
      <w:pPr>
        <w:tabs>
          <w:tab w:val="left" w:pos="851"/>
        </w:tabs>
        <w:ind w:left="1418" w:hanging="1418"/>
        <w:jc w:val="both"/>
        <w:rPr>
          <w:rFonts w:ascii="Times New Roman" w:hAnsi="Times New Roman" w:cs="Times New Roman"/>
          <w:noProof/>
          <w:sz w:val="24"/>
          <w:szCs w:val="24"/>
        </w:rPr>
      </w:pPr>
      <w:r>
        <w:rPr>
          <w:rFonts w:ascii="Times New Roman" w:hAnsi="Times New Roman"/>
          <w:i/>
          <w:noProof/>
          <w:sz w:val="24"/>
        </w:rPr>
        <w:t>да се чете:</w:t>
      </w:r>
      <w:r>
        <w:rPr>
          <w:noProof/>
        </w:rPr>
        <w:tab/>
      </w:r>
      <w:r>
        <w:rPr>
          <w:rFonts w:ascii="Times New Roman" w:hAnsi="Times New Roman"/>
          <w:noProof/>
          <w:sz w:val="24"/>
        </w:rPr>
        <w:t>„в)</w:t>
      </w:r>
      <w:r>
        <w:rPr>
          <w:noProof/>
        </w:rPr>
        <w:tab/>
      </w:r>
      <w:r>
        <w:rPr>
          <w:rFonts w:ascii="Times New Roman" w:hAnsi="Times New Roman"/>
          <w:noProof/>
          <w:sz w:val="24"/>
        </w:rPr>
        <w:t>„по значителен начин с деривата,</w:t>
      </w:r>
      <w:r>
        <w:rPr>
          <w:rFonts w:ascii="Times New Roman" w:hAnsi="Times New Roman"/>
          <w:noProof/>
          <w:sz w:val="24"/>
        </w:rPr>
        <w:t xml:space="preserve"> ако обемът на извънборсовата търговия, осъществена от него за собствена сметка при изпълнението на клиентски нареждания през последните 6 месеца, е равен на или по-голям от една от следните стойности:</w:t>
      </w:r>
    </w:p>
    <w:p w:rsidR="00B3756E" w:rsidRDefault="006A1B8B">
      <w:pPr>
        <w:ind w:left="1984" w:hanging="567"/>
        <w:jc w:val="both"/>
        <w:rPr>
          <w:rFonts w:ascii="Times New Roman" w:hAnsi="Times New Roman" w:cs="Times New Roman"/>
          <w:noProof/>
          <w:sz w:val="24"/>
          <w:szCs w:val="24"/>
        </w:rPr>
      </w:pPr>
      <w:r>
        <w:rPr>
          <w:rFonts w:ascii="Times New Roman" w:hAnsi="Times New Roman"/>
          <w:noProof/>
          <w:sz w:val="24"/>
        </w:rPr>
        <w:t>i)</w:t>
      </w:r>
      <w:r>
        <w:rPr>
          <w:noProof/>
        </w:rPr>
        <w:tab/>
      </w:r>
      <w:r>
        <w:rPr>
          <w:rFonts w:ascii="Times New Roman" w:hAnsi="Times New Roman"/>
          <w:noProof/>
          <w:sz w:val="24"/>
        </w:rPr>
        <w:t>25 % от общия оборот с този клас деривати, реализир</w:t>
      </w:r>
      <w:r>
        <w:rPr>
          <w:rFonts w:ascii="Times New Roman" w:hAnsi="Times New Roman"/>
          <w:noProof/>
          <w:sz w:val="24"/>
        </w:rPr>
        <w:t>ан от инвестиционния посредник за собствена сметка или от името на клиенти и изпълнен на място за търговия или на извънборсов пазар,</w:t>
      </w:r>
    </w:p>
    <w:p w:rsidR="00B3756E" w:rsidRDefault="006A1B8B">
      <w:pPr>
        <w:ind w:left="1984" w:hanging="567"/>
        <w:jc w:val="both"/>
        <w:rPr>
          <w:rFonts w:ascii="Times New Roman" w:hAnsi="Times New Roman" w:cs="Times New Roman"/>
          <w:noProof/>
          <w:sz w:val="24"/>
          <w:szCs w:val="24"/>
        </w:rPr>
      </w:pPr>
      <w:r>
        <w:rPr>
          <w:rFonts w:ascii="Times New Roman" w:hAnsi="Times New Roman"/>
          <w:noProof/>
          <w:sz w:val="24"/>
        </w:rPr>
        <w:t>ii)</w:t>
      </w:r>
      <w:r>
        <w:rPr>
          <w:noProof/>
        </w:rPr>
        <w:tab/>
      </w:r>
      <w:r>
        <w:rPr>
          <w:rFonts w:ascii="Times New Roman" w:hAnsi="Times New Roman"/>
          <w:noProof/>
          <w:sz w:val="24"/>
        </w:rPr>
        <w:t>1 % от общия оборот с този клас деривати, реализиран в Съюза на място за търговия или на извънборсов пазар.“.</w:t>
      </w:r>
    </w:p>
    <w:p w:rsidR="00B3756E" w:rsidRDefault="00B3756E">
      <w:pPr>
        <w:ind w:left="720" w:hanging="720"/>
        <w:jc w:val="both"/>
        <w:rPr>
          <w:rFonts w:ascii="Times New Roman" w:hAnsi="Times New Roman" w:cs="Times New Roman"/>
          <w:i/>
          <w:noProof/>
          <w:sz w:val="24"/>
          <w:szCs w:val="24"/>
        </w:rPr>
      </w:pPr>
    </w:p>
    <w:p w:rsidR="00B3756E" w:rsidRDefault="006A1B8B">
      <w:pPr>
        <w:jc w:val="both"/>
        <w:rPr>
          <w:rFonts w:ascii="Times New Roman" w:hAnsi="Times New Roman" w:cs="Times New Roman"/>
          <w:noProof/>
          <w:sz w:val="24"/>
          <w:szCs w:val="24"/>
        </w:rPr>
      </w:pPr>
      <w:r>
        <w:rPr>
          <w:rFonts w:ascii="Times New Roman" w:hAnsi="Times New Roman"/>
          <w:noProof/>
          <w:sz w:val="24"/>
        </w:rPr>
        <w:t>В член 1</w:t>
      </w:r>
      <w:r>
        <w:rPr>
          <w:rFonts w:ascii="Times New Roman" w:hAnsi="Times New Roman"/>
          <w:noProof/>
          <w:sz w:val="24"/>
        </w:rPr>
        <w:t>6, буква а):</w:t>
      </w:r>
    </w:p>
    <w:p w:rsidR="00B3756E" w:rsidRDefault="006A1B8B">
      <w:pPr>
        <w:ind w:left="851" w:hanging="851"/>
        <w:jc w:val="both"/>
        <w:rPr>
          <w:rFonts w:ascii="Times New Roman" w:hAnsi="Times New Roman" w:cs="Times New Roman"/>
          <w:noProof/>
          <w:sz w:val="24"/>
          <w:szCs w:val="24"/>
        </w:rPr>
      </w:pPr>
      <w:r>
        <w:rPr>
          <w:rFonts w:ascii="Times New Roman" w:hAnsi="Times New Roman"/>
          <w:i/>
          <w:noProof/>
          <w:sz w:val="24"/>
        </w:rPr>
        <w:t>вместо:</w:t>
      </w:r>
      <w:r>
        <w:rPr>
          <w:noProof/>
        </w:rPr>
        <w:tab/>
      </w:r>
      <w:r>
        <w:rPr>
          <w:rFonts w:ascii="Times New Roman" w:hAnsi="Times New Roman"/>
          <w:noProof/>
          <w:sz w:val="24"/>
        </w:rPr>
        <w:t>„по редовен и систематичен начин с квота за емисии, за която съществува ликвиден пазар в съответствие с член 2, параграф 1, точка 17, буква б) от Регламент (ЕС) № 600/2014, ако пред последните шест месеца:“,</w:t>
      </w:r>
    </w:p>
    <w:p w:rsidR="00B3756E" w:rsidRDefault="006A1B8B">
      <w:pPr>
        <w:ind w:left="851" w:hanging="851"/>
        <w:jc w:val="both"/>
        <w:rPr>
          <w:rFonts w:ascii="Times New Roman" w:hAnsi="Times New Roman" w:cs="Times New Roman"/>
          <w:noProof/>
          <w:sz w:val="24"/>
          <w:szCs w:val="24"/>
        </w:rPr>
      </w:pPr>
      <w:r>
        <w:rPr>
          <w:rFonts w:ascii="Times New Roman" w:hAnsi="Times New Roman"/>
          <w:i/>
          <w:noProof/>
          <w:sz w:val="24"/>
        </w:rPr>
        <w:t>да се чете:</w:t>
      </w:r>
      <w:r>
        <w:rPr>
          <w:noProof/>
        </w:rPr>
        <w:tab/>
      </w:r>
      <w:r>
        <w:rPr>
          <w:rFonts w:ascii="Times New Roman" w:hAnsi="Times New Roman"/>
          <w:noProof/>
          <w:sz w:val="24"/>
        </w:rPr>
        <w:t>„по редовен и с</w:t>
      </w:r>
      <w:r>
        <w:rPr>
          <w:rFonts w:ascii="Times New Roman" w:hAnsi="Times New Roman"/>
          <w:noProof/>
          <w:sz w:val="24"/>
        </w:rPr>
        <w:t>истематичен начин с квота за емисии, за която съществува ликвиден пазар съгласно определението в член 2, параграф 1, точка 17, буква а) от Регламент (ЕС) № 600/2014, ако през последните шест месеца:“.</w:t>
      </w:r>
    </w:p>
    <w:p w:rsidR="00B3756E" w:rsidRDefault="00B3756E">
      <w:pPr>
        <w:tabs>
          <w:tab w:val="left" w:pos="851"/>
        </w:tabs>
        <w:ind w:left="1418" w:hanging="1418"/>
        <w:jc w:val="both"/>
        <w:rPr>
          <w:rFonts w:ascii="Times New Roman" w:hAnsi="Times New Roman" w:cs="Times New Roman"/>
          <w:i/>
          <w:noProof/>
          <w:sz w:val="24"/>
          <w:szCs w:val="24"/>
        </w:rPr>
      </w:pPr>
    </w:p>
    <w:p w:rsidR="00B3756E" w:rsidRDefault="006A1B8B">
      <w:pPr>
        <w:jc w:val="both"/>
        <w:rPr>
          <w:rFonts w:ascii="Times New Roman" w:hAnsi="Times New Roman" w:cs="Times New Roman"/>
          <w:noProof/>
          <w:sz w:val="24"/>
          <w:szCs w:val="24"/>
        </w:rPr>
      </w:pPr>
      <w:r>
        <w:rPr>
          <w:rFonts w:ascii="Times New Roman" w:hAnsi="Times New Roman"/>
          <w:noProof/>
          <w:sz w:val="24"/>
        </w:rPr>
        <w:t>Член 16, буква б):</w:t>
      </w:r>
    </w:p>
    <w:p w:rsidR="00B3756E" w:rsidRDefault="006A1B8B">
      <w:pPr>
        <w:tabs>
          <w:tab w:val="left" w:pos="851"/>
        </w:tabs>
        <w:ind w:left="1418" w:hanging="1418"/>
        <w:jc w:val="both"/>
        <w:rPr>
          <w:rFonts w:ascii="Times New Roman" w:hAnsi="Times New Roman" w:cs="Times New Roman"/>
          <w:noProof/>
          <w:sz w:val="24"/>
          <w:szCs w:val="24"/>
        </w:rPr>
      </w:pPr>
      <w:r>
        <w:rPr>
          <w:rFonts w:ascii="Times New Roman" w:hAnsi="Times New Roman"/>
          <w:i/>
          <w:noProof/>
          <w:sz w:val="24"/>
        </w:rPr>
        <w:t>вместо:</w:t>
      </w:r>
      <w:r>
        <w:rPr>
          <w:noProof/>
        </w:rPr>
        <w:tab/>
      </w:r>
      <w:r>
        <w:rPr>
          <w:noProof/>
        </w:rPr>
        <w:tab/>
      </w:r>
      <w:r>
        <w:rPr>
          <w:rFonts w:ascii="Times New Roman" w:hAnsi="Times New Roman"/>
          <w:noProof/>
          <w:sz w:val="24"/>
        </w:rPr>
        <w:t>„б)</w:t>
      </w:r>
      <w:r>
        <w:rPr>
          <w:noProof/>
        </w:rPr>
        <w:tab/>
      </w:r>
      <w:r>
        <w:rPr>
          <w:rFonts w:ascii="Times New Roman" w:hAnsi="Times New Roman"/>
          <w:noProof/>
          <w:sz w:val="24"/>
        </w:rPr>
        <w:t xml:space="preserve">по редовен и </w:t>
      </w:r>
      <w:r>
        <w:rPr>
          <w:rFonts w:ascii="Times New Roman" w:hAnsi="Times New Roman"/>
          <w:noProof/>
          <w:sz w:val="24"/>
        </w:rPr>
        <w:t>систематичен начин с квота за емисии, за която няма ликвиден пазар в съответствие с член 2, параграф 1, точка 17, буква б) от Регламент (ЕС) № 600/2014, ако през последните 6 месеца извънборсовите сделки със съответния тип квоти за емисии, осъществени от н</w:t>
      </w:r>
      <w:r>
        <w:rPr>
          <w:rFonts w:ascii="Times New Roman" w:hAnsi="Times New Roman"/>
          <w:noProof/>
          <w:sz w:val="24"/>
        </w:rPr>
        <w:t>его за собствена сметка при изпълнението на клиентски нареждания, са извършвани средно веднъж седмично;“,</w:t>
      </w:r>
    </w:p>
    <w:p w:rsidR="00B3756E" w:rsidRDefault="006A1B8B">
      <w:pPr>
        <w:tabs>
          <w:tab w:val="left" w:pos="851"/>
        </w:tabs>
        <w:ind w:left="1418" w:hanging="1418"/>
        <w:jc w:val="both"/>
        <w:rPr>
          <w:rFonts w:ascii="Times New Roman" w:hAnsi="Times New Roman" w:cs="Times New Roman"/>
          <w:noProof/>
          <w:sz w:val="24"/>
          <w:szCs w:val="24"/>
        </w:rPr>
      </w:pPr>
      <w:r>
        <w:rPr>
          <w:rFonts w:ascii="Times New Roman" w:hAnsi="Times New Roman"/>
          <w:i/>
          <w:noProof/>
          <w:sz w:val="24"/>
        </w:rPr>
        <w:t>да се чете:</w:t>
      </w:r>
      <w:r>
        <w:rPr>
          <w:noProof/>
        </w:rPr>
        <w:tab/>
      </w:r>
      <w:r>
        <w:rPr>
          <w:rFonts w:ascii="Times New Roman" w:hAnsi="Times New Roman"/>
          <w:noProof/>
          <w:sz w:val="24"/>
        </w:rPr>
        <w:t>„б)</w:t>
      </w:r>
      <w:r>
        <w:rPr>
          <w:noProof/>
        </w:rPr>
        <w:tab/>
      </w:r>
      <w:r>
        <w:rPr>
          <w:rFonts w:ascii="Times New Roman" w:hAnsi="Times New Roman"/>
          <w:noProof/>
          <w:sz w:val="24"/>
        </w:rPr>
        <w:t>по редовен и систематичен начин с квота за емисии, за която няма ликвиден пазар съгласно определението в член 2, параграф 1, точка 17,</w:t>
      </w:r>
      <w:r>
        <w:rPr>
          <w:rFonts w:ascii="Times New Roman" w:hAnsi="Times New Roman"/>
          <w:noProof/>
          <w:sz w:val="24"/>
        </w:rPr>
        <w:t xml:space="preserve"> буква а) от Регламент (ЕС) № 600/2014, ако през последните 6 месеца извънборсовите сделки със съответния тип квоти за емисии, осъществени от него за собствена сметка при изпълнението на клиентски нареждания, са извършвани средно веднъж седмично;“.</w:t>
      </w:r>
    </w:p>
    <w:p w:rsidR="00B3756E" w:rsidRDefault="00B3756E">
      <w:pPr>
        <w:tabs>
          <w:tab w:val="left" w:pos="851"/>
        </w:tabs>
        <w:ind w:left="1418" w:hanging="1418"/>
        <w:jc w:val="both"/>
        <w:rPr>
          <w:rFonts w:ascii="Times New Roman" w:hAnsi="Times New Roman" w:cs="Times New Roman"/>
          <w:i/>
          <w:noProof/>
          <w:sz w:val="24"/>
          <w:szCs w:val="24"/>
        </w:rPr>
      </w:pPr>
    </w:p>
    <w:p w:rsidR="00B3756E" w:rsidRDefault="006A1B8B">
      <w:pPr>
        <w:jc w:val="both"/>
        <w:rPr>
          <w:rFonts w:ascii="Times New Roman" w:hAnsi="Times New Roman" w:cs="Times New Roman"/>
          <w:noProof/>
          <w:sz w:val="24"/>
          <w:szCs w:val="24"/>
        </w:rPr>
      </w:pPr>
      <w:r>
        <w:rPr>
          <w:rFonts w:ascii="Times New Roman" w:hAnsi="Times New Roman"/>
          <w:noProof/>
          <w:sz w:val="24"/>
        </w:rPr>
        <w:t>В член</w:t>
      </w:r>
      <w:r>
        <w:rPr>
          <w:rFonts w:ascii="Times New Roman" w:hAnsi="Times New Roman"/>
          <w:noProof/>
          <w:sz w:val="24"/>
        </w:rPr>
        <w:t> 16:</w:t>
      </w:r>
    </w:p>
    <w:p w:rsidR="00B3756E" w:rsidRDefault="006A1B8B">
      <w:pPr>
        <w:tabs>
          <w:tab w:val="left" w:pos="851"/>
        </w:tabs>
        <w:ind w:left="1418" w:hanging="1418"/>
        <w:jc w:val="both"/>
        <w:rPr>
          <w:rFonts w:ascii="Times New Roman" w:hAnsi="Times New Roman" w:cs="Times New Roman"/>
          <w:noProof/>
          <w:sz w:val="24"/>
          <w:szCs w:val="24"/>
        </w:rPr>
      </w:pPr>
      <w:r>
        <w:rPr>
          <w:rFonts w:ascii="Times New Roman" w:hAnsi="Times New Roman"/>
          <w:i/>
          <w:noProof/>
          <w:sz w:val="24"/>
        </w:rPr>
        <w:t>вместо:</w:t>
      </w:r>
      <w:r>
        <w:rPr>
          <w:noProof/>
        </w:rPr>
        <w:tab/>
      </w:r>
      <w:r>
        <w:rPr>
          <w:noProof/>
        </w:rPr>
        <w:tab/>
      </w:r>
      <w:r>
        <w:rPr>
          <w:rFonts w:ascii="Times New Roman" w:hAnsi="Times New Roman"/>
          <w:noProof/>
          <w:sz w:val="24"/>
        </w:rPr>
        <w:t>„в)</w:t>
      </w:r>
      <w:r>
        <w:rPr>
          <w:noProof/>
        </w:rPr>
        <w:tab/>
      </w:r>
      <w:r>
        <w:rPr>
          <w:rFonts w:ascii="Times New Roman" w:hAnsi="Times New Roman"/>
          <w:noProof/>
          <w:sz w:val="24"/>
        </w:rPr>
        <w:t>инвестиционен посредник извършва вътрешно изпълнение по значителен начин с квота за емисии, ако броят на извънборсовите сделки, осъществени от него за собствена сметка при изпълнението на клиентски нареждания през последните 6 месеца, е п</w:t>
      </w:r>
      <w:r>
        <w:rPr>
          <w:rFonts w:ascii="Times New Roman" w:hAnsi="Times New Roman"/>
          <w:noProof/>
          <w:sz w:val="24"/>
        </w:rPr>
        <w:t>о-голям от или равен на една от следните стойности:</w:t>
      </w:r>
    </w:p>
    <w:p w:rsidR="00B3756E" w:rsidRDefault="006A1B8B">
      <w:pPr>
        <w:ind w:left="1984" w:hanging="567"/>
        <w:jc w:val="both"/>
        <w:rPr>
          <w:rFonts w:ascii="Times New Roman" w:hAnsi="Times New Roman" w:cs="Times New Roman"/>
          <w:noProof/>
          <w:sz w:val="24"/>
          <w:szCs w:val="24"/>
        </w:rPr>
      </w:pPr>
      <w:r>
        <w:rPr>
          <w:rFonts w:ascii="Times New Roman" w:hAnsi="Times New Roman"/>
          <w:noProof/>
          <w:sz w:val="24"/>
        </w:rPr>
        <w:t>i)</w:t>
      </w:r>
      <w:r>
        <w:rPr>
          <w:noProof/>
        </w:rPr>
        <w:tab/>
      </w:r>
      <w:r>
        <w:rPr>
          <w:rFonts w:ascii="Times New Roman" w:hAnsi="Times New Roman"/>
          <w:noProof/>
          <w:sz w:val="24"/>
        </w:rPr>
        <w:t>30 % от общата номинална сума на търговията с този тип квоти за емисии, реализирана от инвестиционния посредник за собствена сметка или от името на клиенти на място за търговия или на извънборсов пазар</w:t>
      </w:r>
      <w:r>
        <w:rPr>
          <w:rFonts w:ascii="Times New Roman" w:hAnsi="Times New Roman"/>
          <w:noProof/>
          <w:sz w:val="24"/>
        </w:rPr>
        <w:t>;</w:t>
      </w:r>
    </w:p>
    <w:p w:rsidR="00B3756E" w:rsidRDefault="006A1B8B">
      <w:pPr>
        <w:ind w:left="1984" w:hanging="567"/>
        <w:jc w:val="both"/>
        <w:rPr>
          <w:rFonts w:ascii="Times New Roman" w:hAnsi="Times New Roman" w:cs="Times New Roman"/>
          <w:noProof/>
          <w:sz w:val="24"/>
          <w:szCs w:val="24"/>
        </w:rPr>
      </w:pPr>
      <w:r>
        <w:rPr>
          <w:rFonts w:ascii="Times New Roman" w:hAnsi="Times New Roman"/>
          <w:noProof/>
          <w:sz w:val="24"/>
        </w:rPr>
        <w:lastRenderedPageBreak/>
        <w:t>ii)</w:t>
      </w:r>
      <w:r>
        <w:rPr>
          <w:noProof/>
        </w:rPr>
        <w:tab/>
      </w:r>
      <w:r>
        <w:rPr>
          <w:rFonts w:ascii="Times New Roman" w:hAnsi="Times New Roman"/>
          <w:noProof/>
          <w:sz w:val="24"/>
        </w:rPr>
        <w:t>2,25 % от общата номинална сума на търговията с този тип квоти за емисии в Съюза, реализирана на място за търговия или на извънборсов пазар.“,</w:t>
      </w:r>
    </w:p>
    <w:p w:rsidR="00B3756E" w:rsidRDefault="006A1B8B">
      <w:pPr>
        <w:tabs>
          <w:tab w:val="left" w:pos="851"/>
        </w:tabs>
        <w:ind w:left="1418" w:hanging="1418"/>
        <w:jc w:val="both"/>
        <w:rPr>
          <w:rFonts w:ascii="Times New Roman" w:hAnsi="Times New Roman" w:cs="Times New Roman"/>
          <w:i/>
          <w:noProof/>
          <w:sz w:val="24"/>
          <w:szCs w:val="24"/>
        </w:rPr>
      </w:pPr>
      <w:r>
        <w:rPr>
          <w:rFonts w:ascii="Times New Roman" w:hAnsi="Times New Roman"/>
          <w:i/>
          <w:noProof/>
          <w:sz w:val="24"/>
        </w:rPr>
        <w:t>да се чете:</w:t>
      </w:r>
      <w:r>
        <w:rPr>
          <w:noProof/>
        </w:rPr>
        <w:tab/>
      </w:r>
      <w:r>
        <w:rPr>
          <w:rFonts w:ascii="Times New Roman" w:hAnsi="Times New Roman"/>
          <w:noProof/>
          <w:sz w:val="24"/>
        </w:rPr>
        <w:t>„в)</w:t>
      </w:r>
      <w:r>
        <w:rPr>
          <w:noProof/>
        </w:rPr>
        <w:tab/>
      </w:r>
      <w:r>
        <w:rPr>
          <w:rFonts w:ascii="Times New Roman" w:hAnsi="Times New Roman"/>
          <w:noProof/>
          <w:sz w:val="24"/>
        </w:rPr>
        <w:t xml:space="preserve">по значителен начин с квота за емисии, ако обемът на извънборсовата търговия, осъществена </w:t>
      </w:r>
      <w:r>
        <w:rPr>
          <w:rFonts w:ascii="Times New Roman" w:hAnsi="Times New Roman"/>
          <w:noProof/>
          <w:sz w:val="24"/>
        </w:rPr>
        <w:t>от него за собствена сметка при изпълнението на клиентски нареждания през последните 6 месеца, е равен на или по-голям от една от следните стойности:</w:t>
      </w:r>
    </w:p>
    <w:p w:rsidR="00B3756E" w:rsidRDefault="006A1B8B">
      <w:pPr>
        <w:ind w:left="1984" w:hanging="567"/>
        <w:jc w:val="both"/>
        <w:rPr>
          <w:rFonts w:ascii="Times New Roman" w:hAnsi="Times New Roman" w:cs="Times New Roman"/>
          <w:noProof/>
          <w:sz w:val="24"/>
          <w:szCs w:val="24"/>
        </w:rPr>
      </w:pPr>
      <w:r>
        <w:rPr>
          <w:rFonts w:ascii="Times New Roman" w:hAnsi="Times New Roman"/>
          <w:noProof/>
          <w:sz w:val="24"/>
        </w:rPr>
        <w:t>i)</w:t>
      </w:r>
      <w:r>
        <w:rPr>
          <w:noProof/>
        </w:rPr>
        <w:tab/>
      </w:r>
      <w:r>
        <w:rPr>
          <w:rFonts w:ascii="Times New Roman" w:hAnsi="Times New Roman"/>
          <w:noProof/>
          <w:sz w:val="24"/>
        </w:rPr>
        <w:t>30 % от общия оборот с този тип квоти за емисии, реализиран от инвестиционния посредник за собствена см</w:t>
      </w:r>
      <w:r>
        <w:rPr>
          <w:rFonts w:ascii="Times New Roman" w:hAnsi="Times New Roman"/>
          <w:noProof/>
          <w:sz w:val="24"/>
        </w:rPr>
        <w:t>етка или от името на клиенти на място за търговия или на извънборсов пазар,</w:t>
      </w:r>
    </w:p>
    <w:p w:rsidR="00B3756E" w:rsidRDefault="006A1B8B">
      <w:pPr>
        <w:ind w:left="1984" w:hanging="567"/>
        <w:jc w:val="both"/>
        <w:rPr>
          <w:rFonts w:ascii="Times New Roman" w:hAnsi="Times New Roman" w:cs="Times New Roman"/>
          <w:noProof/>
          <w:sz w:val="24"/>
          <w:szCs w:val="24"/>
        </w:rPr>
      </w:pPr>
      <w:r>
        <w:rPr>
          <w:rFonts w:ascii="Times New Roman" w:hAnsi="Times New Roman"/>
          <w:noProof/>
          <w:sz w:val="24"/>
        </w:rPr>
        <w:t>ii)</w:t>
      </w:r>
      <w:r>
        <w:rPr>
          <w:noProof/>
        </w:rPr>
        <w:tab/>
      </w:r>
      <w:r>
        <w:rPr>
          <w:rFonts w:ascii="Times New Roman" w:hAnsi="Times New Roman"/>
          <w:noProof/>
          <w:sz w:val="24"/>
        </w:rPr>
        <w:t>2,25 % от общия оборот с този тип квоти за емисии, реализиран в Съюза на място за търговия или на извънборсов пазар.“.</w:t>
      </w:r>
    </w:p>
    <w:p w:rsidR="00B3756E" w:rsidRDefault="00B3756E">
      <w:pPr>
        <w:jc w:val="both"/>
        <w:rPr>
          <w:rFonts w:ascii="Times New Roman" w:hAnsi="Times New Roman" w:cs="Times New Roman"/>
          <w:noProof/>
          <w:sz w:val="24"/>
          <w:szCs w:val="24"/>
        </w:rPr>
      </w:pPr>
    </w:p>
    <w:p w:rsidR="00B3756E" w:rsidRDefault="006A1B8B">
      <w:pPr>
        <w:jc w:val="both"/>
        <w:rPr>
          <w:rFonts w:ascii="Times New Roman" w:hAnsi="Times New Roman" w:cs="Times New Roman"/>
          <w:noProof/>
          <w:sz w:val="24"/>
          <w:szCs w:val="24"/>
        </w:rPr>
      </w:pPr>
      <w:r>
        <w:rPr>
          <w:rFonts w:ascii="Times New Roman" w:hAnsi="Times New Roman"/>
          <w:noProof/>
          <w:sz w:val="24"/>
        </w:rPr>
        <w:t>В член 19:</w:t>
      </w:r>
    </w:p>
    <w:p w:rsidR="00B3756E" w:rsidRDefault="006A1B8B">
      <w:pPr>
        <w:tabs>
          <w:tab w:val="left" w:pos="851"/>
        </w:tabs>
        <w:ind w:left="1418" w:hanging="1418"/>
        <w:jc w:val="both"/>
        <w:rPr>
          <w:rFonts w:ascii="Times New Roman" w:hAnsi="Times New Roman" w:cs="Times New Roman"/>
          <w:noProof/>
          <w:sz w:val="24"/>
          <w:szCs w:val="24"/>
        </w:rPr>
      </w:pPr>
      <w:r>
        <w:rPr>
          <w:rFonts w:ascii="Times New Roman" w:hAnsi="Times New Roman"/>
          <w:i/>
          <w:noProof/>
          <w:sz w:val="24"/>
        </w:rPr>
        <w:t>вместо:</w:t>
      </w:r>
      <w:r>
        <w:rPr>
          <w:noProof/>
        </w:rPr>
        <w:tab/>
      </w:r>
      <w:r>
        <w:rPr>
          <w:noProof/>
        </w:rPr>
        <w:tab/>
      </w:r>
      <w:r>
        <w:rPr>
          <w:rFonts w:ascii="Times New Roman" w:hAnsi="Times New Roman"/>
          <w:noProof/>
          <w:sz w:val="24"/>
        </w:rPr>
        <w:t>„5.</w:t>
      </w:r>
      <w:r>
        <w:rPr>
          <w:noProof/>
        </w:rPr>
        <w:tab/>
      </w:r>
      <w:r>
        <w:rPr>
          <w:rFonts w:ascii="Times New Roman" w:hAnsi="Times New Roman"/>
          <w:noProof/>
          <w:sz w:val="24"/>
        </w:rPr>
        <w:t>За целите на параграф 1, при пои</w:t>
      </w:r>
      <w:r>
        <w:rPr>
          <w:rFonts w:ascii="Times New Roman" w:hAnsi="Times New Roman"/>
          <w:noProof/>
          <w:sz w:val="24"/>
        </w:rPr>
        <w:t>скване местата за търговия предоставят на съответните посредници оценки на средния брой съобщения в секунда ежемесечно две седмици след края на календарния месец, като вземат предвид всички съобщения, подадени през предходните 12 месеца.“,</w:t>
      </w:r>
    </w:p>
    <w:p w:rsidR="00B3756E" w:rsidRDefault="006A1B8B">
      <w:pPr>
        <w:tabs>
          <w:tab w:val="left" w:pos="851"/>
        </w:tabs>
        <w:ind w:left="1418" w:hanging="1418"/>
        <w:jc w:val="both"/>
        <w:rPr>
          <w:rFonts w:ascii="Times New Roman" w:hAnsi="Times New Roman" w:cs="Times New Roman"/>
          <w:noProof/>
          <w:sz w:val="24"/>
          <w:szCs w:val="24"/>
        </w:rPr>
      </w:pPr>
      <w:r>
        <w:rPr>
          <w:rFonts w:ascii="Times New Roman" w:hAnsi="Times New Roman"/>
          <w:i/>
          <w:noProof/>
          <w:sz w:val="24"/>
        </w:rPr>
        <w:t>да се чете:</w:t>
      </w:r>
      <w:r>
        <w:rPr>
          <w:noProof/>
        </w:rPr>
        <w:tab/>
      </w:r>
      <w:r>
        <w:rPr>
          <w:rFonts w:ascii="Times New Roman" w:hAnsi="Times New Roman"/>
          <w:noProof/>
          <w:sz w:val="24"/>
        </w:rPr>
        <w:t>„5.</w:t>
      </w:r>
      <w:r>
        <w:rPr>
          <w:noProof/>
        </w:rPr>
        <w:tab/>
      </w:r>
      <w:r>
        <w:rPr>
          <w:rFonts w:ascii="Times New Roman" w:hAnsi="Times New Roman"/>
          <w:noProof/>
          <w:sz w:val="24"/>
        </w:rPr>
        <w:t xml:space="preserve">За целите на параграф 1, при поискване местата за търговия предоставят на съответните посредници оценки на средния брой съобщения в секунда ежемесечно две седмици след края на календарния месец, като при това вземат предвид всички съобщения, подадени през </w:t>
      </w:r>
      <w:r>
        <w:rPr>
          <w:rFonts w:ascii="Times New Roman" w:hAnsi="Times New Roman"/>
          <w:noProof/>
          <w:sz w:val="24"/>
        </w:rPr>
        <w:t>предходните 12 месеца.“.</w:t>
      </w:r>
    </w:p>
    <w:p w:rsidR="00B3756E" w:rsidRDefault="00B3756E">
      <w:pPr>
        <w:jc w:val="both"/>
        <w:rPr>
          <w:rFonts w:ascii="Times New Roman" w:hAnsi="Times New Roman" w:cs="Times New Roman"/>
          <w:noProof/>
          <w:sz w:val="24"/>
          <w:szCs w:val="24"/>
        </w:rPr>
      </w:pPr>
    </w:p>
    <w:p w:rsidR="00B3756E" w:rsidRDefault="006A1B8B">
      <w:pPr>
        <w:jc w:val="both"/>
        <w:rPr>
          <w:rFonts w:ascii="Times New Roman" w:hAnsi="Times New Roman" w:cs="Times New Roman"/>
          <w:noProof/>
          <w:sz w:val="24"/>
          <w:szCs w:val="24"/>
        </w:rPr>
      </w:pPr>
      <w:r>
        <w:rPr>
          <w:rFonts w:ascii="Times New Roman" w:hAnsi="Times New Roman"/>
          <w:noProof/>
          <w:sz w:val="24"/>
        </w:rPr>
        <w:t>В член 38, параграф 1:</w:t>
      </w:r>
    </w:p>
    <w:p w:rsidR="00B3756E" w:rsidRDefault="006A1B8B">
      <w:pPr>
        <w:tabs>
          <w:tab w:val="left" w:pos="851"/>
        </w:tabs>
        <w:ind w:left="1418" w:hanging="1418"/>
        <w:jc w:val="both"/>
        <w:rPr>
          <w:rFonts w:ascii="Times New Roman" w:hAnsi="Times New Roman" w:cs="Times New Roman"/>
          <w:noProof/>
          <w:sz w:val="24"/>
          <w:szCs w:val="24"/>
        </w:rPr>
      </w:pPr>
      <w:r>
        <w:rPr>
          <w:rFonts w:ascii="Times New Roman" w:hAnsi="Times New Roman"/>
          <w:i/>
          <w:noProof/>
          <w:sz w:val="24"/>
        </w:rPr>
        <w:t>вместо:</w:t>
      </w:r>
      <w:r>
        <w:rPr>
          <w:noProof/>
        </w:rPr>
        <w:tab/>
      </w:r>
      <w:r>
        <w:rPr>
          <w:noProof/>
        </w:rPr>
        <w:tab/>
      </w:r>
      <w:r>
        <w:rPr>
          <w:rFonts w:ascii="Times New Roman" w:hAnsi="Times New Roman"/>
          <w:noProof/>
          <w:sz w:val="24"/>
        </w:rPr>
        <w:t>„д)</w:t>
      </w:r>
      <w:r>
        <w:rPr>
          <w:noProof/>
        </w:rPr>
        <w:tab/>
      </w:r>
      <w:r>
        <w:rPr>
          <w:rFonts w:ascii="Times New Roman" w:hAnsi="Times New Roman"/>
          <w:noProof/>
          <w:sz w:val="24"/>
        </w:rPr>
        <w:t xml:space="preserve">длъжностите и отделите на съответните лица, участващи в предоставянето на корпоративни финансови съвети, отнасящи се до цената и разпределението; и“, </w:t>
      </w:r>
    </w:p>
    <w:p w:rsidR="00B3756E" w:rsidRDefault="006A1B8B">
      <w:pPr>
        <w:tabs>
          <w:tab w:val="left" w:pos="851"/>
        </w:tabs>
        <w:ind w:left="1418" w:hanging="1418"/>
        <w:jc w:val="both"/>
        <w:rPr>
          <w:rFonts w:ascii="Times New Roman" w:hAnsi="Times New Roman" w:cs="Times New Roman"/>
          <w:noProof/>
          <w:sz w:val="24"/>
          <w:szCs w:val="24"/>
        </w:rPr>
      </w:pPr>
      <w:r>
        <w:rPr>
          <w:rFonts w:ascii="Times New Roman" w:hAnsi="Times New Roman"/>
          <w:i/>
          <w:noProof/>
          <w:sz w:val="24"/>
        </w:rPr>
        <w:t>да се чете:</w:t>
      </w:r>
      <w:r>
        <w:rPr>
          <w:noProof/>
        </w:rPr>
        <w:tab/>
      </w:r>
      <w:r>
        <w:rPr>
          <w:rFonts w:ascii="Times New Roman" w:hAnsi="Times New Roman"/>
          <w:noProof/>
          <w:sz w:val="24"/>
        </w:rPr>
        <w:t>„д)</w:t>
      </w:r>
      <w:r>
        <w:rPr>
          <w:noProof/>
        </w:rPr>
        <w:tab/>
      </w:r>
      <w:r>
        <w:rPr>
          <w:rFonts w:ascii="Times New Roman" w:hAnsi="Times New Roman"/>
          <w:noProof/>
          <w:sz w:val="24"/>
        </w:rPr>
        <w:t>длъжностите и отделите на с</w:t>
      </w:r>
      <w:r>
        <w:rPr>
          <w:rFonts w:ascii="Times New Roman" w:hAnsi="Times New Roman"/>
          <w:noProof/>
          <w:sz w:val="24"/>
        </w:rPr>
        <w:t>ъответните лица, участващи в предоставянето на корпоративни финансови съвети, отнасящи се до цената и разпределението на финансови инструменти; и“.</w:t>
      </w:r>
    </w:p>
    <w:p w:rsidR="00B3756E" w:rsidRDefault="00B3756E">
      <w:pPr>
        <w:ind w:left="720" w:hanging="720"/>
        <w:jc w:val="both"/>
        <w:rPr>
          <w:rFonts w:ascii="Times New Roman" w:hAnsi="Times New Roman" w:cs="Times New Roman"/>
          <w:noProof/>
          <w:sz w:val="24"/>
          <w:szCs w:val="24"/>
        </w:rPr>
      </w:pPr>
    </w:p>
    <w:p w:rsidR="00B3756E" w:rsidRDefault="006A1B8B">
      <w:pPr>
        <w:jc w:val="both"/>
        <w:rPr>
          <w:rFonts w:ascii="Times New Roman" w:hAnsi="Times New Roman" w:cs="Times New Roman"/>
          <w:noProof/>
          <w:sz w:val="24"/>
          <w:szCs w:val="24"/>
        </w:rPr>
      </w:pPr>
      <w:r>
        <w:rPr>
          <w:rFonts w:ascii="Times New Roman" w:hAnsi="Times New Roman"/>
          <w:noProof/>
          <w:sz w:val="24"/>
        </w:rPr>
        <w:lastRenderedPageBreak/>
        <w:t>В член 41:</w:t>
      </w:r>
    </w:p>
    <w:p w:rsidR="00B3756E" w:rsidRDefault="006A1B8B">
      <w:pPr>
        <w:tabs>
          <w:tab w:val="left" w:pos="1134"/>
        </w:tabs>
        <w:ind w:left="720" w:hanging="720"/>
        <w:jc w:val="both"/>
        <w:rPr>
          <w:rFonts w:ascii="Times New Roman" w:hAnsi="Times New Roman" w:cs="Times New Roman"/>
          <w:noProof/>
          <w:sz w:val="24"/>
          <w:szCs w:val="24"/>
        </w:rPr>
      </w:pPr>
      <w:r>
        <w:rPr>
          <w:rFonts w:ascii="Times New Roman" w:hAnsi="Times New Roman"/>
          <w:i/>
          <w:noProof/>
          <w:sz w:val="24"/>
        </w:rPr>
        <w:t>вместо:</w:t>
      </w:r>
      <w:r>
        <w:rPr>
          <w:noProof/>
        </w:rPr>
        <w:tab/>
      </w:r>
      <w:r>
        <w:rPr>
          <w:rFonts w:ascii="Times New Roman" w:hAnsi="Times New Roman"/>
          <w:noProof/>
          <w:sz w:val="24"/>
        </w:rPr>
        <w:t>„4.</w:t>
      </w:r>
      <w:r>
        <w:rPr>
          <w:noProof/>
        </w:rPr>
        <w:tab/>
      </w:r>
      <w:r>
        <w:rPr>
          <w:rFonts w:ascii="Times New Roman" w:hAnsi="Times New Roman"/>
          <w:noProof/>
          <w:sz w:val="24"/>
        </w:rPr>
        <w:t xml:space="preserve">Инвестиционните посредници, участващи в предлагането на свои клиенти на финансови </w:t>
      </w:r>
      <w:r>
        <w:rPr>
          <w:rFonts w:ascii="Times New Roman" w:hAnsi="Times New Roman"/>
          <w:noProof/>
          <w:sz w:val="24"/>
        </w:rPr>
        <w:t>инструменти, които са емитирани от тях или от други субекти в групата и са включени в изчислението на пруденциалните изисквания, установени в Регламент (ЕС) № 575/2013 на Европейския парламент и на Съвета, Директива 2013/36/ЕС на Европейския парламент и на</w:t>
      </w:r>
      <w:r>
        <w:rPr>
          <w:rFonts w:ascii="Times New Roman" w:hAnsi="Times New Roman"/>
          <w:noProof/>
          <w:sz w:val="24"/>
        </w:rPr>
        <w:t xml:space="preserve"> Съвета или Директива 2014/59/ЕС на Европейския парламент и на Съвета, предоставят на тези клиенти допълнителна информация, която обяснява разликите между съответния финансов инструмент и банковите депозити по отношение на доходността, риска, ликвидността </w:t>
      </w:r>
      <w:r>
        <w:rPr>
          <w:rFonts w:ascii="Times New Roman" w:hAnsi="Times New Roman"/>
          <w:noProof/>
          <w:sz w:val="24"/>
        </w:rPr>
        <w:t>и всяка защита, предоставена в съответствие с Директива 2014/49/ЕС на Европейския парламент и на Съвета.“,</w:t>
      </w:r>
    </w:p>
    <w:p w:rsidR="00B3756E" w:rsidRDefault="006A1B8B">
      <w:pPr>
        <w:tabs>
          <w:tab w:val="left" w:pos="1134"/>
        </w:tabs>
        <w:ind w:left="720" w:hanging="720"/>
        <w:jc w:val="both"/>
        <w:rPr>
          <w:rFonts w:ascii="Times New Roman" w:hAnsi="Times New Roman" w:cs="Times New Roman"/>
          <w:noProof/>
          <w:sz w:val="24"/>
          <w:szCs w:val="24"/>
        </w:rPr>
      </w:pPr>
      <w:r>
        <w:rPr>
          <w:rFonts w:ascii="Times New Roman" w:hAnsi="Times New Roman"/>
          <w:i/>
          <w:noProof/>
          <w:sz w:val="24"/>
        </w:rPr>
        <w:t>да се чете:</w:t>
      </w:r>
      <w:r>
        <w:rPr>
          <w:noProof/>
        </w:rPr>
        <w:tab/>
      </w:r>
      <w:r>
        <w:rPr>
          <w:rFonts w:ascii="Times New Roman" w:hAnsi="Times New Roman"/>
          <w:noProof/>
          <w:sz w:val="24"/>
        </w:rPr>
        <w:t>„4.</w:t>
      </w:r>
      <w:r>
        <w:rPr>
          <w:noProof/>
        </w:rPr>
        <w:tab/>
      </w:r>
      <w:r>
        <w:rPr>
          <w:rFonts w:ascii="Times New Roman" w:hAnsi="Times New Roman"/>
          <w:noProof/>
          <w:sz w:val="24"/>
        </w:rPr>
        <w:t>„Инвестиционните посредници, предлагащи на свои клиенти финансови инструменти, които са емитирани от тях или от други субекти в група</w:t>
      </w:r>
      <w:r>
        <w:rPr>
          <w:rFonts w:ascii="Times New Roman" w:hAnsi="Times New Roman"/>
          <w:noProof/>
          <w:sz w:val="24"/>
        </w:rPr>
        <w:t>та и които са включени в изчислението на пруденциалните изисквания, установени в Регламент (ЕС) № 575/2013 на Европейския парламент и на Съвета, Директива 2013/36/ЕС на Европейския парламент и на Съвета или Директива 2014/59/ЕС на Европейския парламент и н</w:t>
      </w:r>
      <w:r>
        <w:rPr>
          <w:rFonts w:ascii="Times New Roman" w:hAnsi="Times New Roman"/>
          <w:noProof/>
          <w:sz w:val="24"/>
        </w:rPr>
        <w:t>а Съвета, предоставят на тези клиенти допълнителна информация, която обяснява разликите между съответния финансов инструмент и банковите депозити по отношение на доходността, риска, ликвидността и всяка защита, предоставена в съответствие с Директива 2014/</w:t>
      </w:r>
      <w:r>
        <w:rPr>
          <w:rFonts w:ascii="Times New Roman" w:hAnsi="Times New Roman"/>
          <w:noProof/>
          <w:sz w:val="24"/>
        </w:rPr>
        <w:t>49/ЕС на Европейския парламент и на Съвета</w:t>
      </w:r>
      <w:r>
        <w:rPr>
          <w:rFonts w:ascii="Times New Roman" w:hAnsi="Times New Roman"/>
          <w:noProof/>
          <w:sz w:val="24"/>
          <w:vertAlign w:val="superscript"/>
        </w:rPr>
        <w:t>23</w:t>
      </w:r>
      <w:r>
        <w:rPr>
          <w:rFonts w:ascii="Times New Roman" w:hAnsi="Times New Roman"/>
          <w:noProof/>
          <w:sz w:val="24"/>
        </w:rPr>
        <w:t xml:space="preserve">.“. </w:t>
      </w:r>
    </w:p>
    <w:p w:rsidR="00B3756E" w:rsidRDefault="00B3756E">
      <w:pPr>
        <w:ind w:left="720" w:hanging="720"/>
        <w:jc w:val="both"/>
        <w:rPr>
          <w:rFonts w:ascii="Times New Roman" w:hAnsi="Times New Roman" w:cs="Times New Roman"/>
          <w:noProof/>
          <w:sz w:val="24"/>
          <w:szCs w:val="24"/>
        </w:rPr>
      </w:pPr>
    </w:p>
    <w:p w:rsidR="00B3756E" w:rsidRDefault="006A1B8B">
      <w:pPr>
        <w:ind w:left="720" w:hanging="720"/>
        <w:jc w:val="both"/>
        <w:rPr>
          <w:rFonts w:ascii="Times New Roman" w:hAnsi="Times New Roman" w:cs="Times New Roman"/>
          <w:noProof/>
          <w:sz w:val="24"/>
          <w:szCs w:val="24"/>
        </w:rPr>
      </w:pPr>
      <w:r>
        <w:rPr>
          <w:rFonts w:ascii="Times New Roman" w:hAnsi="Times New Roman"/>
          <w:noProof/>
          <w:sz w:val="24"/>
        </w:rPr>
        <w:t>________________</w:t>
      </w:r>
    </w:p>
    <w:p w:rsidR="00B3756E" w:rsidRDefault="006A1B8B">
      <w:pPr>
        <w:jc w:val="both"/>
        <w:rPr>
          <w:rFonts w:ascii="Times New Roman" w:hAnsi="Times New Roman" w:cs="Times New Roman"/>
          <w:noProof/>
          <w:sz w:val="24"/>
          <w:szCs w:val="24"/>
        </w:rPr>
      </w:pPr>
      <w:r>
        <w:rPr>
          <w:rFonts w:ascii="Times New Roman" w:hAnsi="Times New Roman"/>
          <w:noProof/>
          <w:sz w:val="24"/>
          <w:vertAlign w:val="subscript"/>
        </w:rPr>
        <w:t>23</w:t>
      </w:r>
      <w:r>
        <w:rPr>
          <w:noProof/>
        </w:rPr>
        <w:tab/>
      </w:r>
      <w:r>
        <w:rPr>
          <w:rFonts w:ascii="Times New Roman" w:hAnsi="Times New Roman"/>
          <w:noProof/>
          <w:sz w:val="24"/>
        </w:rPr>
        <w:t>OВ L 173, 12.6.2014 г., стр. 149.</w:t>
      </w:r>
    </w:p>
    <w:p w:rsidR="00B3756E" w:rsidRDefault="00B3756E">
      <w:pPr>
        <w:ind w:left="720" w:hanging="720"/>
        <w:jc w:val="both"/>
        <w:rPr>
          <w:rFonts w:ascii="Times New Roman" w:hAnsi="Times New Roman" w:cs="Times New Roman"/>
          <w:noProof/>
          <w:sz w:val="24"/>
          <w:szCs w:val="24"/>
        </w:rPr>
      </w:pPr>
    </w:p>
    <w:p w:rsidR="00B3756E" w:rsidRDefault="00B3756E">
      <w:pPr>
        <w:ind w:left="720" w:hanging="720"/>
        <w:jc w:val="both"/>
        <w:rPr>
          <w:rFonts w:ascii="Times New Roman" w:hAnsi="Times New Roman" w:cs="Times New Roman"/>
          <w:noProof/>
          <w:sz w:val="24"/>
          <w:szCs w:val="24"/>
        </w:rPr>
      </w:pPr>
    </w:p>
    <w:p w:rsidR="00B3756E" w:rsidRDefault="00B3756E">
      <w:pPr>
        <w:ind w:left="720" w:hanging="720"/>
        <w:jc w:val="both"/>
        <w:rPr>
          <w:rFonts w:ascii="Times New Roman" w:hAnsi="Times New Roman" w:cs="Times New Roman"/>
          <w:noProof/>
          <w:sz w:val="24"/>
          <w:szCs w:val="24"/>
        </w:rPr>
      </w:pPr>
    </w:p>
    <w:p w:rsidR="00B3756E" w:rsidRDefault="006A1B8B">
      <w:pPr>
        <w:jc w:val="both"/>
        <w:rPr>
          <w:rFonts w:ascii="Times New Roman" w:hAnsi="Times New Roman" w:cs="Times New Roman"/>
          <w:noProof/>
          <w:sz w:val="24"/>
          <w:szCs w:val="24"/>
        </w:rPr>
      </w:pPr>
      <w:r>
        <w:rPr>
          <w:rFonts w:ascii="Times New Roman" w:hAnsi="Times New Roman"/>
          <w:noProof/>
          <w:sz w:val="24"/>
        </w:rPr>
        <w:t>В член 45, параграф 3:</w:t>
      </w:r>
    </w:p>
    <w:p w:rsidR="00B3756E" w:rsidRDefault="006A1B8B">
      <w:pPr>
        <w:tabs>
          <w:tab w:val="left" w:pos="709"/>
        </w:tabs>
        <w:ind w:left="1134" w:hanging="1134"/>
        <w:jc w:val="both"/>
        <w:rPr>
          <w:rFonts w:ascii="Times New Roman" w:hAnsi="Times New Roman" w:cs="Times New Roman"/>
          <w:noProof/>
          <w:sz w:val="24"/>
          <w:szCs w:val="24"/>
        </w:rPr>
      </w:pPr>
      <w:r>
        <w:rPr>
          <w:rFonts w:ascii="Times New Roman" w:hAnsi="Times New Roman"/>
          <w:i/>
          <w:noProof/>
          <w:sz w:val="24"/>
        </w:rPr>
        <w:t>вместо:</w:t>
      </w:r>
      <w:r>
        <w:rPr>
          <w:noProof/>
        </w:rPr>
        <w:tab/>
      </w:r>
      <w:r>
        <w:rPr>
          <w:rFonts w:ascii="Times New Roman" w:hAnsi="Times New Roman"/>
          <w:noProof/>
          <w:sz w:val="24"/>
        </w:rPr>
        <w:t>„б)</w:t>
      </w:r>
      <w:r>
        <w:rPr>
          <w:noProof/>
        </w:rPr>
        <w:tab/>
      </w:r>
      <w:r>
        <w:rPr>
          <w:rFonts w:ascii="Times New Roman" w:hAnsi="Times New Roman"/>
          <w:noProof/>
          <w:sz w:val="24"/>
        </w:rPr>
        <w:t xml:space="preserve">да считат клиент, който се счита за професионален клиент съгласно раздел I от приложение II от Директива </w:t>
      </w:r>
      <w:r>
        <w:rPr>
          <w:rFonts w:ascii="Times New Roman" w:hAnsi="Times New Roman"/>
          <w:noProof/>
          <w:sz w:val="24"/>
        </w:rPr>
        <w:t>2014/65/ЕС, за непрофесионален.“,</w:t>
      </w:r>
    </w:p>
    <w:p w:rsidR="00B3756E" w:rsidRDefault="006A1B8B">
      <w:pPr>
        <w:tabs>
          <w:tab w:val="left" w:pos="709"/>
        </w:tabs>
        <w:ind w:left="1134" w:hanging="1134"/>
        <w:jc w:val="both"/>
        <w:rPr>
          <w:rFonts w:ascii="Times New Roman" w:hAnsi="Times New Roman" w:cs="Times New Roman"/>
          <w:noProof/>
          <w:sz w:val="24"/>
          <w:szCs w:val="24"/>
        </w:rPr>
      </w:pPr>
      <w:r>
        <w:rPr>
          <w:rFonts w:ascii="Times New Roman" w:hAnsi="Times New Roman"/>
          <w:i/>
          <w:noProof/>
          <w:sz w:val="24"/>
        </w:rPr>
        <w:t>да се чете:</w:t>
      </w:r>
      <w:r>
        <w:rPr>
          <w:noProof/>
        </w:rPr>
        <w:tab/>
      </w:r>
      <w:r>
        <w:rPr>
          <w:rFonts w:ascii="Times New Roman" w:hAnsi="Times New Roman"/>
          <w:noProof/>
          <w:sz w:val="24"/>
        </w:rPr>
        <w:t>„б)</w:t>
      </w:r>
      <w:r>
        <w:rPr>
          <w:noProof/>
        </w:rPr>
        <w:tab/>
      </w:r>
      <w:r>
        <w:rPr>
          <w:rFonts w:ascii="Times New Roman" w:hAnsi="Times New Roman"/>
          <w:noProof/>
          <w:sz w:val="24"/>
        </w:rPr>
        <w:t>да считат клиент, който се счита за професионален клиент съгласно раздел I от приложение II към Директива 2014/65/ЕС, за непрофесионален.“.</w:t>
      </w:r>
    </w:p>
    <w:p w:rsidR="00B3756E" w:rsidRDefault="00B3756E">
      <w:pPr>
        <w:jc w:val="both"/>
        <w:rPr>
          <w:rFonts w:ascii="Times New Roman" w:hAnsi="Times New Roman" w:cs="Times New Roman"/>
          <w:noProof/>
          <w:sz w:val="24"/>
          <w:szCs w:val="24"/>
        </w:rPr>
      </w:pPr>
    </w:p>
    <w:p w:rsidR="00B3756E" w:rsidRDefault="006A1B8B">
      <w:pPr>
        <w:jc w:val="both"/>
        <w:rPr>
          <w:rFonts w:ascii="Times New Roman" w:hAnsi="Times New Roman" w:cs="Times New Roman"/>
          <w:noProof/>
          <w:sz w:val="24"/>
          <w:szCs w:val="24"/>
        </w:rPr>
      </w:pPr>
      <w:r>
        <w:rPr>
          <w:rFonts w:ascii="Times New Roman" w:hAnsi="Times New Roman"/>
          <w:noProof/>
          <w:sz w:val="24"/>
        </w:rPr>
        <w:lastRenderedPageBreak/>
        <w:t>В член 52:</w:t>
      </w:r>
    </w:p>
    <w:p w:rsidR="00B3756E" w:rsidRDefault="006A1B8B">
      <w:pPr>
        <w:tabs>
          <w:tab w:val="left" w:pos="1134"/>
        </w:tabs>
        <w:ind w:left="720" w:hanging="720"/>
        <w:jc w:val="both"/>
        <w:rPr>
          <w:rFonts w:ascii="Times New Roman" w:hAnsi="Times New Roman" w:cs="Times New Roman"/>
          <w:noProof/>
          <w:sz w:val="24"/>
          <w:szCs w:val="24"/>
        </w:rPr>
      </w:pPr>
      <w:r>
        <w:rPr>
          <w:rFonts w:ascii="Times New Roman" w:hAnsi="Times New Roman"/>
          <w:i/>
          <w:noProof/>
          <w:sz w:val="24"/>
        </w:rPr>
        <w:t>вместо</w:t>
      </w:r>
      <w:r>
        <w:rPr>
          <w:rFonts w:ascii="Times New Roman" w:hAnsi="Times New Roman"/>
          <w:noProof/>
          <w:sz w:val="24"/>
        </w:rPr>
        <w:t>:</w:t>
      </w:r>
      <w:r>
        <w:rPr>
          <w:noProof/>
        </w:rPr>
        <w:tab/>
      </w:r>
      <w:r>
        <w:rPr>
          <w:rFonts w:ascii="Times New Roman" w:hAnsi="Times New Roman"/>
          <w:noProof/>
          <w:sz w:val="24"/>
        </w:rPr>
        <w:t>„2.</w:t>
      </w:r>
      <w:r>
        <w:rPr>
          <w:noProof/>
        </w:rPr>
        <w:tab/>
      </w:r>
      <w:r>
        <w:rPr>
          <w:rFonts w:ascii="Times New Roman" w:hAnsi="Times New Roman"/>
          <w:noProof/>
          <w:sz w:val="24"/>
        </w:rPr>
        <w:t>Инвестиционните посредници, които предоста</w:t>
      </w:r>
      <w:r>
        <w:rPr>
          <w:rFonts w:ascii="Times New Roman" w:hAnsi="Times New Roman"/>
          <w:noProof/>
          <w:sz w:val="24"/>
        </w:rPr>
        <w:t>вят инвестиционни съвети по независим начин или по начин, който не е независим, обясняват на клиента гамата от финансови инструменти, които могат да бъдат препоръчвани, включително нейната връзка с емитентите или доставчиците на инструментите.“,</w:t>
      </w:r>
    </w:p>
    <w:p w:rsidR="00B3756E" w:rsidRDefault="006A1B8B">
      <w:pPr>
        <w:tabs>
          <w:tab w:val="left" w:pos="1134"/>
        </w:tabs>
        <w:ind w:left="720" w:hanging="720"/>
        <w:jc w:val="both"/>
        <w:rPr>
          <w:rFonts w:ascii="Times New Roman" w:hAnsi="Times New Roman" w:cs="Times New Roman"/>
          <w:noProof/>
          <w:sz w:val="24"/>
          <w:szCs w:val="24"/>
        </w:rPr>
      </w:pPr>
      <w:r>
        <w:rPr>
          <w:rFonts w:ascii="Times New Roman" w:hAnsi="Times New Roman"/>
          <w:i/>
          <w:noProof/>
          <w:sz w:val="24"/>
        </w:rPr>
        <w:t>да се чете</w:t>
      </w:r>
      <w:r>
        <w:rPr>
          <w:rFonts w:ascii="Times New Roman" w:hAnsi="Times New Roman"/>
          <w:i/>
          <w:noProof/>
          <w:sz w:val="24"/>
        </w:rPr>
        <w:t>:</w:t>
      </w:r>
      <w:r>
        <w:rPr>
          <w:noProof/>
        </w:rPr>
        <w:tab/>
      </w:r>
      <w:r>
        <w:rPr>
          <w:rFonts w:ascii="Times New Roman" w:hAnsi="Times New Roman"/>
          <w:noProof/>
          <w:sz w:val="24"/>
        </w:rPr>
        <w:t>„2.</w:t>
      </w:r>
      <w:r>
        <w:rPr>
          <w:noProof/>
        </w:rPr>
        <w:tab/>
      </w:r>
      <w:r>
        <w:rPr>
          <w:rFonts w:ascii="Times New Roman" w:hAnsi="Times New Roman"/>
          <w:noProof/>
          <w:sz w:val="24"/>
        </w:rPr>
        <w:t>Инвестиционните посредници, които предоставят инвестиционни съвети по независим начин или по начин, който не е независим, обясняват на клиента гамата от финансови инструменти, които могат да бъдат препоръчвани, включително връзката на посредника с ем</w:t>
      </w:r>
      <w:r>
        <w:rPr>
          <w:rFonts w:ascii="Times New Roman" w:hAnsi="Times New Roman"/>
          <w:noProof/>
          <w:sz w:val="24"/>
        </w:rPr>
        <w:t>итентите или доставчиците на инструментите.“.</w:t>
      </w:r>
    </w:p>
    <w:p w:rsidR="00B3756E" w:rsidRDefault="00B3756E">
      <w:pPr>
        <w:jc w:val="both"/>
        <w:rPr>
          <w:rFonts w:ascii="Times New Roman" w:hAnsi="Times New Roman" w:cs="Times New Roman"/>
          <w:noProof/>
          <w:sz w:val="24"/>
          <w:szCs w:val="24"/>
        </w:rPr>
      </w:pPr>
    </w:p>
    <w:p w:rsidR="00B3756E" w:rsidRDefault="006A1B8B">
      <w:pPr>
        <w:jc w:val="both"/>
        <w:rPr>
          <w:rFonts w:ascii="Times New Roman" w:hAnsi="Times New Roman" w:cs="Times New Roman"/>
          <w:noProof/>
          <w:sz w:val="24"/>
          <w:szCs w:val="24"/>
        </w:rPr>
      </w:pPr>
      <w:r>
        <w:rPr>
          <w:rFonts w:ascii="Times New Roman" w:hAnsi="Times New Roman"/>
          <w:noProof/>
          <w:sz w:val="24"/>
        </w:rPr>
        <w:t>В член 53, параграф 3:</w:t>
      </w:r>
    </w:p>
    <w:p w:rsidR="00B3756E" w:rsidRDefault="006A1B8B">
      <w:pPr>
        <w:tabs>
          <w:tab w:val="left" w:pos="709"/>
        </w:tabs>
        <w:ind w:left="1276" w:hanging="1276"/>
        <w:jc w:val="both"/>
        <w:rPr>
          <w:rFonts w:ascii="Times New Roman" w:hAnsi="Times New Roman" w:cs="Times New Roman"/>
          <w:noProof/>
          <w:sz w:val="24"/>
          <w:szCs w:val="24"/>
        </w:rPr>
      </w:pPr>
      <w:r>
        <w:rPr>
          <w:rFonts w:ascii="Times New Roman" w:hAnsi="Times New Roman"/>
          <w:i/>
          <w:noProof/>
          <w:sz w:val="24"/>
        </w:rPr>
        <w:t>вместо:</w:t>
      </w:r>
      <w:r>
        <w:rPr>
          <w:noProof/>
        </w:rPr>
        <w:tab/>
      </w:r>
      <w:r>
        <w:rPr>
          <w:rFonts w:ascii="Times New Roman" w:hAnsi="Times New Roman"/>
          <w:noProof/>
          <w:sz w:val="24"/>
        </w:rPr>
        <w:t>„б)</w:t>
      </w:r>
      <w:r>
        <w:rPr>
          <w:noProof/>
        </w:rPr>
        <w:tab/>
      </w:r>
      <w:r>
        <w:rPr>
          <w:rFonts w:ascii="Times New Roman" w:hAnsi="Times New Roman"/>
          <w:noProof/>
          <w:sz w:val="24"/>
        </w:rPr>
        <w:t>инвестиционният посредник се представя като независим за своята стопанска дейност като цяло, но само по отношение на услугите, за които предоставя инвестиционни съвети на нез</w:t>
      </w:r>
      <w:r>
        <w:rPr>
          <w:rFonts w:ascii="Times New Roman" w:hAnsi="Times New Roman"/>
          <w:noProof/>
          <w:sz w:val="24"/>
        </w:rPr>
        <w:t>ависима основа; и“,</w:t>
      </w:r>
    </w:p>
    <w:p w:rsidR="00B3756E" w:rsidRDefault="006A1B8B">
      <w:pPr>
        <w:tabs>
          <w:tab w:val="left" w:pos="709"/>
        </w:tabs>
        <w:ind w:left="1276" w:hanging="1276"/>
        <w:jc w:val="both"/>
        <w:rPr>
          <w:rFonts w:ascii="Times New Roman" w:hAnsi="Times New Roman" w:cs="Times New Roman"/>
          <w:noProof/>
          <w:sz w:val="24"/>
          <w:szCs w:val="24"/>
        </w:rPr>
      </w:pPr>
      <w:r>
        <w:rPr>
          <w:rFonts w:ascii="Times New Roman" w:hAnsi="Times New Roman"/>
          <w:i/>
          <w:noProof/>
          <w:sz w:val="24"/>
        </w:rPr>
        <w:t>да се чете:</w:t>
      </w:r>
      <w:r>
        <w:rPr>
          <w:noProof/>
        </w:rPr>
        <w:tab/>
      </w:r>
      <w:r>
        <w:rPr>
          <w:rFonts w:ascii="Times New Roman" w:hAnsi="Times New Roman"/>
          <w:noProof/>
          <w:sz w:val="24"/>
        </w:rPr>
        <w:t>„б)</w:t>
      </w:r>
      <w:r>
        <w:rPr>
          <w:noProof/>
        </w:rPr>
        <w:tab/>
      </w:r>
      <w:r>
        <w:rPr>
          <w:rFonts w:ascii="Times New Roman" w:hAnsi="Times New Roman"/>
          <w:noProof/>
          <w:sz w:val="24"/>
        </w:rPr>
        <w:t>инвестиционният посредник се представя като независим по отношение на услугите, за които предоставя инвестиционни съвети на независима основа;“.</w:t>
      </w:r>
    </w:p>
    <w:p w:rsidR="00B3756E" w:rsidRDefault="00B3756E">
      <w:pPr>
        <w:ind w:left="720" w:hanging="720"/>
        <w:jc w:val="both"/>
        <w:rPr>
          <w:rFonts w:ascii="Times New Roman" w:hAnsi="Times New Roman" w:cs="Times New Roman"/>
          <w:noProof/>
          <w:sz w:val="24"/>
          <w:szCs w:val="24"/>
        </w:rPr>
      </w:pPr>
    </w:p>
    <w:p w:rsidR="00B3756E" w:rsidRDefault="006A1B8B">
      <w:pPr>
        <w:jc w:val="both"/>
        <w:rPr>
          <w:rFonts w:ascii="Times New Roman" w:hAnsi="Times New Roman" w:cs="Times New Roman"/>
          <w:noProof/>
          <w:sz w:val="24"/>
          <w:szCs w:val="24"/>
        </w:rPr>
      </w:pPr>
      <w:r>
        <w:rPr>
          <w:rFonts w:ascii="Times New Roman" w:hAnsi="Times New Roman"/>
          <w:noProof/>
          <w:sz w:val="24"/>
        </w:rPr>
        <w:t>В член 65, параграф 4, първата алинея:</w:t>
      </w:r>
    </w:p>
    <w:p w:rsidR="00B3756E" w:rsidRDefault="006A1B8B">
      <w:pPr>
        <w:ind w:left="720" w:hanging="720"/>
        <w:jc w:val="both"/>
        <w:rPr>
          <w:rFonts w:ascii="Times New Roman" w:hAnsi="Times New Roman" w:cs="Times New Roman"/>
          <w:noProof/>
          <w:sz w:val="24"/>
          <w:szCs w:val="24"/>
        </w:rPr>
      </w:pPr>
      <w:r>
        <w:rPr>
          <w:rFonts w:ascii="Times New Roman" w:hAnsi="Times New Roman"/>
          <w:i/>
          <w:noProof/>
          <w:sz w:val="24"/>
        </w:rPr>
        <w:t>вместо</w:t>
      </w:r>
      <w:r>
        <w:rPr>
          <w:rFonts w:ascii="Times New Roman" w:hAnsi="Times New Roman"/>
          <w:noProof/>
          <w:sz w:val="24"/>
        </w:rPr>
        <w:t>:</w:t>
      </w:r>
      <w:r>
        <w:rPr>
          <w:noProof/>
        </w:rPr>
        <w:tab/>
      </w:r>
      <w:r>
        <w:rPr>
          <w:rFonts w:ascii="Times New Roman" w:hAnsi="Times New Roman"/>
          <w:noProof/>
          <w:sz w:val="24"/>
        </w:rPr>
        <w:t>„Инвестиционните посредници</w:t>
      </w:r>
      <w:r>
        <w:rPr>
          <w:rFonts w:ascii="Times New Roman" w:hAnsi="Times New Roman"/>
          <w:noProof/>
          <w:sz w:val="24"/>
        </w:rPr>
        <w:t xml:space="preserve"> предприемат всички достатъчни мерки за постигане на възможно най-добрия резултат за своите клиенти, като отчитат факторите, посочени в член 27, параграф 1 от Директива 2014/65/ЕС. Относителната значимост на тези фактори се определя чрез позоваване на крит</w:t>
      </w:r>
      <w:r>
        <w:rPr>
          <w:rFonts w:ascii="Times New Roman" w:hAnsi="Times New Roman"/>
          <w:noProof/>
          <w:sz w:val="24"/>
        </w:rPr>
        <w:t>ериите, изложени в член 59, параграф 1, а за непрофесионални инвеститори — на изискването по член 27, параграф 1 от Директива 2014/65/ЕС.“,</w:t>
      </w:r>
    </w:p>
    <w:p w:rsidR="00B3756E" w:rsidRDefault="006A1B8B">
      <w:pPr>
        <w:ind w:left="720" w:hanging="720"/>
        <w:jc w:val="both"/>
        <w:rPr>
          <w:rFonts w:ascii="Times New Roman" w:hAnsi="Times New Roman" w:cs="Times New Roman"/>
          <w:noProof/>
          <w:sz w:val="24"/>
          <w:szCs w:val="24"/>
        </w:rPr>
      </w:pPr>
      <w:r>
        <w:rPr>
          <w:rFonts w:ascii="Times New Roman" w:hAnsi="Times New Roman"/>
          <w:i/>
          <w:noProof/>
          <w:sz w:val="24"/>
        </w:rPr>
        <w:t>да се чете:</w:t>
      </w:r>
      <w:r>
        <w:rPr>
          <w:noProof/>
        </w:rPr>
        <w:tab/>
      </w:r>
      <w:r>
        <w:rPr>
          <w:rFonts w:ascii="Times New Roman" w:hAnsi="Times New Roman"/>
          <w:noProof/>
          <w:sz w:val="24"/>
        </w:rPr>
        <w:t>„Инвестиционните посредници предприемат всички достатъчни мерки за постигане на възможно най-добрия резу</w:t>
      </w:r>
      <w:r>
        <w:rPr>
          <w:rFonts w:ascii="Times New Roman" w:hAnsi="Times New Roman"/>
          <w:noProof/>
          <w:sz w:val="24"/>
        </w:rPr>
        <w:t>лтат за своите клиенти, като отчитат факторите, посочени в член 27, параграф 1 от Директива 2014/65/ЕС. Относителната значимост на тези фактори се определя чрез позоваване на критериите, изложени в член 64, параграф 1, а за непрофесионални инвеститори — на</w:t>
      </w:r>
      <w:r>
        <w:rPr>
          <w:rFonts w:ascii="Times New Roman" w:hAnsi="Times New Roman"/>
          <w:noProof/>
          <w:sz w:val="24"/>
        </w:rPr>
        <w:t xml:space="preserve"> изискването по член 27, параграф 1 от Директива 2014/65/ЕС.“.</w:t>
      </w:r>
    </w:p>
    <w:p w:rsidR="00B3756E" w:rsidRDefault="00B3756E">
      <w:pPr>
        <w:jc w:val="both"/>
        <w:rPr>
          <w:rFonts w:ascii="Times New Roman" w:hAnsi="Times New Roman" w:cs="Times New Roman"/>
          <w:noProof/>
          <w:sz w:val="24"/>
          <w:szCs w:val="24"/>
        </w:rPr>
      </w:pPr>
    </w:p>
    <w:p w:rsidR="00B3756E" w:rsidRDefault="006A1B8B">
      <w:pPr>
        <w:jc w:val="both"/>
        <w:rPr>
          <w:rFonts w:ascii="Times New Roman" w:hAnsi="Times New Roman" w:cs="Times New Roman"/>
          <w:noProof/>
          <w:sz w:val="24"/>
          <w:szCs w:val="24"/>
        </w:rPr>
      </w:pPr>
      <w:r>
        <w:rPr>
          <w:rFonts w:ascii="Times New Roman" w:hAnsi="Times New Roman"/>
          <w:noProof/>
          <w:sz w:val="24"/>
        </w:rPr>
        <w:lastRenderedPageBreak/>
        <w:t>В член 77, параграф 1:</w:t>
      </w:r>
    </w:p>
    <w:p w:rsidR="00B3756E" w:rsidRDefault="006A1B8B">
      <w:pPr>
        <w:tabs>
          <w:tab w:val="left" w:pos="709"/>
        </w:tabs>
        <w:ind w:left="1276" w:hanging="1276"/>
        <w:jc w:val="both"/>
        <w:rPr>
          <w:rFonts w:ascii="Times New Roman" w:hAnsi="Times New Roman" w:cs="Times New Roman"/>
          <w:noProof/>
          <w:sz w:val="24"/>
          <w:szCs w:val="24"/>
        </w:rPr>
      </w:pPr>
      <w:r>
        <w:rPr>
          <w:rFonts w:ascii="Times New Roman" w:hAnsi="Times New Roman"/>
          <w:i/>
          <w:noProof/>
          <w:sz w:val="24"/>
        </w:rPr>
        <w:t>вместо:</w:t>
      </w:r>
      <w:r>
        <w:rPr>
          <w:noProof/>
        </w:rPr>
        <w:tab/>
      </w:r>
      <w:r>
        <w:rPr>
          <w:rFonts w:ascii="Times New Roman" w:hAnsi="Times New Roman"/>
          <w:noProof/>
          <w:sz w:val="24"/>
        </w:rPr>
        <w:t>„б)</w:t>
      </w:r>
      <w:r>
        <w:rPr>
          <w:noProof/>
        </w:rPr>
        <w:tab/>
      </w:r>
      <w:r>
        <w:rPr>
          <w:rFonts w:ascii="Times New Roman" w:hAnsi="Times New Roman"/>
          <w:noProof/>
          <w:sz w:val="24"/>
        </w:rPr>
        <w:t xml:space="preserve">последната цена на акциите при затваряне за първата година на търгуване, ако неговите акции са допуснати за търговия в продължение на повече от една година, </w:t>
      </w:r>
      <w:r>
        <w:rPr>
          <w:rFonts w:ascii="Times New Roman" w:hAnsi="Times New Roman"/>
          <w:noProof/>
          <w:sz w:val="24"/>
        </w:rPr>
        <w:t>но по-малко от две години;</w:t>
      </w:r>
    </w:p>
    <w:p w:rsidR="00B3756E" w:rsidRDefault="006A1B8B">
      <w:pPr>
        <w:tabs>
          <w:tab w:val="left" w:pos="709"/>
        </w:tabs>
        <w:ind w:left="1276" w:hanging="567"/>
        <w:jc w:val="both"/>
        <w:rPr>
          <w:rFonts w:ascii="Times New Roman" w:hAnsi="Times New Roman" w:cs="Times New Roman"/>
          <w:noProof/>
          <w:sz w:val="24"/>
          <w:szCs w:val="24"/>
        </w:rPr>
      </w:pPr>
      <w:r>
        <w:rPr>
          <w:rFonts w:ascii="Times New Roman" w:hAnsi="Times New Roman"/>
          <w:noProof/>
          <w:sz w:val="24"/>
        </w:rPr>
        <w:tab/>
        <w:t>в)</w:t>
      </w:r>
      <w:r>
        <w:rPr>
          <w:noProof/>
        </w:rPr>
        <w:tab/>
      </w:r>
      <w:r>
        <w:rPr>
          <w:rFonts w:ascii="Times New Roman" w:hAnsi="Times New Roman"/>
          <w:noProof/>
          <w:sz w:val="24"/>
        </w:rPr>
        <w:t>средната цена, формирана от последните цени на акциите при затваряне за първата и за втората година на търгуване, ако неговите акции са допуснати за търговия в продължение на повече от две години, но по-малко от три години.“,</w:t>
      </w:r>
    </w:p>
    <w:p w:rsidR="00B3756E" w:rsidRDefault="006A1B8B">
      <w:pPr>
        <w:tabs>
          <w:tab w:val="left" w:pos="709"/>
        </w:tabs>
        <w:ind w:left="1276" w:hanging="1276"/>
        <w:jc w:val="both"/>
        <w:rPr>
          <w:rFonts w:ascii="Times New Roman" w:hAnsi="Times New Roman" w:cs="Times New Roman"/>
          <w:noProof/>
          <w:sz w:val="24"/>
          <w:szCs w:val="24"/>
        </w:rPr>
      </w:pPr>
      <w:r>
        <w:rPr>
          <w:rFonts w:ascii="Times New Roman" w:hAnsi="Times New Roman"/>
          <w:i/>
          <w:noProof/>
          <w:sz w:val="24"/>
        </w:rPr>
        <w:t>да се чете:</w:t>
      </w:r>
      <w:r>
        <w:rPr>
          <w:noProof/>
        </w:rPr>
        <w:tab/>
      </w:r>
      <w:r>
        <w:rPr>
          <w:rFonts w:ascii="Times New Roman" w:hAnsi="Times New Roman"/>
          <w:noProof/>
          <w:sz w:val="24"/>
        </w:rPr>
        <w:t>„б)</w:t>
      </w:r>
      <w:r>
        <w:rPr>
          <w:noProof/>
        </w:rPr>
        <w:tab/>
      </w:r>
      <w:r>
        <w:rPr>
          <w:rFonts w:ascii="Times New Roman" w:hAnsi="Times New Roman"/>
          <w:noProof/>
          <w:sz w:val="24"/>
        </w:rPr>
        <w:t>последната цена на акциите при затваряне за първата година на търгуване, ако неговите акции са допуснати за търговия в продължение на повече от една година, но по-малко от две години;</w:t>
      </w:r>
    </w:p>
    <w:p w:rsidR="00B3756E" w:rsidRDefault="006A1B8B">
      <w:pPr>
        <w:ind w:left="1276"/>
        <w:jc w:val="both"/>
        <w:rPr>
          <w:rFonts w:ascii="Times New Roman" w:hAnsi="Times New Roman" w:cs="Times New Roman"/>
          <w:noProof/>
          <w:sz w:val="24"/>
          <w:szCs w:val="24"/>
        </w:rPr>
      </w:pPr>
      <w:r>
        <w:rPr>
          <w:rFonts w:ascii="Times New Roman" w:hAnsi="Times New Roman"/>
          <w:noProof/>
          <w:sz w:val="24"/>
        </w:rPr>
        <w:t>в)</w:t>
      </w:r>
      <w:r>
        <w:rPr>
          <w:noProof/>
        </w:rPr>
        <w:tab/>
      </w:r>
      <w:r>
        <w:rPr>
          <w:rFonts w:ascii="Times New Roman" w:hAnsi="Times New Roman"/>
          <w:noProof/>
          <w:sz w:val="24"/>
        </w:rPr>
        <w:t>средната цена, формирана от последните цени на акции</w:t>
      </w:r>
      <w:r>
        <w:rPr>
          <w:rFonts w:ascii="Times New Roman" w:hAnsi="Times New Roman"/>
          <w:noProof/>
          <w:sz w:val="24"/>
        </w:rPr>
        <w:t>те при затваряне за първата и за втората година на търгуване, ако неговите акции са допуснати за търговия в продължение на повече от две години, но по-малко от три години.“.</w:t>
      </w:r>
    </w:p>
    <w:p w:rsidR="00B3756E" w:rsidRDefault="00B3756E">
      <w:pPr>
        <w:ind w:left="720" w:hanging="720"/>
        <w:jc w:val="both"/>
        <w:rPr>
          <w:rFonts w:ascii="Times New Roman" w:hAnsi="Times New Roman" w:cs="Times New Roman"/>
          <w:noProof/>
          <w:sz w:val="24"/>
          <w:szCs w:val="24"/>
        </w:rPr>
      </w:pPr>
    </w:p>
    <w:p w:rsidR="00B3756E" w:rsidRDefault="006A1B8B">
      <w:pPr>
        <w:jc w:val="both"/>
        <w:rPr>
          <w:rFonts w:ascii="Times New Roman" w:hAnsi="Times New Roman" w:cs="Times New Roman"/>
          <w:noProof/>
          <w:sz w:val="24"/>
          <w:szCs w:val="24"/>
        </w:rPr>
      </w:pPr>
      <w:r>
        <w:rPr>
          <w:rFonts w:ascii="Times New Roman" w:hAnsi="Times New Roman"/>
          <w:noProof/>
          <w:sz w:val="24"/>
        </w:rPr>
        <w:t>В член 78, параграф 2:</w:t>
      </w:r>
    </w:p>
    <w:p w:rsidR="00B3756E" w:rsidRDefault="006A1B8B">
      <w:pPr>
        <w:tabs>
          <w:tab w:val="left" w:pos="709"/>
        </w:tabs>
        <w:ind w:left="1276" w:hanging="1276"/>
        <w:jc w:val="both"/>
        <w:rPr>
          <w:rFonts w:ascii="Times New Roman" w:hAnsi="Times New Roman" w:cs="Times New Roman"/>
          <w:noProof/>
          <w:sz w:val="24"/>
          <w:szCs w:val="24"/>
        </w:rPr>
      </w:pPr>
      <w:r>
        <w:rPr>
          <w:rFonts w:ascii="Times New Roman" w:hAnsi="Times New Roman"/>
          <w:i/>
          <w:noProof/>
          <w:sz w:val="24"/>
        </w:rPr>
        <w:t>вместо:</w:t>
      </w:r>
      <w:r>
        <w:rPr>
          <w:noProof/>
        </w:rPr>
        <w:tab/>
      </w:r>
      <w:r>
        <w:rPr>
          <w:rFonts w:ascii="Times New Roman" w:hAnsi="Times New Roman"/>
          <w:noProof/>
          <w:sz w:val="24"/>
        </w:rPr>
        <w:t>„ж)</w:t>
      </w:r>
      <w:r>
        <w:rPr>
          <w:noProof/>
        </w:rPr>
        <w:tab/>
      </w:r>
      <w:r>
        <w:rPr>
          <w:rFonts w:ascii="Times New Roman" w:hAnsi="Times New Roman"/>
          <w:noProof/>
          <w:sz w:val="24"/>
        </w:rPr>
        <w:t>изисква от емитентите, чиито ценни книжа се тъ</w:t>
      </w:r>
      <w:r>
        <w:rPr>
          <w:rFonts w:ascii="Times New Roman" w:hAnsi="Times New Roman"/>
          <w:noProof/>
          <w:sz w:val="24"/>
        </w:rPr>
        <w:t>ргуват на нейното място за търговия, да публикуват годишни финансови отчети до 6 месеца след края на всяка финансова година и шестмесечни финансови отчети до 4 месеца след края на първото шестмесечие на всяка финансова година;“,</w:t>
      </w:r>
    </w:p>
    <w:p w:rsidR="00B3756E" w:rsidRDefault="006A1B8B">
      <w:pPr>
        <w:tabs>
          <w:tab w:val="left" w:pos="709"/>
        </w:tabs>
        <w:ind w:left="1276" w:hanging="1276"/>
        <w:jc w:val="both"/>
        <w:rPr>
          <w:rFonts w:ascii="Times New Roman" w:hAnsi="Times New Roman" w:cs="Times New Roman"/>
          <w:noProof/>
          <w:sz w:val="24"/>
          <w:szCs w:val="24"/>
        </w:rPr>
      </w:pPr>
      <w:r>
        <w:rPr>
          <w:rFonts w:ascii="Times New Roman" w:hAnsi="Times New Roman"/>
          <w:i/>
          <w:noProof/>
          <w:sz w:val="24"/>
        </w:rPr>
        <w:t>да се чете:</w:t>
      </w:r>
      <w:r>
        <w:rPr>
          <w:noProof/>
        </w:rPr>
        <w:tab/>
      </w:r>
      <w:r>
        <w:rPr>
          <w:rFonts w:ascii="Times New Roman" w:hAnsi="Times New Roman"/>
          <w:noProof/>
          <w:sz w:val="24"/>
        </w:rPr>
        <w:t>„ж)</w:t>
      </w:r>
      <w:r>
        <w:rPr>
          <w:noProof/>
        </w:rPr>
        <w:tab/>
      </w:r>
      <w:r>
        <w:rPr>
          <w:rFonts w:ascii="Times New Roman" w:hAnsi="Times New Roman"/>
          <w:noProof/>
          <w:sz w:val="24"/>
        </w:rPr>
        <w:t xml:space="preserve">изисква от </w:t>
      </w:r>
      <w:r>
        <w:rPr>
          <w:rFonts w:ascii="Times New Roman" w:hAnsi="Times New Roman"/>
          <w:noProof/>
          <w:sz w:val="24"/>
        </w:rPr>
        <w:t>емитентите, чиито ценни книжа се търгуват на нейното място за търговия, да публикуват годишни финансови отчети до 6 месеца след края на всяка финансова година, както и шестмесечни финансови отчети до 4 месеца след края на първото шестмесечие на всяка финан</w:t>
      </w:r>
      <w:r>
        <w:rPr>
          <w:rFonts w:ascii="Times New Roman" w:hAnsi="Times New Roman"/>
          <w:noProof/>
          <w:sz w:val="24"/>
        </w:rPr>
        <w:t>сова година;“.</w:t>
      </w:r>
    </w:p>
    <w:p w:rsidR="00B3756E" w:rsidRDefault="00B3756E">
      <w:pPr>
        <w:jc w:val="both"/>
        <w:rPr>
          <w:rFonts w:ascii="Times New Roman" w:hAnsi="Times New Roman" w:cs="Times New Roman"/>
          <w:noProof/>
          <w:sz w:val="24"/>
          <w:szCs w:val="24"/>
        </w:rPr>
      </w:pPr>
    </w:p>
    <w:p w:rsidR="00B3756E" w:rsidRDefault="006A1B8B">
      <w:pPr>
        <w:jc w:val="both"/>
        <w:rPr>
          <w:rFonts w:ascii="Times New Roman" w:hAnsi="Times New Roman" w:cs="Times New Roman"/>
          <w:noProof/>
          <w:sz w:val="24"/>
          <w:szCs w:val="24"/>
        </w:rPr>
      </w:pPr>
      <w:r>
        <w:rPr>
          <w:rFonts w:ascii="Times New Roman" w:hAnsi="Times New Roman"/>
          <w:noProof/>
          <w:sz w:val="24"/>
        </w:rPr>
        <w:t>В член 80, параграф 2:</w:t>
      </w:r>
    </w:p>
    <w:p w:rsidR="00B3756E" w:rsidRDefault="006A1B8B">
      <w:pPr>
        <w:ind w:left="720" w:hanging="720"/>
        <w:jc w:val="both"/>
        <w:rPr>
          <w:rFonts w:ascii="Times New Roman" w:hAnsi="Times New Roman" w:cs="Times New Roman"/>
          <w:noProof/>
          <w:sz w:val="24"/>
          <w:szCs w:val="24"/>
        </w:rPr>
      </w:pPr>
      <w:r>
        <w:rPr>
          <w:rFonts w:ascii="Times New Roman" w:hAnsi="Times New Roman"/>
          <w:i/>
          <w:noProof/>
          <w:sz w:val="24"/>
        </w:rPr>
        <w:t>вместо:</w:t>
      </w:r>
      <w:r>
        <w:rPr>
          <w:noProof/>
        </w:rPr>
        <w:tab/>
      </w:r>
      <w:r>
        <w:rPr>
          <w:rFonts w:ascii="Times New Roman" w:hAnsi="Times New Roman"/>
          <w:noProof/>
          <w:sz w:val="24"/>
        </w:rPr>
        <w:t>„При определяне на това дали спирането или отстраняването от търговия на финансов инструмент е вероятно да причини съществено увреждане на интересите на инвеститорите или нарушаване на нормалното функциониране</w:t>
      </w:r>
      <w:r>
        <w:rPr>
          <w:rFonts w:ascii="Times New Roman" w:hAnsi="Times New Roman"/>
          <w:noProof/>
          <w:sz w:val="24"/>
        </w:rPr>
        <w:t xml:space="preserve"> на пазара във всеки конкретен случай, националният компетентен орган, съответният инвестиционен посредник или съответният пазарен оператор, организиращ МСТ или ОСТ, взема предвид всички значими фактори, включително:“,</w:t>
      </w:r>
    </w:p>
    <w:p w:rsidR="00B3756E" w:rsidRDefault="006A1B8B">
      <w:pPr>
        <w:ind w:left="720" w:hanging="720"/>
        <w:jc w:val="both"/>
        <w:rPr>
          <w:rFonts w:ascii="Times New Roman" w:hAnsi="Times New Roman" w:cs="Times New Roman"/>
          <w:noProof/>
          <w:sz w:val="24"/>
          <w:szCs w:val="24"/>
        </w:rPr>
      </w:pPr>
      <w:r>
        <w:rPr>
          <w:rFonts w:ascii="Times New Roman" w:hAnsi="Times New Roman"/>
          <w:i/>
          <w:noProof/>
          <w:sz w:val="24"/>
        </w:rPr>
        <w:lastRenderedPageBreak/>
        <w:t>да се чете:</w:t>
      </w:r>
      <w:r>
        <w:rPr>
          <w:noProof/>
        </w:rPr>
        <w:tab/>
      </w:r>
      <w:r>
        <w:rPr>
          <w:rFonts w:ascii="Times New Roman" w:hAnsi="Times New Roman"/>
          <w:noProof/>
          <w:sz w:val="24"/>
        </w:rPr>
        <w:t>„При определяне на това д</w:t>
      </w:r>
      <w:r>
        <w:rPr>
          <w:rFonts w:ascii="Times New Roman" w:hAnsi="Times New Roman"/>
          <w:noProof/>
          <w:sz w:val="24"/>
        </w:rPr>
        <w:t>али спирането или отстраняването от търговия на финансов инструмент е вероятно да причини съществено увреждане на интересите на инвеститорите или нарушаване на нормалното функциониране на пазара във всеки конкретен случай, националният компетентен орган, п</w:t>
      </w:r>
      <w:r>
        <w:rPr>
          <w:rFonts w:ascii="Times New Roman" w:hAnsi="Times New Roman"/>
          <w:noProof/>
          <w:sz w:val="24"/>
        </w:rPr>
        <w:t>азарният оператор, организиращ регулиран пазар, или съответният инвестиционен посредник или съответният пазарен оператор, организиращ МСТ или ОСТ, взема предвид всички значими фактори, включително:“.</w:t>
      </w:r>
    </w:p>
    <w:p w:rsidR="00B3756E" w:rsidRDefault="00B3756E">
      <w:pPr>
        <w:ind w:left="720" w:hanging="720"/>
        <w:jc w:val="both"/>
        <w:rPr>
          <w:rFonts w:ascii="Times New Roman" w:hAnsi="Times New Roman" w:cs="Times New Roman"/>
          <w:noProof/>
          <w:sz w:val="24"/>
          <w:szCs w:val="24"/>
        </w:rPr>
      </w:pPr>
    </w:p>
    <w:p w:rsidR="00B3756E" w:rsidRDefault="006A1B8B">
      <w:pPr>
        <w:jc w:val="both"/>
        <w:rPr>
          <w:rFonts w:ascii="Times New Roman" w:hAnsi="Times New Roman" w:cs="Times New Roman"/>
          <w:noProof/>
          <w:sz w:val="24"/>
          <w:szCs w:val="24"/>
        </w:rPr>
      </w:pPr>
      <w:r>
        <w:rPr>
          <w:rFonts w:ascii="Times New Roman" w:hAnsi="Times New Roman"/>
          <w:noProof/>
          <w:sz w:val="24"/>
        </w:rPr>
        <w:t>В член 80:</w:t>
      </w:r>
    </w:p>
    <w:p w:rsidR="00B3756E" w:rsidRDefault="006A1B8B">
      <w:pPr>
        <w:tabs>
          <w:tab w:val="left" w:pos="709"/>
        </w:tabs>
        <w:ind w:left="1276" w:hanging="1276"/>
        <w:jc w:val="both"/>
        <w:rPr>
          <w:rFonts w:ascii="Times New Roman" w:hAnsi="Times New Roman" w:cs="Times New Roman"/>
          <w:noProof/>
          <w:sz w:val="24"/>
          <w:szCs w:val="24"/>
        </w:rPr>
      </w:pPr>
      <w:r>
        <w:rPr>
          <w:rFonts w:ascii="Times New Roman" w:hAnsi="Times New Roman"/>
          <w:i/>
          <w:noProof/>
          <w:sz w:val="24"/>
        </w:rPr>
        <w:t>вместо:</w:t>
      </w:r>
      <w:r>
        <w:rPr>
          <w:noProof/>
        </w:rPr>
        <w:tab/>
      </w:r>
      <w:r>
        <w:rPr>
          <w:rFonts w:ascii="Times New Roman" w:hAnsi="Times New Roman"/>
          <w:noProof/>
          <w:sz w:val="24"/>
        </w:rPr>
        <w:t>„3.</w:t>
      </w:r>
      <w:r>
        <w:rPr>
          <w:noProof/>
        </w:rPr>
        <w:tab/>
      </w:r>
      <w:r>
        <w:rPr>
          <w:rFonts w:ascii="Times New Roman" w:hAnsi="Times New Roman"/>
          <w:noProof/>
          <w:sz w:val="24"/>
        </w:rPr>
        <w:t>Факторите по параграф 3 се взема</w:t>
      </w:r>
      <w:r>
        <w:rPr>
          <w:rFonts w:ascii="Times New Roman" w:hAnsi="Times New Roman"/>
          <w:noProof/>
          <w:sz w:val="24"/>
        </w:rPr>
        <w:t>т предвид и когато национален компетентен орган, инвестиционен посредник или пазарен оператор, организиращ МСТ или ОСТ, реши да не спира или отстранява от търговия финансов инструмент въз основа на обстоятелства, които не са обхванати от списъка в параграф</w:t>
      </w:r>
      <w:r>
        <w:rPr>
          <w:rFonts w:ascii="Times New Roman" w:hAnsi="Times New Roman"/>
          <w:noProof/>
          <w:sz w:val="24"/>
        </w:rPr>
        <w:t xml:space="preserve"> 1.“,</w:t>
      </w:r>
    </w:p>
    <w:p w:rsidR="00B3756E" w:rsidRDefault="006A1B8B">
      <w:pPr>
        <w:tabs>
          <w:tab w:val="left" w:pos="709"/>
        </w:tabs>
        <w:ind w:left="1276" w:hanging="1276"/>
        <w:jc w:val="both"/>
        <w:rPr>
          <w:rFonts w:ascii="Times New Roman" w:hAnsi="Times New Roman" w:cs="Times New Roman"/>
          <w:noProof/>
          <w:sz w:val="24"/>
          <w:szCs w:val="24"/>
        </w:rPr>
      </w:pPr>
      <w:r>
        <w:rPr>
          <w:rFonts w:ascii="Times New Roman" w:hAnsi="Times New Roman"/>
          <w:i/>
          <w:noProof/>
          <w:sz w:val="24"/>
        </w:rPr>
        <w:t>да се чете:</w:t>
      </w:r>
      <w:r>
        <w:rPr>
          <w:noProof/>
        </w:rPr>
        <w:tab/>
      </w:r>
      <w:r>
        <w:rPr>
          <w:rFonts w:ascii="Times New Roman" w:hAnsi="Times New Roman"/>
          <w:noProof/>
          <w:sz w:val="24"/>
        </w:rPr>
        <w:t>„3.</w:t>
      </w:r>
      <w:r>
        <w:rPr>
          <w:noProof/>
        </w:rPr>
        <w:tab/>
      </w:r>
      <w:r>
        <w:rPr>
          <w:rFonts w:ascii="Times New Roman" w:hAnsi="Times New Roman"/>
          <w:noProof/>
          <w:sz w:val="24"/>
        </w:rPr>
        <w:t xml:space="preserve">Факторите по параграф 2 се вземат предвид и когато национален компетентен орган, пазарен оператор, организиращ регулиран пазар, инвестиционен посредник или пазарен оператор, организиращ МСТ или ОСТ, реши да не спира или отстранява от </w:t>
      </w:r>
      <w:r>
        <w:rPr>
          <w:rFonts w:ascii="Times New Roman" w:hAnsi="Times New Roman"/>
          <w:noProof/>
          <w:sz w:val="24"/>
        </w:rPr>
        <w:t>търговия финансов инструмент въз основа на обстоятелства, които не са обхванати от списъка в параграф 1.“.</w:t>
      </w:r>
    </w:p>
    <w:p w:rsidR="00B3756E" w:rsidRDefault="00B3756E">
      <w:pPr>
        <w:jc w:val="both"/>
        <w:rPr>
          <w:rFonts w:ascii="Times New Roman" w:hAnsi="Times New Roman" w:cs="Times New Roman"/>
          <w:noProof/>
          <w:sz w:val="24"/>
          <w:szCs w:val="24"/>
        </w:rPr>
      </w:pPr>
    </w:p>
    <w:sectPr w:rsidR="00B3756E">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B8B" w:rsidRDefault="006A1B8B">
      <w:pPr>
        <w:spacing w:after="0" w:line="240" w:lineRule="auto"/>
      </w:pPr>
      <w:r>
        <w:separator/>
      </w:r>
    </w:p>
  </w:endnote>
  <w:endnote w:type="continuationSeparator" w:id="0">
    <w:p w:rsidR="006A1B8B" w:rsidRDefault="006A1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56E" w:rsidRDefault="00B375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56E" w:rsidRDefault="006A1B8B">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proofErr w:type="spellStart"/>
    <w:r>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56E" w:rsidRDefault="00B3756E">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56E" w:rsidRDefault="00B3756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615513"/>
      <w:docPartObj>
        <w:docPartGallery w:val="Page Numbers (Bottom of Page)"/>
        <w:docPartUnique/>
      </w:docPartObj>
    </w:sdtPr>
    <w:sdtEndPr>
      <w:rPr>
        <w:noProof/>
      </w:rPr>
    </w:sdtEndPr>
    <w:sdtContent>
      <w:p w:rsidR="00B3756E" w:rsidRDefault="006A1B8B">
        <w:pPr>
          <w:pStyle w:val="Footer"/>
          <w:jc w:val="center"/>
        </w:pPr>
        <w:r>
          <w:fldChar w:fldCharType="begin"/>
        </w:r>
        <w:r>
          <w:instrText xml:space="preserve"> PAGE   \* MERGEFORMAT </w:instrText>
        </w:r>
        <w:r>
          <w:fldChar w:fldCharType="separate"/>
        </w:r>
        <w:r w:rsidR="00E41AFA">
          <w:rPr>
            <w:noProof/>
          </w:rPr>
          <w:t>13</w:t>
        </w:r>
        <w:r>
          <w:rPr>
            <w:noProof/>
          </w:rPr>
          <w:fldChar w:fldCharType="end"/>
        </w:r>
      </w:p>
    </w:sdtContent>
  </w:sdt>
  <w:p w:rsidR="00B3756E" w:rsidRDefault="00B3756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56E" w:rsidRDefault="00B37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B8B" w:rsidRDefault="006A1B8B">
      <w:pPr>
        <w:spacing w:after="0" w:line="240" w:lineRule="auto"/>
      </w:pPr>
      <w:r>
        <w:separator/>
      </w:r>
    </w:p>
  </w:footnote>
  <w:footnote w:type="continuationSeparator" w:id="0">
    <w:p w:rsidR="006A1B8B" w:rsidRDefault="006A1B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56E" w:rsidRDefault="00B375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56E" w:rsidRDefault="00B3756E">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56E" w:rsidRDefault="00B3756E">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56E" w:rsidRDefault="00B3756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56E" w:rsidRDefault="00B3756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756E" w:rsidRDefault="00B375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CONFIDENCE" w:val=" "/>
    <w:docVar w:name="LW_CONST_RESTREINT_UE" w:val="RESTREINT UE"/>
    <w:docVar w:name="LW_COVERPAGE_GUID" w:val="3EE2132042D64520AE3088AF9A794328"/>
    <w:docVar w:name="LW_CROSSREFERENCE" w:val="&lt;UNUSED&gt;"/>
    <w:docVar w:name="LW_DATE.ADOPT.CP" w:val="\u1086?\u1090? 17.3.2017 \u1075?\u1086?\u1076?\u1080?\u1085?\u1072?"/>
    <w:docVar w:name="LW_DATE.ADOPT.CP_ISODATE" w:val="2017-03-17"/>
    <w:docVar w:name="LW_DocType" w:val="NORMAL"/>
    <w:docVar w:name="LW_EMISSION" w:val="17.3.2017"/>
    <w:docVar w:name="LW_EMISSION_ISODATE" w:val="2017-03-17"/>
    <w:docVar w:name="LW_EMISSION_LOCATION" w:val="BRX"/>
    <w:docVar w:name="LW_EMISSION_PREFIX" w:val="Брюксел, "/>
    <w:docVar w:name="LW_EMISSION_SUFFIX" w:val=" \u1075?."/>
    <w:docVar w:name="LW_ID_DOCTYPE_NONLW" w:val="CP-034"/>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
    <w:docVar w:name="LW_REF.INST.NEW_ADOPTED" w:val="final"/>
    <w:docVar w:name="LW_REF.INST.NEW_TEXT" w:val="(2017) 1872"/>
    <w:docVar w:name="LW_REF.INTERNE" w:val="&lt;UNUSED&gt;"/>
    <w:docVar w:name="LW_SOUS.TITRE.OBJ.CP" w:val="C(2016) 2398 final"/>
    <w:docVar w:name="LW_SUPERTITRE" w:val="&lt;UNUSED&gt;"/>
    <w:docVar w:name="LW_TITRE.OBJ.CP" w:val="\u1085?\u1072? \u1044?\u1077?\u1083?\u1077?\u1075?\u1080?\u1088?\u1072?\u1085? \u1088?\u1077?\u1075?\u1083?\u1072?\u1084?\u1077?\u1085?\u1090? \u1085?\u1072? \u1050?\u1086?\u1084?\u1080?\u1089?\u1080?\u1103?\u1090?\u1072? \u1086?\u1090? 25 \u1072?\u1087?\u1088?\u1080?\u1083? 2016 \u1075?\u1086?\u1076?\u1080?\u1085?\u1072? \u1079?\u1072? \u1076?\u1086?\u1087?\u1098?\u1083?\u1074?\u1072?\u1085?\u1077? \u1085?\u1072? \u1044?\u1080?\u1088?\u1077?\u1082?\u1090?\u1080?\u1074?\u1072? 2014/65/\u1045?\u1057? \u1085?\u1072? \u1045?\u1074?\u1088?\u1086?\u1087?\u1077?\u1081?\u1089?\u1082?\u1080?\u1103? \u1087?\u1072?\u1088?\u1083?\u1072?\u1084?\u1077?\u1085?\u1090? \u1080? \u1085?\u1072? \u1057?\u1098?\u1074?\u1077?\u1090?\u1072? \u1087?\u1086? \u1086?\u1090?\u1085?\u1086?\u1096?\u1077?\u1085?\u1080?\u1077? \u1085?\u1072? \u1086?\u1088?\u1075?\u1072?\u1085?\u1080?\u1079?\u1072?\u1094?\u1080?\u1086?\u1085?\u1085?\u1080?\u1090?\u1077? \u1080?\u1079?\u1080?\u1089?\u1082?\u1074?\u1072?\u1085?\u1080?\u1103? \u1080? \u1091?\u1089?\u1083?\u1086?\u1074?\u1080?\u1103?\u1090?\u1072? \u1079?\u1072? \u1080?\u1079?\u1074?\u1098?\u1088?\u1096?\u1074?\u1072?\u1085?\u1077? \u1085?\u1072? \u1076?\u1077?\u1081?\u1085?\u1086?\u1089?\u1090? \u1086?\u1090? \u1080?\u1085?\u1074?\u1077?\u1089?\u1090?\u1080?\u1094?\u1080?\u1086?\u1085?\u1085?\u1080?\u1090?\u1077? \u1087?\u1086?\u1089?\u1088?\u1077?\u1076?\u1085?\u1080?\u1094?\u1080? \u1080? \u1079?\u1072? \u1076?\u1072?\u1074?\u1072?\u1085?\u1077?\u1090?\u1086? \u1085?\u1072? \u1086?\u1087?\u1088?\u1077?\u1076?\u1077?\u1083?\u1077?\u1085?\u1080?\u1103? \u1079?\u1072? \u1094?\u1077?\u1083?\u1080?\u1090?\u1077? \u1085?\u1072? \u1087?\u1086?\u1089?\u1086?\u1095?\u1077?\u1085?\u1072?\u1090?\u1072? \u1076?\u1080?\u1088?\u1077?\u1082?\u1090?\u1080?\u1074?\u1072? "/>
    <w:docVar w:name="LW_TYPE.DOC.CP" w:val="\u1055?\u1054?\u1055?\u1056?\u1040?\u1042?\u1050?\u1040?"/>
    <w:docVar w:name="LW_TYPE.DOC.CP.USERTEXT" w:val="&lt;EMPTY&gt;"/>
  </w:docVars>
  <w:rsids>
    <w:rsidRoot w:val="00B3756E"/>
    <w:rsid w:val="006A1B8B"/>
    <w:rsid w:val="00B3756E"/>
    <w:rsid w:val="00E41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customStyle="1" w:styleId="Point0number">
    <w:name w:val="Point 0 (number)"/>
    <w:basedOn w:val="Normal"/>
    <w:pPr>
      <w:numPr>
        <w:numId w:val="1"/>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1"/>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1"/>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1"/>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1"/>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1"/>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1"/>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1"/>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1"/>
      </w:numPr>
      <w:spacing w:before="120" w:after="120" w:line="240" w:lineRule="auto"/>
      <w:jc w:val="both"/>
    </w:pPr>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Point2">
    <w:name w:val="Point 2"/>
    <w:basedOn w:val="Normal"/>
    <w:pPr>
      <w:spacing w:before="120" w:after="120" w:line="240" w:lineRule="auto"/>
      <w:ind w:left="1984" w:hanging="567"/>
      <w:jc w:val="both"/>
    </w:pPr>
    <w:rPr>
      <w:rFonts w:ascii="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paragraph" w:customStyle="1" w:styleId="Point0number">
    <w:name w:val="Point 0 (number)"/>
    <w:basedOn w:val="Normal"/>
    <w:pPr>
      <w:numPr>
        <w:numId w:val="1"/>
      </w:numPr>
      <w:spacing w:before="120" w:after="120" w:line="240" w:lineRule="auto"/>
      <w:jc w:val="both"/>
    </w:pPr>
    <w:rPr>
      <w:rFonts w:ascii="Times New Roman" w:hAnsi="Times New Roman" w:cs="Times New Roman"/>
      <w:sz w:val="24"/>
    </w:rPr>
  </w:style>
  <w:style w:type="paragraph" w:customStyle="1" w:styleId="Point1number">
    <w:name w:val="Point 1 (number)"/>
    <w:basedOn w:val="Normal"/>
    <w:pPr>
      <w:numPr>
        <w:ilvl w:val="2"/>
        <w:numId w:val="1"/>
      </w:numPr>
      <w:spacing w:before="120" w:after="120" w:line="240" w:lineRule="auto"/>
      <w:jc w:val="both"/>
    </w:pPr>
    <w:rPr>
      <w:rFonts w:ascii="Times New Roman" w:hAnsi="Times New Roman" w:cs="Times New Roman"/>
      <w:sz w:val="24"/>
    </w:rPr>
  </w:style>
  <w:style w:type="paragraph" w:customStyle="1" w:styleId="Point2number">
    <w:name w:val="Point 2 (number)"/>
    <w:basedOn w:val="Normal"/>
    <w:pPr>
      <w:numPr>
        <w:ilvl w:val="4"/>
        <w:numId w:val="1"/>
      </w:numPr>
      <w:spacing w:before="120" w:after="120" w:line="240" w:lineRule="auto"/>
      <w:jc w:val="both"/>
    </w:pPr>
    <w:rPr>
      <w:rFonts w:ascii="Times New Roman" w:hAnsi="Times New Roman" w:cs="Times New Roman"/>
      <w:sz w:val="24"/>
    </w:rPr>
  </w:style>
  <w:style w:type="paragraph" w:customStyle="1" w:styleId="Point3number">
    <w:name w:val="Point 3 (number)"/>
    <w:basedOn w:val="Normal"/>
    <w:pPr>
      <w:numPr>
        <w:ilvl w:val="6"/>
        <w:numId w:val="1"/>
      </w:numPr>
      <w:spacing w:before="120" w:after="120" w:line="240" w:lineRule="auto"/>
      <w:jc w:val="both"/>
    </w:pPr>
    <w:rPr>
      <w:rFonts w:ascii="Times New Roman" w:hAnsi="Times New Roman" w:cs="Times New Roman"/>
      <w:sz w:val="24"/>
    </w:rPr>
  </w:style>
  <w:style w:type="paragraph" w:customStyle="1" w:styleId="Point0letter">
    <w:name w:val="Point 0 (letter)"/>
    <w:basedOn w:val="Normal"/>
    <w:pPr>
      <w:numPr>
        <w:ilvl w:val="1"/>
        <w:numId w:val="1"/>
      </w:numPr>
      <w:spacing w:before="120" w:after="120" w:line="240" w:lineRule="auto"/>
      <w:jc w:val="both"/>
    </w:pPr>
    <w:rPr>
      <w:rFonts w:ascii="Times New Roman" w:hAnsi="Times New Roman" w:cs="Times New Roman"/>
      <w:sz w:val="24"/>
    </w:rPr>
  </w:style>
  <w:style w:type="paragraph" w:customStyle="1" w:styleId="Point1letter">
    <w:name w:val="Point 1 (letter)"/>
    <w:basedOn w:val="Normal"/>
    <w:pPr>
      <w:numPr>
        <w:ilvl w:val="3"/>
        <w:numId w:val="1"/>
      </w:numPr>
      <w:spacing w:before="120" w:after="120" w:line="240" w:lineRule="auto"/>
      <w:jc w:val="both"/>
    </w:pPr>
    <w:rPr>
      <w:rFonts w:ascii="Times New Roman" w:hAnsi="Times New Roman" w:cs="Times New Roman"/>
      <w:sz w:val="24"/>
    </w:rPr>
  </w:style>
  <w:style w:type="paragraph" w:customStyle="1" w:styleId="Point2letter">
    <w:name w:val="Point 2 (letter)"/>
    <w:basedOn w:val="Normal"/>
    <w:pPr>
      <w:numPr>
        <w:ilvl w:val="5"/>
        <w:numId w:val="1"/>
      </w:numPr>
      <w:spacing w:before="120" w:after="120" w:line="240" w:lineRule="auto"/>
      <w:jc w:val="both"/>
    </w:pPr>
    <w:rPr>
      <w:rFonts w:ascii="Times New Roman" w:hAnsi="Times New Roman" w:cs="Times New Roman"/>
      <w:sz w:val="24"/>
    </w:rPr>
  </w:style>
  <w:style w:type="paragraph" w:customStyle="1" w:styleId="Point3letter">
    <w:name w:val="Point 3 (letter)"/>
    <w:basedOn w:val="Normal"/>
    <w:pPr>
      <w:numPr>
        <w:ilvl w:val="7"/>
        <w:numId w:val="1"/>
      </w:numPr>
      <w:spacing w:before="120" w:after="120" w:line="240" w:lineRule="auto"/>
      <w:jc w:val="both"/>
    </w:pPr>
    <w:rPr>
      <w:rFonts w:ascii="Times New Roman" w:hAnsi="Times New Roman" w:cs="Times New Roman"/>
      <w:sz w:val="24"/>
    </w:rPr>
  </w:style>
  <w:style w:type="paragraph" w:customStyle="1" w:styleId="Point4letter">
    <w:name w:val="Point 4 (letter)"/>
    <w:basedOn w:val="Normal"/>
    <w:pPr>
      <w:numPr>
        <w:ilvl w:val="8"/>
        <w:numId w:val="1"/>
      </w:numPr>
      <w:spacing w:before="120" w:after="120" w:line="240" w:lineRule="auto"/>
      <w:jc w:val="both"/>
    </w:pPr>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uiPriority w:val="99"/>
    <w:semiHidden/>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6B00A-FD20-48B6-BADF-9CBC3AD10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3856</Words>
  <Characters>23715</Characters>
  <Application>Microsoft Office Word</Application>
  <DocSecurity>0</DocSecurity>
  <Lines>483</Lines>
  <Paragraphs>222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KONONIUK Agnieszka (SG)</cp:lastModifiedBy>
  <cp:revision>21</cp:revision>
  <dcterms:created xsi:type="dcterms:W3CDTF">2017-03-15T10:22:00Z</dcterms:created>
  <dcterms:modified xsi:type="dcterms:W3CDTF">2017-03-17T14:14:00Z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Red</vt:lpwstr>
  </property>
</Properties>
</file>