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E6" w:rsidRDefault="00B5616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05FC48F9AD475E8F6A239DBDACCDBD" style="width:450pt;height:378.75pt">
            <v:imagedata r:id="rId9" o:title=""/>
          </v:shape>
        </w:pict>
      </w:r>
    </w:p>
    <w:bookmarkEnd w:id="0"/>
    <w:p w:rsidR="00FE5FE6" w:rsidRDefault="00FE5FE6">
      <w:pPr>
        <w:rPr>
          <w:noProof/>
        </w:rPr>
        <w:sectPr w:rsidR="00FE5FE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E5FE6" w:rsidRDefault="00B56160">
      <w:pPr>
        <w:pStyle w:val="Typedudocument"/>
        <w:rPr>
          <w:noProof/>
        </w:rPr>
      </w:pPr>
      <w:r>
        <w:rPr>
          <w:noProof/>
        </w:rPr>
        <w:lastRenderedPageBreak/>
        <w:t>CORRIGENDUM</w:t>
      </w:r>
    </w:p>
    <w:p w:rsidR="00FE5FE6" w:rsidRDefault="00B56160">
      <w:pPr>
        <w:pStyle w:val="Titreobjet"/>
        <w:rPr>
          <w:noProof/>
        </w:rPr>
      </w:pPr>
      <w:r>
        <w:rPr>
          <w:noProof/>
        </w:rPr>
        <w:t xml:space="preserve">to Commission Delegated Regulation of 25 April 2016 supplementing Directive 2014/65/EU of the European Parliament and of the Council as regards organisational requirements and operating conditions for investment firms and defined terms for the purposes of </w:t>
      </w:r>
      <w:r>
        <w:rPr>
          <w:noProof/>
        </w:rPr>
        <w:t xml:space="preserve">that Directive </w:t>
      </w:r>
    </w:p>
    <w:p w:rsidR="00FE5FE6" w:rsidRDefault="00B56160">
      <w:pPr>
        <w:pStyle w:val="Sous-titreobjet"/>
        <w:rPr>
          <w:noProof/>
        </w:rPr>
      </w:pPr>
      <w:r>
        <w:rPr>
          <w:noProof/>
        </w:rPr>
        <w:t>C(2016) 2398 final</w:t>
      </w:r>
    </w:p>
    <w:p w:rsidR="00FE5FE6" w:rsidRDefault="00B56160">
      <w:pPr>
        <w:rPr>
          <w:noProof/>
        </w:rPr>
      </w:pPr>
      <w:r>
        <w:rPr>
          <w:noProof/>
        </w:rPr>
        <w:t xml:space="preserve"> </w:t>
      </w:r>
    </w:p>
    <w:p w:rsidR="00FE5FE6" w:rsidRDefault="00B56160">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t>Recital (117):</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 xml:space="preserve">‘To ensure the necessary level of convergence, it is appropriate to specify a list of circumstances constituting significant damage to investors’ interests and the orderly functioning of the </w:t>
      </w:r>
      <w:r>
        <w:rPr>
          <w:rFonts w:ascii="Times New Roman" w:hAnsi="Times New Roman" w:cs="Times New Roman"/>
          <w:noProof/>
          <w:sz w:val="24"/>
          <w:szCs w:val="24"/>
        </w:rPr>
        <w:t>market which could be the basis of a decision by a national competent authority, an investment firm or a market operator operating an MTF or an OTF not to demand the suspension or removal of a financial instrument from trading, or not to follow a notificat</w:t>
      </w:r>
      <w:r>
        <w:rPr>
          <w:rFonts w:ascii="Times New Roman" w:hAnsi="Times New Roman" w:cs="Times New Roman"/>
          <w:noProof/>
          <w:sz w:val="24"/>
          <w:szCs w:val="24"/>
        </w:rPr>
        <w:t>ion thereto. It is appropriate for such a list to be non-exhaustive as it will thus provide national competent authorities with a framework for the exercise of their judgement and will leave them a necessary degree of flexibility in the assessment of indiv</w:t>
      </w:r>
      <w:r>
        <w:rPr>
          <w:rFonts w:ascii="Times New Roman" w:hAnsi="Times New Roman" w:cs="Times New Roman"/>
          <w:noProof/>
          <w:sz w:val="24"/>
          <w:szCs w:val="24"/>
        </w:rPr>
        <w:t>idual cases.’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‘To ensure the necessary level of convergence, it is appropriate to specify a list of circumstances constituting significant damage to investors’ interests and the orderly functioning of the market which could be the basis of a decision</w:t>
      </w:r>
      <w:r>
        <w:rPr>
          <w:rFonts w:ascii="Times New Roman" w:hAnsi="Times New Roman" w:cs="Times New Roman"/>
          <w:noProof/>
          <w:sz w:val="24"/>
          <w:szCs w:val="24"/>
        </w:rPr>
        <w:t xml:space="preserve"> by a national competent authority, a market operator operating a regulated market or an investment firm or a market operator operating an MTF or an OTF not to demand the suspension or removal of a financial instrument from trading, or not to follow a noti</w:t>
      </w:r>
      <w:r>
        <w:rPr>
          <w:rFonts w:ascii="Times New Roman" w:hAnsi="Times New Roman" w:cs="Times New Roman"/>
          <w:noProof/>
          <w:sz w:val="24"/>
          <w:szCs w:val="24"/>
        </w:rPr>
        <w:t xml:space="preserve">fication thereto. It is appropriate for such a list to be non-exhaustive as it will thus provide national competent authorities with a framework for the exercise of their judgement and will leave them a necessary degree of flexibility in the assessment of </w:t>
      </w:r>
      <w:r>
        <w:rPr>
          <w:rFonts w:ascii="Times New Roman" w:hAnsi="Times New Roman" w:cs="Times New Roman"/>
          <w:noProof/>
          <w:sz w:val="24"/>
          <w:szCs w:val="24"/>
        </w:rPr>
        <w:t>individual cases.’.</w:t>
      </w: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2:</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‘3.</w:t>
      </w:r>
      <w:r>
        <w:rPr>
          <w:rFonts w:ascii="Times New Roman" w:hAnsi="Times New Roman" w:cs="Times New Roman"/>
          <w:noProof/>
          <w:sz w:val="24"/>
          <w:szCs w:val="24"/>
        </w:rPr>
        <w:tab/>
        <w:t>‘outsourcing’ means an arrangement of any form between an investment firm and a service provider by which that service provider performs a process, a service or an activity which would otherwise be undertaken by t</w:t>
      </w:r>
      <w:r>
        <w:rPr>
          <w:rFonts w:ascii="Times New Roman" w:hAnsi="Times New Roman" w:cs="Times New Roman"/>
          <w:noProof/>
          <w:sz w:val="24"/>
          <w:szCs w:val="24"/>
        </w:rPr>
        <w:t>he investment firm itself;</w:t>
      </w:r>
    </w:p>
    <w:p w:rsidR="00FE5FE6" w:rsidRDefault="00B56160">
      <w:pPr>
        <w:ind w:left="1985" w:hanging="567"/>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‘person with whom a relevant person has a family relationship’ means any of the following:</w:t>
      </w:r>
    </w:p>
    <w:p w:rsidR="00FE5FE6" w:rsidRDefault="00B56160">
      <w:pPr>
        <w:ind w:left="1985" w:hanging="567"/>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spouse of the relevant person or any partner of that person considered by national law as equivalent to a spouse;</w:t>
      </w:r>
    </w:p>
    <w:p w:rsidR="00FE5FE6" w:rsidRDefault="00B56160">
      <w:pPr>
        <w:ind w:left="1985" w:hanging="851"/>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Pr>
          <w:rFonts w:ascii="Times New Roman" w:hAnsi="Times New Roman" w:cs="Times New Roman"/>
          <w:noProof/>
          <w:sz w:val="24"/>
          <w:szCs w:val="24"/>
        </w:rPr>
        <w:tab/>
        <w:t>a depend</w:t>
      </w:r>
      <w:r>
        <w:rPr>
          <w:rFonts w:ascii="Times New Roman" w:hAnsi="Times New Roman" w:cs="Times New Roman"/>
          <w:noProof/>
          <w:sz w:val="24"/>
          <w:szCs w:val="24"/>
        </w:rPr>
        <w:t>ent child or stepchild of the relevant person;</w:t>
      </w:r>
    </w:p>
    <w:p w:rsidR="00FE5FE6" w:rsidRDefault="00B56160">
      <w:pPr>
        <w:ind w:left="1985" w:hanging="851"/>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any other relative of the relevant person who has shared the same household as that person for at least one year on the date of the personal transaction concerned;’</w:t>
      </w:r>
    </w:p>
    <w:p w:rsidR="00FE5FE6" w:rsidRDefault="00B56160">
      <w:pPr>
        <w:pStyle w:val="ManualNumPar1"/>
        <w:tabs>
          <w:tab w:val="left" w:pos="851"/>
        </w:tabs>
        <w:ind w:left="1418" w:hanging="1418"/>
        <w:rPr>
          <w:noProof/>
          <w:szCs w:val="24"/>
        </w:rPr>
      </w:pPr>
      <w:r>
        <w:rPr>
          <w:i/>
          <w:noProof/>
          <w:szCs w:val="24"/>
        </w:rPr>
        <w:t>read:</w:t>
      </w:r>
      <w:r>
        <w:rPr>
          <w:i/>
          <w:noProof/>
          <w:szCs w:val="24"/>
        </w:rPr>
        <w:tab/>
      </w:r>
      <w:r>
        <w:rPr>
          <w:noProof/>
          <w:szCs w:val="24"/>
        </w:rPr>
        <w:t>‘3.</w:t>
      </w:r>
      <w:r>
        <w:rPr>
          <w:noProof/>
          <w:szCs w:val="24"/>
        </w:rPr>
        <w:tab/>
        <w:t>‘outsourcing’ means an arrange</w:t>
      </w:r>
      <w:r>
        <w:rPr>
          <w:noProof/>
          <w:szCs w:val="24"/>
        </w:rPr>
        <w:t>ment of any form between an investment firm and a service provider by which that service provider performs a process, a service or an activity which would otherwise be undertaken by the investment firm itself;</w:t>
      </w:r>
    </w:p>
    <w:p w:rsidR="00FE5FE6" w:rsidRDefault="00B56160">
      <w:pPr>
        <w:pStyle w:val="Text1"/>
        <w:ind w:left="1418" w:hanging="567"/>
        <w:rPr>
          <w:noProof/>
          <w:szCs w:val="24"/>
        </w:rPr>
      </w:pPr>
      <w:r>
        <w:rPr>
          <w:noProof/>
          <w:szCs w:val="24"/>
        </w:rPr>
        <w:t>3a.‘person with whom a relevant person has a f</w:t>
      </w:r>
      <w:r>
        <w:rPr>
          <w:noProof/>
          <w:szCs w:val="24"/>
        </w:rPr>
        <w:t>amily relationship’ means any of the following:</w:t>
      </w:r>
    </w:p>
    <w:p w:rsidR="00FE5FE6" w:rsidRDefault="00B56160">
      <w:pPr>
        <w:ind w:left="2160" w:hanging="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spouse of the relevant person or any partner of that person considered by national law as equivalent to a spouse;</w:t>
      </w:r>
    </w:p>
    <w:p w:rsidR="00FE5FE6" w:rsidRDefault="00B56160">
      <w:pPr>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a dependent child or stepchild of the relevant person;</w:t>
      </w:r>
    </w:p>
    <w:p w:rsidR="00FE5FE6" w:rsidRDefault="00B56160">
      <w:pPr>
        <w:ind w:left="2160" w:hanging="72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any other relative of </w:t>
      </w:r>
      <w:r>
        <w:rPr>
          <w:rFonts w:ascii="Times New Roman" w:hAnsi="Times New Roman" w:cs="Times New Roman"/>
          <w:noProof/>
          <w:sz w:val="24"/>
          <w:szCs w:val="24"/>
        </w:rPr>
        <w:t>the relevant person who has shared the same household as that person for at least one year on the date of the personal transaction concerned;’.</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5(7):</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‘(c)</w:t>
      </w:r>
      <w:r>
        <w:rPr>
          <w:rFonts w:ascii="Times New Roman" w:hAnsi="Times New Roman" w:cs="Times New Roman"/>
          <w:noProof/>
          <w:sz w:val="24"/>
          <w:szCs w:val="24"/>
        </w:rPr>
        <w:tab/>
        <w:t>other methods of bringing about the transfer of rights of an ownership nature in rel</w:t>
      </w:r>
      <w:r>
        <w:rPr>
          <w:rFonts w:ascii="Times New Roman" w:hAnsi="Times New Roman" w:cs="Times New Roman"/>
          <w:noProof/>
          <w:sz w:val="24"/>
          <w:szCs w:val="24"/>
        </w:rPr>
        <w:t>ation to the relevant quantity of goods without physically delivering them including notification, scheduling or nomination to the operator of an energy supply network, _that entitles the recipient to the relevant quantity of the goods.’</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‘(c)</w:t>
      </w:r>
      <w:r>
        <w:rPr>
          <w:rFonts w:ascii="Times New Roman" w:hAnsi="Times New Roman" w:cs="Times New Roman"/>
          <w:noProof/>
          <w:sz w:val="24"/>
          <w:szCs w:val="24"/>
        </w:rPr>
        <w:tab/>
        <w:t xml:space="preserve">other </w:t>
      </w:r>
      <w:r>
        <w:rPr>
          <w:rFonts w:ascii="Times New Roman" w:hAnsi="Times New Roman" w:cs="Times New Roman"/>
          <w:noProof/>
          <w:sz w:val="24"/>
          <w:szCs w:val="24"/>
        </w:rPr>
        <w:t>methods of bringing about the transfer of rights of an ownership nature in relation to the relevant quantity of goods without physically delivering them, including notification, scheduling or nomination to the operator of an energy supply network, that ent</w:t>
      </w:r>
      <w:r>
        <w:rPr>
          <w:rFonts w:ascii="Times New Roman" w:hAnsi="Times New Roman" w:cs="Times New Roman"/>
          <w:noProof/>
          <w:sz w:val="24"/>
          <w:szCs w:val="24"/>
        </w:rPr>
        <w:t>itles the recipient to the relevant quantity of the goods.’.</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8, in point (d):</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‘except if the contract is already with the scope of Section C(4) of Annex I to Directive 2014/65/EU;’</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w:t>
      </w:r>
      <w:r>
        <w:rPr>
          <w:rFonts w:ascii="Times New Roman" w:hAnsi="Times New Roman" w:cs="Times New Roman"/>
          <w:noProof/>
          <w:sz w:val="24"/>
          <w:szCs w:val="24"/>
        </w:rPr>
        <w:tab/>
        <w:t>‘except where the contract is already within the sco</w:t>
      </w:r>
      <w:r>
        <w:rPr>
          <w:rFonts w:ascii="Times New Roman" w:hAnsi="Times New Roman" w:cs="Times New Roman"/>
          <w:noProof/>
          <w:sz w:val="24"/>
          <w:szCs w:val="24"/>
        </w:rPr>
        <w:t>pe of Section (C) of Annex I to Directive 2014/65/EU;’.</w:t>
      </w:r>
    </w:p>
    <w:p w:rsidR="00FE5FE6" w:rsidRDefault="00FE5FE6">
      <w:pPr>
        <w:ind w:left="851" w:hanging="851"/>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 Article 12, in point (a):</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‘on a frequent and systematic basis in the financial instrument for which there is a liquid market in accordance with Article 2(1)(17)(b) of Regulation (EU) No 600/2</w:t>
      </w:r>
      <w:r>
        <w:rPr>
          <w:rFonts w:ascii="Times New Roman" w:hAnsi="Times New Roman" w:cs="Times New Roman"/>
          <w:noProof/>
          <w:sz w:val="24"/>
          <w:szCs w:val="24"/>
        </w:rPr>
        <w:t>014 where during the past 6 months:’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w:t>
      </w:r>
      <w:r>
        <w:rPr>
          <w:rFonts w:ascii="Times New Roman" w:hAnsi="Times New Roman" w:cs="Times New Roman"/>
          <w:noProof/>
          <w:sz w:val="24"/>
          <w:szCs w:val="24"/>
        </w:rPr>
        <w:tab/>
        <w:t>‘on a frequent and systematic basis in the financial instrument for which there is a liquid market as defined in Article 2(1)(17)(b) of Regulation (EU) No 600/2014 where during the past 6 months:’.</w:t>
      </w:r>
    </w:p>
    <w:p w:rsidR="00FE5FE6" w:rsidRDefault="00FE5FE6">
      <w:pPr>
        <w:tabs>
          <w:tab w:val="left" w:pos="851"/>
        </w:tabs>
        <w:ind w:left="1418" w:hanging="1418"/>
        <w:jc w:val="both"/>
        <w:rPr>
          <w:rFonts w:ascii="Times New Roman" w:hAnsi="Times New Roman" w:cs="Times New Roman"/>
          <w:noProof/>
          <w:sz w:val="24"/>
          <w:szCs w:val="24"/>
        </w:rPr>
      </w:pP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noProof/>
          <w:sz w:val="24"/>
          <w:szCs w:val="24"/>
        </w:rPr>
        <w:t>Article 12(b):</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 xml:space="preserve">on a frequent and systematic basis in the financial instrument for which there is not a liquid market in accordance with Article 2(1)(17)(b) of Regulation (EU) No 600/2014 where during the past 6 months the OTC transactions carried out by it on </w:t>
      </w:r>
      <w:r>
        <w:rPr>
          <w:rFonts w:ascii="Times New Roman" w:hAnsi="Times New Roman" w:cs="Times New Roman"/>
          <w:noProof/>
          <w:sz w:val="24"/>
          <w:szCs w:val="24"/>
        </w:rPr>
        <w:t>own account when executing client orders takes place on average on a daily basis;’</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‘(b)</w:t>
      </w:r>
      <w:r>
        <w:rPr>
          <w:rFonts w:ascii="Times New Roman" w:hAnsi="Times New Roman" w:cs="Times New Roman"/>
          <w:noProof/>
          <w:sz w:val="24"/>
          <w:szCs w:val="24"/>
        </w:rPr>
        <w:tab/>
        <w:t>on a frequent and systematic basis in the financial instrument for which there is not a liquid market as defined in Article 2(1)(17)(b) of Regulation (EU) No 600/</w:t>
      </w:r>
      <w:r>
        <w:rPr>
          <w:rFonts w:ascii="Times New Roman" w:hAnsi="Times New Roman" w:cs="Times New Roman"/>
          <w:noProof/>
          <w:sz w:val="24"/>
          <w:szCs w:val="24"/>
        </w:rPr>
        <w:t>2014 where during the past 6 months the OTC transactions carried out by it on own account when executing client orders takes place on average on a daily basis;’.</w:t>
      </w:r>
    </w:p>
    <w:p w:rsidR="00FE5FE6" w:rsidRDefault="00FE5FE6">
      <w:pPr>
        <w:tabs>
          <w:tab w:val="left" w:pos="851"/>
        </w:tabs>
        <w:ind w:left="1418" w:hanging="1418"/>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12, in point (c):</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‘on a substantial basis in the financial instrument where t</w:t>
      </w:r>
      <w:r>
        <w:rPr>
          <w:rFonts w:ascii="Times New Roman" w:hAnsi="Times New Roman" w:cs="Times New Roman"/>
          <w:noProof/>
          <w:sz w:val="24"/>
          <w:szCs w:val="24"/>
        </w:rPr>
        <w:t>he number of OTC trades carried out by it on own account when executing client orders is, during the past 6 months, equal to or larger than either:’</w:t>
      </w:r>
    </w:p>
    <w:p w:rsidR="00FE5FE6" w:rsidRDefault="00B56160">
      <w:pPr>
        <w:tabs>
          <w:tab w:val="left" w:pos="851"/>
        </w:tabs>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‘on a substantial basis in the financial instrument where the size of OTC trading carried out by it o</w:t>
      </w:r>
      <w:r>
        <w:rPr>
          <w:rFonts w:ascii="Times New Roman" w:hAnsi="Times New Roman" w:cs="Times New Roman"/>
          <w:noProof/>
          <w:sz w:val="24"/>
          <w:szCs w:val="24"/>
        </w:rPr>
        <w:t>n own account when executing client orders is, during the past 6 months, equal to or larger than either:’.</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13, in point (a):</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‘on a frequent and systematic basis in a bond for which there is a liquid market in accordance with Article 2(1)(1</w:t>
      </w:r>
      <w:r>
        <w:rPr>
          <w:rFonts w:ascii="Times New Roman" w:hAnsi="Times New Roman" w:cs="Times New Roman"/>
          <w:noProof/>
          <w:sz w:val="24"/>
          <w:szCs w:val="24"/>
        </w:rPr>
        <w:t>7)(b) of Regulation (EU) No 600/2014 where during the past 6 months:’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lastRenderedPageBreak/>
        <w:t>read:</w:t>
      </w:r>
      <w:r>
        <w:rPr>
          <w:rFonts w:ascii="Times New Roman" w:hAnsi="Times New Roman" w:cs="Times New Roman"/>
          <w:noProof/>
          <w:sz w:val="24"/>
          <w:szCs w:val="24"/>
        </w:rPr>
        <w:tab/>
        <w:t>‘on a frequent and systematic basis in a bond for which there is a liquid market as defined in Article 2(1)(17)(a) of Regulation (EU) No 600/2014 where during the past 6 months:’.</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13(b):</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 xml:space="preserve">‘on a frequent and systematic basis in a bond for which there is not a liquid market in accordance with Article 2(1)(17)(b) of Regulation (EU) No 600/2014 where during the past 6 months the OTC transactions carried out by it on own </w:t>
      </w:r>
      <w:r>
        <w:rPr>
          <w:rFonts w:ascii="Times New Roman" w:hAnsi="Times New Roman" w:cs="Times New Roman"/>
          <w:noProof/>
          <w:sz w:val="24"/>
          <w:szCs w:val="24"/>
        </w:rPr>
        <w:t>account when executing client orders takes place on average once a week;’</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‘on a frequent and systematic basis in a bond for which there is not a liquid market as defined in Article 2(1)(17)(a) of Regulation (EU) No 600/2014 where during the past 6 mo</w:t>
      </w:r>
      <w:r>
        <w:rPr>
          <w:rFonts w:ascii="Times New Roman" w:hAnsi="Times New Roman" w:cs="Times New Roman"/>
          <w:noProof/>
          <w:sz w:val="24"/>
          <w:szCs w:val="24"/>
        </w:rPr>
        <w:t>nths the OTC transactions carried out by it on own account when executing client orders take place on average once a week;’.</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13(c):</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bond where the number of OTC trades carried out by it on own account when exe</w:t>
      </w:r>
      <w:r>
        <w:rPr>
          <w:rFonts w:ascii="Times New Roman" w:hAnsi="Times New Roman" w:cs="Times New Roman"/>
          <w:noProof/>
          <w:sz w:val="24"/>
          <w:szCs w:val="24"/>
        </w:rPr>
        <w:t>cuting client orders is, during the past 6 months, equal to or larger than either:</w:t>
      </w:r>
    </w:p>
    <w:p w:rsidR="00FE5FE6" w:rsidRDefault="00B56160">
      <w:pPr>
        <w:pStyle w:val="Point2"/>
        <w:rPr>
          <w:noProof/>
          <w:szCs w:val="24"/>
        </w:rPr>
      </w:pPr>
      <w:r>
        <w:rPr>
          <w:noProof/>
          <w:szCs w:val="24"/>
        </w:rPr>
        <w:t>(i)</w:t>
      </w:r>
      <w:r>
        <w:rPr>
          <w:noProof/>
          <w:szCs w:val="24"/>
        </w:rPr>
        <w:tab/>
        <w:t>25% of the total nominal amount traded in that bond executed by the investment firm on own account or on behalf of clients and executed on a trading venue or OTC;</w:t>
      </w:r>
    </w:p>
    <w:p w:rsidR="00FE5FE6" w:rsidRDefault="00B56160">
      <w:pPr>
        <w:pStyle w:val="Point2"/>
        <w:rPr>
          <w:noProof/>
          <w:szCs w:val="24"/>
        </w:rPr>
      </w:pPr>
      <w:r>
        <w:rPr>
          <w:noProof/>
          <w:szCs w:val="24"/>
        </w:rPr>
        <w:t>(ii)</w:t>
      </w:r>
      <w:r>
        <w:rPr>
          <w:noProof/>
          <w:szCs w:val="24"/>
        </w:rPr>
        <w:tab/>
        <w:t>1</w:t>
      </w:r>
      <w:r>
        <w:rPr>
          <w:noProof/>
          <w:szCs w:val="24"/>
        </w:rPr>
        <w:t>% of the total nominal amount traded in that bond executed in the Union on a trading venue or OTC.’</w:t>
      </w:r>
    </w:p>
    <w:p w:rsidR="00FE5FE6" w:rsidRDefault="00FE5FE6">
      <w:pPr>
        <w:ind w:left="720" w:hanging="720"/>
        <w:jc w:val="both"/>
        <w:rPr>
          <w:rFonts w:ascii="Times New Roman" w:hAnsi="Times New Roman" w:cs="Times New Roman"/>
          <w:noProof/>
          <w:sz w:val="24"/>
          <w:szCs w:val="24"/>
        </w:rPr>
      </w:pP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bond where the size of OTC trading carried out by it on own account when executing client orders is, during the past</w:t>
      </w:r>
      <w:r>
        <w:rPr>
          <w:rFonts w:ascii="Times New Roman" w:hAnsi="Times New Roman" w:cs="Times New Roman"/>
          <w:noProof/>
          <w:sz w:val="24"/>
          <w:szCs w:val="24"/>
        </w:rPr>
        <w:t xml:space="preserve"> 6 months, equal to or larger than any of the following:</w:t>
      </w:r>
    </w:p>
    <w:p w:rsidR="00FE5FE6" w:rsidRDefault="00B56160">
      <w:pPr>
        <w:pStyle w:val="Point2"/>
        <w:rPr>
          <w:noProof/>
          <w:szCs w:val="24"/>
        </w:rPr>
      </w:pPr>
      <w:r>
        <w:rPr>
          <w:noProof/>
          <w:szCs w:val="24"/>
        </w:rPr>
        <w:t>(i)</w:t>
      </w:r>
      <w:r>
        <w:rPr>
          <w:noProof/>
          <w:szCs w:val="24"/>
        </w:rPr>
        <w:tab/>
        <w:t>25% of the total turnover in that bond executed by the investment firm on own account or on behalf of clients and executed on a trading venue or OTC;</w:t>
      </w:r>
    </w:p>
    <w:p w:rsidR="00FE5FE6" w:rsidRDefault="00B56160">
      <w:pPr>
        <w:pStyle w:val="Point2"/>
        <w:rPr>
          <w:noProof/>
          <w:szCs w:val="24"/>
        </w:rPr>
      </w:pPr>
      <w:r>
        <w:rPr>
          <w:noProof/>
          <w:szCs w:val="24"/>
        </w:rPr>
        <w:t>(ii)</w:t>
      </w:r>
      <w:r>
        <w:rPr>
          <w:noProof/>
          <w:szCs w:val="24"/>
        </w:rPr>
        <w:tab/>
        <w:t>1% of the total turnover in that bond ex</w:t>
      </w:r>
      <w:r>
        <w:rPr>
          <w:noProof/>
          <w:szCs w:val="24"/>
        </w:rPr>
        <w:t>ecuted in the Union on a trading venue or OTC.’.</w:t>
      </w:r>
    </w:p>
    <w:p w:rsidR="00FE5FE6" w:rsidRDefault="00FE5FE6">
      <w:pPr>
        <w:ind w:left="720" w:hanging="720"/>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 Article 14, in point (a):</w:t>
      </w:r>
    </w:p>
    <w:p w:rsidR="00FE5FE6" w:rsidRDefault="00B56160">
      <w:pPr>
        <w:ind w:left="851" w:hanging="851"/>
        <w:jc w:val="both"/>
        <w:rPr>
          <w:rFonts w:ascii="Times New Roman" w:hAnsi="Times New Roman" w:cs="Times New Roman"/>
          <w:noProof/>
          <w:sz w:val="24"/>
          <w:szCs w:val="24"/>
          <w:highlight w:val="yellow"/>
        </w:rPr>
      </w:pPr>
      <w:r>
        <w:rPr>
          <w:rFonts w:ascii="Times New Roman" w:hAnsi="Times New Roman" w:cs="Times New Roman"/>
          <w:i/>
          <w:noProof/>
          <w:sz w:val="24"/>
          <w:szCs w:val="24"/>
        </w:rPr>
        <w:t>for:</w:t>
      </w:r>
      <w:r>
        <w:rPr>
          <w:rFonts w:ascii="Times New Roman" w:hAnsi="Times New Roman" w:cs="Times New Roman"/>
          <w:noProof/>
          <w:sz w:val="24"/>
          <w:szCs w:val="24"/>
        </w:rPr>
        <w:tab/>
        <w:t>‘on a frequent and systematic basis in a structured finance product for which there is a liquid market in accordance with Article 2(1)(17)(b) of Regulation (EU) No 600/2014</w:t>
      </w:r>
      <w:r>
        <w:rPr>
          <w:rFonts w:ascii="Times New Roman" w:hAnsi="Times New Roman" w:cs="Times New Roman"/>
          <w:noProof/>
          <w:sz w:val="24"/>
          <w:szCs w:val="24"/>
        </w:rPr>
        <w:t xml:space="preserve"> where during the past 6 months:’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‘on a frequent and systematic basis in a structured finance product for which there is a liquid market as defined in Article 2(1)(17)(a) of Regulation (EU) No 600/2014 where during the past 6 months:’.</w:t>
      </w:r>
    </w:p>
    <w:p w:rsidR="00FE5FE6" w:rsidRDefault="00FE5FE6">
      <w:pPr>
        <w:tabs>
          <w:tab w:val="left" w:pos="851"/>
        </w:tabs>
        <w:ind w:left="1418" w:hanging="1418"/>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14</w:t>
      </w:r>
      <w:r>
        <w:rPr>
          <w:rFonts w:ascii="Times New Roman" w:hAnsi="Times New Roman" w:cs="Times New Roman"/>
          <w:noProof/>
          <w:sz w:val="24"/>
          <w:szCs w:val="24"/>
        </w:rPr>
        <w:t>:</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on a frequent and systematic basis in a structured finance product for which there is not a liquid market in accordance with Article 2(1)(17)(b) of Regulation (EU) No 600/2014 where during the past 6 months the OTC transactions carried out by i</w:t>
      </w:r>
      <w:r>
        <w:rPr>
          <w:rFonts w:ascii="Times New Roman" w:hAnsi="Times New Roman" w:cs="Times New Roman"/>
          <w:noProof/>
          <w:sz w:val="24"/>
          <w:szCs w:val="24"/>
        </w:rPr>
        <w:t>t on own account when executing client orders takes place on average once a week;’</w:t>
      </w:r>
    </w:p>
    <w:p w:rsidR="00FE5FE6" w:rsidRDefault="00B56160">
      <w:pPr>
        <w:tabs>
          <w:tab w:val="left" w:pos="851"/>
        </w:tabs>
        <w:ind w:left="1418" w:hanging="1418"/>
        <w:jc w:val="both"/>
        <w:rPr>
          <w:rFonts w:ascii="Times New Roman" w:hAnsi="Times New Roman" w:cs="Times New Roman"/>
          <w:i/>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on a frequent and systematic basis in a structured finance product for which there is not a liquid market as defined in Article 2(1)(17)(a) of Regulation (EU) No </w:t>
      </w:r>
      <w:r>
        <w:rPr>
          <w:rFonts w:ascii="Times New Roman" w:hAnsi="Times New Roman" w:cs="Times New Roman"/>
          <w:noProof/>
          <w:sz w:val="24"/>
          <w:szCs w:val="24"/>
        </w:rPr>
        <w:t>600/2014 where during the past 6 months the OTC transactions carried out by it on own account when executing client orders take place on average once a week;’.</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14(c):</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structured finance product where the numbe</w:t>
      </w:r>
      <w:r>
        <w:rPr>
          <w:rFonts w:ascii="Times New Roman" w:hAnsi="Times New Roman" w:cs="Times New Roman"/>
          <w:noProof/>
          <w:sz w:val="24"/>
          <w:szCs w:val="24"/>
        </w:rPr>
        <w:t>r of OTC trades carried out by it on own account when executing client orders is, during the past 6 months, equal to or larger than either:</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30% of the total nominal amount traded in that structured finance product executed by the investment firm on own</w:t>
      </w:r>
      <w:r>
        <w:rPr>
          <w:rFonts w:ascii="Times New Roman" w:hAnsi="Times New Roman" w:cs="Times New Roman"/>
          <w:noProof/>
          <w:sz w:val="24"/>
          <w:szCs w:val="24"/>
        </w:rPr>
        <w:t xml:space="preserve"> account or on behalf of clients and executed on a trading venue or OTC; or</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2.25% of the total nominal amount traded in that structured finance product executed in the Union on a trading venue or OTC.’</w:t>
      </w:r>
    </w:p>
    <w:p w:rsidR="00FE5FE6" w:rsidRDefault="00B56160">
      <w:pPr>
        <w:tabs>
          <w:tab w:val="left" w:pos="851"/>
        </w:tabs>
        <w:ind w:left="1418" w:hanging="1418"/>
        <w:jc w:val="both"/>
        <w:rPr>
          <w:rFonts w:ascii="Times New Roman" w:hAnsi="Times New Roman" w:cs="Times New Roman"/>
          <w:i/>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structured</w:t>
      </w:r>
      <w:r>
        <w:rPr>
          <w:rFonts w:ascii="Times New Roman" w:hAnsi="Times New Roman" w:cs="Times New Roman"/>
          <w:noProof/>
          <w:sz w:val="24"/>
          <w:szCs w:val="24"/>
        </w:rPr>
        <w:t xml:space="preserve"> finance product where the size of OTC trading carried out by it on own account when executing client orders is, during the past 6 months, equal to or larger than any of the following:</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lastRenderedPageBreak/>
        <w:t>(i)</w:t>
      </w:r>
      <w:r>
        <w:rPr>
          <w:rFonts w:ascii="Times New Roman" w:hAnsi="Times New Roman" w:cs="Times New Roman"/>
          <w:noProof/>
          <w:sz w:val="24"/>
          <w:szCs w:val="24"/>
        </w:rPr>
        <w:tab/>
        <w:t>30% of the total turnover in that structured finance product execut</w:t>
      </w:r>
      <w:r>
        <w:rPr>
          <w:rFonts w:ascii="Times New Roman" w:hAnsi="Times New Roman" w:cs="Times New Roman"/>
          <w:noProof/>
          <w:sz w:val="24"/>
          <w:szCs w:val="24"/>
        </w:rPr>
        <w:t>ed by the investment firm on own account or on behalf of clients and executed on a trading venue or OTC;</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2.25% of the total turnover in that structured finance product executed in the Union on a trading venue or OTC.’.</w:t>
      </w:r>
    </w:p>
    <w:p w:rsidR="00FE5FE6" w:rsidRDefault="00FE5FE6">
      <w:pPr>
        <w:ind w:left="720" w:hanging="720"/>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15, in point (a):</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w:t>
      </w:r>
      <w:r>
        <w:rPr>
          <w:rFonts w:ascii="Times New Roman" w:hAnsi="Times New Roman" w:cs="Times New Roman"/>
          <w:i/>
          <w:noProof/>
          <w:sz w:val="24"/>
          <w:szCs w:val="24"/>
        </w:rPr>
        <w:t>r:</w:t>
      </w:r>
      <w:r>
        <w:rPr>
          <w:rFonts w:ascii="Times New Roman" w:hAnsi="Times New Roman" w:cs="Times New Roman"/>
          <w:noProof/>
          <w:sz w:val="24"/>
          <w:szCs w:val="24"/>
        </w:rPr>
        <w:tab/>
        <w:t>‘on a frequent and systematic basis in a derivative for which there is a liquid market in accordance with Article 2(1)(17)(b) of Regulation (EU) No 600/2014 where during the past 6 months:’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‘on a frequent and systematic basis in a derivative for w</w:t>
      </w:r>
      <w:r>
        <w:rPr>
          <w:rFonts w:ascii="Times New Roman" w:hAnsi="Times New Roman" w:cs="Times New Roman"/>
          <w:noProof/>
          <w:sz w:val="24"/>
          <w:szCs w:val="24"/>
        </w:rPr>
        <w:t>hich there is a liquid market as defined in Article 2(1)(17)(a) of Regulation (EU) No 600/2014 where during the past 6 months:’.</w:t>
      </w:r>
    </w:p>
    <w:p w:rsidR="00FE5FE6" w:rsidRDefault="00FE5FE6">
      <w:pPr>
        <w:tabs>
          <w:tab w:val="left" w:pos="851"/>
        </w:tabs>
        <w:ind w:left="1418" w:hanging="1418"/>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15(b):</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on a frequent and systematic basis in a derivative for which there is not a liquid market in accordan</w:t>
      </w:r>
      <w:r>
        <w:rPr>
          <w:rFonts w:ascii="Times New Roman" w:hAnsi="Times New Roman" w:cs="Times New Roman"/>
          <w:noProof/>
          <w:sz w:val="24"/>
          <w:szCs w:val="24"/>
        </w:rPr>
        <w:t>ce with Article 2(1)(17)(b) of Regulation (EU) No 600/2014 where during the past 6 months the OTC transactions carried out by it on own account in the relevant class of derivatives when executing client orders takes place on average once a week;’</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on a frequent and systematic basis in a derivative for which there is not a liquid market as defined in Article 2(1)(17)(a) of Regulation (EU) No 600/2014 where during the past 6 months the OTC transactions carried out by it on own account in the relevant</w:t>
      </w:r>
      <w:r>
        <w:rPr>
          <w:rFonts w:ascii="Times New Roman" w:hAnsi="Times New Roman" w:cs="Times New Roman"/>
          <w:noProof/>
          <w:sz w:val="24"/>
          <w:szCs w:val="24"/>
        </w:rPr>
        <w:t xml:space="preserve"> class of derivative when executing client orders take place on average once a week;’. </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15(c):</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derivative where the number of OTC trades carried out by it on own account when executing client orders is, during</w:t>
      </w:r>
      <w:r>
        <w:rPr>
          <w:rFonts w:ascii="Times New Roman" w:hAnsi="Times New Roman" w:cs="Times New Roman"/>
          <w:noProof/>
          <w:sz w:val="24"/>
          <w:szCs w:val="24"/>
        </w:rPr>
        <w:t xml:space="preserve"> the past 6 months, equal to or larger than either:</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lastRenderedPageBreak/>
        <w:t>(i)</w:t>
      </w:r>
      <w:r>
        <w:rPr>
          <w:rFonts w:ascii="Times New Roman" w:hAnsi="Times New Roman" w:cs="Times New Roman"/>
          <w:noProof/>
          <w:sz w:val="24"/>
          <w:szCs w:val="24"/>
        </w:rPr>
        <w:tab/>
        <w:t>25% of the total nominal amount traded in that class of derivatives executed by the investment firm on own account or on behalf of clients and executed on a trading venue or OTC; or</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1% of the tot</w:t>
      </w:r>
      <w:r>
        <w:rPr>
          <w:rFonts w:ascii="Times New Roman" w:hAnsi="Times New Roman" w:cs="Times New Roman"/>
          <w:noProof/>
          <w:sz w:val="24"/>
          <w:szCs w:val="24"/>
        </w:rPr>
        <w:t>al nominal amount traded in that class of derivatives executed in the Union on a trading venue or OTC.’</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 derivative where the size of OTC trading carried out by it on own account when executing client orders is, during</w:t>
      </w:r>
      <w:r>
        <w:rPr>
          <w:rFonts w:ascii="Times New Roman" w:hAnsi="Times New Roman" w:cs="Times New Roman"/>
          <w:noProof/>
          <w:sz w:val="24"/>
          <w:szCs w:val="24"/>
        </w:rPr>
        <w:t xml:space="preserve"> the past 6 months, equal to or larger than any of the following:</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25% of the total turnover in that class of derivative executed by the investment firm on own account or on behalf of clients and executed on a trading venue or OTC;</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 xml:space="preserve">1% of the total </w:t>
      </w:r>
      <w:r>
        <w:rPr>
          <w:rFonts w:ascii="Times New Roman" w:hAnsi="Times New Roman" w:cs="Times New Roman"/>
          <w:noProof/>
          <w:sz w:val="24"/>
          <w:szCs w:val="24"/>
        </w:rPr>
        <w:t>turnover in that class of derivative executed in the Union on a trading venue or OTC.’.</w:t>
      </w:r>
    </w:p>
    <w:p w:rsidR="00FE5FE6" w:rsidRDefault="00FE5FE6">
      <w:pPr>
        <w:ind w:left="720" w:hanging="720"/>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16, in point (a):</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 xml:space="preserve">‘on a frequent and systematic basis in an emission allowance for which there is a liquid market in accordance with </w:t>
      </w:r>
      <w:r>
        <w:rPr>
          <w:rFonts w:ascii="Times New Roman" w:hAnsi="Times New Roman" w:cs="Times New Roman"/>
          <w:noProof/>
          <w:sz w:val="24"/>
          <w:szCs w:val="24"/>
        </w:rPr>
        <w:t>Article 2(1)(17)(b) of Regulation (EU) No 600/2014 where during the past 6 months:’</w:t>
      </w:r>
    </w:p>
    <w:p w:rsidR="00FE5FE6" w:rsidRDefault="00B56160">
      <w:pPr>
        <w:ind w:left="851" w:hanging="851"/>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‘on a frequent and systematic basis in an emission allowance for which there is a liquid market as defined in Article 2(1)(17)(a) of Regulation (EU) No 600/2014 where</w:t>
      </w:r>
      <w:r>
        <w:rPr>
          <w:rFonts w:ascii="Times New Roman" w:hAnsi="Times New Roman" w:cs="Times New Roman"/>
          <w:noProof/>
          <w:sz w:val="24"/>
          <w:szCs w:val="24"/>
        </w:rPr>
        <w:t xml:space="preserve"> during the past 6 months:’.</w:t>
      </w:r>
    </w:p>
    <w:p w:rsidR="00FE5FE6" w:rsidRDefault="00FE5FE6">
      <w:pPr>
        <w:tabs>
          <w:tab w:val="left" w:pos="851"/>
        </w:tabs>
        <w:ind w:left="1418" w:hanging="1418"/>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Article 16(b):</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on a frequent and systematic basis in an emission allowance for which there is not a liquid market in accordance with Article 2(1)(17)(b) of Regulation (EU) No 600/2014 where during the past 6 months t</w:t>
      </w:r>
      <w:r>
        <w:rPr>
          <w:rFonts w:ascii="Times New Roman" w:hAnsi="Times New Roman" w:cs="Times New Roman"/>
          <w:noProof/>
          <w:sz w:val="24"/>
          <w:szCs w:val="24"/>
        </w:rPr>
        <w:t>he OTC transactions carried out by it on own account in the relevant type of emission allowances when executing client orders takes place on average once a week’</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 xml:space="preserve">on a frequent and systematic basis in an emission allowance for which there is not </w:t>
      </w:r>
      <w:r>
        <w:rPr>
          <w:rFonts w:ascii="Times New Roman" w:hAnsi="Times New Roman" w:cs="Times New Roman"/>
          <w:noProof/>
          <w:sz w:val="24"/>
          <w:szCs w:val="24"/>
        </w:rPr>
        <w:t>a liquid market as defined in Article 2(1)(17)(a) of Regulation (EU) No 600/2014 where during the past 6 months the OTC transactions carried out by it on own account in the relevant type of emission allowances when executing client orders take place on ave</w:t>
      </w:r>
      <w:r>
        <w:rPr>
          <w:rFonts w:ascii="Times New Roman" w:hAnsi="Times New Roman" w:cs="Times New Roman"/>
          <w:noProof/>
          <w:sz w:val="24"/>
          <w:szCs w:val="24"/>
        </w:rPr>
        <w:t>rage once a week;’.</w:t>
      </w:r>
    </w:p>
    <w:p w:rsidR="00FE5FE6" w:rsidRDefault="00FE5FE6">
      <w:pPr>
        <w:tabs>
          <w:tab w:val="left" w:pos="851"/>
        </w:tabs>
        <w:ind w:left="1418" w:hanging="1418"/>
        <w:jc w:val="both"/>
        <w:rPr>
          <w:rFonts w:ascii="Times New Roman" w:hAnsi="Times New Roman" w:cs="Times New Roman"/>
          <w:i/>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16:</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‘(c)</w:t>
      </w:r>
      <w:r>
        <w:rPr>
          <w:rFonts w:ascii="Times New Roman" w:hAnsi="Times New Roman" w:cs="Times New Roman"/>
          <w:noProof/>
          <w:sz w:val="24"/>
          <w:szCs w:val="24"/>
        </w:rPr>
        <w:tab/>
        <w:t>an investment firm internalises on a substantial basis in an emission allowance where the number of OTC trades carried out by it on own account when executing client orders is, during the past 6 months, equal t</w:t>
      </w:r>
      <w:r>
        <w:rPr>
          <w:rFonts w:ascii="Times New Roman" w:hAnsi="Times New Roman" w:cs="Times New Roman"/>
          <w:noProof/>
          <w:sz w:val="24"/>
          <w:szCs w:val="24"/>
        </w:rPr>
        <w:t>o or larger than either of the following:</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30% of the total nominal amount traded in that type of emission allowances executed by the investment firm on own account or on behalf of clients and executed on a trading venue or OTC;</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(ii)</w:t>
      </w:r>
      <w:r>
        <w:rPr>
          <w:rFonts w:ascii="Times New Roman" w:hAnsi="Times New Roman" w:cs="Times New Roman"/>
          <w:noProof/>
          <w:sz w:val="24"/>
          <w:szCs w:val="24"/>
        </w:rPr>
        <w:tab/>
        <w:t xml:space="preserve">2.25% of the total </w:t>
      </w:r>
      <w:r>
        <w:rPr>
          <w:rFonts w:ascii="Times New Roman" w:hAnsi="Times New Roman" w:cs="Times New Roman"/>
          <w:noProof/>
          <w:sz w:val="24"/>
          <w:szCs w:val="24"/>
        </w:rPr>
        <w:t>nominal amount traded in that type of emission allowances executed in the Union on a trading venue or OTC.’</w:t>
      </w:r>
    </w:p>
    <w:p w:rsidR="00FE5FE6" w:rsidRDefault="00B56160">
      <w:pPr>
        <w:tabs>
          <w:tab w:val="left" w:pos="851"/>
        </w:tabs>
        <w:ind w:left="1418" w:hanging="1418"/>
        <w:jc w:val="both"/>
        <w:rPr>
          <w:rFonts w:ascii="Times New Roman" w:hAnsi="Times New Roman" w:cs="Times New Roman"/>
          <w:i/>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(c)</w:t>
      </w:r>
      <w:r>
        <w:rPr>
          <w:rFonts w:ascii="Times New Roman" w:hAnsi="Times New Roman" w:cs="Times New Roman"/>
          <w:noProof/>
          <w:sz w:val="24"/>
          <w:szCs w:val="24"/>
        </w:rPr>
        <w:tab/>
        <w:t>on a substantial basis in an emission allowance where the size of OTC trading carried out by it on own account when executing client order</w:t>
      </w:r>
      <w:r>
        <w:rPr>
          <w:rFonts w:ascii="Times New Roman" w:hAnsi="Times New Roman" w:cs="Times New Roman"/>
          <w:noProof/>
          <w:sz w:val="24"/>
          <w:szCs w:val="24"/>
        </w:rPr>
        <w:t>s is, during the past 6 months, equal to or larger than any of the following:</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30% of the total turnover in that type of emission allowance executed by the investment firm on own account or on behalf of clients and executed on a trading venue or OTC;</w:t>
      </w:r>
    </w:p>
    <w:p w:rsidR="00FE5FE6" w:rsidRDefault="00B56160">
      <w:pPr>
        <w:ind w:left="1984"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i)</w:t>
      </w:r>
      <w:r>
        <w:rPr>
          <w:rFonts w:ascii="Times New Roman" w:hAnsi="Times New Roman" w:cs="Times New Roman"/>
          <w:noProof/>
          <w:sz w:val="24"/>
          <w:szCs w:val="24"/>
        </w:rPr>
        <w:tab/>
        <w:t>2.25% of the total turnover in that type of emission allowance executed in the Union on a trading venue or OTC.’.</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19:</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‘5.</w:t>
      </w:r>
      <w:r>
        <w:rPr>
          <w:rFonts w:ascii="Times New Roman" w:hAnsi="Times New Roman" w:cs="Times New Roman"/>
          <w:noProof/>
          <w:sz w:val="24"/>
          <w:szCs w:val="24"/>
        </w:rPr>
        <w:tab/>
        <w:t>For the purposes of paragraph 1, trading venues shall make available to the firms concerned, on request, estimates</w:t>
      </w:r>
      <w:r>
        <w:rPr>
          <w:rFonts w:ascii="Times New Roman" w:hAnsi="Times New Roman" w:cs="Times New Roman"/>
          <w:noProof/>
          <w:sz w:val="24"/>
          <w:szCs w:val="24"/>
        </w:rPr>
        <w:t xml:space="preserve"> of the average of messages per second on a monthly basis two weeks after the end of each calendar month taking into account all messages submitted during the preceding 12 months.’</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‘5.</w:t>
      </w:r>
      <w:r>
        <w:rPr>
          <w:rFonts w:ascii="Times New Roman" w:hAnsi="Times New Roman" w:cs="Times New Roman"/>
          <w:noProof/>
          <w:sz w:val="24"/>
          <w:szCs w:val="24"/>
        </w:rPr>
        <w:tab/>
        <w:t>For the purposes of paragraph 1, trading venues shall make availa</w:t>
      </w:r>
      <w:r>
        <w:rPr>
          <w:rFonts w:ascii="Times New Roman" w:hAnsi="Times New Roman" w:cs="Times New Roman"/>
          <w:noProof/>
          <w:sz w:val="24"/>
          <w:szCs w:val="24"/>
        </w:rPr>
        <w:t>ble to the firms concerned, on request, estimates of the average number of messages per second on a monthly basis two weeks after the end of each calendar month, thereby taking into account all messages submitted during the preceding 12 months.’.</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w:t>
      </w:r>
      <w:r>
        <w:rPr>
          <w:rFonts w:ascii="Times New Roman" w:hAnsi="Times New Roman" w:cs="Times New Roman"/>
          <w:noProof/>
          <w:sz w:val="24"/>
          <w:szCs w:val="24"/>
        </w:rPr>
        <w:t>le 38(1):</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lastRenderedPageBreak/>
        <w:t>for:</w:t>
      </w:r>
      <w:r>
        <w:rPr>
          <w:rFonts w:ascii="Times New Roman" w:hAnsi="Times New Roman" w:cs="Times New Roman"/>
          <w:noProof/>
          <w:sz w:val="24"/>
          <w:szCs w:val="24"/>
        </w:rPr>
        <w:tab/>
        <w:t>‘(e)</w:t>
      </w:r>
      <w:r>
        <w:rPr>
          <w:rFonts w:ascii="Times New Roman" w:hAnsi="Times New Roman" w:cs="Times New Roman"/>
          <w:noProof/>
          <w:sz w:val="24"/>
          <w:szCs w:val="24"/>
        </w:rPr>
        <w:tab/>
        <w:t xml:space="preserve">the job titles and departments of the relevant persons individuals involved in the provision of corporate finance advice on the price and allotment; and </w:t>
      </w:r>
    </w:p>
    <w:p w:rsidR="00FE5FE6" w:rsidRDefault="00B56160">
      <w:pPr>
        <w:tabs>
          <w:tab w:val="left" w:pos="851"/>
        </w:tabs>
        <w:ind w:left="1418" w:hanging="1418"/>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‘(e)</w:t>
      </w:r>
      <w:r>
        <w:rPr>
          <w:rFonts w:ascii="Times New Roman" w:hAnsi="Times New Roman" w:cs="Times New Roman"/>
          <w:noProof/>
          <w:sz w:val="24"/>
          <w:szCs w:val="24"/>
        </w:rPr>
        <w:tab/>
        <w:t xml:space="preserve">the job titles and departments of the relevant individuals involved in </w:t>
      </w:r>
      <w:r>
        <w:rPr>
          <w:rFonts w:ascii="Times New Roman" w:hAnsi="Times New Roman" w:cs="Times New Roman"/>
          <w:noProof/>
          <w:sz w:val="24"/>
          <w:szCs w:val="24"/>
        </w:rPr>
        <w:t>the provision of corporate finance advice on the price and allotment of financial instruments; and’.’</w:t>
      </w:r>
    </w:p>
    <w:p w:rsidR="00FE5FE6" w:rsidRDefault="00FE5FE6">
      <w:pPr>
        <w:ind w:left="720" w:hanging="720"/>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41:</w:t>
      </w:r>
    </w:p>
    <w:p w:rsidR="00FE5FE6" w:rsidRDefault="00B56160">
      <w:pPr>
        <w:tabs>
          <w:tab w:val="left" w:pos="1134"/>
        </w:tabs>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‘4.</w:t>
      </w:r>
      <w:r>
        <w:rPr>
          <w:rFonts w:ascii="Times New Roman" w:hAnsi="Times New Roman" w:cs="Times New Roman"/>
          <w:noProof/>
          <w:sz w:val="24"/>
          <w:szCs w:val="24"/>
        </w:rPr>
        <w:tab/>
        <w:t xml:space="preserve">Investment firms engaging in the offering of financial instruments issued by themselves or other group entities to their clients </w:t>
      </w:r>
      <w:r>
        <w:rPr>
          <w:rFonts w:ascii="Times New Roman" w:hAnsi="Times New Roman" w:cs="Times New Roman"/>
          <w:noProof/>
          <w:sz w:val="24"/>
          <w:szCs w:val="24"/>
        </w:rPr>
        <w:t>and those instruments are included in the calculation of prudential requirements specified in Regulation (EU) No 575/2013 of the European Parliament and of the Council, Directive 2013/36/EU of the European Parliament and of the Council or Directive 2014/59</w:t>
      </w:r>
      <w:r>
        <w:rPr>
          <w:rFonts w:ascii="Times New Roman" w:hAnsi="Times New Roman" w:cs="Times New Roman"/>
          <w:noProof/>
          <w:sz w:val="24"/>
          <w:szCs w:val="24"/>
        </w:rPr>
        <w:t>/EU of the European Parliament and of the Council, shall provide such clients with additional information explaining the differences between the financial instrument and bank deposits in terms of yield, risk, liquidity and any protection provided in accord</w:t>
      </w:r>
      <w:r>
        <w:rPr>
          <w:rFonts w:ascii="Times New Roman" w:hAnsi="Times New Roman" w:cs="Times New Roman"/>
          <w:noProof/>
          <w:sz w:val="24"/>
          <w:szCs w:val="24"/>
        </w:rPr>
        <w:t>ance with Directive 2014/49/EU of the European Parliament and of the Council.’</w:t>
      </w:r>
    </w:p>
    <w:p w:rsidR="00FE5FE6" w:rsidRDefault="00B56160">
      <w:pPr>
        <w:tabs>
          <w:tab w:val="left" w:pos="1134"/>
        </w:tabs>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‘4.</w:t>
      </w:r>
      <w:r>
        <w:rPr>
          <w:rFonts w:ascii="Times New Roman" w:hAnsi="Times New Roman" w:cs="Times New Roman"/>
          <w:noProof/>
          <w:sz w:val="24"/>
          <w:szCs w:val="24"/>
        </w:rPr>
        <w:tab/>
        <w:t xml:space="preserve">Investment firms which offer  financial instruments that are issued by themselves or other group entities to their clients and that are included in the calculation of </w:t>
      </w:r>
      <w:r>
        <w:rPr>
          <w:rFonts w:ascii="Times New Roman" w:hAnsi="Times New Roman" w:cs="Times New Roman"/>
          <w:noProof/>
          <w:sz w:val="24"/>
          <w:szCs w:val="24"/>
        </w:rPr>
        <w:t xml:space="preserve">prudential requirements specified in Regulation (EU) No 575/2013 of the European Parliament and of the Council, Directive 2013/36/EU of the European Parliament and of the Council or Directive 2014/59/EU of the European Parliament and of the Council, shall </w:t>
      </w:r>
      <w:r>
        <w:rPr>
          <w:rFonts w:ascii="Times New Roman" w:hAnsi="Times New Roman" w:cs="Times New Roman"/>
          <w:noProof/>
          <w:sz w:val="24"/>
          <w:szCs w:val="24"/>
        </w:rPr>
        <w:t>provide those clients with additional information explaining the differences between the financial instrument and bank deposits in terms of yield, risk, liquidity and any protection provided in accordance with Directive 2014/49/EU of the European Parliamen</w:t>
      </w:r>
      <w:r>
        <w:rPr>
          <w:rFonts w:ascii="Times New Roman" w:hAnsi="Times New Roman" w:cs="Times New Roman"/>
          <w:noProof/>
          <w:sz w:val="24"/>
          <w:szCs w:val="24"/>
        </w:rPr>
        <w:t>t and of the Council</w:t>
      </w:r>
      <w:r>
        <w:rPr>
          <w:rFonts w:ascii="Times New Roman" w:hAnsi="Times New Roman" w:cs="Times New Roman"/>
          <w:noProof/>
          <w:sz w:val="24"/>
          <w:szCs w:val="24"/>
          <w:vertAlign w:val="superscript"/>
        </w:rPr>
        <w:t>23</w:t>
      </w:r>
      <w:r>
        <w:rPr>
          <w:rFonts w:ascii="Times New Roman" w:hAnsi="Times New Roman" w:cs="Times New Roman"/>
          <w:noProof/>
          <w:sz w:val="24"/>
          <w:szCs w:val="24"/>
        </w:rPr>
        <w:t xml:space="preserve">.’. </w:t>
      </w:r>
    </w:p>
    <w:p w:rsidR="00FE5FE6" w:rsidRDefault="00FE5FE6">
      <w:pPr>
        <w:ind w:left="720" w:hanging="720"/>
        <w:jc w:val="both"/>
        <w:rPr>
          <w:rFonts w:ascii="Times New Roman" w:hAnsi="Times New Roman" w:cs="Times New Roman"/>
          <w:noProof/>
          <w:sz w:val="24"/>
          <w:szCs w:val="24"/>
        </w:rPr>
      </w:pPr>
    </w:p>
    <w:p w:rsidR="00FE5FE6" w:rsidRDefault="00B56160">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________________</w:t>
      </w: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vertAlign w:val="subscript"/>
        </w:rPr>
        <w:t>23</w:t>
      </w:r>
      <w:r>
        <w:rPr>
          <w:rFonts w:ascii="Times New Roman" w:hAnsi="Times New Roman" w:cs="Times New Roman"/>
          <w:noProof/>
          <w:sz w:val="24"/>
          <w:szCs w:val="24"/>
        </w:rPr>
        <w:tab/>
        <w:t>OJ L 173, 12.6.2014, p. 149.</w:t>
      </w:r>
    </w:p>
    <w:p w:rsidR="00FE5FE6" w:rsidRDefault="00FE5FE6">
      <w:pPr>
        <w:ind w:left="720" w:hanging="720"/>
        <w:jc w:val="both"/>
        <w:rPr>
          <w:rFonts w:ascii="Times New Roman" w:hAnsi="Times New Roman" w:cs="Times New Roman"/>
          <w:noProof/>
          <w:sz w:val="24"/>
          <w:szCs w:val="24"/>
        </w:rPr>
      </w:pPr>
    </w:p>
    <w:p w:rsidR="00FE5FE6" w:rsidRDefault="00FE5FE6">
      <w:pPr>
        <w:ind w:left="720" w:hanging="720"/>
        <w:jc w:val="both"/>
        <w:rPr>
          <w:rFonts w:ascii="Times New Roman" w:hAnsi="Times New Roman" w:cs="Times New Roman"/>
          <w:noProof/>
          <w:sz w:val="24"/>
          <w:szCs w:val="24"/>
        </w:rPr>
      </w:pPr>
    </w:p>
    <w:p w:rsidR="00FE5FE6" w:rsidRDefault="00FE5FE6">
      <w:pPr>
        <w:ind w:left="720" w:hanging="720"/>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45(3):</w:t>
      </w:r>
    </w:p>
    <w:p w:rsidR="00FE5FE6" w:rsidRDefault="00B56160">
      <w:pPr>
        <w:tabs>
          <w:tab w:val="left" w:pos="709"/>
        </w:tabs>
        <w:ind w:left="1134" w:hanging="1134"/>
        <w:jc w:val="both"/>
        <w:rPr>
          <w:rFonts w:ascii="Times New Roman" w:hAnsi="Times New Roman" w:cs="Times New Roman"/>
          <w:noProof/>
          <w:sz w:val="24"/>
          <w:szCs w:val="24"/>
        </w:rPr>
      </w:pPr>
      <w:r>
        <w:rPr>
          <w:rFonts w:ascii="Times New Roman" w:hAnsi="Times New Roman" w:cs="Times New Roman"/>
          <w:i/>
          <w:noProof/>
          <w:sz w:val="24"/>
          <w:szCs w:val="24"/>
        </w:rPr>
        <w:lastRenderedPageBreak/>
        <w:t>for:</w:t>
      </w:r>
      <w:r>
        <w:rPr>
          <w:rFonts w:ascii="Times New Roman" w:hAnsi="Times New Roman" w:cs="Times New Roman"/>
          <w:noProof/>
          <w:sz w:val="24"/>
          <w:szCs w:val="24"/>
        </w:rPr>
        <w:tab/>
        <w:t>‘(b)</w:t>
      </w:r>
      <w:r>
        <w:rPr>
          <w:rFonts w:ascii="Times New Roman" w:hAnsi="Times New Roman" w:cs="Times New Roman"/>
          <w:noProof/>
          <w:sz w:val="24"/>
          <w:szCs w:val="24"/>
        </w:rPr>
        <w:tab/>
        <w:t>a retail client where that client that is considered as a professional client pursuant to Section I of Annex II to Directive 2014/65/EU.’</w:t>
      </w:r>
    </w:p>
    <w:p w:rsidR="00FE5FE6" w:rsidRDefault="00B56160">
      <w:pPr>
        <w:tabs>
          <w:tab w:val="left" w:pos="709"/>
        </w:tabs>
        <w:ind w:left="1134" w:hanging="1134"/>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a retail client where that client is considered a professional client pursuant to Section I of Annex II to Directive 2014/65/EU.’.</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52:</w:t>
      </w:r>
    </w:p>
    <w:p w:rsidR="00FE5FE6" w:rsidRDefault="00B56160">
      <w:pPr>
        <w:tabs>
          <w:tab w:val="left" w:pos="1134"/>
        </w:tabs>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w:t>
      </w:r>
      <w:r>
        <w:rPr>
          <w:rFonts w:ascii="Times New Roman" w:hAnsi="Times New Roman" w:cs="Times New Roman"/>
          <w:noProof/>
          <w:sz w:val="24"/>
          <w:szCs w:val="24"/>
        </w:rPr>
        <w:tab/>
        <w:t>‘2.</w:t>
      </w:r>
      <w:r>
        <w:rPr>
          <w:rFonts w:ascii="Times New Roman" w:hAnsi="Times New Roman" w:cs="Times New Roman"/>
          <w:noProof/>
          <w:sz w:val="24"/>
          <w:szCs w:val="24"/>
        </w:rPr>
        <w:tab/>
        <w:t>Investment firms providing investment advice, on an independent or non-independent basis, shall exp</w:t>
      </w:r>
      <w:r>
        <w:rPr>
          <w:rFonts w:ascii="Times New Roman" w:hAnsi="Times New Roman" w:cs="Times New Roman"/>
          <w:noProof/>
          <w:sz w:val="24"/>
          <w:szCs w:val="24"/>
        </w:rPr>
        <w:t>lain to the client the range of financial instruments that may be recommended, including its relationship with the issuers or providers of the instruments.’</w:t>
      </w:r>
    </w:p>
    <w:p w:rsidR="00FE5FE6" w:rsidRDefault="00B56160">
      <w:pPr>
        <w:tabs>
          <w:tab w:val="left" w:pos="1134"/>
        </w:tabs>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‘2.</w:t>
      </w:r>
      <w:r>
        <w:rPr>
          <w:rFonts w:ascii="Times New Roman" w:hAnsi="Times New Roman" w:cs="Times New Roman"/>
          <w:noProof/>
          <w:sz w:val="24"/>
          <w:szCs w:val="24"/>
        </w:rPr>
        <w:tab/>
        <w:t>Investment firms providing investment advice, on an independent or non-independent basis,</w:t>
      </w:r>
      <w:r>
        <w:rPr>
          <w:rFonts w:ascii="Times New Roman" w:hAnsi="Times New Roman" w:cs="Times New Roman"/>
          <w:noProof/>
          <w:sz w:val="24"/>
          <w:szCs w:val="24"/>
        </w:rPr>
        <w:t xml:space="preserve"> shall explain to the client the range of financial instruments that may be recommended, including the firm’s relationship with the issuers or providers of the instruments.’.</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53(3):</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the investment firm has presented itself as independ</w:t>
      </w:r>
      <w:r>
        <w:rPr>
          <w:rFonts w:ascii="Times New Roman" w:hAnsi="Times New Roman" w:cs="Times New Roman"/>
          <w:noProof/>
          <w:sz w:val="24"/>
          <w:szCs w:val="24"/>
        </w:rPr>
        <w:t>ent for its business as a whole but has only done so with respect to the services for which it provides investment advice on an independent basis; and’</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the investment firm has presented itself as independent for the services for which it provide</w:t>
      </w:r>
      <w:r>
        <w:rPr>
          <w:rFonts w:ascii="Times New Roman" w:hAnsi="Times New Roman" w:cs="Times New Roman"/>
          <w:noProof/>
          <w:sz w:val="24"/>
          <w:szCs w:val="24"/>
        </w:rPr>
        <w:t>s investment advice on an independent basis;’.</w:t>
      </w:r>
    </w:p>
    <w:p w:rsidR="00FE5FE6" w:rsidRDefault="00FE5FE6">
      <w:pPr>
        <w:ind w:left="720" w:hanging="720"/>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65(4), in the first subparagraph:</w:t>
      </w:r>
    </w:p>
    <w:p w:rsidR="00FE5FE6" w:rsidRDefault="00B56160">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w:t>
      </w:r>
      <w:r>
        <w:rPr>
          <w:rFonts w:ascii="Times New Roman" w:hAnsi="Times New Roman" w:cs="Times New Roman"/>
          <w:noProof/>
          <w:sz w:val="24"/>
          <w:szCs w:val="24"/>
        </w:rPr>
        <w:tab/>
        <w:t xml:space="preserve">‘Investment firms shall take all sufficient steps to obtain the best possible result for their clients taking into account the factors referred to in Article </w:t>
      </w:r>
      <w:r>
        <w:rPr>
          <w:rFonts w:ascii="Times New Roman" w:hAnsi="Times New Roman" w:cs="Times New Roman"/>
          <w:noProof/>
          <w:sz w:val="24"/>
          <w:szCs w:val="24"/>
        </w:rPr>
        <w:t>27(1) of Directive 2014/65/EU. The relative importance of these factors shall be determined by reference to the criteria set out in Article 59(1) and, for retail clients, to the requirement under Article 27(1) of Directive 2014/65/EU.’</w:t>
      </w:r>
    </w:p>
    <w:p w:rsidR="00FE5FE6" w:rsidRDefault="00B56160">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‘Investment fi</w:t>
      </w:r>
      <w:r>
        <w:rPr>
          <w:rFonts w:ascii="Times New Roman" w:hAnsi="Times New Roman" w:cs="Times New Roman"/>
          <w:noProof/>
          <w:sz w:val="24"/>
          <w:szCs w:val="24"/>
        </w:rPr>
        <w:t xml:space="preserve">rms shall take all sufficient steps to obtain the best possible result for their clients, taking into account the factors referred to in Article 27(1) of Directive 2014/65/EU. The relative importance of those factors shall be determined by reference to </w:t>
      </w:r>
      <w:r>
        <w:rPr>
          <w:rFonts w:ascii="Times New Roman" w:hAnsi="Times New Roman" w:cs="Times New Roman"/>
          <w:noProof/>
          <w:sz w:val="24"/>
          <w:szCs w:val="24"/>
        </w:rPr>
        <w:lastRenderedPageBreak/>
        <w:t>the</w:t>
      </w:r>
      <w:r>
        <w:rPr>
          <w:rFonts w:ascii="Times New Roman" w:hAnsi="Times New Roman" w:cs="Times New Roman"/>
          <w:noProof/>
          <w:sz w:val="24"/>
          <w:szCs w:val="24"/>
        </w:rPr>
        <w:t xml:space="preserve"> criteria set out in Article 64(1) and, for retail clients, to the requirement under Article 27(1) of Directive 2014/65/EU.’.</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77(1):</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the last closing share price of the first year of trading, if its financial instruments have been adm</w:t>
      </w:r>
      <w:r>
        <w:rPr>
          <w:rFonts w:ascii="Times New Roman" w:hAnsi="Times New Roman" w:cs="Times New Roman"/>
          <w:noProof/>
          <w:sz w:val="24"/>
          <w:szCs w:val="24"/>
        </w:rPr>
        <w:t>itted to trading for more than one year but less than two years;</w:t>
      </w:r>
    </w:p>
    <w:p w:rsidR="00FE5FE6" w:rsidRDefault="00B56160">
      <w:pPr>
        <w:tabs>
          <w:tab w:val="left" w:pos="709"/>
        </w:tabs>
        <w:ind w:left="1276" w:hanging="567"/>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average of the last closing share prices of each of the first two years of trading, if its financial instruments have been admitted to trading for more than two years but less than t</w:t>
      </w:r>
      <w:r>
        <w:rPr>
          <w:rFonts w:ascii="Times New Roman" w:hAnsi="Times New Roman" w:cs="Times New Roman"/>
          <w:noProof/>
          <w:sz w:val="24"/>
          <w:szCs w:val="24"/>
        </w:rPr>
        <w:t>hree years.’</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the last closing share price of the first year of trading, if its shares have been admitted to trading for more than one year but less than two years;</w:t>
      </w:r>
    </w:p>
    <w:p w:rsidR="00FE5FE6" w:rsidRDefault="00B56160">
      <w:pPr>
        <w:ind w:left="1276" w:hanging="567"/>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the average of the last closing share prices of each of the first two years </w:t>
      </w:r>
      <w:r>
        <w:rPr>
          <w:rFonts w:ascii="Times New Roman" w:hAnsi="Times New Roman" w:cs="Times New Roman"/>
          <w:noProof/>
          <w:sz w:val="24"/>
          <w:szCs w:val="24"/>
        </w:rPr>
        <w:t>of trading, if its shares have been admitted to trading for more than two years but less than three years.’.</w:t>
      </w:r>
    </w:p>
    <w:p w:rsidR="00FE5FE6" w:rsidRDefault="00FE5FE6">
      <w:pPr>
        <w:ind w:left="720" w:hanging="720"/>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78(2):</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‘(g)</w:t>
      </w:r>
      <w:r>
        <w:rPr>
          <w:rFonts w:ascii="Times New Roman" w:hAnsi="Times New Roman" w:cs="Times New Roman"/>
          <w:noProof/>
          <w:sz w:val="24"/>
          <w:szCs w:val="24"/>
        </w:rPr>
        <w:tab/>
        <w:t>requires the issuers whose securities are traded on its venue to publish annual financial reports within 6 months afte</w:t>
      </w:r>
      <w:r>
        <w:rPr>
          <w:rFonts w:ascii="Times New Roman" w:hAnsi="Times New Roman" w:cs="Times New Roman"/>
          <w:noProof/>
          <w:sz w:val="24"/>
          <w:szCs w:val="24"/>
        </w:rPr>
        <w:t>r the end of each financial year, half yearly financial reports within 4 months after the end of the first 6 months of each financial year;’</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‘(g)</w:t>
      </w:r>
      <w:r>
        <w:rPr>
          <w:rFonts w:ascii="Times New Roman" w:hAnsi="Times New Roman" w:cs="Times New Roman"/>
          <w:noProof/>
          <w:sz w:val="24"/>
          <w:szCs w:val="24"/>
        </w:rPr>
        <w:tab/>
        <w:t>requires the issuers whose securities are traded on its venue to publish annual financial reports within</w:t>
      </w:r>
      <w:r>
        <w:rPr>
          <w:rFonts w:ascii="Times New Roman" w:hAnsi="Times New Roman" w:cs="Times New Roman"/>
          <w:noProof/>
          <w:sz w:val="24"/>
          <w:szCs w:val="24"/>
        </w:rPr>
        <w:t xml:space="preserve"> 6 months after the end of each financial year, and half yearly financial reports within 4 months after the end of the first 6 months of each financial year;’.</w:t>
      </w:r>
    </w:p>
    <w:p w:rsidR="00FE5FE6" w:rsidRDefault="00FE5FE6">
      <w:pPr>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80(2):</w:t>
      </w:r>
    </w:p>
    <w:p w:rsidR="00FE5FE6" w:rsidRDefault="00B56160">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‘For the purpose of determining whether a suspension or a removal is lik</w:t>
      </w:r>
      <w:r>
        <w:rPr>
          <w:rFonts w:ascii="Times New Roman" w:hAnsi="Times New Roman" w:cs="Times New Roman"/>
          <w:noProof/>
          <w:sz w:val="24"/>
          <w:szCs w:val="24"/>
        </w:rPr>
        <w:t>ely to cause significant damage to the investors’ interest or the orderly functioning of the markets in any particular case, the national competent authority, an investment firm or a market operator operating an MTF or an OTF shall consider all relevant fa</w:t>
      </w:r>
      <w:r>
        <w:rPr>
          <w:rFonts w:ascii="Times New Roman" w:hAnsi="Times New Roman" w:cs="Times New Roman"/>
          <w:noProof/>
          <w:sz w:val="24"/>
          <w:szCs w:val="24"/>
        </w:rPr>
        <w:t>ctors, including:’</w:t>
      </w:r>
    </w:p>
    <w:p w:rsidR="00FE5FE6" w:rsidRDefault="00B56160">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 xml:space="preserve">‘For the purpose of determining whether a suspension or a removal is likely to cause significant damage to the investors’ interest or the orderly functioning of the markets in </w:t>
      </w:r>
      <w:r>
        <w:rPr>
          <w:rFonts w:ascii="Times New Roman" w:hAnsi="Times New Roman" w:cs="Times New Roman"/>
          <w:noProof/>
          <w:sz w:val="24"/>
          <w:szCs w:val="24"/>
        </w:rPr>
        <w:lastRenderedPageBreak/>
        <w:t xml:space="preserve">any particular case, the national competent authority, </w:t>
      </w:r>
      <w:r>
        <w:rPr>
          <w:rFonts w:ascii="Times New Roman" w:hAnsi="Times New Roman" w:cs="Times New Roman"/>
          <w:noProof/>
          <w:sz w:val="24"/>
          <w:szCs w:val="24"/>
        </w:rPr>
        <w:t>a market operator operating a regulated market or an investment firm or a market operator operating an MTF or an OTF shall consider all relevant factors, including:’.</w:t>
      </w:r>
    </w:p>
    <w:p w:rsidR="00FE5FE6" w:rsidRDefault="00FE5FE6">
      <w:pPr>
        <w:ind w:left="720" w:hanging="720"/>
        <w:jc w:val="both"/>
        <w:rPr>
          <w:rFonts w:ascii="Times New Roman" w:hAnsi="Times New Roman" w:cs="Times New Roman"/>
          <w:noProof/>
          <w:sz w:val="24"/>
          <w:szCs w:val="24"/>
        </w:rPr>
      </w:pPr>
    </w:p>
    <w:p w:rsidR="00FE5FE6" w:rsidRDefault="00B56160">
      <w:pPr>
        <w:jc w:val="both"/>
        <w:rPr>
          <w:rFonts w:ascii="Times New Roman" w:hAnsi="Times New Roman" w:cs="Times New Roman"/>
          <w:noProof/>
          <w:sz w:val="24"/>
          <w:szCs w:val="24"/>
        </w:rPr>
      </w:pPr>
      <w:r>
        <w:rPr>
          <w:rFonts w:ascii="Times New Roman" w:hAnsi="Times New Roman" w:cs="Times New Roman"/>
          <w:noProof/>
          <w:sz w:val="24"/>
          <w:szCs w:val="24"/>
        </w:rPr>
        <w:t>In Article 80:</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‘(3)</w:t>
      </w:r>
      <w:r>
        <w:rPr>
          <w:rFonts w:ascii="Times New Roman" w:hAnsi="Times New Roman" w:cs="Times New Roman"/>
          <w:noProof/>
          <w:sz w:val="24"/>
          <w:szCs w:val="24"/>
        </w:rPr>
        <w:tab/>
        <w:t>The factors set out in paragraph 3 shall also be taken into con</w:t>
      </w:r>
      <w:r>
        <w:rPr>
          <w:rFonts w:ascii="Times New Roman" w:hAnsi="Times New Roman" w:cs="Times New Roman"/>
          <w:noProof/>
          <w:sz w:val="24"/>
          <w:szCs w:val="24"/>
        </w:rPr>
        <w:t>sideration where a national competent authority, an investment firm or a market operator operating an MTF or an OTF decides not to suspend or remove a financial instrument on the basis of circumstances not covered by the list of paragraph 1.’</w:t>
      </w:r>
    </w:p>
    <w:p w:rsidR="00FE5FE6" w:rsidRDefault="00B56160">
      <w:pPr>
        <w:tabs>
          <w:tab w:val="left" w:pos="709"/>
        </w:tabs>
        <w:ind w:left="1276" w:hanging="1276"/>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‘(3)</w:t>
      </w:r>
      <w:r>
        <w:rPr>
          <w:rFonts w:ascii="Times New Roman" w:hAnsi="Times New Roman" w:cs="Times New Roman"/>
          <w:noProof/>
          <w:sz w:val="24"/>
          <w:szCs w:val="24"/>
        </w:rPr>
        <w:tab/>
        <w:t>Th</w:t>
      </w:r>
      <w:r>
        <w:rPr>
          <w:rFonts w:ascii="Times New Roman" w:hAnsi="Times New Roman" w:cs="Times New Roman"/>
          <w:noProof/>
          <w:sz w:val="24"/>
          <w:szCs w:val="24"/>
        </w:rPr>
        <w:t>e factors set out in paragraph 2 shall also be taken into consideration where a national competent authority, a market operator operating a regulated market or an investment firm or a market operator operating an MTF or an OTF decides not to suspend or rem</w:t>
      </w:r>
      <w:r>
        <w:rPr>
          <w:rFonts w:ascii="Times New Roman" w:hAnsi="Times New Roman" w:cs="Times New Roman"/>
          <w:noProof/>
          <w:sz w:val="24"/>
          <w:szCs w:val="24"/>
        </w:rPr>
        <w:t>ove a financial instrument on the basis of circumstances not covered by the list of paragraph 1.’.</w:t>
      </w:r>
    </w:p>
    <w:p w:rsidR="00FE5FE6" w:rsidRDefault="00FE5FE6">
      <w:pPr>
        <w:jc w:val="both"/>
        <w:rPr>
          <w:rFonts w:ascii="Times New Roman" w:hAnsi="Times New Roman" w:cs="Times New Roman"/>
          <w:noProof/>
          <w:sz w:val="24"/>
          <w:szCs w:val="24"/>
        </w:rPr>
      </w:pPr>
    </w:p>
    <w:sectPr w:rsidR="00FE5FE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60" w:rsidRDefault="00B56160">
      <w:pPr>
        <w:spacing w:after="0" w:line="240" w:lineRule="auto"/>
      </w:pPr>
      <w:r>
        <w:separator/>
      </w:r>
    </w:p>
  </w:endnote>
  <w:endnote w:type="continuationSeparator" w:id="0">
    <w:p w:rsidR="00B56160" w:rsidRDefault="00B5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B5616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5513"/>
      <w:docPartObj>
        <w:docPartGallery w:val="Page Numbers (Bottom of Page)"/>
        <w:docPartUnique/>
      </w:docPartObj>
    </w:sdtPr>
    <w:sdtEndPr>
      <w:rPr>
        <w:noProof/>
      </w:rPr>
    </w:sdtEndPr>
    <w:sdtContent>
      <w:p w:rsidR="00FE5FE6" w:rsidRDefault="00B56160">
        <w:pPr>
          <w:pStyle w:val="Footer"/>
          <w:jc w:val="center"/>
        </w:pPr>
        <w:r>
          <w:fldChar w:fldCharType="begin"/>
        </w:r>
        <w:r>
          <w:instrText xml:space="preserve"> PAGE   \* MERGEFORMAT </w:instrText>
        </w:r>
        <w:r>
          <w:fldChar w:fldCharType="separate"/>
        </w:r>
        <w:r w:rsidR="00FF43DA">
          <w:rPr>
            <w:noProof/>
          </w:rPr>
          <w:t>4</w:t>
        </w:r>
        <w:r>
          <w:rPr>
            <w:noProof/>
          </w:rPr>
          <w:fldChar w:fldCharType="end"/>
        </w:r>
      </w:p>
    </w:sdtContent>
  </w:sdt>
  <w:p w:rsidR="00FE5FE6" w:rsidRDefault="00FE5F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60" w:rsidRDefault="00B56160">
      <w:pPr>
        <w:spacing w:after="0" w:line="240" w:lineRule="auto"/>
      </w:pPr>
      <w:r>
        <w:separator/>
      </w:r>
    </w:p>
  </w:footnote>
  <w:footnote w:type="continuationSeparator" w:id="0">
    <w:p w:rsidR="00B56160" w:rsidRDefault="00B56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VERPAGE_GUID" w:val="8A05FC48F9AD475E8F6A239DBDACCDBD"/>
    <w:docVar w:name="LW_CROSSREFERENCE" w:val="&lt;UNUSED&gt;"/>
    <w:docVar w:name="LW_DATE.ADOPT.CP" w:val="of 17.3.2017"/>
    <w:docVar w:name="LW_DATE.ADOPT.CP_ISODATE" w:val="2017-03-17"/>
    <w:docVar w:name="LW_DocType" w:val="NORMAL"/>
    <w:docVar w:name="LW_EMISSION" w:val="17.3.2017"/>
    <w:docVar w:name="LW_EMISSION_ISODATE" w:val="2017-03-17"/>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72"/>
    <w:docVar w:name="LW_REF.INTERNE" w:val="&lt;UNUSED&gt;"/>
    <w:docVar w:name="LW_SOUS.TITRE.OBJ.CP" w:val="C(2016) 2398 final"/>
    <w:docVar w:name="LW_SUPERTITRE" w:val="&lt;UNUSED&gt;"/>
    <w:docVar w:name="LW_TITRE.OBJ.CP" w:val="to Commission Delegated Regulation of 25 April 2016 supplementing Directive 2014/65/EU of the European Parliament and of the Council as regards organisational requirements and operating conditions for investment firms and defined terms for the purposes of that Directive "/>
    <w:docVar w:name="LW_TYPE.DOC.CP" w:val="CORRIGENDUM"/>
    <w:docVar w:name="LW_TYPE.DOC.CP.USERTEXT" w:val="&lt;EMPTY&gt;"/>
  </w:docVars>
  <w:rsids>
    <w:rsidRoot w:val="00FE5FE6"/>
    <w:rsid w:val="00B56160"/>
    <w:rsid w:val="00FE5FE6"/>
    <w:rsid w:val="00FF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CC70-A487-4297-8B1B-C73492FC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3055</Words>
  <Characters>18789</Characters>
  <Application>Microsoft Office Word</Application>
  <DocSecurity>0</DocSecurity>
  <Lines>383</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KONONIUK Agnieszka (SG)</cp:lastModifiedBy>
  <cp:revision>20</cp:revision>
  <dcterms:created xsi:type="dcterms:W3CDTF">2017-03-13T18:45:00Z</dcterms:created>
  <dcterms:modified xsi:type="dcterms:W3CDTF">2017-03-17T14:15:00Z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