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4A" w:rsidRDefault="00886C5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9E5C83758A346D6B3102F3050F04E06" style="width:450.75pt;height:379.5pt">
            <v:imagedata r:id="rId9" o:title=""/>
          </v:shape>
        </w:pict>
      </w:r>
    </w:p>
    <w:bookmarkEnd w:id="0"/>
    <w:p w:rsidR="00E8624A" w:rsidRDefault="00E8624A">
      <w:pPr>
        <w:rPr>
          <w:noProof/>
        </w:rPr>
        <w:sectPr w:rsidR="00E8624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E8624A" w:rsidRDefault="00886C58">
      <w:pPr>
        <w:pStyle w:val="Typedudocument"/>
        <w:rPr>
          <w:noProof/>
        </w:rPr>
      </w:pPr>
      <w:r>
        <w:rPr>
          <w:noProof/>
        </w:rPr>
        <w:lastRenderedPageBreak/>
        <w:t>RECTIFICATIF</w:t>
      </w:r>
    </w:p>
    <w:p w:rsidR="00E8624A" w:rsidRDefault="00886C58">
      <w:pPr>
        <w:pStyle w:val="Titreobjet"/>
        <w:rPr>
          <w:noProof/>
        </w:rPr>
      </w:pPr>
      <w:r>
        <w:rPr>
          <w:noProof/>
        </w:rPr>
        <w:t>au règlement délégué de la Commission du 25 avril 2016 complétant la directive 2014/65/UE du Parlement européen et du Conseil en ce qui concerne les exigences organisationnelles et les conditions d'exercice applicables aux entreprises d'investissement et l</w:t>
      </w:r>
      <w:r>
        <w:rPr>
          <w:noProof/>
        </w:rPr>
        <w:t xml:space="preserve">a définition de certains termes aux fins de ladite directive </w:t>
      </w:r>
    </w:p>
    <w:p w:rsidR="00E8624A" w:rsidRDefault="00886C58">
      <w:pPr>
        <w:pStyle w:val="Sous-titreobjet"/>
        <w:rPr>
          <w:noProof/>
        </w:rPr>
      </w:pPr>
      <w:r>
        <w:rPr>
          <w:noProof/>
        </w:rPr>
        <w:t>C(2016) 2398 final</w:t>
      </w:r>
    </w:p>
    <w:p w:rsidR="00E8624A" w:rsidRDefault="00E8624A">
      <w:pPr>
        <w:rPr>
          <w:noProof/>
        </w:rPr>
      </w:pPr>
    </w:p>
    <w:p w:rsidR="00E8624A" w:rsidRDefault="00E8624A">
      <w:pPr>
        <w:rPr>
          <w:rFonts w:ascii="Times New Roman" w:hAnsi="Times New Roman" w:cs="Times New Roman"/>
          <w:noProof/>
          <w:sz w:val="24"/>
          <w:szCs w:val="24"/>
        </w:rPr>
      </w:pPr>
      <w:bookmarkStart w:id="1" w:name="_GoBack"/>
      <w:bookmarkEnd w:id="1"/>
    </w:p>
    <w:p w:rsidR="00E8624A" w:rsidRDefault="00886C58">
      <w:pPr>
        <w:jc w:val="both"/>
        <w:rPr>
          <w:rFonts w:ascii="Times New Roman" w:hAnsi="Times New Roman" w:cs="Times New Roman"/>
          <w:noProof/>
          <w:sz w:val="24"/>
          <w:szCs w:val="24"/>
        </w:rPr>
      </w:pPr>
      <w:r>
        <w:rPr>
          <w:rFonts w:ascii="Times New Roman" w:hAnsi="Times New Roman"/>
          <w:noProof/>
          <w:sz w:val="24"/>
        </w:rPr>
        <w:t>Au considérant 117.</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 xml:space="preserve">«Pour garantir le niveau requis de convergence, il est approprié d'établir la liste des circonstances affectant d'une manière </w:t>
      </w:r>
      <w:r>
        <w:rPr>
          <w:rFonts w:ascii="Times New Roman" w:hAnsi="Times New Roman"/>
          <w:noProof/>
          <w:sz w:val="24"/>
        </w:rPr>
        <w:t>significative les intérêts des investisseurs et le bon fonctionnement du marché qui peuvent être à l'origine d'une décision d'une autorité nationale compétente, une entreprise d'investissement ou un opérateur de marché exploitant un MTF ou un OTF de ne pas</w:t>
      </w:r>
      <w:r>
        <w:rPr>
          <w:rFonts w:ascii="Times New Roman" w:hAnsi="Times New Roman"/>
          <w:noProof/>
          <w:sz w:val="24"/>
        </w:rPr>
        <w:t xml:space="preserve"> demander la suspension ou le retrait de la négociation d'un instrument financier, ou de ne pas suivre une notification connexe. Ladite liste doit être non exhaustive afin de fournir aux autorités nationales compétentes un cadre leur permettant de se forge</w:t>
      </w:r>
      <w:r>
        <w:rPr>
          <w:rFonts w:ascii="Times New Roman" w:hAnsi="Times New Roman"/>
          <w:noProof/>
          <w:sz w:val="24"/>
        </w:rPr>
        <w:t>r leur opinion et de leur laisser la marge de manœuvre nécessaire dans l'évaluation des cas individuels.</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«Pour garantir le niveau requis de convergence, il est approprié d'établir la liste des circonstances affectant d'une manière significative les i</w:t>
      </w:r>
      <w:r>
        <w:rPr>
          <w:rFonts w:ascii="Times New Roman" w:hAnsi="Times New Roman"/>
          <w:noProof/>
          <w:sz w:val="24"/>
        </w:rPr>
        <w:t>ntérêts des investisseurs et le bon fonctionnement du marché qui peuvent être à l'origine d'une décision d'une autorité nationale compétente, un opérateur de marché exploitant un marché réglementé ou une entreprise d'investissement ou un opérateur de march</w:t>
      </w:r>
      <w:r>
        <w:rPr>
          <w:rFonts w:ascii="Times New Roman" w:hAnsi="Times New Roman"/>
          <w:noProof/>
          <w:sz w:val="24"/>
        </w:rPr>
        <w:t>é exploitant un MTF ou un OTF de ne pas demander la suspension ou le retrait de la négociation d'un instrument financier, ou de ne pas suivre une notification connexe. Ladite liste doit être non exhaustive afin de fournir aux autorités nationales compétent</w:t>
      </w:r>
      <w:r>
        <w:rPr>
          <w:rFonts w:ascii="Times New Roman" w:hAnsi="Times New Roman"/>
          <w:noProof/>
          <w:sz w:val="24"/>
        </w:rPr>
        <w:t>es un cadre leur permettant de se forger leur opinion et de leur laisser la marge de manœuvre nécessaire dans l'évaluation des cas individuels.».</w:t>
      </w: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2:</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«3.</w:t>
      </w:r>
      <w:r>
        <w:rPr>
          <w:noProof/>
        </w:rPr>
        <w:tab/>
      </w:r>
      <w:r>
        <w:rPr>
          <w:rFonts w:ascii="Times New Roman" w:hAnsi="Times New Roman"/>
          <w:noProof/>
          <w:sz w:val="24"/>
        </w:rPr>
        <w:t xml:space="preserve">«externalisation», tout accord, quelle que soit sa forme, entre une entreprise </w:t>
      </w:r>
      <w:r>
        <w:rPr>
          <w:rFonts w:ascii="Times New Roman" w:hAnsi="Times New Roman"/>
          <w:noProof/>
          <w:sz w:val="24"/>
        </w:rPr>
        <w:t>d'investissement et un prestataire de services en vertu duquel ce prestataire prend en charge un processus, un service ou une activité qui aurait autrement été du ressort de l'entreprise d'investissement elle-même;</w:t>
      </w:r>
    </w:p>
    <w:p w:rsidR="00E8624A" w:rsidRDefault="00886C58">
      <w:pPr>
        <w:ind w:left="1985" w:hanging="567"/>
        <w:jc w:val="both"/>
        <w:rPr>
          <w:rFonts w:ascii="Times New Roman" w:hAnsi="Times New Roman" w:cs="Times New Roman"/>
          <w:noProof/>
          <w:sz w:val="24"/>
          <w:szCs w:val="24"/>
        </w:rPr>
      </w:pPr>
      <w:r>
        <w:rPr>
          <w:rFonts w:ascii="Times New Roman" w:hAnsi="Times New Roman"/>
          <w:noProof/>
          <w:sz w:val="24"/>
        </w:rPr>
        <w:lastRenderedPageBreak/>
        <w:t>(a)</w:t>
      </w:r>
      <w:r>
        <w:rPr>
          <w:noProof/>
        </w:rPr>
        <w:tab/>
      </w:r>
      <w:r>
        <w:rPr>
          <w:rFonts w:ascii="Times New Roman" w:hAnsi="Times New Roman"/>
          <w:noProof/>
          <w:sz w:val="24"/>
        </w:rPr>
        <w:t>«personne ayant des liens familiaux a</w:t>
      </w:r>
      <w:r>
        <w:rPr>
          <w:rFonts w:ascii="Times New Roman" w:hAnsi="Times New Roman"/>
          <w:noProof/>
          <w:sz w:val="24"/>
        </w:rPr>
        <w:t>vec la personne concernée», l'une quelconque des personnes suivantes:</w:t>
      </w:r>
    </w:p>
    <w:p w:rsidR="00E8624A" w:rsidRDefault="00886C58">
      <w:pPr>
        <w:ind w:left="1985" w:hanging="567"/>
        <w:jc w:val="both"/>
        <w:rPr>
          <w:rFonts w:ascii="Times New Roman" w:hAnsi="Times New Roman" w:cs="Times New Roman"/>
          <w:noProof/>
          <w:sz w:val="24"/>
          <w:szCs w:val="24"/>
        </w:rPr>
      </w:pPr>
      <w:r>
        <w:rPr>
          <w:rFonts w:ascii="Times New Roman" w:hAnsi="Times New Roman"/>
          <w:noProof/>
          <w:sz w:val="24"/>
        </w:rPr>
        <w:t>(b)</w:t>
      </w:r>
      <w:r>
        <w:rPr>
          <w:noProof/>
        </w:rPr>
        <w:tab/>
      </w:r>
      <w:r>
        <w:rPr>
          <w:rFonts w:ascii="Times New Roman" w:hAnsi="Times New Roman"/>
          <w:noProof/>
          <w:sz w:val="24"/>
        </w:rPr>
        <w:t>le conjoint de la personne concernée ou tout partenaire de cette personne considéré comme l'équivalent du conjoint par la législation nationale;</w:t>
      </w:r>
    </w:p>
    <w:p w:rsidR="00E8624A" w:rsidRDefault="00886C58">
      <w:pPr>
        <w:ind w:left="1985" w:hanging="567"/>
        <w:jc w:val="both"/>
        <w:rPr>
          <w:rFonts w:ascii="Times New Roman" w:hAnsi="Times New Roman" w:cs="Times New Roman"/>
          <w:noProof/>
          <w:sz w:val="24"/>
          <w:szCs w:val="24"/>
        </w:rPr>
      </w:pPr>
      <w:r>
        <w:rPr>
          <w:rFonts w:ascii="Times New Roman" w:hAnsi="Times New Roman"/>
          <w:noProof/>
          <w:sz w:val="24"/>
        </w:rPr>
        <w:t>(c)</w:t>
      </w:r>
      <w:r>
        <w:rPr>
          <w:noProof/>
        </w:rPr>
        <w:tab/>
      </w:r>
      <w:r>
        <w:rPr>
          <w:rFonts w:ascii="Times New Roman" w:hAnsi="Times New Roman"/>
          <w:noProof/>
          <w:sz w:val="24"/>
        </w:rPr>
        <w:t>un enfant, bru ou gendre à charge</w:t>
      </w:r>
      <w:r>
        <w:rPr>
          <w:rFonts w:ascii="Times New Roman" w:hAnsi="Times New Roman"/>
          <w:noProof/>
          <w:sz w:val="24"/>
        </w:rPr>
        <w:t xml:space="preserve"> de la personne concernée;</w:t>
      </w:r>
    </w:p>
    <w:p w:rsidR="00E8624A" w:rsidRDefault="00886C58">
      <w:pPr>
        <w:ind w:left="1985" w:hanging="567"/>
        <w:jc w:val="both"/>
        <w:rPr>
          <w:rFonts w:ascii="Times New Roman" w:hAnsi="Times New Roman" w:cs="Times New Roman"/>
          <w:noProof/>
          <w:sz w:val="24"/>
          <w:szCs w:val="24"/>
        </w:rPr>
      </w:pPr>
      <w:r>
        <w:rPr>
          <w:rFonts w:ascii="Times New Roman" w:hAnsi="Times New Roman"/>
          <w:noProof/>
          <w:sz w:val="24"/>
        </w:rPr>
        <w:t>(d)</w:t>
      </w:r>
      <w:r>
        <w:rPr>
          <w:noProof/>
        </w:rPr>
        <w:tab/>
      </w:r>
      <w:r>
        <w:rPr>
          <w:rFonts w:ascii="Times New Roman" w:hAnsi="Times New Roman"/>
          <w:noProof/>
          <w:sz w:val="24"/>
        </w:rPr>
        <w:t>tout autre parent de la personne concernée qui appartient au même ménage que celle-ci depuis au moins un an à la date de la transaction personnelle concernée»;»</w:t>
      </w:r>
    </w:p>
    <w:p w:rsidR="00E8624A" w:rsidRDefault="00886C58">
      <w:pPr>
        <w:pStyle w:val="ManualNumPar1"/>
        <w:tabs>
          <w:tab w:val="left" w:pos="851"/>
        </w:tabs>
        <w:ind w:left="1418" w:hanging="1418"/>
        <w:rPr>
          <w:noProof/>
          <w:szCs w:val="24"/>
        </w:rPr>
      </w:pPr>
      <w:r>
        <w:rPr>
          <w:i/>
          <w:noProof/>
        </w:rPr>
        <w:t>lire:</w:t>
      </w:r>
      <w:r>
        <w:rPr>
          <w:noProof/>
        </w:rPr>
        <w:tab/>
        <w:t>«3.</w:t>
      </w:r>
      <w:r>
        <w:rPr>
          <w:noProof/>
        </w:rPr>
        <w:tab/>
        <w:t>«externalisation», tout accord, quelle que soit sa for</w:t>
      </w:r>
      <w:r>
        <w:rPr>
          <w:noProof/>
        </w:rPr>
        <w:t>me, entre une entreprise d'investissement et un prestataire de services en vertu duquel ce prestataire prend en charge un processus, un service ou une activité qui aurait autrement été du ressort de l'entreprise d'investissement elle-même;</w:t>
      </w:r>
    </w:p>
    <w:p w:rsidR="00E8624A" w:rsidRDefault="00886C58">
      <w:pPr>
        <w:pStyle w:val="Text1"/>
        <w:ind w:left="1418" w:hanging="567"/>
        <w:rPr>
          <w:noProof/>
          <w:szCs w:val="24"/>
        </w:rPr>
      </w:pPr>
      <w:r>
        <w:rPr>
          <w:noProof/>
        </w:rPr>
        <w:t xml:space="preserve">3 </w:t>
      </w:r>
      <w:r>
        <w:rPr>
          <w:i/>
          <w:noProof/>
        </w:rPr>
        <w:t>bis</w:t>
      </w:r>
      <w:r>
        <w:rPr>
          <w:noProof/>
        </w:rPr>
        <w:t xml:space="preserve"> «personne ayant des liens familiaux avec la personne concernée», l'une quelconque des personnes suivantes:</w:t>
      </w:r>
    </w:p>
    <w:p w:rsidR="00E8624A" w:rsidRDefault="00886C58">
      <w:pPr>
        <w:ind w:left="2160" w:hanging="720"/>
        <w:jc w:val="both"/>
        <w:rPr>
          <w:rFonts w:ascii="Times New Roman" w:hAnsi="Times New Roman" w:cs="Times New Roman"/>
          <w:noProof/>
          <w:sz w:val="24"/>
          <w:szCs w:val="24"/>
        </w:rPr>
      </w:pPr>
      <w:r>
        <w:rPr>
          <w:rFonts w:ascii="Times New Roman" w:hAnsi="Times New Roman"/>
          <w:noProof/>
          <w:sz w:val="24"/>
        </w:rPr>
        <w:t>(a)</w:t>
      </w:r>
      <w:r>
        <w:rPr>
          <w:noProof/>
        </w:rPr>
        <w:tab/>
      </w:r>
      <w:r>
        <w:rPr>
          <w:rFonts w:ascii="Times New Roman" w:hAnsi="Times New Roman"/>
          <w:noProof/>
          <w:sz w:val="24"/>
        </w:rPr>
        <w:t>le conjoint de la personne concernée ou tout partenaire de cette personne considéré comme l'équivalent du conjoint par la législation nationale;</w:t>
      </w:r>
    </w:p>
    <w:p w:rsidR="00E8624A" w:rsidRDefault="00886C58">
      <w:pPr>
        <w:ind w:left="720" w:firstLine="720"/>
        <w:jc w:val="both"/>
        <w:rPr>
          <w:rFonts w:ascii="Times New Roman" w:hAnsi="Times New Roman" w:cs="Times New Roman"/>
          <w:noProof/>
          <w:sz w:val="24"/>
          <w:szCs w:val="24"/>
        </w:rPr>
      </w:pPr>
      <w:r>
        <w:rPr>
          <w:rFonts w:ascii="Times New Roman" w:hAnsi="Times New Roman"/>
          <w:noProof/>
          <w:sz w:val="24"/>
        </w:rPr>
        <w:t>(b)</w:t>
      </w:r>
      <w:r>
        <w:rPr>
          <w:noProof/>
        </w:rPr>
        <w:tab/>
      </w:r>
      <w:r>
        <w:rPr>
          <w:rFonts w:ascii="Times New Roman" w:hAnsi="Times New Roman"/>
          <w:noProof/>
          <w:sz w:val="24"/>
        </w:rPr>
        <w:t>un enfant, bru ou gendre à charge de la personne concernée;</w:t>
      </w:r>
    </w:p>
    <w:p w:rsidR="00E8624A" w:rsidRDefault="00886C58">
      <w:pPr>
        <w:ind w:left="2160" w:hanging="720"/>
        <w:jc w:val="both"/>
        <w:rPr>
          <w:rFonts w:ascii="Times New Roman" w:hAnsi="Times New Roman" w:cs="Times New Roman"/>
          <w:noProof/>
          <w:sz w:val="24"/>
          <w:szCs w:val="24"/>
        </w:rPr>
      </w:pPr>
      <w:r>
        <w:rPr>
          <w:rFonts w:ascii="Times New Roman" w:hAnsi="Times New Roman"/>
          <w:noProof/>
          <w:sz w:val="24"/>
        </w:rPr>
        <w:t>(c)</w:t>
      </w:r>
      <w:r>
        <w:rPr>
          <w:noProof/>
        </w:rPr>
        <w:tab/>
      </w:r>
      <w:r>
        <w:rPr>
          <w:rFonts w:ascii="Times New Roman" w:hAnsi="Times New Roman"/>
          <w:noProof/>
          <w:sz w:val="24"/>
        </w:rPr>
        <w:t>tout autre parent de la personne concernée qui appartient au même ménage que celle-ci depuis au moins un an à la date de la transaction personnelle concernée;».</w:t>
      </w:r>
    </w:p>
    <w:p w:rsidR="00E8624A" w:rsidRDefault="00E8624A">
      <w:pPr>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8, point d):</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«excepté si le contrat rentre déjà dans le champ d'application de l'annexe I, section C, point 4, de la directive 2014/65/UE;»</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lire</w:t>
      </w:r>
      <w:r>
        <w:rPr>
          <w:rFonts w:ascii="Times New Roman" w:hAnsi="Times New Roman"/>
          <w:noProof/>
          <w:sz w:val="24"/>
        </w:rPr>
        <w:t>:</w:t>
      </w:r>
      <w:r>
        <w:rPr>
          <w:noProof/>
        </w:rPr>
        <w:tab/>
      </w:r>
      <w:r>
        <w:rPr>
          <w:rFonts w:ascii="Times New Roman" w:hAnsi="Times New Roman"/>
          <w:noProof/>
          <w:sz w:val="24"/>
        </w:rPr>
        <w:t>«excepté lorsque le contrat rentre déjà dans le champ d'application de l'annexe I, section C, de la directive 2</w:t>
      </w:r>
      <w:r>
        <w:rPr>
          <w:rFonts w:ascii="Times New Roman" w:hAnsi="Times New Roman"/>
          <w:noProof/>
          <w:sz w:val="24"/>
        </w:rPr>
        <w:t>014/65/UE;».</w:t>
      </w:r>
    </w:p>
    <w:p w:rsidR="00E8624A" w:rsidRDefault="00E8624A">
      <w:pPr>
        <w:ind w:left="851" w:hanging="851"/>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12, point c):</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«de manière substantielle sur l'instrument financier si le nombre de transactions de gré à gré qu'elle effectue pour son propre compte en exécution des ordres de clients est, au cours des 6 derniers mois,</w:t>
      </w:r>
      <w:r>
        <w:rPr>
          <w:rFonts w:ascii="Times New Roman" w:hAnsi="Times New Roman"/>
          <w:noProof/>
          <w:sz w:val="24"/>
        </w:rPr>
        <w:t xml:space="preserve"> égal ou supérieur à:»</w:t>
      </w:r>
    </w:p>
    <w:p w:rsidR="00E8624A" w:rsidRDefault="00886C58">
      <w:pPr>
        <w:tabs>
          <w:tab w:val="left" w:pos="851"/>
        </w:tabs>
        <w:ind w:left="851" w:hanging="851"/>
        <w:jc w:val="both"/>
        <w:rPr>
          <w:rFonts w:ascii="Times New Roman" w:hAnsi="Times New Roman" w:cs="Times New Roman"/>
          <w:noProof/>
          <w:sz w:val="24"/>
          <w:szCs w:val="24"/>
        </w:rPr>
      </w:pPr>
      <w:r>
        <w:rPr>
          <w:rFonts w:ascii="Times New Roman" w:hAnsi="Times New Roman"/>
          <w:i/>
          <w:noProof/>
          <w:sz w:val="24"/>
        </w:rPr>
        <w:lastRenderedPageBreak/>
        <w:t>lire:</w:t>
      </w:r>
      <w:r>
        <w:rPr>
          <w:noProof/>
        </w:rPr>
        <w:tab/>
      </w:r>
      <w:r>
        <w:rPr>
          <w:rFonts w:ascii="Times New Roman" w:hAnsi="Times New Roman"/>
          <w:noProof/>
          <w:sz w:val="24"/>
        </w:rPr>
        <w:t>«de manière substantielle sur l'instrument financier si le volume de transactions de gré à gré qu'elle effectue pour son propre compte en exécution des ordres de clients est, au cours des 6 derniers mois, égal ou supérieur à:».</w:t>
      </w:r>
    </w:p>
    <w:p w:rsidR="00E8624A" w:rsidRDefault="00E8624A">
      <w:pPr>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Article 13, point b)</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 xml:space="preserve">«de façon systématique et fréquente sur une obligation pour laquelle il n'existe pas de marché liquide au sens de l'article 2, paragraphe 1, point 17 b), du règlement (UE) nº 600/2014, si au cours des 6 derniers mois les </w:t>
      </w:r>
      <w:r>
        <w:rPr>
          <w:rFonts w:ascii="Times New Roman" w:hAnsi="Times New Roman"/>
          <w:noProof/>
          <w:sz w:val="24"/>
        </w:rPr>
        <w:t>transactions de gré à gré qu'elle effectue pour son propre compte en exécution des ordres de clients sont effectuées, en moyenne, une fois par semaine;»</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«de façon systématique et fréquente sur une obligation pour laquelle il n'existe pas de marché li</w:t>
      </w:r>
      <w:r>
        <w:rPr>
          <w:rFonts w:ascii="Times New Roman" w:hAnsi="Times New Roman"/>
          <w:noProof/>
          <w:sz w:val="24"/>
        </w:rPr>
        <w:t>quide au sens de l'article 2, paragraphe 1, point 17 a), du règlement (UE) nº 600/2014, si au cours des 6 derniers mois les transactions de gré à gré qu'elle effectue pour son propre compte en exécution des ordres de clients sont effectuées, en moyenne, un</w:t>
      </w:r>
      <w:r>
        <w:rPr>
          <w:rFonts w:ascii="Times New Roman" w:hAnsi="Times New Roman"/>
          <w:noProof/>
          <w:sz w:val="24"/>
        </w:rPr>
        <w:t>e fois par semaine;».</w:t>
      </w:r>
    </w:p>
    <w:p w:rsidR="00E8624A" w:rsidRDefault="00E8624A">
      <w:pPr>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14, point a):</w:t>
      </w:r>
    </w:p>
    <w:p w:rsidR="00E8624A" w:rsidRDefault="00886C58">
      <w:pPr>
        <w:ind w:left="851" w:hanging="851"/>
        <w:jc w:val="both"/>
        <w:rPr>
          <w:rFonts w:ascii="Times New Roman" w:hAnsi="Times New Roman" w:cs="Times New Roman"/>
          <w:noProof/>
          <w:sz w:val="24"/>
          <w:szCs w:val="24"/>
          <w:highlight w:val="yellow"/>
        </w:rPr>
      </w:pPr>
      <w:r>
        <w:rPr>
          <w:rFonts w:ascii="Times New Roman" w:hAnsi="Times New Roman"/>
          <w:i/>
          <w:noProof/>
          <w:sz w:val="24"/>
        </w:rPr>
        <w:t>au lieu de:</w:t>
      </w:r>
      <w:r>
        <w:rPr>
          <w:noProof/>
        </w:rPr>
        <w:tab/>
      </w:r>
      <w:r>
        <w:rPr>
          <w:rFonts w:ascii="Times New Roman" w:hAnsi="Times New Roman"/>
          <w:noProof/>
          <w:sz w:val="24"/>
        </w:rPr>
        <w:t>«de façon systématique et fréquente, sur un produit financier structuré pour lequel il existe un marché liquide au sens de l'article 2, paragraphe 1, point 17 b), du règlement (UE) nº 600/2014 si</w:t>
      </w:r>
      <w:r>
        <w:rPr>
          <w:rFonts w:ascii="Times New Roman" w:hAnsi="Times New Roman"/>
          <w:noProof/>
          <w:sz w:val="24"/>
        </w:rPr>
        <w:t xml:space="preserve"> au cours des 6 derniers mois:»</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«de façon systématique et fréquente, sur un produit financier structuré pour lequel il existe un marché liquide au sens de l'article 2, paragraphe 1, point 17 a), du règlement (UE) nº 600/2014 si au cours des 6 dernier</w:t>
      </w:r>
      <w:r>
        <w:rPr>
          <w:rFonts w:ascii="Times New Roman" w:hAnsi="Times New Roman"/>
          <w:noProof/>
          <w:sz w:val="24"/>
        </w:rPr>
        <w:t>s mois:».</w:t>
      </w:r>
    </w:p>
    <w:p w:rsidR="00E8624A" w:rsidRDefault="00E8624A">
      <w:pPr>
        <w:tabs>
          <w:tab w:val="left" w:pos="851"/>
        </w:tabs>
        <w:ind w:left="1418" w:hanging="1418"/>
        <w:jc w:val="both"/>
        <w:rPr>
          <w:rFonts w:ascii="Times New Roman" w:hAnsi="Times New Roman" w:cs="Times New Roman"/>
          <w:i/>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14:</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«(b)</w:t>
      </w:r>
      <w:r>
        <w:rPr>
          <w:noProof/>
        </w:rPr>
        <w:tab/>
      </w:r>
      <w:r>
        <w:rPr>
          <w:rFonts w:ascii="Times New Roman" w:hAnsi="Times New Roman"/>
          <w:noProof/>
          <w:sz w:val="24"/>
        </w:rPr>
        <w:t xml:space="preserve">«de façon systématique et fréquente, sur un produit financier structuré pour lequel il n'existe pas de marché liquide au sens de l'article 2, paragraphe 1, point 17 b), du règlement (UE) nº 600/2014 si au cours </w:t>
      </w:r>
      <w:r>
        <w:rPr>
          <w:rFonts w:ascii="Times New Roman" w:hAnsi="Times New Roman"/>
          <w:noProof/>
          <w:sz w:val="24"/>
        </w:rPr>
        <w:t>des 6 derniers mois les transactions de gré à gré qu'elle effectue pour son propre compte en exécution des ordres de clients sont effectuées, en moyenne, une fois par semaine;»</w:t>
      </w:r>
    </w:p>
    <w:p w:rsidR="00E8624A" w:rsidRDefault="00886C58">
      <w:pPr>
        <w:tabs>
          <w:tab w:val="left" w:pos="851"/>
        </w:tabs>
        <w:ind w:left="1418" w:hanging="1418"/>
        <w:jc w:val="both"/>
        <w:rPr>
          <w:rFonts w:ascii="Times New Roman" w:hAnsi="Times New Roman" w:cs="Times New Roman"/>
          <w:i/>
          <w:noProof/>
          <w:sz w:val="24"/>
          <w:szCs w:val="24"/>
        </w:rPr>
      </w:pPr>
      <w:r>
        <w:rPr>
          <w:rFonts w:ascii="Times New Roman" w:hAnsi="Times New Roman"/>
          <w:i/>
          <w:noProof/>
          <w:sz w:val="24"/>
        </w:rPr>
        <w:t>lire:</w:t>
      </w:r>
      <w:r>
        <w:rPr>
          <w:noProof/>
        </w:rPr>
        <w:tab/>
      </w:r>
      <w:r>
        <w:rPr>
          <w:rFonts w:ascii="Times New Roman" w:hAnsi="Times New Roman"/>
          <w:noProof/>
          <w:sz w:val="24"/>
        </w:rPr>
        <w:t>«(b)</w:t>
      </w:r>
      <w:r>
        <w:rPr>
          <w:noProof/>
        </w:rPr>
        <w:tab/>
      </w:r>
      <w:r>
        <w:rPr>
          <w:rFonts w:ascii="Times New Roman" w:hAnsi="Times New Roman"/>
          <w:noProof/>
          <w:sz w:val="24"/>
        </w:rPr>
        <w:t>«de façon systématique et fréquente, sur un produit financier struct</w:t>
      </w:r>
      <w:r>
        <w:rPr>
          <w:rFonts w:ascii="Times New Roman" w:hAnsi="Times New Roman"/>
          <w:noProof/>
          <w:sz w:val="24"/>
        </w:rPr>
        <w:t xml:space="preserve">uré pour lequel il n'existe pas de marché liquide au sens de l'article 2, paragraphe 1, point 17 a), du règlement (UE) nº 600/2014, si au cours des 6 derniers mois les transactions de </w:t>
      </w:r>
      <w:r>
        <w:rPr>
          <w:rFonts w:ascii="Times New Roman" w:hAnsi="Times New Roman"/>
          <w:noProof/>
          <w:sz w:val="24"/>
        </w:rPr>
        <w:lastRenderedPageBreak/>
        <w:t>gré à gré qu'elle effectue pour son propre compte en exécution des ordre</w:t>
      </w:r>
      <w:r>
        <w:rPr>
          <w:rFonts w:ascii="Times New Roman" w:hAnsi="Times New Roman"/>
          <w:noProof/>
          <w:sz w:val="24"/>
        </w:rPr>
        <w:t>s de clients sont effectuées, en moyenne, une fois par semaine;».</w:t>
      </w:r>
    </w:p>
    <w:p w:rsidR="00E8624A" w:rsidRDefault="00E8624A">
      <w:pPr>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14, point c):</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«(c)</w:t>
      </w:r>
      <w:r>
        <w:rPr>
          <w:noProof/>
        </w:rPr>
        <w:tab/>
      </w:r>
      <w:r>
        <w:rPr>
          <w:rFonts w:ascii="Times New Roman" w:hAnsi="Times New Roman"/>
          <w:noProof/>
          <w:sz w:val="24"/>
        </w:rPr>
        <w:t>de manière substantielle sur un produit financier structuré si le nombre de transactions de gré à gré qu'elle effectue pour son propre compte en e</w:t>
      </w:r>
      <w:r>
        <w:rPr>
          <w:rFonts w:ascii="Times New Roman" w:hAnsi="Times New Roman"/>
          <w:noProof/>
          <w:sz w:val="24"/>
        </w:rPr>
        <w:t>xécution des ordres de clients est, au cours des 6 derniers mois, égal ou supérieur à:</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w:t>
      </w:r>
      <w:r>
        <w:rPr>
          <w:noProof/>
        </w:rPr>
        <w:tab/>
      </w:r>
      <w:r>
        <w:rPr>
          <w:rFonts w:ascii="Times New Roman" w:hAnsi="Times New Roman"/>
          <w:noProof/>
          <w:sz w:val="24"/>
        </w:rPr>
        <w:t>30 % du montant nominal total négocié sur ce produit financier structuré exécuté par l'entreprise d'investissement pour son propre compte ou pour le compte de clients</w:t>
      </w:r>
      <w:r>
        <w:rPr>
          <w:rFonts w:ascii="Times New Roman" w:hAnsi="Times New Roman"/>
          <w:noProof/>
          <w:sz w:val="24"/>
        </w:rPr>
        <w:t xml:space="preserve"> et exécuté sur une plate-forme de négociation ou de gré à gré; ou </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ii)</w:t>
      </w:r>
      <w:r>
        <w:rPr>
          <w:noProof/>
        </w:rPr>
        <w:tab/>
      </w:r>
      <w:r>
        <w:rPr>
          <w:rFonts w:ascii="Times New Roman" w:hAnsi="Times New Roman"/>
          <w:noProof/>
          <w:sz w:val="24"/>
        </w:rPr>
        <w:t>2,25 % du montant nominal total négocié sur ce produit financier structuré exécuté dans l'Union sur une plate-forme de négociation ou de gré à gré.»</w:t>
      </w:r>
    </w:p>
    <w:p w:rsidR="00E8624A" w:rsidRDefault="00886C58">
      <w:pPr>
        <w:tabs>
          <w:tab w:val="left" w:pos="851"/>
        </w:tabs>
        <w:ind w:left="1418" w:hanging="1418"/>
        <w:jc w:val="both"/>
        <w:rPr>
          <w:rFonts w:ascii="Times New Roman" w:hAnsi="Times New Roman" w:cs="Times New Roman"/>
          <w:i/>
          <w:noProof/>
          <w:sz w:val="24"/>
          <w:szCs w:val="24"/>
        </w:rPr>
      </w:pPr>
      <w:r>
        <w:rPr>
          <w:rFonts w:ascii="Times New Roman" w:hAnsi="Times New Roman"/>
          <w:i/>
          <w:noProof/>
          <w:sz w:val="24"/>
        </w:rPr>
        <w:t>lire:</w:t>
      </w:r>
      <w:r>
        <w:rPr>
          <w:noProof/>
        </w:rPr>
        <w:tab/>
      </w:r>
      <w:r>
        <w:rPr>
          <w:rFonts w:ascii="Times New Roman" w:hAnsi="Times New Roman"/>
          <w:noProof/>
          <w:sz w:val="24"/>
        </w:rPr>
        <w:t>«(c)</w:t>
      </w:r>
      <w:r>
        <w:rPr>
          <w:noProof/>
        </w:rPr>
        <w:tab/>
      </w:r>
      <w:r>
        <w:rPr>
          <w:rFonts w:ascii="Times New Roman" w:hAnsi="Times New Roman"/>
          <w:noProof/>
          <w:sz w:val="24"/>
        </w:rPr>
        <w:t>de manière substantielle</w:t>
      </w:r>
      <w:r>
        <w:rPr>
          <w:rFonts w:ascii="Times New Roman" w:hAnsi="Times New Roman"/>
          <w:noProof/>
          <w:sz w:val="24"/>
        </w:rPr>
        <w:t xml:space="preserve"> sur un produit financier structuré si le volume de transactions de gré à gré qu'elle effectue pour son propre compte en exécution des ordres de clients est, au cours des 6 derniers mois, égal ou supérieur à:</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w:t>
      </w:r>
      <w:r>
        <w:rPr>
          <w:noProof/>
        </w:rPr>
        <w:tab/>
      </w:r>
      <w:r>
        <w:rPr>
          <w:rFonts w:ascii="Times New Roman" w:hAnsi="Times New Roman"/>
          <w:noProof/>
          <w:sz w:val="24"/>
        </w:rPr>
        <w:t>30 % du chiffre d’affaires total pour ce pro</w:t>
      </w:r>
      <w:r>
        <w:rPr>
          <w:rFonts w:ascii="Times New Roman" w:hAnsi="Times New Roman"/>
          <w:noProof/>
          <w:sz w:val="24"/>
        </w:rPr>
        <w:t>duit financier structuré exécuté par l'entreprise d'investissement pour son propre compte ou pour le compte de clients et exécuté sur une plate-forme de négociation ou de gré à gré;</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ii)</w:t>
      </w:r>
      <w:r>
        <w:rPr>
          <w:noProof/>
        </w:rPr>
        <w:tab/>
      </w:r>
      <w:r>
        <w:rPr>
          <w:rFonts w:ascii="Times New Roman" w:hAnsi="Times New Roman"/>
          <w:noProof/>
          <w:sz w:val="24"/>
        </w:rPr>
        <w:t>2,25 % du chiffre d'affaires total pour ce produit financier structuré</w:t>
      </w:r>
      <w:r>
        <w:rPr>
          <w:rFonts w:ascii="Times New Roman" w:hAnsi="Times New Roman"/>
          <w:noProof/>
          <w:sz w:val="24"/>
        </w:rPr>
        <w:t xml:space="preserve"> exécuté dans l'Union sur une plate-forme de négociation ou de gré à gré.».</w:t>
      </w:r>
    </w:p>
    <w:p w:rsidR="00E8624A" w:rsidRDefault="00E8624A">
      <w:pPr>
        <w:ind w:left="720" w:hanging="720"/>
        <w:jc w:val="both"/>
        <w:rPr>
          <w:rFonts w:ascii="Times New Roman" w:hAnsi="Times New Roman" w:cs="Times New Roman"/>
          <w:i/>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15, point a):</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«de façon systématique et fréquente, sur un instrument dérivé pour lequel il existe un marché liquide au sens de l'article 2, paragraphe 1, p</w:t>
      </w:r>
      <w:r>
        <w:rPr>
          <w:rFonts w:ascii="Times New Roman" w:hAnsi="Times New Roman"/>
          <w:noProof/>
          <w:sz w:val="24"/>
        </w:rPr>
        <w:t>oint 17 b), du règlement (UE) nº 600/2014 si au cours des 6 derniers mois:»</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«de façon systématique et fréquente, sur un instrument dérivé pour lequel il existe un marché liquide au sens de l'article 2, paragraphe 1, point 17 a), du règlement (UE) nº </w:t>
      </w:r>
      <w:r>
        <w:rPr>
          <w:rFonts w:ascii="Times New Roman" w:hAnsi="Times New Roman"/>
          <w:noProof/>
          <w:sz w:val="24"/>
        </w:rPr>
        <w:t>600/2014 si au cours des 6 derniers mois:».</w:t>
      </w:r>
    </w:p>
    <w:p w:rsidR="00E8624A" w:rsidRDefault="00E8624A">
      <w:pPr>
        <w:tabs>
          <w:tab w:val="left" w:pos="851"/>
        </w:tabs>
        <w:ind w:left="1418" w:hanging="1418"/>
        <w:jc w:val="both"/>
        <w:rPr>
          <w:rFonts w:ascii="Times New Roman" w:hAnsi="Times New Roman" w:cs="Times New Roman"/>
          <w:i/>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Article 15, point b):</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lastRenderedPageBreak/>
        <w:t>au lieu de:</w:t>
      </w:r>
      <w:r>
        <w:rPr>
          <w:noProof/>
        </w:rPr>
        <w:tab/>
      </w:r>
      <w:r>
        <w:rPr>
          <w:rFonts w:ascii="Times New Roman" w:hAnsi="Times New Roman"/>
          <w:noProof/>
          <w:sz w:val="24"/>
        </w:rPr>
        <w:t>«(b)</w:t>
      </w:r>
      <w:r>
        <w:rPr>
          <w:noProof/>
        </w:rPr>
        <w:tab/>
      </w:r>
      <w:r>
        <w:rPr>
          <w:rFonts w:ascii="Times New Roman" w:hAnsi="Times New Roman"/>
          <w:noProof/>
          <w:sz w:val="24"/>
        </w:rPr>
        <w:t>«de façon systématique et fréquente, sur un dérivé pour lequel il n'existe pas de marché liquide au sens de l'article 2, paragraphe 1, point 17 b), du règlement (UE) nº 600</w:t>
      </w:r>
      <w:r>
        <w:rPr>
          <w:rFonts w:ascii="Times New Roman" w:hAnsi="Times New Roman"/>
          <w:noProof/>
          <w:sz w:val="24"/>
        </w:rPr>
        <w:t>/2014 si au cours des 6 derniers mois les transactions de gré à gré qu'elle effectue pour son propre compte dans la catégorie pertinente d'instruments dérivés en exécution des ordres de clients sont effectuées, en moyenne, une fois par semaine;»</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«(b)</w:t>
      </w:r>
      <w:r>
        <w:rPr>
          <w:noProof/>
        </w:rPr>
        <w:tab/>
      </w:r>
      <w:r>
        <w:rPr>
          <w:rFonts w:ascii="Times New Roman" w:hAnsi="Times New Roman"/>
          <w:noProof/>
          <w:sz w:val="24"/>
        </w:rPr>
        <w:t>de façon systématique et fréquente, sur un dérivé pour lequel il n'existe pas de marché liquide au sens de l'article 2, paragraphe 1, point 17 a), du règlement (UE) nº 600/2014 si au cours des 6 derniers mois les transactions de gré à gré qu'elle effectue</w:t>
      </w:r>
      <w:r>
        <w:rPr>
          <w:rFonts w:ascii="Times New Roman" w:hAnsi="Times New Roman"/>
          <w:noProof/>
          <w:sz w:val="24"/>
        </w:rPr>
        <w:t xml:space="preserve"> pour son propre compte dans la catégorie pertinente d'instrument dérivé en exécution des ordres de clients sont effectuées, en moyenne, une fois par semaine;». </w:t>
      </w:r>
    </w:p>
    <w:p w:rsidR="00E8624A" w:rsidRDefault="00E8624A">
      <w:pPr>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15, point c):</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«(c)</w:t>
      </w:r>
      <w:r>
        <w:rPr>
          <w:noProof/>
        </w:rPr>
        <w:tab/>
      </w:r>
      <w:r>
        <w:rPr>
          <w:rFonts w:ascii="Times New Roman" w:hAnsi="Times New Roman"/>
          <w:noProof/>
          <w:sz w:val="24"/>
        </w:rPr>
        <w:t xml:space="preserve">de manière substantielle sur un instrument dérivé </w:t>
      </w:r>
      <w:r>
        <w:rPr>
          <w:rFonts w:ascii="Times New Roman" w:hAnsi="Times New Roman"/>
          <w:noProof/>
          <w:sz w:val="24"/>
        </w:rPr>
        <w:t>si le nombre de transactions de gré à gré qu'elle effectue pour son propre compte en exécution des ordres de clients est, au cours des 6 derniers mois, égal ou supérieur à:</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w:t>
      </w:r>
      <w:r>
        <w:rPr>
          <w:noProof/>
        </w:rPr>
        <w:tab/>
      </w:r>
      <w:r>
        <w:rPr>
          <w:rFonts w:ascii="Times New Roman" w:hAnsi="Times New Roman"/>
          <w:noProof/>
          <w:sz w:val="24"/>
        </w:rPr>
        <w:t xml:space="preserve">25 % du montant nominal total négocié sur cette catégorie d'instruments dérivés </w:t>
      </w:r>
      <w:r>
        <w:rPr>
          <w:rFonts w:ascii="Times New Roman" w:hAnsi="Times New Roman"/>
          <w:noProof/>
          <w:sz w:val="24"/>
        </w:rPr>
        <w:t>exécuté par l'entreprise d'investissement pour son propre compte ou pour le compte de clients et exécuté sur une plate-forme de négociation ou de gré à gré; ou</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ii)</w:t>
      </w:r>
      <w:r>
        <w:rPr>
          <w:noProof/>
        </w:rPr>
        <w:tab/>
      </w:r>
      <w:r>
        <w:rPr>
          <w:rFonts w:ascii="Times New Roman" w:hAnsi="Times New Roman"/>
          <w:noProof/>
          <w:sz w:val="24"/>
        </w:rPr>
        <w:t>1 % du montant nominal total négocié sur cette catégorie de dérivés exécuté dans l'Union sur</w:t>
      </w:r>
      <w:r>
        <w:rPr>
          <w:rFonts w:ascii="Times New Roman" w:hAnsi="Times New Roman"/>
          <w:noProof/>
          <w:sz w:val="24"/>
        </w:rPr>
        <w:t xml:space="preserve"> une plate-forme de négociation ou de gré à gré.»</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«(c)</w:t>
      </w:r>
      <w:r>
        <w:rPr>
          <w:noProof/>
        </w:rPr>
        <w:tab/>
      </w:r>
      <w:r>
        <w:rPr>
          <w:rFonts w:ascii="Times New Roman" w:hAnsi="Times New Roman"/>
          <w:noProof/>
          <w:sz w:val="24"/>
        </w:rPr>
        <w:t>«de manière substantielle sur un instrument dérivé si le volume de transactions de gré à gré qu'elle effectue pour son propre compte en exécution des ordres de clients est, au cours des 6 dernier</w:t>
      </w:r>
      <w:r>
        <w:rPr>
          <w:rFonts w:ascii="Times New Roman" w:hAnsi="Times New Roman"/>
          <w:noProof/>
          <w:sz w:val="24"/>
        </w:rPr>
        <w:t>s mois, égal ou supérieur à:</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w:t>
      </w:r>
      <w:r>
        <w:rPr>
          <w:noProof/>
        </w:rPr>
        <w:tab/>
      </w:r>
      <w:r>
        <w:rPr>
          <w:rFonts w:ascii="Times New Roman" w:hAnsi="Times New Roman"/>
          <w:noProof/>
          <w:sz w:val="24"/>
        </w:rPr>
        <w:t>25 % du chiffre d'affaires total pour cette catégorie de dérivé exécuté par l'entreprise d'investissement pour son propre compte ou pour le compte de clients et exécuté sur une plate-forme de négociation ou de gré à gré;</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ii)</w:t>
      </w:r>
      <w:r>
        <w:rPr>
          <w:noProof/>
        </w:rPr>
        <w:tab/>
      </w:r>
      <w:r>
        <w:rPr>
          <w:rFonts w:ascii="Times New Roman" w:hAnsi="Times New Roman"/>
          <w:noProof/>
          <w:sz w:val="24"/>
        </w:rPr>
        <w:t>1 % du chiffre d'affaires total pour cette catégorie de dérivé exécuté dans l'Union sur une plate-forme de négociation ou de gré à gré.».</w:t>
      </w:r>
    </w:p>
    <w:p w:rsidR="00E8624A" w:rsidRDefault="00E8624A">
      <w:pPr>
        <w:ind w:left="720" w:hanging="720"/>
        <w:jc w:val="both"/>
        <w:rPr>
          <w:rFonts w:ascii="Times New Roman" w:hAnsi="Times New Roman" w:cs="Times New Roman"/>
          <w:i/>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16, point a):</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lastRenderedPageBreak/>
        <w:t>au lieu de:</w:t>
      </w:r>
      <w:r>
        <w:rPr>
          <w:noProof/>
        </w:rPr>
        <w:tab/>
      </w:r>
      <w:r>
        <w:rPr>
          <w:rFonts w:ascii="Times New Roman" w:hAnsi="Times New Roman"/>
          <w:noProof/>
          <w:sz w:val="24"/>
        </w:rPr>
        <w:t>«de façon systématique et fréquente, sur un quota d'émission pour lequel il ex</w:t>
      </w:r>
      <w:r>
        <w:rPr>
          <w:rFonts w:ascii="Times New Roman" w:hAnsi="Times New Roman"/>
          <w:noProof/>
          <w:sz w:val="24"/>
        </w:rPr>
        <w:t>iste un marché liquide au sens de l'article 2, paragraphe 1, point 17 b), du règlement (UE) nº 600/2014 si au cours des 6 derniers mois:»</w:t>
      </w:r>
    </w:p>
    <w:p w:rsidR="00E8624A" w:rsidRDefault="00886C58">
      <w:pPr>
        <w:ind w:left="851" w:hanging="851"/>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 xml:space="preserve">«de façon systématique et fréquente, sur un quota d’émission pour lequel il existe un marché liquide au sens de </w:t>
      </w:r>
      <w:r>
        <w:rPr>
          <w:rFonts w:ascii="Times New Roman" w:hAnsi="Times New Roman"/>
          <w:noProof/>
          <w:sz w:val="24"/>
        </w:rPr>
        <w:t>l'article 2, paragraphe 1, point 17 a), du règlement (UE) nº 600/2014 si au cours des 6 derniers mois:».</w:t>
      </w:r>
    </w:p>
    <w:p w:rsidR="00E8624A" w:rsidRDefault="00E8624A">
      <w:pPr>
        <w:tabs>
          <w:tab w:val="left" w:pos="851"/>
        </w:tabs>
        <w:ind w:left="1418" w:hanging="1418"/>
        <w:jc w:val="both"/>
        <w:rPr>
          <w:rFonts w:ascii="Times New Roman" w:hAnsi="Times New Roman" w:cs="Times New Roman"/>
          <w:i/>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Article 16, point b):</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«(b)</w:t>
      </w:r>
      <w:r>
        <w:rPr>
          <w:noProof/>
        </w:rPr>
        <w:tab/>
      </w:r>
      <w:r>
        <w:rPr>
          <w:rFonts w:ascii="Times New Roman" w:hAnsi="Times New Roman"/>
          <w:noProof/>
          <w:sz w:val="24"/>
        </w:rPr>
        <w:t xml:space="preserve">de façon systématique et fréquente, sur un quota d'émission pour lequel il n'existe pas de marché liquide au </w:t>
      </w:r>
      <w:r>
        <w:rPr>
          <w:rFonts w:ascii="Times New Roman" w:hAnsi="Times New Roman"/>
          <w:noProof/>
          <w:sz w:val="24"/>
        </w:rPr>
        <w:t>sens de l'article 2, paragraphe 1, point 17 b), du règlement (UE) nº 600/2014 si au cours des 6 derniers mois les transactions de gré à gré qu'elle effectue pour son propre compte sur le type pertinent de quota d'émission en exécution des ordres de clients</w:t>
      </w:r>
      <w:r>
        <w:rPr>
          <w:rFonts w:ascii="Times New Roman" w:hAnsi="Times New Roman"/>
          <w:noProof/>
          <w:sz w:val="24"/>
        </w:rPr>
        <w:t xml:space="preserve"> sont effectuées, en moyenne, une fois par semaine;»</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«(b)</w:t>
      </w:r>
      <w:r>
        <w:rPr>
          <w:noProof/>
        </w:rPr>
        <w:tab/>
      </w:r>
      <w:r>
        <w:rPr>
          <w:rFonts w:ascii="Times New Roman" w:hAnsi="Times New Roman"/>
          <w:noProof/>
          <w:sz w:val="24"/>
        </w:rPr>
        <w:t>«de façon systématique et fréquente, sur un quota d'émission pour lequel il n'existe pas de marché liquide au sens de l'article 2, paragraphe 1, point 17 a), du règlement (UE) nº 600/2014 si a</w:t>
      </w:r>
      <w:r>
        <w:rPr>
          <w:rFonts w:ascii="Times New Roman" w:hAnsi="Times New Roman"/>
          <w:noProof/>
          <w:sz w:val="24"/>
        </w:rPr>
        <w:t>u cours des 6 derniers mois les transactions de gré à gré qu'elle effectue pour son propre compte sur le type pertinent de quota d'émission en exécution des ordres de clients sont effectuées, en moyenne, une fois par semaine;»</w:t>
      </w:r>
    </w:p>
    <w:p w:rsidR="00E8624A" w:rsidRDefault="00E8624A">
      <w:pPr>
        <w:tabs>
          <w:tab w:val="left" w:pos="851"/>
        </w:tabs>
        <w:ind w:left="1418" w:hanging="1418"/>
        <w:jc w:val="both"/>
        <w:rPr>
          <w:rFonts w:ascii="Times New Roman" w:hAnsi="Times New Roman" w:cs="Times New Roman"/>
          <w:i/>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16:</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«(c)</w:t>
      </w:r>
      <w:r>
        <w:rPr>
          <w:noProof/>
        </w:rPr>
        <w:tab/>
      </w:r>
      <w:r>
        <w:rPr>
          <w:rFonts w:ascii="Times New Roman" w:hAnsi="Times New Roman"/>
          <w:noProof/>
          <w:sz w:val="24"/>
        </w:rPr>
        <w:t>une entreprise d'investissement internalise de manière substantielle sur un quota d'émission si le nombre de transactions de gré à gré qu'elle effectue pour son propre compte en exécution des ordres de clients est, au cours des 6 derniers mois, égal o</w:t>
      </w:r>
      <w:r>
        <w:rPr>
          <w:rFonts w:ascii="Times New Roman" w:hAnsi="Times New Roman"/>
          <w:noProof/>
          <w:sz w:val="24"/>
        </w:rPr>
        <w:t>u supérieur à:</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w:t>
      </w:r>
      <w:r>
        <w:rPr>
          <w:noProof/>
        </w:rPr>
        <w:tab/>
      </w:r>
      <w:r>
        <w:rPr>
          <w:rFonts w:ascii="Times New Roman" w:hAnsi="Times New Roman"/>
          <w:noProof/>
          <w:sz w:val="24"/>
        </w:rPr>
        <w:t>30 % du montant nominal total négocié sur ce type de quota d'émission exécuté par l'entreprise d'investissement pour son propre compte ou pour le compte de clients et exécuté sur une plate-forme de négociation ou de gré à gré; ou</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ii)</w:t>
      </w:r>
      <w:r>
        <w:rPr>
          <w:noProof/>
        </w:rPr>
        <w:tab/>
      </w:r>
      <w:r>
        <w:rPr>
          <w:rFonts w:ascii="Times New Roman" w:hAnsi="Times New Roman"/>
          <w:noProof/>
          <w:sz w:val="24"/>
        </w:rPr>
        <w:t>2,25</w:t>
      </w:r>
      <w:r>
        <w:rPr>
          <w:rFonts w:ascii="Times New Roman" w:hAnsi="Times New Roman"/>
          <w:noProof/>
          <w:sz w:val="24"/>
        </w:rPr>
        <w:t> % du montant nominal total négocié sur ce type de quota d'émission exécuté dans l'Union sur une plate-forme de négociation ou de gré à gré.»</w:t>
      </w:r>
    </w:p>
    <w:p w:rsidR="00E8624A" w:rsidRDefault="00886C58">
      <w:pPr>
        <w:tabs>
          <w:tab w:val="left" w:pos="851"/>
        </w:tabs>
        <w:ind w:left="1418" w:hanging="1418"/>
        <w:jc w:val="both"/>
        <w:rPr>
          <w:rFonts w:ascii="Times New Roman" w:hAnsi="Times New Roman" w:cs="Times New Roman"/>
          <w:i/>
          <w:noProof/>
          <w:sz w:val="24"/>
          <w:szCs w:val="24"/>
        </w:rPr>
      </w:pPr>
      <w:r>
        <w:rPr>
          <w:rFonts w:ascii="Times New Roman" w:hAnsi="Times New Roman"/>
          <w:i/>
          <w:noProof/>
          <w:sz w:val="24"/>
        </w:rPr>
        <w:lastRenderedPageBreak/>
        <w:t>lire:</w:t>
      </w:r>
      <w:r>
        <w:rPr>
          <w:noProof/>
        </w:rPr>
        <w:tab/>
      </w:r>
      <w:r>
        <w:rPr>
          <w:rFonts w:ascii="Times New Roman" w:hAnsi="Times New Roman"/>
          <w:noProof/>
          <w:sz w:val="24"/>
        </w:rPr>
        <w:t>«(c)</w:t>
      </w:r>
      <w:r>
        <w:rPr>
          <w:noProof/>
        </w:rPr>
        <w:tab/>
      </w:r>
      <w:r>
        <w:rPr>
          <w:rFonts w:ascii="Times New Roman" w:hAnsi="Times New Roman"/>
          <w:noProof/>
          <w:sz w:val="24"/>
        </w:rPr>
        <w:t>«de manière substantielle sur un quota d’émission si le volume de transactions de gré à gré qu'elle eff</w:t>
      </w:r>
      <w:r>
        <w:rPr>
          <w:rFonts w:ascii="Times New Roman" w:hAnsi="Times New Roman"/>
          <w:noProof/>
          <w:sz w:val="24"/>
        </w:rPr>
        <w:t>ectue pour son propre compte en exécution des ordres de clients est, au cours des 6 derniers mois, égal ou supérieur à:</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w:t>
      </w:r>
      <w:r>
        <w:rPr>
          <w:noProof/>
        </w:rPr>
        <w:tab/>
      </w:r>
      <w:r>
        <w:rPr>
          <w:rFonts w:ascii="Times New Roman" w:hAnsi="Times New Roman"/>
          <w:noProof/>
          <w:sz w:val="24"/>
        </w:rPr>
        <w:t>30 % du chiffre d’affaires total pour ce type de quota d'émission exécuté par l'entreprise d'investissement pour son propre compte ou</w:t>
      </w:r>
      <w:r>
        <w:rPr>
          <w:rFonts w:ascii="Times New Roman" w:hAnsi="Times New Roman"/>
          <w:noProof/>
          <w:sz w:val="24"/>
        </w:rPr>
        <w:t xml:space="preserve"> pour le compte de clients et exécuté sur une plate-forme de négociation ou de gré à gré;</w:t>
      </w:r>
    </w:p>
    <w:p w:rsidR="00E8624A" w:rsidRDefault="00886C58">
      <w:pPr>
        <w:ind w:left="1984" w:hanging="567"/>
        <w:jc w:val="both"/>
        <w:rPr>
          <w:rFonts w:ascii="Times New Roman" w:hAnsi="Times New Roman" w:cs="Times New Roman"/>
          <w:noProof/>
          <w:sz w:val="24"/>
          <w:szCs w:val="24"/>
        </w:rPr>
      </w:pPr>
      <w:r>
        <w:rPr>
          <w:rFonts w:ascii="Times New Roman" w:hAnsi="Times New Roman"/>
          <w:noProof/>
          <w:sz w:val="24"/>
        </w:rPr>
        <w:t>ii)</w:t>
      </w:r>
      <w:r>
        <w:rPr>
          <w:noProof/>
        </w:rPr>
        <w:tab/>
      </w:r>
      <w:r>
        <w:rPr>
          <w:rFonts w:ascii="Times New Roman" w:hAnsi="Times New Roman"/>
          <w:noProof/>
          <w:sz w:val="24"/>
        </w:rPr>
        <w:t>2,25 % du chiffre d'affaires total pour ce type de quota d'émission exécuté dans l'Union sur une plate-forme de négociation ou de gré à gré.».</w:t>
      </w:r>
    </w:p>
    <w:p w:rsidR="00E8624A" w:rsidRDefault="00E8624A">
      <w:pPr>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 xml:space="preserve">À l'article 38, </w:t>
      </w:r>
      <w:r>
        <w:rPr>
          <w:rFonts w:ascii="Times New Roman" w:hAnsi="Times New Roman"/>
          <w:noProof/>
          <w:sz w:val="24"/>
        </w:rPr>
        <w:t>paragraphe 1:</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«(e)</w:t>
      </w:r>
      <w:r>
        <w:rPr>
          <w:noProof/>
        </w:rPr>
        <w:tab/>
      </w:r>
      <w:r>
        <w:rPr>
          <w:rFonts w:ascii="Times New Roman" w:hAnsi="Times New Roman"/>
          <w:noProof/>
          <w:sz w:val="24"/>
        </w:rPr>
        <w:t xml:space="preserve">les intitulés de poste et services des personnes concernées intervenant pour fournir des conseils en matière de services financiers aux entreprises relatifs au prix et à l'attribution; et» </w:t>
      </w:r>
    </w:p>
    <w:p w:rsidR="00E8624A" w:rsidRDefault="00886C58">
      <w:pPr>
        <w:tabs>
          <w:tab w:val="left" w:pos="851"/>
        </w:tabs>
        <w:ind w:left="1418" w:hanging="1418"/>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«(e)</w:t>
      </w:r>
      <w:r>
        <w:rPr>
          <w:noProof/>
        </w:rPr>
        <w:tab/>
      </w:r>
      <w:r>
        <w:rPr>
          <w:rFonts w:ascii="Times New Roman" w:hAnsi="Times New Roman"/>
          <w:noProof/>
          <w:sz w:val="24"/>
        </w:rPr>
        <w:t xml:space="preserve">«les intitulés de poste </w:t>
      </w:r>
      <w:r>
        <w:rPr>
          <w:rFonts w:ascii="Times New Roman" w:hAnsi="Times New Roman"/>
          <w:noProof/>
          <w:sz w:val="24"/>
        </w:rPr>
        <w:t>et services des personnes concernées intervenant pour fournir des conseils en matière de services financiers aux entreprises relatifs au prix et à l'attribution des instruments financiers; et».»</w:t>
      </w:r>
    </w:p>
    <w:p w:rsidR="00E8624A" w:rsidRDefault="00E8624A">
      <w:pPr>
        <w:ind w:left="720" w:hanging="720"/>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41:</w:t>
      </w:r>
    </w:p>
    <w:p w:rsidR="00E8624A" w:rsidRDefault="00886C58">
      <w:pPr>
        <w:tabs>
          <w:tab w:val="left" w:pos="1134"/>
        </w:tabs>
        <w:ind w:left="720" w:hanging="720"/>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«4.</w:t>
      </w:r>
      <w:r>
        <w:rPr>
          <w:noProof/>
        </w:rPr>
        <w:tab/>
      </w:r>
      <w:r>
        <w:rPr>
          <w:rFonts w:ascii="Times New Roman" w:hAnsi="Times New Roman"/>
          <w:noProof/>
          <w:sz w:val="24"/>
        </w:rPr>
        <w:t>Les entreprises d'investisse</w:t>
      </w:r>
      <w:r>
        <w:rPr>
          <w:rFonts w:ascii="Times New Roman" w:hAnsi="Times New Roman"/>
          <w:noProof/>
          <w:sz w:val="24"/>
        </w:rPr>
        <w:t>ment qui placent des instruments financiers émis par elles-mêmes ou par d'autres entités auprès de leurs clients, lesquels instruments étant inclus dans le calcul des exigences prudentielles spécifiées dans le règlement (UE) nº 575/2013 du Parlement europé</w:t>
      </w:r>
      <w:r>
        <w:rPr>
          <w:rFonts w:ascii="Times New Roman" w:hAnsi="Times New Roman"/>
          <w:noProof/>
          <w:sz w:val="24"/>
        </w:rPr>
        <w:t>en et du Conseil, de la directive 2013/36/UE du Parlement européen et du Conseil ou de la directive 2014/59/UE du Parlement européen et du Conseil, fournissent à ces clients des informations supplémentaires expliquant les différences entre l'instrument fin</w:t>
      </w:r>
      <w:r>
        <w:rPr>
          <w:rFonts w:ascii="Times New Roman" w:hAnsi="Times New Roman"/>
          <w:noProof/>
          <w:sz w:val="24"/>
        </w:rPr>
        <w:t>ancier et les dépôts bancaires en matière de rendement, de risque et de liquidité, ainsi qu'en matière de protection offerte par la directive 2014/49/UE du Parlement européen et du Conseil.»</w:t>
      </w:r>
    </w:p>
    <w:p w:rsidR="00E8624A" w:rsidRDefault="00886C58">
      <w:pPr>
        <w:tabs>
          <w:tab w:val="left" w:pos="1134"/>
        </w:tabs>
        <w:ind w:left="720" w:hanging="720"/>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«4.</w:t>
      </w:r>
      <w:r>
        <w:rPr>
          <w:noProof/>
        </w:rPr>
        <w:tab/>
      </w:r>
      <w:r>
        <w:rPr>
          <w:rFonts w:ascii="Times New Roman" w:hAnsi="Times New Roman"/>
          <w:noProof/>
          <w:sz w:val="24"/>
        </w:rPr>
        <w:t>Les entreprises d'investissement plaçant des instrument</w:t>
      </w:r>
      <w:r>
        <w:rPr>
          <w:rFonts w:ascii="Times New Roman" w:hAnsi="Times New Roman"/>
          <w:noProof/>
          <w:sz w:val="24"/>
        </w:rPr>
        <w:t>s financiers qui sont émis par elles-mêmes ou par d'autres entités auprès de leurs clients et qui sont inclus dans le calcul des exigences prudentielles spécifiées dans le règlement (UE) nº 575/2013 du Parlement européen et du Conseil, de la directive 2013</w:t>
      </w:r>
      <w:r>
        <w:rPr>
          <w:rFonts w:ascii="Times New Roman" w:hAnsi="Times New Roman"/>
          <w:noProof/>
          <w:sz w:val="24"/>
        </w:rPr>
        <w:t>/36/UE du Parlement européen et du Conseil ou de la directive 2014/59/UE du Parlement européen et du Conseil, fournissent à ces clients des informations supplémentaires expliquant les différences entre l'instrument financier et les dépôts bancaires en mati</w:t>
      </w:r>
      <w:r>
        <w:rPr>
          <w:rFonts w:ascii="Times New Roman" w:hAnsi="Times New Roman"/>
          <w:noProof/>
          <w:sz w:val="24"/>
        </w:rPr>
        <w:t xml:space="preserve">ère de rendement, de risque et de liquidité, ainsi </w:t>
      </w:r>
      <w:r>
        <w:rPr>
          <w:rFonts w:ascii="Times New Roman" w:hAnsi="Times New Roman"/>
          <w:noProof/>
          <w:sz w:val="24"/>
        </w:rPr>
        <w:lastRenderedPageBreak/>
        <w:t>qu'en matière de protection offerte par la directive 2014/49/UE du Parlement européen et du Conseil</w:t>
      </w:r>
      <w:r>
        <w:rPr>
          <w:rFonts w:ascii="Times New Roman" w:hAnsi="Times New Roman"/>
          <w:noProof/>
          <w:sz w:val="24"/>
          <w:vertAlign w:val="superscript"/>
        </w:rPr>
        <w:t>23</w:t>
      </w:r>
      <w:r>
        <w:rPr>
          <w:rFonts w:ascii="Times New Roman" w:hAnsi="Times New Roman"/>
          <w:noProof/>
          <w:sz w:val="24"/>
        </w:rPr>
        <w:t xml:space="preserve">.». </w:t>
      </w:r>
    </w:p>
    <w:p w:rsidR="00E8624A" w:rsidRDefault="00E8624A">
      <w:pPr>
        <w:ind w:left="720" w:hanging="720"/>
        <w:jc w:val="both"/>
        <w:rPr>
          <w:rFonts w:ascii="Times New Roman" w:hAnsi="Times New Roman" w:cs="Times New Roman"/>
          <w:noProof/>
          <w:sz w:val="24"/>
          <w:szCs w:val="24"/>
        </w:rPr>
      </w:pPr>
    </w:p>
    <w:p w:rsidR="00E8624A" w:rsidRDefault="00886C58">
      <w:pPr>
        <w:ind w:left="720" w:hanging="720"/>
        <w:jc w:val="both"/>
        <w:rPr>
          <w:rFonts w:ascii="Times New Roman" w:hAnsi="Times New Roman" w:cs="Times New Roman"/>
          <w:noProof/>
          <w:sz w:val="24"/>
          <w:szCs w:val="24"/>
        </w:rPr>
      </w:pPr>
      <w:r>
        <w:rPr>
          <w:rFonts w:ascii="Times New Roman" w:hAnsi="Times New Roman"/>
          <w:noProof/>
          <w:sz w:val="24"/>
        </w:rPr>
        <w:t>________________</w:t>
      </w:r>
    </w:p>
    <w:p w:rsidR="00E8624A" w:rsidRDefault="00886C58">
      <w:pPr>
        <w:jc w:val="both"/>
        <w:rPr>
          <w:rFonts w:ascii="Times New Roman" w:hAnsi="Times New Roman" w:cs="Times New Roman"/>
          <w:noProof/>
          <w:sz w:val="24"/>
          <w:szCs w:val="24"/>
        </w:rPr>
      </w:pPr>
      <w:r>
        <w:rPr>
          <w:rFonts w:ascii="Times New Roman" w:hAnsi="Times New Roman"/>
          <w:noProof/>
          <w:sz w:val="24"/>
          <w:vertAlign w:val="subscript"/>
        </w:rPr>
        <w:t>23</w:t>
      </w:r>
      <w:r>
        <w:rPr>
          <w:noProof/>
        </w:rPr>
        <w:tab/>
      </w:r>
      <w:r>
        <w:rPr>
          <w:rFonts w:ascii="Times New Roman" w:hAnsi="Times New Roman"/>
          <w:noProof/>
          <w:sz w:val="24"/>
        </w:rPr>
        <w:t>JO L 173 du 12.6.2014, p. 149.</w:t>
      </w:r>
    </w:p>
    <w:p w:rsidR="00E8624A" w:rsidRDefault="00E8624A">
      <w:pPr>
        <w:ind w:left="720" w:hanging="720"/>
        <w:jc w:val="both"/>
        <w:rPr>
          <w:rFonts w:ascii="Times New Roman" w:hAnsi="Times New Roman" w:cs="Times New Roman"/>
          <w:noProof/>
          <w:sz w:val="24"/>
          <w:szCs w:val="24"/>
        </w:rPr>
      </w:pPr>
    </w:p>
    <w:p w:rsidR="00E8624A" w:rsidRDefault="00E8624A">
      <w:pPr>
        <w:ind w:left="720" w:hanging="720"/>
        <w:jc w:val="both"/>
        <w:rPr>
          <w:rFonts w:ascii="Times New Roman" w:hAnsi="Times New Roman" w:cs="Times New Roman"/>
          <w:noProof/>
          <w:sz w:val="24"/>
          <w:szCs w:val="24"/>
        </w:rPr>
      </w:pPr>
    </w:p>
    <w:p w:rsidR="00E8624A" w:rsidRDefault="00E8624A">
      <w:pPr>
        <w:ind w:left="720" w:hanging="720"/>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53, paragraphe 3:</w:t>
      </w:r>
    </w:p>
    <w:p w:rsidR="00E8624A" w:rsidRDefault="00886C58">
      <w:pPr>
        <w:tabs>
          <w:tab w:val="left" w:pos="709"/>
        </w:tabs>
        <w:ind w:left="1276" w:hanging="1276"/>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«(b)</w:t>
      </w:r>
      <w:r>
        <w:rPr>
          <w:noProof/>
        </w:rPr>
        <w:tab/>
      </w:r>
      <w:r>
        <w:rPr>
          <w:rFonts w:ascii="Times New Roman" w:hAnsi="Times New Roman"/>
          <w:noProof/>
          <w:sz w:val="24"/>
        </w:rPr>
        <w:t>l'entreprise d'investissement s'est présentée comme indépendante pour ses activités dans leur ensemble mais ne l'a fait qu'eu égard aux services pour lesquels elle fournit un conseil en investissement indépendant; et»</w:t>
      </w:r>
    </w:p>
    <w:p w:rsidR="00E8624A" w:rsidRDefault="00886C58">
      <w:pPr>
        <w:tabs>
          <w:tab w:val="left" w:pos="709"/>
        </w:tabs>
        <w:ind w:left="1276" w:hanging="1276"/>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«(b)</w:t>
      </w:r>
      <w:r>
        <w:rPr>
          <w:noProof/>
        </w:rPr>
        <w:tab/>
      </w:r>
      <w:r>
        <w:rPr>
          <w:rFonts w:ascii="Times New Roman" w:hAnsi="Times New Roman"/>
          <w:noProof/>
          <w:sz w:val="24"/>
        </w:rPr>
        <w:t>l'entreprise d'investi</w:t>
      </w:r>
      <w:r>
        <w:rPr>
          <w:rFonts w:ascii="Times New Roman" w:hAnsi="Times New Roman"/>
          <w:noProof/>
          <w:sz w:val="24"/>
        </w:rPr>
        <w:t>ssement s'est présentée comme indépendante pour les services pour lesquels elle fournit un conseil en investissement indépendant;».</w:t>
      </w:r>
    </w:p>
    <w:p w:rsidR="00E8624A" w:rsidRDefault="00E8624A">
      <w:pPr>
        <w:ind w:left="720" w:hanging="720"/>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65, paragraphe 4, premier alinéa:</w:t>
      </w:r>
    </w:p>
    <w:p w:rsidR="00E8624A" w:rsidRDefault="00886C58">
      <w:pPr>
        <w:ind w:left="720" w:hanging="720"/>
        <w:jc w:val="both"/>
        <w:rPr>
          <w:rFonts w:ascii="Times New Roman" w:hAnsi="Times New Roman" w:cs="Times New Roman"/>
          <w:noProof/>
          <w:sz w:val="24"/>
          <w:szCs w:val="24"/>
        </w:rPr>
      </w:pPr>
      <w:r>
        <w:rPr>
          <w:rFonts w:ascii="Times New Roman" w:hAnsi="Times New Roman"/>
          <w:i/>
          <w:noProof/>
          <w:sz w:val="24"/>
        </w:rPr>
        <w:t>au lieu de</w:t>
      </w:r>
      <w:r>
        <w:rPr>
          <w:rFonts w:ascii="Times New Roman" w:hAnsi="Times New Roman"/>
          <w:noProof/>
          <w:sz w:val="24"/>
        </w:rPr>
        <w:t>:</w:t>
      </w:r>
      <w:r>
        <w:rPr>
          <w:noProof/>
        </w:rPr>
        <w:tab/>
      </w:r>
      <w:r>
        <w:rPr>
          <w:rFonts w:ascii="Times New Roman" w:hAnsi="Times New Roman"/>
          <w:noProof/>
          <w:sz w:val="24"/>
        </w:rPr>
        <w:t>«Les entreprises d'investissement prennent toutes les mesures suf</w:t>
      </w:r>
      <w:r>
        <w:rPr>
          <w:rFonts w:ascii="Times New Roman" w:hAnsi="Times New Roman"/>
          <w:noProof/>
          <w:sz w:val="24"/>
        </w:rPr>
        <w:t>fisantes pour obtenir le meilleur résultat possible pour leurs clients en tenant compte des facteurs mentionnés à l'article 27, paragraphe 1, de la directive 2014/65/UE. L'importance relative de ces facteurs est déterminée par référence aux critères défini</w:t>
      </w:r>
      <w:r>
        <w:rPr>
          <w:rFonts w:ascii="Times New Roman" w:hAnsi="Times New Roman"/>
          <w:noProof/>
          <w:sz w:val="24"/>
        </w:rPr>
        <w:t>s à l'article 59, paragraphe 1, et, pour les clients de détail, à l'exigence prévue par l'article 27, paragraphe 1, de la directive 2014/65/CE.»</w:t>
      </w:r>
    </w:p>
    <w:p w:rsidR="00E8624A" w:rsidRDefault="00886C58">
      <w:pPr>
        <w:ind w:left="720" w:hanging="720"/>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«Les entreprises d'investissement prennent toutes les mesures suffisantes pour obtenir le meilleur résult</w:t>
      </w:r>
      <w:r>
        <w:rPr>
          <w:rFonts w:ascii="Times New Roman" w:hAnsi="Times New Roman"/>
          <w:noProof/>
          <w:sz w:val="24"/>
        </w:rPr>
        <w:t>at possible pour leurs clients, en tenant compte des facteurs mentionnés à l'article 27, paragraphe 1, de la directive 2014/65/UE. L'importance relative de ces facteurs est déterminée par référence aux critères définis à l'article 64, paragraphe 1, et, pou</w:t>
      </w:r>
      <w:r>
        <w:rPr>
          <w:rFonts w:ascii="Times New Roman" w:hAnsi="Times New Roman"/>
          <w:noProof/>
          <w:sz w:val="24"/>
        </w:rPr>
        <w:t>r les clients de détail, à l'exigence prévue par l'article 27, paragraphe 1, de la directive 2014/65/CE.».</w:t>
      </w:r>
    </w:p>
    <w:p w:rsidR="00E8624A" w:rsidRDefault="00E8624A">
      <w:pPr>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77, paragraphe 1:</w:t>
      </w:r>
    </w:p>
    <w:p w:rsidR="00E8624A" w:rsidRDefault="00886C58">
      <w:pPr>
        <w:tabs>
          <w:tab w:val="left" w:pos="709"/>
        </w:tabs>
        <w:ind w:left="1276" w:hanging="1276"/>
        <w:jc w:val="both"/>
        <w:rPr>
          <w:rFonts w:ascii="Times New Roman" w:hAnsi="Times New Roman" w:cs="Times New Roman"/>
          <w:noProof/>
          <w:sz w:val="24"/>
          <w:szCs w:val="24"/>
        </w:rPr>
      </w:pPr>
      <w:r>
        <w:rPr>
          <w:rFonts w:ascii="Times New Roman" w:hAnsi="Times New Roman"/>
          <w:i/>
          <w:noProof/>
          <w:sz w:val="24"/>
        </w:rPr>
        <w:lastRenderedPageBreak/>
        <w:t>au lieu de:</w:t>
      </w:r>
      <w:r>
        <w:rPr>
          <w:noProof/>
        </w:rPr>
        <w:tab/>
      </w:r>
      <w:r>
        <w:rPr>
          <w:rFonts w:ascii="Times New Roman" w:hAnsi="Times New Roman"/>
          <w:noProof/>
          <w:sz w:val="24"/>
        </w:rPr>
        <w:t>«(b)</w:t>
      </w:r>
      <w:r>
        <w:rPr>
          <w:noProof/>
        </w:rPr>
        <w:tab/>
      </w:r>
      <w:r>
        <w:rPr>
          <w:rFonts w:ascii="Times New Roman" w:hAnsi="Times New Roman"/>
          <w:noProof/>
          <w:sz w:val="24"/>
        </w:rPr>
        <w:t>le dernier prix de clôture de l'action pour la première année de négociation, si ses instruments fina</w:t>
      </w:r>
      <w:r>
        <w:rPr>
          <w:rFonts w:ascii="Times New Roman" w:hAnsi="Times New Roman"/>
          <w:noProof/>
          <w:sz w:val="24"/>
        </w:rPr>
        <w:t>nciers sont admis à la négociation depuis plus d'un an, mais moins de deux ans;</w:t>
      </w:r>
    </w:p>
    <w:p w:rsidR="00E8624A" w:rsidRDefault="00886C58">
      <w:pPr>
        <w:tabs>
          <w:tab w:val="left" w:pos="709"/>
        </w:tabs>
        <w:ind w:left="1276" w:hanging="567"/>
        <w:jc w:val="both"/>
        <w:rPr>
          <w:rFonts w:ascii="Times New Roman" w:hAnsi="Times New Roman" w:cs="Times New Roman"/>
          <w:noProof/>
          <w:sz w:val="24"/>
          <w:szCs w:val="24"/>
        </w:rPr>
      </w:pPr>
      <w:r>
        <w:rPr>
          <w:rFonts w:ascii="Times New Roman" w:hAnsi="Times New Roman"/>
          <w:noProof/>
          <w:sz w:val="24"/>
        </w:rPr>
        <w:t>(c)</w:t>
      </w:r>
      <w:r>
        <w:rPr>
          <w:noProof/>
        </w:rPr>
        <w:tab/>
      </w:r>
      <w:r>
        <w:rPr>
          <w:rFonts w:ascii="Times New Roman" w:hAnsi="Times New Roman"/>
          <w:noProof/>
          <w:sz w:val="24"/>
        </w:rPr>
        <w:t xml:space="preserve">la moyenne des derniers prix de clôture de l'action pour chacune des deux premières années de négociation, si ses instruments financiers sont admis à la négociation depuis </w:t>
      </w:r>
      <w:r>
        <w:rPr>
          <w:rFonts w:ascii="Times New Roman" w:hAnsi="Times New Roman"/>
          <w:noProof/>
          <w:sz w:val="24"/>
        </w:rPr>
        <w:t>plus de deux ans, mais moins de trois ans.»</w:t>
      </w:r>
    </w:p>
    <w:p w:rsidR="00E8624A" w:rsidRDefault="00886C58">
      <w:pPr>
        <w:tabs>
          <w:tab w:val="left" w:pos="709"/>
        </w:tabs>
        <w:ind w:left="1276" w:hanging="1276"/>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«(b)</w:t>
      </w:r>
      <w:r>
        <w:rPr>
          <w:noProof/>
        </w:rPr>
        <w:tab/>
      </w:r>
      <w:r>
        <w:rPr>
          <w:rFonts w:ascii="Times New Roman" w:hAnsi="Times New Roman"/>
          <w:noProof/>
          <w:sz w:val="24"/>
        </w:rPr>
        <w:t>le dernier prix de clôture de l'action pour la première année de négociation, si ses actions sont admises à la négociation depuis plus d'un an, mais moins de deux ans;</w:t>
      </w:r>
    </w:p>
    <w:p w:rsidR="00E8624A" w:rsidRDefault="00886C58">
      <w:pPr>
        <w:ind w:left="1276" w:hanging="567"/>
        <w:jc w:val="both"/>
        <w:rPr>
          <w:rFonts w:ascii="Times New Roman" w:hAnsi="Times New Roman" w:cs="Times New Roman"/>
          <w:noProof/>
          <w:sz w:val="24"/>
          <w:szCs w:val="24"/>
        </w:rPr>
      </w:pPr>
      <w:r>
        <w:rPr>
          <w:rFonts w:ascii="Times New Roman" w:hAnsi="Times New Roman"/>
          <w:noProof/>
          <w:sz w:val="24"/>
        </w:rPr>
        <w:t>(c)</w:t>
      </w:r>
      <w:r>
        <w:rPr>
          <w:noProof/>
        </w:rPr>
        <w:tab/>
      </w:r>
      <w:r>
        <w:rPr>
          <w:rFonts w:ascii="Times New Roman" w:hAnsi="Times New Roman"/>
          <w:noProof/>
          <w:sz w:val="24"/>
        </w:rPr>
        <w:t xml:space="preserve">la moyenne des derniers prix </w:t>
      </w:r>
      <w:r>
        <w:rPr>
          <w:rFonts w:ascii="Times New Roman" w:hAnsi="Times New Roman"/>
          <w:noProof/>
          <w:sz w:val="24"/>
        </w:rPr>
        <w:t>de clôture de l'action pour chacune des deux premières années de négociation, si ses actions sont admises à la négociation depuis plus de deux ans, mais moins de trois ans.».</w:t>
      </w:r>
    </w:p>
    <w:p w:rsidR="00E8624A" w:rsidRDefault="00E8624A">
      <w:pPr>
        <w:ind w:left="720" w:hanging="720"/>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80, paragraphe 2:</w:t>
      </w:r>
    </w:p>
    <w:p w:rsidR="00E8624A" w:rsidRDefault="00886C58">
      <w:pPr>
        <w:ind w:left="720" w:hanging="720"/>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 xml:space="preserve">«Pour déterminer si une suspension ou </w:t>
      </w:r>
      <w:r>
        <w:rPr>
          <w:rFonts w:ascii="Times New Roman" w:hAnsi="Times New Roman"/>
          <w:noProof/>
          <w:sz w:val="24"/>
        </w:rPr>
        <w:t xml:space="preserve">un retrait est susceptible d'affecter de manière significative les intérêts des investisseurs ou le bon fonctionnement des marchés dans un cas donné, l'autorité nationale compétente, l'entreprise d'investissement ou l'opérateur de marché exploitant un MTF </w:t>
      </w:r>
      <w:r>
        <w:rPr>
          <w:rFonts w:ascii="Times New Roman" w:hAnsi="Times New Roman"/>
          <w:noProof/>
          <w:sz w:val="24"/>
        </w:rPr>
        <w:t>ou un OTF tient compte de tous les facteurs pertinents, y compris:»</w:t>
      </w:r>
    </w:p>
    <w:p w:rsidR="00E8624A" w:rsidRDefault="00886C58">
      <w:pPr>
        <w:ind w:left="720" w:hanging="720"/>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«Pour déterminer si une suspension ou un retrait est susceptible d'affecter de manière significative les intérêts des investisseurs ou le bon fonctionnement des marchés dans un cas d</w:t>
      </w:r>
      <w:r>
        <w:rPr>
          <w:rFonts w:ascii="Times New Roman" w:hAnsi="Times New Roman"/>
          <w:noProof/>
          <w:sz w:val="24"/>
        </w:rPr>
        <w:t>onné, l'autorité nationale compétente, l’opérateur de marché exploitant un marché réglementé ou l’entreprise d'investissement ou l’opérateur de marché exploitant un MTF ou un OTF tient compte de tous les facteurs pertinents, y compris:».</w:t>
      </w:r>
    </w:p>
    <w:p w:rsidR="00E8624A" w:rsidRDefault="00E8624A">
      <w:pPr>
        <w:ind w:left="720" w:hanging="720"/>
        <w:jc w:val="both"/>
        <w:rPr>
          <w:rFonts w:ascii="Times New Roman" w:hAnsi="Times New Roman" w:cs="Times New Roman"/>
          <w:noProof/>
          <w:sz w:val="24"/>
          <w:szCs w:val="24"/>
        </w:rPr>
      </w:pPr>
    </w:p>
    <w:p w:rsidR="00E8624A" w:rsidRDefault="00886C58">
      <w:pPr>
        <w:jc w:val="both"/>
        <w:rPr>
          <w:rFonts w:ascii="Times New Roman" w:hAnsi="Times New Roman" w:cs="Times New Roman"/>
          <w:noProof/>
          <w:sz w:val="24"/>
          <w:szCs w:val="24"/>
        </w:rPr>
      </w:pPr>
      <w:r>
        <w:rPr>
          <w:rFonts w:ascii="Times New Roman" w:hAnsi="Times New Roman"/>
          <w:noProof/>
          <w:sz w:val="24"/>
        </w:rPr>
        <w:t>À l’article 80:</w:t>
      </w:r>
    </w:p>
    <w:p w:rsidR="00E8624A" w:rsidRDefault="00886C58">
      <w:pPr>
        <w:tabs>
          <w:tab w:val="left" w:pos="709"/>
        </w:tabs>
        <w:ind w:left="1276" w:hanging="1276"/>
        <w:jc w:val="both"/>
        <w:rPr>
          <w:rFonts w:ascii="Times New Roman" w:hAnsi="Times New Roman" w:cs="Times New Roman"/>
          <w:noProof/>
          <w:sz w:val="24"/>
          <w:szCs w:val="24"/>
        </w:rPr>
      </w:pPr>
      <w:r>
        <w:rPr>
          <w:rFonts w:ascii="Times New Roman" w:hAnsi="Times New Roman"/>
          <w:i/>
          <w:noProof/>
          <w:sz w:val="24"/>
        </w:rPr>
        <w:t>au lieu de:</w:t>
      </w:r>
      <w:r>
        <w:rPr>
          <w:noProof/>
        </w:rPr>
        <w:tab/>
      </w:r>
      <w:r>
        <w:rPr>
          <w:rFonts w:ascii="Times New Roman" w:hAnsi="Times New Roman"/>
          <w:noProof/>
          <w:sz w:val="24"/>
        </w:rPr>
        <w:t>«3.</w:t>
      </w:r>
      <w:r>
        <w:rPr>
          <w:noProof/>
        </w:rPr>
        <w:tab/>
      </w:r>
      <w:r>
        <w:rPr>
          <w:rFonts w:ascii="Times New Roman" w:hAnsi="Times New Roman"/>
          <w:noProof/>
          <w:sz w:val="24"/>
        </w:rPr>
        <w:t xml:space="preserve">Les facteurs définis au paragraphe 3 sont également pris en considération lorsqu'une autorité compétente nationale, une entreprise d'investissement ou un opérateur de marché exploitant un MTF ou un OTF décide de ne pas suspendre ou retirer </w:t>
      </w:r>
      <w:r>
        <w:rPr>
          <w:rFonts w:ascii="Times New Roman" w:hAnsi="Times New Roman"/>
          <w:noProof/>
          <w:sz w:val="24"/>
        </w:rPr>
        <w:t>un instrument financier en se fondant sur des circonstances ne figurant pas dans la liste du paragraphe 1.»</w:t>
      </w:r>
    </w:p>
    <w:p w:rsidR="00E8624A" w:rsidRDefault="00886C58">
      <w:pPr>
        <w:tabs>
          <w:tab w:val="left" w:pos="709"/>
        </w:tabs>
        <w:ind w:left="1276" w:hanging="1276"/>
        <w:jc w:val="both"/>
        <w:rPr>
          <w:rFonts w:ascii="Times New Roman" w:hAnsi="Times New Roman" w:cs="Times New Roman"/>
          <w:noProof/>
          <w:sz w:val="24"/>
          <w:szCs w:val="24"/>
        </w:rPr>
      </w:pPr>
      <w:r>
        <w:rPr>
          <w:rFonts w:ascii="Times New Roman" w:hAnsi="Times New Roman"/>
          <w:i/>
          <w:noProof/>
          <w:sz w:val="24"/>
        </w:rPr>
        <w:t>lire:</w:t>
      </w:r>
      <w:r>
        <w:rPr>
          <w:noProof/>
        </w:rPr>
        <w:tab/>
      </w:r>
      <w:r>
        <w:rPr>
          <w:rFonts w:ascii="Times New Roman" w:hAnsi="Times New Roman"/>
          <w:noProof/>
          <w:sz w:val="24"/>
        </w:rPr>
        <w:t>«3.</w:t>
      </w:r>
      <w:r>
        <w:rPr>
          <w:noProof/>
        </w:rPr>
        <w:tab/>
      </w:r>
      <w:r>
        <w:rPr>
          <w:rFonts w:ascii="Times New Roman" w:hAnsi="Times New Roman"/>
          <w:noProof/>
          <w:sz w:val="24"/>
        </w:rPr>
        <w:t>Les facteurs définis au paragraphe 2 sont également pris en considération lorsqu'une autorité compétente nationale, un opérateur de marché</w:t>
      </w:r>
      <w:r>
        <w:rPr>
          <w:rFonts w:ascii="Times New Roman" w:hAnsi="Times New Roman"/>
          <w:noProof/>
          <w:sz w:val="24"/>
        </w:rPr>
        <w:t xml:space="preserve"> exploitant un marché réglementé ou une entreprise d’investissement ou un opérateur de marché exploitant un MTF ou un OTF décide de ne pas suspendre ou retirer un instrument </w:t>
      </w:r>
      <w:r>
        <w:rPr>
          <w:rFonts w:ascii="Times New Roman" w:hAnsi="Times New Roman"/>
          <w:noProof/>
          <w:sz w:val="24"/>
        </w:rPr>
        <w:lastRenderedPageBreak/>
        <w:t>financier en se fondant sur des circonstances ne figurant pas dans la liste du par</w:t>
      </w:r>
      <w:r>
        <w:rPr>
          <w:rFonts w:ascii="Times New Roman" w:hAnsi="Times New Roman"/>
          <w:noProof/>
          <w:sz w:val="24"/>
        </w:rPr>
        <w:t>agraphe 1.».</w:t>
      </w:r>
    </w:p>
    <w:p w:rsidR="00E8624A" w:rsidRDefault="00E8624A">
      <w:pPr>
        <w:jc w:val="both"/>
        <w:rPr>
          <w:rFonts w:ascii="Times New Roman" w:hAnsi="Times New Roman" w:cs="Times New Roman"/>
          <w:noProof/>
          <w:sz w:val="24"/>
          <w:szCs w:val="24"/>
        </w:rPr>
      </w:pPr>
    </w:p>
    <w:sectPr w:rsidR="00E8624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C58" w:rsidRDefault="00886C58">
      <w:pPr>
        <w:spacing w:after="0" w:line="240" w:lineRule="auto"/>
      </w:pPr>
      <w:r>
        <w:separator/>
      </w:r>
    </w:p>
  </w:endnote>
  <w:endnote w:type="continuationSeparator" w:id="0">
    <w:p w:rsidR="00886C58" w:rsidRDefault="0088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886C58">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615513"/>
      <w:docPartObj>
        <w:docPartGallery w:val="Page Numbers (Bottom of Page)"/>
        <w:docPartUnique/>
      </w:docPartObj>
    </w:sdtPr>
    <w:sdtEndPr>
      <w:rPr>
        <w:noProof/>
      </w:rPr>
    </w:sdtEndPr>
    <w:sdtContent>
      <w:p w:rsidR="00E8624A" w:rsidRDefault="00886C58">
        <w:pPr>
          <w:pStyle w:val="Footer"/>
          <w:jc w:val="center"/>
        </w:pPr>
        <w:r>
          <w:fldChar w:fldCharType="begin"/>
        </w:r>
        <w:r>
          <w:instrText xml:space="preserve"> PAGE   \* MERGEFORMAT </w:instrText>
        </w:r>
        <w:r>
          <w:fldChar w:fldCharType="separate"/>
        </w:r>
        <w:r w:rsidR="00C00F61">
          <w:rPr>
            <w:noProof/>
          </w:rPr>
          <w:t>3</w:t>
        </w:r>
        <w:r>
          <w:rPr>
            <w:noProof/>
          </w:rPr>
          <w:fldChar w:fldCharType="end"/>
        </w:r>
      </w:p>
    </w:sdtContent>
  </w:sdt>
  <w:p w:rsidR="00E8624A" w:rsidRDefault="00E862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C58" w:rsidRDefault="00886C58">
      <w:pPr>
        <w:spacing w:after="0" w:line="240" w:lineRule="auto"/>
      </w:pPr>
      <w:r>
        <w:separator/>
      </w:r>
    </w:p>
  </w:footnote>
  <w:footnote w:type="continuationSeparator" w:id="0">
    <w:p w:rsidR="00886C58" w:rsidRDefault="00886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4A" w:rsidRDefault="00E86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VERPAGE_GUID" w:val="69E5C83758A346D6B3102F3050F04E06"/>
    <w:docVar w:name="LW_CROSSREFERENCE" w:val="&lt;UNUSED&gt;"/>
    <w:docVar w:name="LW_DATE.ADOPT.CP" w:val="du 17.3.2017"/>
    <w:docVar w:name="LW_DATE.ADOPT.CP_ISODATE" w:val="2017-03-17"/>
    <w:docVar w:name="LW_DocType" w:val="NORMAL"/>
    <w:docVar w:name="LW_EMISSION" w:val="17.3.2017"/>
    <w:docVar w:name="LW_EMISSION_ISODATE" w:val="2017-03-17"/>
    <w:docVar w:name="LW_EMISSION_LOCATION" w:val="BRX"/>
    <w:docVar w:name="LW_EMISSION_PREFIX" w:val="Bruxelles, le "/>
    <w:docVar w:name="LW_EMISSION_SUFFIX" w:val=" "/>
    <w:docVar w:name="LW_ID_DOCTYPE_NONLW" w:val="CP-034"/>
    <w:docVar w:name="LW_LANGUE" w:val="FR"/>
    <w:docVar w:name="LW_MARKING" w:val="&lt;UNUSED&gt;"/>
    <w:docVar w:name="LW_NOM.INST" w:val="COMMISSION EUROPÉENNE"/>
    <w:docVar w:name="LW_NOM.INST_JOINTDOC" w:val="&lt;EMPTY&gt;"/>
    <w:docVar w:name="LW_PART_NBR" w:val="1"/>
    <w:docVar w:name="LW_PART_NBR_TOTAL" w:val="1"/>
    <w:docVar w:name="LW_REF.INST.NEW" w:val="C"/>
    <w:docVar w:name="LW_REF.INST.NEW_ADOPTED" w:val="final"/>
    <w:docVar w:name="LW_REF.INST.NEW_TEXT" w:val="(2017) 1872"/>
    <w:docVar w:name="LW_REF.INTERNE" w:val="&lt;UNUSED&gt;"/>
    <w:docVar w:name="LW_SOUS.TITRE.OBJ.CP" w:val="C(2016) 2398 final"/>
    <w:docVar w:name="LW_SUPERTITRE" w:val="&lt;UNUSED&gt;"/>
    <w:docVar w:name="LW_TITRE.OBJ.CP" w:val="au règlement délégué de la Commission du 25 avril 2016 complétant la directive 2014/65/UE du Parlement européen et du Conseil en ce qui concerne les exigences organisationnelles et les conditions d'exercice applicables aux entreprises d'investissement et la définition de certains termes aux fins de ladite directive "/>
    <w:docVar w:name="LW_TYPE.DOC.CP" w:val="RECTIFICATIF"/>
    <w:docVar w:name="LW_TYPE.DOC.CP.USERTEXT" w:val="&lt;EMPTY&gt;"/>
  </w:docVars>
  <w:rsids>
    <w:rsidRoot w:val="00E8624A"/>
    <w:rsid w:val="00886C58"/>
    <w:rsid w:val="00C00F61"/>
    <w:rsid w:val="00E862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Point0number">
    <w:name w:val="Point 0 (number)"/>
    <w:basedOn w:val="Normal"/>
    <w:pPr>
      <w:numPr>
        <w:numId w:val="1"/>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1"/>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1"/>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1"/>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1"/>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1"/>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1"/>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1"/>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1"/>
      </w:numPr>
      <w:spacing w:before="120" w:after="120" w:line="240" w:lineRule="auto"/>
      <w:jc w:val="both"/>
    </w:pPr>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Point0number">
    <w:name w:val="Point 0 (number)"/>
    <w:basedOn w:val="Normal"/>
    <w:pPr>
      <w:numPr>
        <w:numId w:val="1"/>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1"/>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1"/>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1"/>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1"/>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1"/>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1"/>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1"/>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1"/>
      </w:numPr>
      <w:spacing w:before="120" w:after="120" w:line="240" w:lineRule="auto"/>
      <w:jc w:val="both"/>
    </w:pPr>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B076-B9B7-437B-975F-4B86F5CC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2648</Words>
  <Characters>16292</Characters>
  <Application>Microsoft Office Word</Application>
  <DocSecurity>0</DocSecurity>
  <Lines>332</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KONONIUK Agnieszka (SG)</cp:lastModifiedBy>
  <cp:revision>22</cp:revision>
  <dcterms:created xsi:type="dcterms:W3CDTF">2017-03-14T17:36:00Z</dcterms:created>
  <dcterms:modified xsi:type="dcterms:W3CDTF">2017-03-17T14:16:00Z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Red</vt:lpwstr>
  </property>
</Properties>
</file>