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6DB6051440AA4851803CEEBF604572E6" style="width:450.75pt;height:420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ПОПРАВКА</w:t>
      </w:r>
    </w:p>
    <w:p>
      <w:pPr>
        <w:pStyle w:val="Titreobjet"/>
        <w:rPr>
          <w:noProof/>
        </w:rPr>
      </w:pPr>
      <w:r>
        <w:rPr>
          <w:noProof/>
        </w:rPr>
        <w:t>на Делегиран регламент на Комисията от 14 юли 2016 година за допълване на Регламент (ЕС) № 600/2014 на Европейския парламент и на Съвета относно пазарите на финансови инструменти по отношение на регулаторните технически стандарти за изискванията за прозрачност, засягащи местата на търговия и инвестиционните посредници, във връзка с облигациите, структурираните финансови продукти, квотите за емисии и дериватите</w:t>
      </w:r>
      <w:r>
        <w:rPr>
          <w:noProof/>
        </w:rPr>
        <w:br/>
      </w:r>
      <w:r>
        <w:rPr>
          <w:noProof/>
        </w:rPr>
        <w:br/>
        <w:t>C(2016) 4301 final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съображение 25: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„Временното преустановяване на задълженията за ликвидност следва да се прилага само в изключителни случаи“,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„Временното преустановяване на задълженията за прозрачност следва да се прилага само в изключителни случаи“.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1, параграф 1, буква а):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„едновременното изпълнение на еквивалентно количество базисни материални активи“,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„едновременното изпълнение на сделка с еквивалентно количество от базисен материален актив“.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1, параграф 1, буква б), подточка ii):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„при която всеки компонент предполага значим икономически или финансов риск, свързан с всички останали компоненти“,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„при която всеки компонент на сделката предполага значим икономически или финансов риск, свързан с всички останали компоненти“.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8, параграф 1, буква г), подточка i):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„един или повече от нейните компоненти са финансови инструменти, за които няма ликвиден пазар;“,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„един или повече от нейните компоненти са сделки с финансови инструменти, за които няма ликвиден пазар;“.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12, буква а):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„член 2, параграф 4“,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„член 2, параграф 5“.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14: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„1.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Сделка се счита […]“,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Сделка се счита […]“.</w:t>
      </w:r>
    </w:p>
    <w:p>
      <w:pPr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highlight w:val="yellow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15: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„1.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Член 1, параграф 6 от Регламент (ЕС) № 600/2014 […]“,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Член 1, параграф 6 от Регламент (ЕС) № 600/2014 […]“.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19, втората алинея: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„Настоящият регламент се прилага от датата, посочена в член 55, втора алинея от Регламент (ЕС) № 600/2014.“,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„Той се прилага от 3 януари 2018 г.“.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приложение III, параграф 1, точка 10: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„„Суап“ е договор, при който двете страни се договарят да разменят парични потоци от един финансов инструмент за тези от друг в определен бъдещ момент.“,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„„Суап“ е договор, при който двете страни се договарят да разменят парични потоци от един финансов инструмент за тези от друг финансов инструмент в определен бъдещ момент.“.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10522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Formatting/>
  <w:defaultTabStop w:val="720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6DB6051440AA4851803CEEBF604572E6"/>
    <w:docVar w:name="LW_CROSSREFERENCE" w:val="&lt;UNUSED&gt;"/>
    <w:docVar w:name="LW_DATE.ADOPT.CP" w:val="\u1086?\u1090? 15.3.2017 \u1075?\u1086?\u1076?\u1080?\u1085?\u1072?"/>
    <w:docVar w:name="LW_DATE.ADOPT.CP_ISODATE" w:val="2017-03-15"/>
    <w:docVar w:name="LW_DocType" w:val="NORMAL"/>
    <w:docVar w:name="LW_EMISSION" w:val="15.3.2017"/>
    <w:docVar w:name="LW_EMISSION_ISODATE" w:val="2017-03-15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49"/>
    <w:docVar w:name="LW_REF.INTERNE" w:val="&lt;UNUSED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\u1085?\u1072? \u1050?\u1086?\u1084?\u1080?\u1089?\u1080?\u1103?\u1090?\u1072? \u1086?\u1090? 14 \u1102?\u1083?\u1080? 2016 \u1075?\u1086?\u1076?\u1080?\u1085?\u1072? \u1079?\u1072? \u1076?\u1086?\u1087?\u1098?\u1083?\u1074?\u1072?\u1085?\u1077? \u1085?\u1072? \u1056?\u1077?\u1075?\u1083?\u1072?\u1084?\u1077?\u1085?\u1090? (\u1045?\u1057?) \u8470? 600/2014 \u1085?\u1072? \u1045?\u1074?\u1088?\u1086?\u1087?\u1077?\u1081?\u1089?\u1082?\u1080?\u1103? \u1087?\u1072?\u1088?\u1083?\u1072?\u1084?\u1077?\u1085?\u1090? \u1080? \u1085?\u1072? \u1057?\u1098?\u1074?\u1077?\u1090?\u1072? \u1086?\u1090?\u1085?\u1086?\u1089?\u1085?\u1086? \u1087?\u1072?\u1079?\u1072?\u1088?\u1080?\u1090?\u1077? \u1085?\u1072? \u1092?\u1080?\u1085?\u1072?\u1085?\u1089?\u1086?\u1074?\u1080? \u1080?\u1085?\u1089?\u1090?\u1088?\u1091?\u1084?\u1077?\u1085?\u1090?\u1080? \u1087?\u1086? \u1086?\u1090?\u1085?\u1086?\u1096?\u1077?\u1085?\u1080?\u1077? \u1085?\u1072? \u1088?\u1077?\u1075?\u1091?\u1083?\u1072?\u1090?\u1086?\u1088?\u1085?\u1080?\u1090?\u1077? \u1090?\u1077?\u1093?\u1085?\u1080?\u1095?\u1077?\u1089?\u1082?\u1080? \u1089?\u1090?\u1072?\u1085?\u1076?\u1072?\u1088?\u1090?\u1080? \u1079?\u1072? \u1080?\u1079?\u1080?\u1089?\u1082?\u1074?\u1072?\u1085?\u1080?\u1103?\u1090?\u1072? \u1079?\u1072? \u1087?\u1088?\u1086?\u1079?\u1088?\u1072?\u1095?\u1085?\u1086?\u1089?\u1090?, \u1079?\u1072?\u1089?\u1103?\u1075?\u1072?\u1097?\u1080? \u1084?\u1077?\u1089?\u1090?\u1072?\u1090?\u1072? \u1085?\u1072? \u1090?\u1098?\u1088?\u1075?\u1086?\u1074?\u1080?\u1103? \u1080? \u1080?\u1085?\u1074?\u1077?\u1089?\u1090?\u1080?\u1094?\u1080?\u1086?\u1085?\u1085?\u1080?\u1090?\u1077? \u1087?\u1086?\u1089?\u1088?\u1077?\u1076?\u1085?\u1080?\u1094?\u1080?, \u1074?\u1098?\u1074? \u1074?\u1088?\u1098?\u1079?\u1082?\u1072? \u1089? \u1086?\u1073?\u1083?\u1080?\u1075?\u1072?\u1094?\u1080?\u1080?\u1090?\u1077?, \u1089?\u1090?\u1088?\u1091?\u1082?\u1090?\u1091?\u1088?\u1080?\u1088?\u1072?\u1085?\u1080?\u1090?\u1077? \u1092?\u1080?\u1085?\u1072?\u1085?\u1089?\u1086?\u1074?\u1080? \u1087?\u1088?\u1086?\u1076?\u1091?\u1082?\u1090?\u1080?, \u1082?\u1074?\u1086?\u1090?\u1080?\u1090?\u1077? \u1079?\u1072? \u1077?\u1084?\u1080?\u1089?\u1080?\u1080? \u1080? \u1076?\u1077?\u1088?\u1080?\u1074?\u1072?\u1090?\u1080?\u1090?\u1077?_x000b__x000b_C(2016) 4301 final"/>
    <w:docVar w:name="LW_TYPE.DOC.CP" w:val="\u1055?\u1054?\u1055?\u1056?\u1040?\u1042?\u1050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374</Words>
  <Characters>2030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20</cp:revision>
  <dcterms:created xsi:type="dcterms:W3CDTF">2017-03-13T12:49:00Z</dcterms:created>
  <dcterms:modified xsi:type="dcterms:W3CDTF">2017-03-16T09:41:00Z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