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379D6FADC154590953FC7B93EB60674" style="width:450.75pt;height:420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RECTIFICATIF</w:t>
      </w:r>
    </w:p>
    <w:p>
      <w:pPr>
        <w:pStyle w:val="Titreobjet"/>
        <w:rPr>
          <w:noProof/>
        </w:rPr>
      </w:pPr>
      <w:r>
        <w:rPr>
          <w:noProof/>
        </w:rPr>
        <w:t>au règlement délégué de la Commission du 14 juillet 2016 complétant le règlement (UE) nº 600/2014 du Parlement européen et du Conseil concernant les marchés d'instruments financiers par des normes techniques de réglementation relatives aux obligations de transparence applicables aux plates-formes de négociation et aux entreprises d'investissement pour les obligations, produits financiers structurés, quotas d'émission et instruments dérivés</w:t>
      </w:r>
      <w:r>
        <w:rPr>
          <w:noProof/>
        </w:rPr>
        <w:br/>
      </w:r>
      <w:r>
        <w:rPr>
          <w:noProof/>
        </w:rPr>
        <w:br/>
        <w:t>C(2016) 4301 final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Au considérant 10: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«incombant au dispositif de publication agréé de l'opérateur de marché ou à l'entreprise d'investissement concernée.»,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«incombant à l’opérateur de marché, au dispositif de publication agréé ou à l'entreprise d'investissement concerné(e).».</w:t>
      </w:r>
    </w:p>
    <w:p>
      <w:pPr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highlight w:val="yellow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Au considérant 25: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«La suspension temporaire des obligations relatives à la liquidité doit être imposée uniquement dans des situations exceptionnelles,»,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«La suspension temporaire des obligations en matière de transparence doit être imposée uniquement dans des situations exceptionnelles,».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l'article 1</w:t>
      </w:r>
      <w:r>
        <w:rPr>
          <w:rFonts w:ascii="Times New Roman" w:hAnsi="Times New Roman"/>
          <w:noProof/>
          <w:sz w:val="24"/>
          <w:vertAlign w:val="superscript"/>
        </w:rPr>
        <w:t>er</w:t>
      </w:r>
      <w:r>
        <w:rPr>
          <w:rFonts w:ascii="Times New Roman" w:hAnsi="Times New Roman"/>
          <w:noProof/>
          <w:sz w:val="24"/>
        </w:rPr>
        <w:t>, paragraphe 1, point a):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«l'exécution simultanée d'une quantité équivalente d'un actif au comptant sous-jacent»,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«l'exécution simultanée d'une transaction sur une quantité équivalente d'un actif physique sous-jacent».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l’article 8, paragraphe 1, point d) i):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«une ou plusieurs de ses composantes sont des instruments financiers qui n'ont pas de marché liquide;»,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«une ou plusieurs de ses composantes sont des transactions sur des instruments financiers qui n'ont pas de marché liquide;».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l’article 12, point (a):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«à l’article 2, paragraphe 4,»,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«à l’article 2, paragraphe 5,».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l'article 13, paragraphe 1, point a):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«détermination statique»,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«Une détermination statique».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l'article 14: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Une transaction est considérée […]»,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«Une transaction est considérée […]».</w:t>
      </w:r>
    </w:p>
    <w:p>
      <w:pPr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highlight w:val="yellow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l'article 15: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L'article 1</w:t>
      </w:r>
      <w:r>
        <w:rPr>
          <w:rFonts w:ascii="Times New Roman" w:hAnsi="Times New Roman"/>
          <w:noProof/>
          <w:sz w:val="24"/>
          <w:vertAlign w:val="superscript"/>
        </w:rPr>
        <w:t>er</w:t>
      </w:r>
      <w:r>
        <w:rPr>
          <w:rFonts w:ascii="Times New Roman" w:hAnsi="Times New Roman"/>
          <w:noProof/>
          <w:sz w:val="24"/>
        </w:rPr>
        <w:t>, paragraphe 6, du règlement (UE) nº 600/2014 […]»,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«L'article 1</w:t>
      </w:r>
      <w:r>
        <w:rPr>
          <w:rFonts w:ascii="Times New Roman" w:hAnsi="Times New Roman"/>
          <w:noProof/>
          <w:sz w:val="24"/>
          <w:vertAlign w:val="superscript"/>
        </w:rPr>
        <w:t>er</w:t>
      </w:r>
      <w:r>
        <w:rPr>
          <w:rFonts w:ascii="Times New Roman" w:hAnsi="Times New Roman"/>
          <w:noProof/>
          <w:sz w:val="24"/>
        </w:rPr>
        <w:t>, paragraphe 6, du règlement (UE) nº 600/2014 […]».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À l’article 19, deuxième alinéa: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au lieu de: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«Il s'applique à partir de la date visée à l'article 55, deuxième alinéa, du règlement (UE) nº 600/2014.»,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lire: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«Il s'applique à partir du 3 janvier 2018.».</w:t>
      </w:r>
    </w:p>
    <w:p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59896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Formatting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7379D6FADC154590953FC7B93EB60674"/>
    <w:docVar w:name="LW_CROSSREFERENCE" w:val="&lt;UNUSED&gt;"/>
    <w:docVar w:name="LW_DATE.ADOPT.CP" w:val="du 15.3.2017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Bruxelles, le "/>
    <w:docVar w:name="LW_EMISSION_SUFFIX" w:val=" "/>
    <w:docVar w:name="LW_ID_DOCTYPE_NONLW" w:val="CP-034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49"/>
    <w:docVar w:name="LW_REF.INTERNE" w:val="&lt;UNUSED&gt;"/>
    <w:docVar w:name="LW_SOUS.TITRE.OBJ.CP" w:val="&lt;UNUSED&gt;"/>
    <w:docVar w:name="LW_SUPERTITRE" w:val="&lt;UNUSED&gt;"/>
    <w:docVar w:name="LW_TITRE.OBJ.CP" w:val="au règlement délégué de la Commission du 14 juillet 2016 complétant le règlement (UE) nº 600/2014 du Parlement européen et du Conseil concernant les marchés d'instruments financiers par des normes techniques de réglementation relatives aux obligations de transparence applicables aux plates-formes de négociation et aux entreprises d'investissement pour les obligations, produits financiers structurés, quotas d'émission et instruments dérivés_x000b__x000b_C(2016) 4301 final"/>
    <w:docVar w:name="LW_TYPE.DOC.CP" w:val="RECTIFICATIF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338</Words>
  <Characters>1986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dcterms:created xsi:type="dcterms:W3CDTF">2017-03-13T12:49:00Z</dcterms:created>
  <dcterms:modified xsi:type="dcterms:W3CDTF">2017-03-16T09:40:00Z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