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D04BDCF271F4956B0D5BABA17B85E94" style="width:450.35pt;height:406.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2"/>
          <w:cols w:space="720"/>
          <w:docGrid w:linePitch="299"/>
        </w:sectPr>
      </w:pPr>
    </w:p>
    <w:p>
      <w:pPr>
        <w:pStyle w:val="Typedudocument"/>
        <w:rPr>
          <w:noProof/>
        </w:rPr>
      </w:pPr>
      <w:bookmarkStart w:id="1" w:name="_GoBack"/>
      <w:bookmarkEnd w:id="1"/>
      <w:r>
        <w:rPr>
          <w:noProof/>
        </w:rPr>
        <w:lastRenderedPageBreak/>
        <w:t>CORRIGENDUM</w:t>
      </w:r>
    </w:p>
    <w:p>
      <w:pPr>
        <w:pStyle w:val="Titreobjet"/>
        <w:rPr>
          <w:noProof/>
        </w:rPr>
      </w:pPr>
      <w:r>
        <w:rPr>
          <w:noProof/>
        </w:rPr>
        <w:t>to Commission Delegated Regulation of 13 June 2016 supplementing Regulation (EU) No 600/2014 of the European Parliament and of the Council on markets in financial instruments with regard to regulatory technical standards on the volume cap mechanism and the provision of information for the purposes of transparency and other calculations</w:t>
      </w:r>
      <w:r>
        <w:rPr>
          <w:noProof/>
        </w:rPr>
        <w:br/>
      </w:r>
      <w:r>
        <w:rPr>
          <w:noProof/>
        </w:rPr>
        <w:br/>
        <w:t>C(2016) 2711 final</w:t>
      </w:r>
    </w:p>
    <w:p>
      <w:pPr>
        <w:rPr>
          <w:noProof/>
        </w:rPr>
      </w:pPr>
    </w:p>
    <w:p>
      <w:pPr>
        <w:rPr>
          <w:rFonts w:ascii="Times New Roman" w:hAnsi="Times New Roman" w:cs="Times New Roman"/>
          <w:noProof/>
          <w:sz w:val="24"/>
          <w:szCs w:val="24"/>
        </w:rPr>
      </w:pPr>
      <w:r>
        <w:rPr>
          <w:rFonts w:ascii="Times New Roman" w:hAnsi="Times New Roman" w:cs="Times New Roman"/>
          <w:noProof/>
          <w:sz w:val="24"/>
          <w:szCs w:val="24"/>
        </w:rPr>
        <w:t>In Article 8(2):</w:t>
      </w:r>
    </w:p>
    <w:p>
      <w:pPr>
        <w:rPr>
          <w:rFonts w:ascii="Times New Roman" w:hAnsi="Times New Roman" w:cs="Times New Roman"/>
          <w:b/>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‘2.</w:t>
      </w:r>
      <w:r>
        <w:rPr>
          <w:rFonts w:ascii="Times New Roman" w:hAnsi="Times New Roman" w:cs="Times New Roman"/>
          <w:noProof/>
          <w:sz w:val="24"/>
          <w:szCs w:val="24"/>
        </w:rPr>
        <w:tab/>
        <w:t>The publication referred to in paragraph 1 shall be free of charge and in a machine-readable and human-readable format as defined in Article 14 of the Commission Delegated Regulation (EU) …/… of xxx supplementing Directive 2014/65/EU of the European Parliament and of the Council with regard to regulatory technical standards on the authorization, organisational requirements and the publication of transactions for data reporting services providers and in Article 13(5) and (6) of Commission Delegated Regulation (EU) XX/XXX of xxx supplementing Regulation (EU) No 600/2016 of the European Parliament and of the Council with regard to the definitions, transparency, derivatives, portfolio compression an supervisory measures on product intervention and positions</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_Ref476666531 \f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noProof/>
        </w:rPr>
        <w:t>12</w:t>
      </w:r>
      <w:r>
        <w:rPr>
          <w:rFonts w:ascii="Times New Roman" w:hAnsi="Times New Roman" w:cs="Times New Roman"/>
          <w:noProof/>
          <w:sz w:val="24"/>
          <w:szCs w:val="24"/>
        </w:rPr>
        <w:fldChar w:fldCharType="end"/>
      </w:r>
      <w:r>
        <w:rPr>
          <w:rFonts w:ascii="Times New Roman" w:hAnsi="Times New Roman" w:cs="Times New Roman"/>
          <w:noProof/>
          <w:sz w:val="24"/>
          <w:szCs w:val="24"/>
        </w:rPr>
        <w:t>.</w:t>
      </w:r>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‘2.</w:t>
      </w:r>
      <w:r>
        <w:rPr>
          <w:rFonts w:ascii="Times New Roman" w:hAnsi="Times New Roman" w:cs="Times New Roman"/>
          <w:noProof/>
          <w:sz w:val="24"/>
          <w:szCs w:val="24"/>
        </w:rPr>
        <w:tab/>
        <w:t>The publication referred to in paragraph 1 shall be free of charge and in a machine-readable and human-readable format as defined in Article 14 of Commission Delegated Regulation (EU) …/…</w:t>
      </w:r>
      <w:bookmarkStart w:id="2" w:name="_Ref476666531"/>
      <w:r>
        <w:rPr>
          <w:rStyle w:val="FootnoteReference"/>
          <w:rFonts w:ascii="Times New Roman" w:hAnsi="Times New Roman" w:cs="Times New Roman"/>
          <w:noProof/>
          <w:sz w:val="24"/>
          <w:szCs w:val="24"/>
        </w:rPr>
        <w:footnoteReference w:id="1"/>
      </w:r>
      <w:bookmarkEnd w:id="2"/>
      <w:r>
        <w:rPr>
          <w:rFonts w:ascii="Times New Roman" w:hAnsi="Times New Roman" w:cs="Times New Roman"/>
          <w:noProof/>
          <w:sz w:val="24"/>
          <w:szCs w:val="24"/>
        </w:rPr>
        <w:t xml:space="preserve"> and in paragraphs (4) and (5) of Article 13 of Delegated Regulation (EU) .../....</w:t>
      </w:r>
    </w:p>
    <w:p>
      <w:pPr>
        <w:rPr>
          <w:noProof/>
        </w:rPr>
      </w:pPr>
    </w:p>
    <w:p>
      <w:pPr>
        <w:rPr>
          <w:rFonts w:ascii="Times New Roman" w:hAnsi="Times New Roman" w:cs="Times New Roman"/>
          <w:noProof/>
          <w:sz w:val="24"/>
          <w:szCs w:val="24"/>
        </w:rPr>
      </w:pPr>
      <w:r>
        <w:rPr>
          <w:rFonts w:ascii="Times New Roman" w:hAnsi="Times New Roman" w:cs="Times New Roman"/>
          <w:noProof/>
          <w:sz w:val="24"/>
          <w:szCs w:val="24"/>
        </w:rPr>
        <w:t>Article 9, second paragraph:</w:t>
      </w:r>
    </w:p>
    <w:p>
      <w:pPr>
        <w:ind w:left="720" w:hanging="720"/>
        <w:rPr>
          <w:rFonts w:ascii="Times New Roman" w:hAnsi="Times New Roman" w:cs="Times New Roman"/>
          <w:noProof/>
          <w:sz w:val="24"/>
          <w:szCs w:val="24"/>
        </w:rPr>
      </w:pPr>
      <w:r>
        <w:rPr>
          <w:rFonts w:ascii="Times New Roman" w:hAnsi="Times New Roman" w:cs="Times New Roman"/>
          <w:i/>
          <w:noProof/>
          <w:sz w:val="24"/>
          <w:szCs w:val="24"/>
        </w:rPr>
        <w:t>for:</w:t>
      </w:r>
      <w:r>
        <w:rPr>
          <w:rFonts w:ascii="Times New Roman" w:hAnsi="Times New Roman" w:cs="Times New Roman"/>
          <w:noProof/>
          <w:sz w:val="24"/>
          <w:szCs w:val="24"/>
        </w:rPr>
        <w:tab/>
        <w:t>‘This Regulation shall apply from the date referred to in the second paragraph of Article 55 of Regulation (EU) No 600/2014.’</w:t>
      </w:r>
    </w:p>
    <w:p>
      <w:pPr>
        <w:rPr>
          <w:rFonts w:ascii="Times New Roman" w:hAnsi="Times New Roman" w:cs="Times New Roman"/>
          <w:noProof/>
          <w:sz w:val="24"/>
          <w:szCs w:val="24"/>
        </w:rPr>
      </w:pPr>
      <w:r>
        <w:rPr>
          <w:rFonts w:ascii="Times New Roman" w:hAnsi="Times New Roman" w:cs="Times New Roman"/>
          <w:i/>
          <w:noProof/>
          <w:sz w:val="24"/>
          <w:szCs w:val="24"/>
        </w:rPr>
        <w:t>read:</w:t>
      </w:r>
      <w:r>
        <w:rPr>
          <w:rFonts w:ascii="Times New Roman" w:hAnsi="Times New Roman" w:cs="Times New Roman"/>
          <w:noProof/>
          <w:sz w:val="24"/>
          <w:szCs w:val="24"/>
        </w:rPr>
        <w:tab/>
        <w:t>‘It shall apply from 3 January 2018.’</w:t>
      </w:r>
    </w:p>
    <w:sectPr>
      <w:headerReference w:type="even" r:id="rId15"/>
      <w:headerReference w:type="default" r:id="rId16"/>
      <w:footerReference w:type="even" r:id="rId17"/>
      <w:footerReference w:type="default" r:id="rId18"/>
      <w:headerReference w:type="first" r:id="rId19"/>
      <w:footerReference w:type="first" r:id="rId20"/>
      <w:footnotePr>
        <w:numStart w:val="12"/>
      </w:footnotePr>
      <w:pgSz w:w="11906" w:h="16838" w:code="9"/>
      <w:pgMar w:top="1927" w:right="680" w:bottom="1474" w:left="850" w:header="680" w:footer="624"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33134"/>
      <w:docPartObj>
        <w:docPartGallery w:val="Page Numbers (Bottom of Page)"/>
        <w:docPartUnique/>
      </w:docPartObj>
    </w:sdtPr>
    <w:sdtEndPr>
      <w:rPr>
        <w:noProof/>
      </w:rPr>
    </w:sdtEndPr>
    <w:sdtContent>
      <w:p>
        <w:pPr>
          <w:pStyle w:val="Footer"/>
          <w:jc w:val="center"/>
        </w:pPr>
        <w:r>
          <w:t>2</w:t>
        </w:r>
      </w:p>
    </w:sdtContent>
  </w:sdt>
  <w:p>
    <w:pPr>
      <w:pStyle w:val="Footer"/>
      <w:tabs>
        <w:tab w:val="clear" w:pos="9072"/>
        <w:tab w:val="right" w:pos="9923"/>
      </w:tabs>
      <w:ind w:left="-28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cs="Times New Roman"/>
        </w:rPr>
        <w:t>Commission Delegated Regulation (EU) …/… of ... supplementing Directive 2014/65/EU of the European Parliament and of the Council with regard to regulatory technical standards on the authorization, organisational requirements and the publication of transactions for data reporting services providers (OJ L ..., p. ...).</w:t>
      </w:r>
      <w:r>
        <w:rPr>
          <w:rFonts w:ascii="Times New Roman" w:hAnsi="Times New Roman" w:cs="Times New Roman"/>
          <w:sz w:val="24"/>
          <w:szCs w:val="24"/>
        </w:rPr>
        <w:t>’</w:t>
      </w:r>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drawingGridHorizontalSpacing w:val="74"/>
  <w:drawingGridVerticalSpacing w:val="109"/>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8D04BDCF271F4956B0D5BABA17B85E94"/>
    <w:docVar w:name="LW_CROSSREFERENCE" w:val="&lt;UNUSED&gt;"/>
    <w:docVar w:name="LW_DATE.ADOPT.CP" w:val="of 15.3.2017"/>
    <w:docVar w:name="LW_DATE.ADOPT.CP_ISODATE" w:val="2017-03-15"/>
    <w:docVar w:name="LW_DocType" w:val="NORMAL"/>
    <w:docVar w:name="LW_EMISSION" w:val="15.3.2017"/>
    <w:docVar w:name="LW_EMISSION_ISODATE" w:val="2017-03-15"/>
    <w:docVar w:name="LW_EMISSION_LOCATION" w:val="BRX"/>
    <w:docVar w:name="LW_EMISSION_PREFIX" w:val="Brussels, "/>
    <w:docVar w:name="LW_EMISSION_SUFFIX" w:val=" "/>
    <w:docVar w:name="LW_ID_DOCTYPE_NONLW" w:val="CP-034"/>
    <w:docVar w:name="LW_LANGUE" w:val="EN"/>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1851"/>
    <w:docVar w:name="LW_REF.INTERNE" w:val="&lt;UNUSED&gt;"/>
    <w:docVar w:name="LW_SOUS.TITRE.OBJ.CP" w:val="&lt;UNUSED&gt;"/>
    <w:docVar w:name="LW_SUPERTITRE" w:val="&lt;UNUSED&gt;"/>
    <w:docVar w:name="LW_TITRE.OBJ.CP" w:val="to Commission Delegated Regulation of 13 June 2016 supplementing Regulation (EU) No 600/2014 of the European Parliament and of the Council on markets in financial instruments with regard to regulatory technical standards on the volume cap mechanism and the provision of information for the purposes of transparency and other calculations_x000b__x000b_C(2016) 2711 final"/>
    <w:docVar w:name="LW_TYPE.DOC.CP" w:val="CORRIGENDUM"/>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4F2B-53AD-464E-B4D3-34FE22A8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254</Words>
  <Characters>1433</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2017-03-07T15:14:00Z</dcterms:created>
  <dcterms:modified xsi:type="dcterms:W3CDTF">2017-03-16T08:28:00Z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